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29A" w:rsidRPr="004F5A29" w:rsidRDefault="002C229A" w:rsidP="002C229A">
      <w:pPr>
        <w:widowControl w:val="0"/>
        <w:spacing w:after="0" w:line="360" w:lineRule="auto"/>
        <w:jc w:val="center"/>
        <w:rPr>
          <w:rFonts w:ascii="Times New Roman" w:eastAsia="Times New Roman" w:hAnsi="Times New Roman"/>
          <w:b/>
          <w:sz w:val="28"/>
          <w:szCs w:val="28"/>
        </w:rPr>
      </w:pPr>
      <w:bookmarkStart w:id="0" w:name="Nota.pdf"/>
      <w:bookmarkEnd w:id="0"/>
      <w:r w:rsidRPr="004F5A29">
        <w:rPr>
          <w:rFonts w:ascii="Times New Roman" w:hAnsi="Times New Roman"/>
          <w:b/>
          <w:sz w:val="28"/>
          <w:szCs w:val="28"/>
        </w:rPr>
        <w:t>NOTĂ INFORMATIVĂ</w:t>
      </w:r>
      <w:r w:rsidRPr="004F5A29">
        <w:rPr>
          <w:rFonts w:ascii="Times New Roman" w:hAnsi="Times New Roman"/>
          <w:b/>
          <w:sz w:val="28"/>
          <w:szCs w:val="28"/>
        </w:rPr>
        <w:br/>
        <w:t xml:space="preserve">la proiectul de lege cu privire la Comitetul Național de Stabilitate Financiară </w:t>
      </w:r>
    </w:p>
    <w:p w:rsidR="002C229A" w:rsidRDefault="002C229A" w:rsidP="002C229A">
      <w:pPr>
        <w:widowControl w:val="0"/>
        <w:spacing w:after="0" w:line="360" w:lineRule="auto"/>
        <w:ind w:firstLine="360"/>
        <w:jc w:val="both"/>
        <w:rPr>
          <w:rFonts w:ascii="Times New Roman" w:hAnsi="Times New Roman"/>
        </w:rPr>
      </w:pPr>
    </w:p>
    <w:p w:rsidR="002C229A" w:rsidRPr="002C229A" w:rsidRDefault="002C229A" w:rsidP="002C229A">
      <w:pPr>
        <w:widowControl w:val="0"/>
        <w:spacing w:after="0" w:line="276" w:lineRule="auto"/>
        <w:ind w:firstLine="360"/>
        <w:jc w:val="both"/>
        <w:rPr>
          <w:rFonts w:ascii="Times New Roman" w:hAnsi="Times New Roman"/>
          <w:sz w:val="26"/>
          <w:szCs w:val="26"/>
        </w:rPr>
      </w:pPr>
      <w:r w:rsidRPr="002C229A">
        <w:rPr>
          <w:rFonts w:ascii="Times New Roman" w:hAnsi="Times New Roman"/>
          <w:sz w:val="26"/>
          <w:szCs w:val="26"/>
        </w:rPr>
        <w:t xml:space="preserve">Proiectul de lege cu privire la Comitetul Național de Stabilitate Financiară a fost elaborat în vederea constituirii autorității naționale </w:t>
      </w:r>
      <w:proofErr w:type="spellStart"/>
      <w:r w:rsidRPr="002C229A">
        <w:rPr>
          <w:rFonts w:ascii="Times New Roman" w:hAnsi="Times New Roman"/>
          <w:sz w:val="26"/>
          <w:szCs w:val="26"/>
        </w:rPr>
        <w:t>macroprudențiale</w:t>
      </w:r>
      <w:proofErr w:type="spellEnd"/>
      <w:r w:rsidRPr="002C229A">
        <w:rPr>
          <w:rFonts w:ascii="Times New Roman" w:hAnsi="Times New Roman"/>
          <w:sz w:val="26"/>
          <w:szCs w:val="26"/>
        </w:rPr>
        <w:t xml:space="preserve">, responsabilă de coordonarea realizării politicii </w:t>
      </w:r>
      <w:proofErr w:type="spellStart"/>
      <w:r w:rsidRPr="002C229A">
        <w:rPr>
          <w:rFonts w:ascii="Times New Roman" w:hAnsi="Times New Roman"/>
          <w:sz w:val="26"/>
          <w:szCs w:val="26"/>
        </w:rPr>
        <w:t>macroprudențiale</w:t>
      </w:r>
      <w:proofErr w:type="spellEnd"/>
      <w:r w:rsidRPr="002C229A">
        <w:rPr>
          <w:rFonts w:ascii="Times New Roman" w:hAnsi="Times New Roman"/>
          <w:sz w:val="26"/>
          <w:szCs w:val="26"/>
        </w:rPr>
        <w:t xml:space="preserve">, precum și de prevenirea, reducerea sau eliminarea riscurilor care amenință stabilitatea financiară la nivel de sistem și gestionarea situațiilor de criză financiară sistemică. </w:t>
      </w:r>
    </w:p>
    <w:p w:rsidR="002C229A" w:rsidRPr="002C229A" w:rsidRDefault="002C229A" w:rsidP="002C229A">
      <w:pPr>
        <w:widowControl w:val="0"/>
        <w:spacing w:after="0" w:line="276" w:lineRule="auto"/>
        <w:ind w:firstLine="360"/>
        <w:jc w:val="both"/>
        <w:rPr>
          <w:rFonts w:ascii="Times New Roman" w:hAnsi="Times New Roman"/>
          <w:sz w:val="26"/>
          <w:szCs w:val="26"/>
        </w:rPr>
      </w:pPr>
      <w:r w:rsidRPr="002C229A">
        <w:rPr>
          <w:rFonts w:ascii="Times New Roman" w:hAnsi="Times New Roman"/>
          <w:sz w:val="26"/>
          <w:szCs w:val="26"/>
        </w:rPr>
        <w:t>Necesitatea elaborării proiectului menționat a fost condiționată de prevederile articolului 322 alin.(8) din Legea 232 din 3 octombrie 2016 privind redresarea și rezoluția băncilor (Monitorul Oficial al Republicii Moldova, 2016, nr.343-346, art.707). În același timp, reorganizarea Comitetului Național de Stabilitate Financiară se regăsește în Planul național de acțiuni pentru implementarea Acordului de Asociere Republica Moldova – Uniunea Europeană în perioada 2017-2019 (PNAAA).</w:t>
      </w:r>
    </w:p>
    <w:p w:rsidR="002C229A" w:rsidRPr="002C229A" w:rsidRDefault="002C229A" w:rsidP="002C229A">
      <w:pPr>
        <w:widowControl w:val="0"/>
        <w:spacing w:after="0" w:line="276" w:lineRule="auto"/>
        <w:ind w:firstLine="360"/>
        <w:jc w:val="both"/>
        <w:rPr>
          <w:rFonts w:ascii="Times New Roman" w:hAnsi="Times New Roman"/>
          <w:sz w:val="26"/>
          <w:szCs w:val="26"/>
        </w:rPr>
      </w:pPr>
      <w:r w:rsidRPr="002C229A">
        <w:rPr>
          <w:rFonts w:ascii="Times New Roman" w:hAnsi="Times New Roman"/>
          <w:sz w:val="26"/>
          <w:szCs w:val="26"/>
        </w:rPr>
        <w:t>Proiectul de lege stabilește cadrul, obligațiunile și responsabilitățile Comitetului Național de Stabilitate Financiară în vederea reducerii riscurilor care amenință stabilitatea financiară dar și coordonării procesului pregătire și gestionare a crizelor sistemice. Stabilitatea financiară este o condiție în care sistemul financiar poate rezista șocurilor fără a perturba activitatea de intermediere și de alocare eficientă a economiilor spre investiții de capital. În vederea asigurării stabilității financiare, este necesară identificarea principalelor surse de risc și vulnerabilități, precum: ineficiența redirecționării resurselor financiare atrase de la deponenți către investitori, evaluarea sau gestionarea incorectă a riscurilor financiare de către intermediari ș.a. Analizele cu privire la stabilitatea financiară trebuie să fie anticipative pentru a evita compromiterea stabilității sistemului financiar și, respectiv, a stabilității economice în viitor.</w:t>
      </w:r>
    </w:p>
    <w:p w:rsidR="002C229A" w:rsidRPr="002C229A" w:rsidRDefault="002C229A" w:rsidP="002C229A">
      <w:pPr>
        <w:widowControl w:val="0"/>
        <w:spacing w:after="0" w:line="276" w:lineRule="auto"/>
        <w:ind w:firstLine="360"/>
        <w:jc w:val="both"/>
        <w:rPr>
          <w:rFonts w:ascii="Times New Roman" w:hAnsi="Times New Roman"/>
          <w:sz w:val="26"/>
          <w:szCs w:val="26"/>
        </w:rPr>
      </w:pPr>
      <w:r w:rsidRPr="002C229A">
        <w:rPr>
          <w:rFonts w:ascii="Times New Roman" w:hAnsi="Times New Roman"/>
          <w:sz w:val="26"/>
          <w:szCs w:val="26"/>
        </w:rPr>
        <w:t xml:space="preserve">Experiența internațională dobândită urmare a crizei financiare globale a arătat că pentru a asigura stabilitatea financiară sunt necesare instrumente care să tempereze la necesitate creșterea excesivă a creditării atât la nivelul întregii economii, cât și în anumite domenii/ramuri. Rolul unui astfel de comitet, care în unele țări poartă denumirea de Comitet pentru stabilitate financiară, este de a identifica, monitoriza și recomanda acțiunile necesare pentru a elimina sau reduce riscurile sistemice.   </w:t>
      </w:r>
    </w:p>
    <w:p w:rsidR="002C229A" w:rsidRPr="002C229A" w:rsidRDefault="002C229A" w:rsidP="002C229A">
      <w:pPr>
        <w:widowControl w:val="0"/>
        <w:spacing w:after="0" w:line="276" w:lineRule="auto"/>
        <w:ind w:firstLine="360"/>
        <w:jc w:val="both"/>
        <w:rPr>
          <w:rFonts w:ascii="Times New Roman" w:hAnsi="Times New Roman"/>
          <w:sz w:val="26"/>
          <w:szCs w:val="26"/>
        </w:rPr>
      </w:pPr>
      <w:r w:rsidRPr="002C229A">
        <w:rPr>
          <w:rFonts w:ascii="Times New Roman" w:hAnsi="Times New Roman"/>
          <w:sz w:val="26"/>
          <w:szCs w:val="26"/>
        </w:rPr>
        <w:t xml:space="preserve">În unele cazuri o alertare simplă privind existența unor anumitor riscuri este suficientă pentru a mobiliza sectorul privat să întreprindă acțiuni cu scopul de a reduce vulnerabilitățile existente. Totuși, alertele nu sunt întotdeauna suficiente. Ținând cont de acest fapt, Comitetul European pentru Risc Sistemic recomandă stabilirea unui set de instrumente </w:t>
      </w:r>
      <w:proofErr w:type="spellStart"/>
      <w:r w:rsidRPr="002C229A">
        <w:rPr>
          <w:rFonts w:ascii="Times New Roman" w:hAnsi="Times New Roman"/>
          <w:sz w:val="26"/>
          <w:szCs w:val="26"/>
        </w:rPr>
        <w:t>macroprudențiale</w:t>
      </w:r>
      <w:proofErr w:type="spellEnd"/>
      <w:r w:rsidRPr="002C229A">
        <w:rPr>
          <w:rFonts w:ascii="Times New Roman" w:hAnsi="Times New Roman"/>
          <w:sz w:val="26"/>
          <w:szCs w:val="26"/>
        </w:rPr>
        <w:t xml:space="preserve"> care să fie aplicat în mod efectiv de autoritățile </w:t>
      </w:r>
      <w:proofErr w:type="spellStart"/>
      <w:r w:rsidRPr="002C229A">
        <w:rPr>
          <w:rFonts w:ascii="Times New Roman" w:hAnsi="Times New Roman"/>
          <w:sz w:val="26"/>
          <w:szCs w:val="26"/>
        </w:rPr>
        <w:t>macroprudențiale</w:t>
      </w:r>
      <w:proofErr w:type="spellEnd"/>
      <w:r w:rsidRPr="002C229A">
        <w:rPr>
          <w:rFonts w:ascii="Times New Roman" w:hAnsi="Times New Roman"/>
          <w:sz w:val="26"/>
          <w:szCs w:val="26"/>
        </w:rPr>
        <w:t xml:space="preserve"> relevante. Autoritățile </w:t>
      </w:r>
      <w:proofErr w:type="spellStart"/>
      <w:r w:rsidRPr="002C229A">
        <w:rPr>
          <w:rFonts w:ascii="Times New Roman" w:hAnsi="Times New Roman"/>
          <w:sz w:val="26"/>
          <w:szCs w:val="26"/>
        </w:rPr>
        <w:t>macroprudențiale</w:t>
      </w:r>
      <w:proofErr w:type="spellEnd"/>
      <w:r w:rsidRPr="002C229A">
        <w:rPr>
          <w:rFonts w:ascii="Times New Roman" w:hAnsi="Times New Roman"/>
          <w:sz w:val="26"/>
          <w:szCs w:val="26"/>
        </w:rPr>
        <w:t xml:space="preserve"> trebuie să aibă în sfera competențelor lor de recomandare instrumentele </w:t>
      </w:r>
      <w:proofErr w:type="spellStart"/>
      <w:r w:rsidRPr="002C229A">
        <w:rPr>
          <w:rFonts w:ascii="Times New Roman" w:hAnsi="Times New Roman"/>
          <w:sz w:val="26"/>
          <w:szCs w:val="26"/>
        </w:rPr>
        <w:t>macroprudențiale</w:t>
      </w:r>
      <w:proofErr w:type="spellEnd"/>
      <w:r w:rsidRPr="002C229A">
        <w:rPr>
          <w:rFonts w:ascii="Times New Roman" w:hAnsi="Times New Roman"/>
          <w:sz w:val="26"/>
          <w:szCs w:val="26"/>
        </w:rPr>
        <w:t xml:space="preserve"> necesare, precum și posibilitatea de reînnoire periodică a setului de instrumente conform practicilor internaționale.</w:t>
      </w:r>
    </w:p>
    <w:p w:rsidR="002C229A" w:rsidRPr="002C229A" w:rsidRDefault="002C229A" w:rsidP="002C229A">
      <w:pPr>
        <w:widowControl w:val="0"/>
        <w:spacing w:after="0" w:line="276" w:lineRule="auto"/>
        <w:ind w:firstLine="360"/>
        <w:jc w:val="both"/>
        <w:rPr>
          <w:rFonts w:ascii="Times New Roman" w:hAnsi="Times New Roman"/>
          <w:sz w:val="26"/>
          <w:szCs w:val="26"/>
        </w:rPr>
      </w:pPr>
      <w:r w:rsidRPr="002C229A">
        <w:rPr>
          <w:rFonts w:ascii="Times New Roman" w:hAnsi="Times New Roman"/>
          <w:sz w:val="26"/>
          <w:szCs w:val="26"/>
        </w:rPr>
        <w:lastRenderedPageBreak/>
        <w:t xml:space="preserve">Totodată, transparența reprezintă o cerință necesară pentru asumarea responsabilității, iar responsabilitatea Comitetului poate fi determinată din perspectiva obiectivelor intermediare sau comunicării publice a recomandărilor formulate. Instrumentele </w:t>
      </w:r>
      <w:proofErr w:type="spellStart"/>
      <w:r w:rsidRPr="002C229A">
        <w:rPr>
          <w:rFonts w:ascii="Times New Roman" w:hAnsi="Times New Roman"/>
          <w:sz w:val="26"/>
          <w:szCs w:val="26"/>
        </w:rPr>
        <w:t>macroprudențiale</w:t>
      </w:r>
      <w:proofErr w:type="spellEnd"/>
      <w:r w:rsidRPr="002C229A">
        <w:rPr>
          <w:rFonts w:ascii="Times New Roman" w:hAnsi="Times New Roman"/>
          <w:sz w:val="26"/>
          <w:szCs w:val="26"/>
        </w:rPr>
        <w:t xml:space="preserve"> reprezintă măsurile de soluționare a problemei ce ține de acțiunile colective, iar un element important al acestor instrumente sunt categoriile țintă, și anume grupurile de instituții financiare precum: băncile, organizațiile nebancare sau companiile de asigurări. </w:t>
      </w:r>
    </w:p>
    <w:p w:rsidR="002C229A" w:rsidRPr="002C229A" w:rsidRDefault="002C229A" w:rsidP="002C229A">
      <w:pPr>
        <w:widowControl w:val="0"/>
        <w:spacing w:after="0" w:line="276" w:lineRule="auto"/>
        <w:ind w:firstLine="360"/>
        <w:jc w:val="both"/>
        <w:rPr>
          <w:rFonts w:ascii="Times New Roman" w:hAnsi="Times New Roman"/>
          <w:sz w:val="26"/>
          <w:szCs w:val="26"/>
        </w:rPr>
      </w:pPr>
      <w:r w:rsidRPr="002C229A">
        <w:rPr>
          <w:rFonts w:ascii="Times New Roman" w:hAnsi="Times New Roman"/>
          <w:sz w:val="26"/>
          <w:szCs w:val="26"/>
        </w:rPr>
        <w:t>De asemenea, în condițiile materializării unui risc sistemic este importantă cooperarea interinstituțională a măsurilor și acțiunilor întreprinse în vederea pregătirii pentru situații de criză, gestionării crizei survenite și diminuării costurilor acesteia. Atribuțiile Comitetului în domeniul respectiv au fost preluate de la Comitetul Național de Stabilitate Financiară (creat prin Hotărârea Guvernului Republicii Moldova nr.449 din 02.06.2010, cu modificările și completările ulterioare).</w:t>
      </w:r>
    </w:p>
    <w:p w:rsidR="002C229A" w:rsidRPr="002C229A" w:rsidRDefault="002C229A" w:rsidP="002C229A">
      <w:pPr>
        <w:widowControl w:val="0"/>
        <w:spacing w:after="0" w:line="276" w:lineRule="auto"/>
        <w:ind w:firstLine="360"/>
        <w:jc w:val="both"/>
        <w:rPr>
          <w:rFonts w:ascii="Times New Roman" w:hAnsi="Times New Roman"/>
          <w:sz w:val="26"/>
          <w:szCs w:val="26"/>
        </w:rPr>
      </w:pPr>
      <w:r w:rsidRPr="002C229A">
        <w:rPr>
          <w:rFonts w:ascii="Times New Roman" w:hAnsi="Times New Roman"/>
          <w:sz w:val="26"/>
          <w:szCs w:val="26"/>
        </w:rPr>
        <w:t>În afară de rolul de coordonare a procesului de</w:t>
      </w:r>
      <w:bookmarkStart w:id="1" w:name="_GoBack"/>
      <w:bookmarkEnd w:id="1"/>
      <w:r w:rsidRPr="002C229A">
        <w:rPr>
          <w:rFonts w:ascii="Times New Roman" w:hAnsi="Times New Roman"/>
          <w:sz w:val="26"/>
          <w:szCs w:val="26"/>
        </w:rPr>
        <w:t xml:space="preserve"> utilizare a instrumentelor </w:t>
      </w:r>
      <w:proofErr w:type="spellStart"/>
      <w:r w:rsidRPr="002C229A">
        <w:rPr>
          <w:rFonts w:ascii="Times New Roman" w:hAnsi="Times New Roman"/>
          <w:sz w:val="26"/>
          <w:szCs w:val="26"/>
        </w:rPr>
        <w:t>macroprudențiale</w:t>
      </w:r>
      <w:proofErr w:type="spellEnd"/>
      <w:r w:rsidRPr="002C229A">
        <w:rPr>
          <w:rFonts w:ascii="Times New Roman" w:hAnsi="Times New Roman"/>
          <w:sz w:val="26"/>
          <w:szCs w:val="26"/>
        </w:rPr>
        <w:t xml:space="preserve">, acest Comitet are două funcții importante: </w:t>
      </w:r>
      <w:r w:rsidRPr="002C229A">
        <w:rPr>
          <w:rFonts w:ascii="Times New Roman" w:hAnsi="Times New Roman"/>
          <w:i/>
          <w:sz w:val="26"/>
          <w:szCs w:val="26"/>
        </w:rPr>
        <w:t>transparentizarea</w:t>
      </w:r>
      <w:r w:rsidRPr="002C229A">
        <w:rPr>
          <w:rFonts w:ascii="Times New Roman" w:hAnsi="Times New Roman"/>
          <w:sz w:val="26"/>
          <w:szCs w:val="26"/>
        </w:rPr>
        <w:t xml:space="preserve"> procesului decizional prin comunicarea deciziilor adoptate; și </w:t>
      </w:r>
      <w:r w:rsidRPr="002C229A">
        <w:rPr>
          <w:rFonts w:ascii="Times New Roman" w:hAnsi="Times New Roman"/>
          <w:i/>
          <w:sz w:val="26"/>
          <w:szCs w:val="26"/>
        </w:rPr>
        <w:t>creșterea gradului de răspundere</w:t>
      </w:r>
      <w:r w:rsidRPr="002C229A">
        <w:rPr>
          <w:rFonts w:ascii="Times New Roman" w:hAnsi="Times New Roman"/>
          <w:sz w:val="26"/>
          <w:szCs w:val="26"/>
        </w:rPr>
        <w:t xml:space="preserve"> a factorilor de decizie pentru gestionarea și minimizarea riscurilor la nivel de sistem și pentru reducerea gravității crizei în cazul materializării acestor riscuri. Crearea unui Comitet Național de Stabilitate Financiară cu un mandat clar va contribui la transparentizarea și responsabilizarea procesului decizional al autorităților de reglementare financiară.</w:t>
      </w:r>
    </w:p>
    <w:p w:rsidR="002C229A" w:rsidRPr="002C229A" w:rsidRDefault="002C229A" w:rsidP="002C229A">
      <w:pPr>
        <w:widowControl w:val="0"/>
        <w:spacing w:after="0" w:line="276" w:lineRule="auto"/>
        <w:ind w:firstLine="360"/>
        <w:jc w:val="both"/>
        <w:rPr>
          <w:rFonts w:ascii="Times New Roman" w:hAnsi="Times New Roman"/>
          <w:sz w:val="26"/>
          <w:szCs w:val="26"/>
        </w:rPr>
      </w:pPr>
      <w:r w:rsidRPr="002C229A">
        <w:rPr>
          <w:rFonts w:ascii="Times New Roman" w:hAnsi="Times New Roman"/>
          <w:sz w:val="26"/>
          <w:szCs w:val="26"/>
        </w:rPr>
        <w:t>Componența Comitetului are ca scop asigurarea diversității opiniilor și include: guvernatorul Băncii Naționale, Ministrul Finanțelor, Ministrul Economiei și Infrastructurii, președintele Comisiei Naționale a Pieței Financiare și, în contextul examinării aspectelor aferente pregătirii și gestionării situațiilor de criză, un reprezentant al Fondului de Garantare a Depozitelor în Sistemul Bancar. În forma sa extinsă, pe lângă componența menționată mai sus, Comitetul va avea următorii membri: prim-viceguvernatorul Băncii Naționale a Moldovei, viceguvernatorul Băncii Naționale a Moldovei responsabil de funcția de supraveghere bancară, viceguvernatorul Băncii Naționale a Moldovei responsabil de rezoluția bancară, șeful subdiviziunii Băncii Naționale a Moldovei responsabil de stabilitatea financiară.</w:t>
      </w:r>
    </w:p>
    <w:p w:rsidR="002C229A" w:rsidRPr="002C229A" w:rsidRDefault="002C229A" w:rsidP="002C229A">
      <w:pPr>
        <w:widowControl w:val="0"/>
        <w:spacing w:after="0" w:line="276" w:lineRule="auto"/>
        <w:ind w:firstLine="360"/>
        <w:jc w:val="both"/>
        <w:rPr>
          <w:rFonts w:ascii="Times New Roman" w:hAnsi="Times New Roman"/>
          <w:sz w:val="26"/>
          <w:szCs w:val="26"/>
        </w:rPr>
      </w:pPr>
      <w:r w:rsidRPr="002C229A">
        <w:rPr>
          <w:rFonts w:ascii="Times New Roman" w:hAnsi="Times New Roman"/>
          <w:sz w:val="26"/>
          <w:szCs w:val="26"/>
        </w:rPr>
        <w:t>Totodată, ținând cont de faptul că noua Lege vine să reorganizeze Comitetul Național de Stabilitate Financiară, se consideră necesară abrogarea Hotărârii Guvernului Republicii Moldova nr.449 din 02.06.2010, după intrarea în vigoare a prezentei Legi în vederea evitării suprapunerii unor funcții.</w:t>
      </w:r>
    </w:p>
    <w:p w:rsidR="002C229A" w:rsidRDefault="002C229A" w:rsidP="002C229A">
      <w:pPr>
        <w:rPr>
          <w:rFonts w:ascii="Times New Roman" w:hAnsi="Times New Roman"/>
        </w:rPr>
      </w:pPr>
    </w:p>
    <w:p w:rsidR="00456324" w:rsidRDefault="002C229A" w:rsidP="002C229A">
      <w:pPr>
        <w:jc w:val="center"/>
      </w:pPr>
      <w:r>
        <w:rPr>
          <w:rFonts w:ascii="Times New Roman" w:hAnsi="Times New Roman"/>
          <w:b/>
          <w:sz w:val="32"/>
          <w:szCs w:val="32"/>
        </w:rPr>
        <w:t>MINISTRU                                                         Octavian ARMAȘU</w:t>
      </w:r>
    </w:p>
    <w:sectPr w:rsidR="00456324" w:rsidSect="002C229A">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9A"/>
    <w:rsid w:val="002C229A"/>
    <w:rsid w:val="00456324"/>
    <w:rsid w:val="004F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1FD67-0E33-4BFE-BE0E-C1F1C840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29A"/>
    <w:pPr>
      <w:spacing w:line="25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29A"/>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31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Litocenco</dc:creator>
  <cp:keywords/>
  <dc:description/>
  <cp:lastModifiedBy>Ana Litocenco</cp:lastModifiedBy>
  <cp:revision>3</cp:revision>
  <cp:lastPrinted>2018-07-12T13:36:00Z</cp:lastPrinted>
  <dcterms:created xsi:type="dcterms:W3CDTF">2018-07-12T13:34:00Z</dcterms:created>
  <dcterms:modified xsi:type="dcterms:W3CDTF">2018-07-12T13:36:00Z</dcterms:modified>
</cp:coreProperties>
</file>