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93" w:rsidRDefault="00DC5E93" w:rsidP="00DC5E93">
      <w:pPr>
        <w:spacing w:after="160" w:line="256" w:lineRule="auto"/>
        <w:ind w:right="119"/>
        <w:jc w:val="center"/>
        <w:rPr>
          <w:rFonts w:eastAsiaTheme="minorEastAsia"/>
          <w:b/>
        </w:rPr>
      </w:pPr>
      <w:r>
        <w:rPr>
          <w:rFonts w:eastAsiaTheme="minorEastAsia"/>
          <w:b/>
        </w:rPr>
        <w:t>NOTA INFORMATIVĂ</w:t>
      </w:r>
    </w:p>
    <w:p w:rsidR="00DC5E93" w:rsidRDefault="00DC5E93" w:rsidP="00DC5E93">
      <w:pPr>
        <w:pStyle w:val="tt"/>
        <w:spacing w:before="0" w:beforeAutospacing="0" w:after="0" w:afterAutospacing="0"/>
        <w:ind w:left="284" w:right="119"/>
        <w:jc w:val="center"/>
        <w:rPr>
          <w:b/>
          <w:lang w:val="ro-RO"/>
        </w:rPr>
      </w:pPr>
      <w:r>
        <w:rPr>
          <w:b/>
          <w:lang w:val="ro-MD"/>
        </w:rPr>
        <w:t>la proiectul Hotărârii Guvernului „</w:t>
      </w:r>
      <w:r>
        <w:rPr>
          <w:b/>
          <w:lang w:val="ro-RO"/>
        </w:rPr>
        <w:t>Cu privire la aprobarea modificărilor și completărilor ce se operează în Hotărârea Guvernului nr.246 din 8 aprilie 2010</w:t>
      </w:r>
      <w:r>
        <w:rPr>
          <w:b/>
          <w:lang w:val="ro-MD"/>
        </w:rPr>
        <w:t>”</w:t>
      </w:r>
    </w:p>
    <w:p w:rsidR="00DC5E93" w:rsidRDefault="00DC5E93" w:rsidP="00DC5E93">
      <w:pPr>
        <w:ind w:right="119"/>
        <w:jc w:val="center"/>
        <w:rPr>
          <w:b/>
        </w:rPr>
      </w:pPr>
    </w:p>
    <w:tbl>
      <w:tblPr>
        <w:tblW w:w="5000" w:type="pct"/>
        <w:tblInd w:w="284" w:type="dxa"/>
        <w:tblLook w:val="04A0" w:firstRow="1" w:lastRow="0" w:firstColumn="1" w:lastColumn="0" w:noHBand="0" w:noVBand="1"/>
      </w:tblPr>
      <w:tblGrid>
        <w:gridCol w:w="9026"/>
      </w:tblGrid>
      <w:tr w:rsidR="00DC5E93" w:rsidRPr="00DC5E93" w:rsidTr="00DC5E93">
        <w:trPr>
          <w:trHeight w:val="541"/>
        </w:trPr>
        <w:tc>
          <w:tcPr>
            <w:tcW w:w="5000" w:type="pct"/>
            <w:shd w:val="clear" w:color="auto" w:fill="D9D9D9"/>
            <w:hideMark/>
          </w:tcPr>
          <w:p w:rsidR="00DC5E93" w:rsidRDefault="00DC5E93" w:rsidP="000E2436">
            <w:pPr>
              <w:numPr>
                <w:ilvl w:val="0"/>
                <w:numId w:val="1"/>
              </w:numPr>
              <w:spacing w:after="120" w:line="256" w:lineRule="auto"/>
              <w:ind w:left="0" w:right="119" w:firstLine="890"/>
              <w:contextualSpacing/>
              <w:jc w:val="both"/>
              <w:rPr>
                <w:rFonts w:eastAsia="Calibri"/>
                <w:b/>
                <w:lang w:val="ro-MD"/>
              </w:rPr>
            </w:pPr>
            <w:r>
              <w:rPr>
                <w:rFonts w:eastAsia="Calibri"/>
                <w:b/>
                <w:lang w:val="ro-MD"/>
              </w:rPr>
              <w:t>Denumirea autorului și, după caz, a participanților la elaborarea proiectului</w:t>
            </w:r>
          </w:p>
        </w:tc>
      </w:tr>
      <w:tr w:rsidR="00DC5E93" w:rsidRPr="00DC5E93" w:rsidTr="00DC5E93">
        <w:tc>
          <w:tcPr>
            <w:tcW w:w="5000" w:type="pct"/>
            <w:hideMark/>
          </w:tcPr>
          <w:p w:rsidR="00DC5E93" w:rsidRDefault="00DC5E93">
            <w:pPr>
              <w:spacing w:line="276" w:lineRule="auto"/>
              <w:ind w:right="119" w:firstLine="1034"/>
              <w:jc w:val="both"/>
              <w:rPr>
                <w:rFonts w:eastAsiaTheme="minorHAnsi"/>
                <w:lang w:val="ro-MD"/>
              </w:rPr>
            </w:pPr>
            <w:r>
              <w:rPr>
                <w:rFonts w:eastAsiaTheme="minorHAnsi"/>
              </w:rPr>
              <w:t xml:space="preserve"> </w:t>
            </w:r>
            <w:proofErr w:type="spellStart"/>
            <w:r>
              <w:rPr>
                <w:rFonts w:eastAsiaTheme="minorHAnsi"/>
              </w:rPr>
              <w:t>Proiectul</w:t>
            </w:r>
            <w:proofErr w:type="spellEnd"/>
            <w:r>
              <w:rPr>
                <w:rFonts w:eastAsiaTheme="minorHAnsi"/>
              </w:rPr>
              <w:t xml:space="preserve"> </w:t>
            </w:r>
            <w:proofErr w:type="spellStart"/>
            <w:r>
              <w:rPr>
                <w:rFonts w:eastAsiaTheme="minorHAnsi"/>
              </w:rPr>
              <w:t>Hotărîrii</w:t>
            </w:r>
            <w:proofErr w:type="spellEnd"/>
            <w:r>
              <w:rPr>
                <w:rFonts w:eastAsiaTheme="minorHAnsi"/>
              </w:rPr>
              <w:t xml:space="preserve"> </w:t>
            </w:r>
            <w:proofErr w:type="spellStart"/>
            <w:r>
              <w:rPr>
                <w:rFonts w:eastAsiaTheme="minorHAnsi"/>
              </w:rPr>
              <w:t>Guvernului</w:t>
            </w:r>
            <w:proofErr w:type="spellEnd"/>
            <w:r>
              <w:rPr>
                <w:rFonts w:eastAsiaTheme="minorHAnsi"/>
              </w:rPr>
              <w:t xml:space="preserve"> </w:t>
            </w:r>
            <w:r>
              <w:rPr>
                <w:rFonts w:eastAsiaTheme="minorHAnsi"/>
                <w:lang w:val="ro-MD"/>
              </w:rPr>
              <w:t>„</w:t>
            </w:r>
            <w:r>
              <w:rPr>
                <w:b/>
                <w:lang w:val="ro-RO"/>
              </w:rPr>
              <w:t>Cu privire la aprobarea modificărilor și completărilor ce se operează în Hotărârea Guvernului nr.246 din 8 aprilie 2010</w:t>
            </w:r>
            <w:r>
              <w:rPr>
                <w:rFonts w:eastAsiaTheme="minorHAnsi"/>
                <w:lang w:val="ro-MD"/>
              </w:rPr>
              <w:t>” a fost elaborat de</w:t>
            </w:r>
            <w:r>
              <w:rPr>
                <w:rFonts w:eastAsiaTheme="minorHAnsi"/>
                <w:lang w:val="fr-FR"/>
              </w:rPr>
              <w:t xml:space="preserve"> c</w:t>
            </w:r>
            <w:proofErr w:type="spellStart"/>
            <w:r>
              <w:rPr>
                <w:rFonts w:eastAsiaTheme="minorHAnsi"/>
                <w:lang w:val="ro-RO"/>
              </w:rPr>
              <w:t>ătre</w:t>
            </w:r>
            <w:proofErr w:type="spellEnd"/>
            <w:r>
              <w:rPr>
                <w:rFonts w:eastAsiaTheme="minorHAnsi"/>
                <w:lang w:val="ro-MD"/>
              </w:rPr>
              <w:t xml:space="preserve"> Ministerul Finanțelor. </w:t>
            </w:r>
          </w:p>
        </w:tc>
      </w:tr>
      <w:tr w:rsidR="00DC5E93" w:rsidRPr="00DC5E93" w:rsidTr="00DC5E93">
        <w:tc>
          <w:tcPr>
            <w:tcW w:w="5000" w:type="pct"/>
            <w:shd w:val="clear" w:color="auto" w:fill="D9D9D9"/>
            <w:hideMark/>
          </w:tcPr>
          <w:p w:rsidR="00DC5E93" w:rsidRDefault="00DC5E93" w:rsidP="000E2436">
            <w:pPr>
              <w:numPr>
                <w:ilvl w:val="0"/>
                <w:numId w:val="1"/>
              </w:numPr>
              <w:tabs>
                <w:tab w:val="left" w:pos="884"/>
              </w:tabs>
              <w:spacing w:after="120" w:line="256" w:lineRule="auto"/>
              <w:ind w:left="0" w:right="119" w:firstLine="890"/>
              <w:contextualSpacing/>
              <w:jc w:val="both"/>
              <w:rPr>
                <w:rFonts w:eastAsia="Calibri"/>
                <w:b/>
                <w:lang w:val="ro-MD"/>
              </w:rPr>
            </w:pPr>
            <w:r>
              <w:rPr>
                <w:rFonts w:eastAsia="Calibri"/>
                <w:b/>
                <w:lang w:val="ro-MD"/>
              </w:rPr>
              <w:t>Condițiile ce au impus elaborarea proiectului de act normativ și finalitățile urmărite</w:t>
            </w:r>
          </w:p>
        </w:tc>
      </w:tr>
      <w:tr w:rsidR="00DC5E93" w:rsidRPr="00DC5E93" w:rsidTr="00DC5E93">
        <w:tc>
          <w:tcPr>
            <w:tcW w:w="5000" w:type="pct"/>
            <w:hideMark/>
          </w:tcPr>
          <w:p w:rsidR="00DC5E93" w:rsidRDefault="00DC5E93">
            <w:pPr>
              <w:spacing w:line="276" w:lineRule="auto"/>
              <w:ind w:right="119" w:firstLine="1175"/>
              <w:jc w:val="both"/>
              <w:rPr>
                <w:bCs/>
                <w:lang w:val="ro-RO" w:eastAsia="ja-JP"/>
              </w:rPr>
            </w:pPr>
            <w:r>
              <w:rPr>
                <w:bCs/>
                <w:lang w:val="ro-RO" w:eastAsia="ja-JP"/>
              </w:rPr>
              <w:t xml:space="preserve">Un aspect esențial care a condus la elaborarea prezentului proiect de act normativ constituie actualizarea Listei proiectelor de asistență tehnică în derulare, care cad sub incidența tratatelor internaționale pentru aplicarea scutirilor la impozitul pe venit, accize, taxele vamale, taxele pentru efectuarea procedurilor vamale, taxele pentru mărfurile care, în procesul utilizării, cauzează poluarea mediului, precum </w:t>
            </w:r>
            <w:proofErr w:type="spellStart"/>
            <w:r>
              <w:rPr>
                <w:bCs/>
                <w:lang w:val="ro-RO" w:eastAsia="ja-JP"/>
              </w:rPr>
              <w:t>şi</w:t>
            </w:r>
            <w:proofErr w:type="spellEnd"/>
            <w:r>
              <w:rPr>
                <w:bCs/>
                <w:lang w:val="ro-RO" w:eastAsia="ja-JP"/>
              </w:rPr>
              <w:t xml:space="preserve"> a scutirii de TVA cu drept de deducere pentru mărfurile </w:t>
            </w:r>
            <w:proofErr w:type="spellStart"/>
            <w:r>
              <w:rPr>
                <w:bCs/>
                <w:lang w:val="ro-RO" w:eastAsia="ja-JP"/>
              </w:rPr>
              <w:t>şi</w:t>
            </w:r>
            <w:proofErr w:type="spellEnd"/>
            <w:r>
              <w:rPr>
                <w:bCs/>
                <w:lang w:val="ro-RO" w:eastAsia="ja-JP"/>
              </w:rPr>
              <w:t xml:space="preserve"> serviciile destinate acestora.  </w:t>
            </w:r>
          </w:p>
          <w:p w:rsidR="00DC5E93" w:rsidRDefault="00DC5E93">
            <w:pPr>
              <w:spacing w:line="276" w:lineRule="auto"/>
              <w:ind w:right="119" w:firstLine="1033"/>
              <w:jc w:val="both"/>
              <w:rPr>
                <w:bCs/>
                <w:lang w:val="ro-RO" w:eastAsia="ja-JP"/>
              </w:rPr>
            </w:pPr>
            <w:r>
              <w:rPr>
                <w:bCs/>
                <w:lang w:val="ro-RO" w:eastAsia="ja-JP"/>
              </w:rPr>
              <w:t xml:space="preserve">Astfel, se propune spre completare Anexa nr.1 și Anexa nr.2 din Hotărârea Guvernului nr.246 din 8 aprilie 2010, în contextul asigurării demarării unor noi proiecte de asistență tehnică. </w:t>
            </w:r>
          </w:p>
          <w:p w:rsidR="00DC5E93" w:rsidRDefault="00DC5E93">
            <w:pPr>
              <w:spacing w:line="276" w:lineRule="auto"/>
              <w:ind w:right="119" w:firstLine="1033"/>
              <w:jc w:val="both"/>
              <w:rPr>
                <w:bCs/>
                <w:lang w:val="ro-RO" w:eastAsia="ja-JP"/>
              </w:rPr>
            </w:pPr>
            <w:r>
              <w:rPr>
                <w:bCs/>
                <w:lang w:val="ro-RO" w:eastAsia="ja-JP"/>
              </w:rPr>
              <w:t xml:space="preserve">Totodată, accentuăm că, se exclud un șir de proiecte finalizate. </w:t>
            </w:r>
          </w:p>
          <w:p w:rsidR="00DC5E93" w:rsidRDefault="00DC5E93">
            <w:pPr>
              <w:spacing w:line="256" w:lineRule="auto"/>
              <w:ind w:right="119" w:firstLine="1033"/>
              <w:jc w:val="both"/>
              <w:rPr>
                <w:bCs/>
                <w:lang w:val="ro-RO" w:eastAsia="ja-JP"/>
              </w:rPr>
            </w:pPr>
            <w:r>
              <w:rPr>
                <w:bCs/>
                <w:lang w:val="ro-RO" w:eastAsia="ja-JP"/>
              </w:rPr>
              <w:t xml:space="preserve"> </w:t>
            </w:r>
          </w:p>
        </w:tc>
      </w:tr>
      <w:tr w:rsidR="00DC5E93" w:rsidTr="00DC5E93">
        <w:tc>
          <w:tcPr>
            <w:tcW w:w="5000" w:type="pct"/>
            <w:shd w:val="clear" w:color="auto" w:fill="D9D9D9"/>
            <w:hideMark/>
          </w:tcPr>
          <w:p w:rsidR="00DC5E93" w:rsidRDefault="00DC5E93" w:rsidP="000E2436">
            <w:pPr>
              <w:numPr>
                <w:ilvl w:val="0"/>
                <w:numId w:val="1"/>
              </w:numPr>
              <w:tabs>
                <w:tab w:val="left" w:pos="884"/>
              </w:tabs>
              <w:spacing w:after="120" w:line="256" w:lineRule="auto"/>
              <w:ind w:left="0" w:right="119" w:firstLine="890"/>
              <w:contextualSpacing/>
              <w:jc w:val="both"/>
              <w:rPr>
                <w:rFonts w:eastAsia="Calibri"/>
                <w:b/>
                <w:lang w:val="ro-MD"/>
              </w:rPr>
            </w:pPr>
            <w:r>
              <w:rPr>
                <w:rFonts w:eastAsia="Calibri"/>
                <w:b/>
                <w:lang w:val="ro-MD"/>
              </w:rPr>
              <w:t xml:space="preserve">Fundamentarea </w:t>
            </w:r>
            <w:proofErr w:type="spellStart"/>
            <w:r>
              <w:rPr>
                <w:rFonts w:eastAsia="Calibri"/>
                <w:b/>
                <w:lang w:val="ro-MD"/>
              </w:rPr>
              <w:t>economico</w:t>
            </w:r>
            <w:proofErr w:type="spellEnd"/>
            <w:r>
              <w:rPr>
                <w:rFonts w:eastAsia="Calibri"/>
                <w:b/>
                <w:lang w:val="ro-MD"/>
              </w:rPr>
              <w:t>-financiară</w:t>
            </w:r>
          </w:p>
        </w:tc>
      </w:tr>
      <w:tr w:rsidR="00DC5E93" w:rsidRPr="00DC5E93" w:rsidTr="00DC5E93">
        <w:trPr>
          <w:trHeight w:val="820"/>
        </w:trPr>
        <w:tc>
          <w:tcPr>
            <w:tcW w:w="5000" w:type="pct"/>
            <w:hideMark/>
          </w:tcPr>
          <w:p w:rsidR="00DC5E93" w:rsidRDefault="00DC5E93">
            <w:pPr>
              <w:spacing w:line="276" w:lineRule="auto"/>
              <w:ind w:right="119" w:firstLine="878"/>
              <w:jc w:val="both"/>
            </w:pPr>
            <w:proofErr w:type="spellStart"/>
            <w:r>
              <w:rPr>
                <w:bCs/>
              </w:rPr>
              <w:t>Adoptarea</w:t>
            </w:r>
            <w:proofErr w:type="spellEnd"/>
            <w:r>
              <w:rPr>
                <w:bCs/>
              </w:rPr>
              <w:t xml:space="preserve"> </w:t>
            </w:r>
            <w:proofErr w:type="spellStart"/>
            <w:r>
              <w:rPr>
                <w:bCs/>
              </w:rPr>
              <w:t>proiectului</w:t>
            </w:r>
            <w:proofErr w:type="spellEnd"/>
            <w:r>
              <w:rPr>
                <w:bCs/>
              </w:rPr>
              <w:t xml:space="preserve"> de </w:t>
            </w:r>
            <w:proofErr w:type="spellStart"/>
            <w:r>
              <w:rPr>
                <w:bCs/>
              </w:rPr>
              <w:t>Hotărâre</w:t>
            </w:r>
            <w:proofErr w:type="spellEnd"/>
            <w:r>
              <w:rPr>
                <w:bCs/>
              </w:rPr>
              <w:t xml:space="preserve"> nu </w:t>
            </w:r>
            <w:proofErr w:type="spellStart"/>
            <w:r>
              <w:rPr>
                <w:bCs/>
              </w:rPr>
              <w:t>va</w:t>
            </w:r>
            <w:proofErr w:type="spellEnd"/>
            <w:r>
              <w:rPr>
                <w:bCs/>
              </w:rPr>
              <w:t xml:space="preserve"> </w:t>
            </w:r>
            <w:proofErr w:type="spellStart"/>
            <w:r>
              <w:rPr>
                <w:bCs/>
              </w:rPr>
              <w:t>implica</w:t>
            </w:r>
            <w:proofErr w:type="spellEnd"/>
            <w:r>
              <w:rPr>
                <w:bCs/>
              </w:rPr>
              <w:t xml:space="preserve"> </w:t>
            </w:r>
            <w:proofErr w:type="spellStart"/>
            <w:r>
              <w:rPr>
                <w:bCs/>
              </w:rPr>
              <w:t>cheltuieli</w:t>
            </w:r>
            <w:proofErr w:type="spellEnd"/>
            <w:r>
              <w:rPr>
                <w:bCs/>
              </w:rPr>
              <w:t xml:space="preserve"> </w:t>
            </w:r>
            <w:proofErr w:type="spellStart"/>
            <w:r>
              <w:rPr>
                <w:bCs/>
              </w:rPr>
              <w:t>financiare</w:t>
            </w:r>
            <w:proofErr w:type="spellEnd"/>
            <w:r>
              <w:rPr>
                <w:bCs/>
              </w:rPr>
              <w:t xml:space="preserve"> </w:t>
            </w:r>
            <w:proofErr w:type="spellStart"/>
            <w:r>
              <w:rPr>
                <w:bCs/>
              </w:rPr>
              <w:t>suplimentare</w:t>
            </w:r>
            <w:proofErr w:type="spellEnd"/>
            <w:r>
              <w:rPr>
                <w:bCs/>
              </w:rPr>
              <w:t xml:space="preserve"> </w:t>
            </w:r>
            <w:proofErr w:type="spellStart"/>
            <w:r>
              <w:rPr>
                <w:bCs/>
              </w:rPr>
              <w:t>asupra</w:t>
            </w:r>
            <w:proofErr w:type="spellEnd"/>
            <w:r>
              <w:rPr>
                <w:bCs/>
              </w:rPr>
              <w:t xml:space="preserve"> </w:t>
            </w:r>
            <w:proofErr w:type="spellStart"/>
            <w:r>
              <w:rPr>
                <w:bCs/>
              </w:rPr>
              <w:t>bugetului</w:t>
            </w:r>
            <w:proofErr w:type="spellEnd"/>
            <w:r>
              <w:rPr>
                <w:bCs/>
              </w:rPr>
              <w:t xml:space="preserve"> public </w:t>
            </w:r>
            <w:proofErr w:type="spellStart"/>
            <w:r>
              <w:rPr>
                <w:bCs/>
              </w:rPr>
              <w:t>național</w:t>
            </w:r>
            <w:proofErr w:type="spellEnd"/>
            <w:r>
              <w:rPr>
                <w:bCs/>
              </w:rPr>
              <w:t>.</w:t>
            </w:r>
            <w:r>
              <w:t xml:space="preserve"> </w:t>
            </w:r>
          </w:p>
        </w:tc>
      </w:tr>
      <w:tr w:rsidR="00DC5E93" w:rsidRPr="00DC5E93" w:rsidTr="00DC5E93">
        <w:tc>
          <w:tcPr>
            <w:tcW w:w="5000" w:type="pct"/>
            <w:shd w:val="clear" w:color="auto" w:fill="D9D9D9"/>
            <w:hideMark/>
          </w:tcPr>
          <w:p w:rsidR="00DC5E93" w:rsidRDefault="00DC5E93" w:rsidP="000E2436">
            <w:pPr>
              <w:numPr>
                <w:ilvl w:val="0"/>
                <w:numId w:val="1"/>
              </w:numPr>
              <w:tabs>
                <w:tab w:val="left" w:pos="884"/>
              </w:tabs>
              <w:spacing w:after="120" w:line="256" w:lineRule="auto"/>
              <w:ind w:left="0" w:right="119" w:firstLine="890"/>
              <w:contextualSpacing/>
              <w:jc w:val="both"/>
              <w:rPr>
                <w:rFonts w:eastAsia="Calibri"/>
                <w:b/>
                <w:lang w:val="ro-MD"/>
              </w:rPr>
            </w:pPr>
            <w:r>
              <w:rPr>
                <w:rFonts w:eastAsia="Calibri"/>
                <w:b/>
                <w:lang w:val="ro-MD"/>
              </w:rPr>
              <w:t>Avizarea și consultarea publică a proiectului</w:t>
            </w:r>
          </w:p>
        </w:tc>
      </w:tr>
      <w:tr w:rsidR="00DC5E93" w:rsidRPr="00DC5E93" w:rsidTr="00DC5E93">
        <w:tc>
          <w:tcPr>
            <w:tcW w:w="5000" w:type="pct"/>
          </w:tcPr>
          <w:p w:rsidR="00DC5E93" w:rsidRDefault="00DC5E93">
            <w:pPr>
              <w:tabs>
                <w:tab w:val="left" w:pos="884"/>
              </w:tabs>
              <w:spacing w:line="276" w:lineRule="auto"/>
              <w:ind w:right="119"/>
              <w:jc w:val="both"/>
              <w:rPr>
                <w:rFonts w:eastAsia="Calibri"/>
                <w:bCs/>
              </w:rPr>
            </w:pPr>
            <w:r>
              <w:rPr>
                <w:color w:val="000000"/>
                <w:shd w:val="clear" w:color="auto" w:fill="FFFFFF"/>
                <w:lang w:val="ro-MD"/>
              </w:rPr>
              <w:t xml:space="preserve">              În conformitate cu prevederile Legii nr. 239 din 13 </w:t>
            </w:r>
            <w:r>
              <w:rPr>
                <w:color w:val="005A95"/>
                <w:shd w:val="clear" w:color="auto" w:fill="FFFFFF"/>
                <w:lang w:val="ro-MD"/>
              </w:rPr>
              <w:t xml:space="preserve">noiembrie </w:t>
            </w:r>
            <w:r>
              <w:rPr>
                <w:color w:val="000000"/>
                <w:shd w:val="clear" w:color="auto" w:fill="FFFFFF"/>
                <w:lang w:val="ro-MD"/>
              </w:rPr>
              <w:t xml:space="preserve">2008 privind transparența în procesul decizional, proiectul </w:t>
            </w:r>
            <w:proofErr w:type="spellStart"/>
            <w:r>
              <w:rPr>
                <w:color w:val="000000"/>
                <w:shd w:val="clear" w:color="auto" w:fill="FFFFFF"/>
                <w:lang w:val="ro-MD"/>
              </w:rPr>
              <w:t>hotărîrii</w:t>
            </w:r>
            <w:proofErr w:type="spellEnd"/>
            <w:r>
              <w:rPr>
                <w:color w:val="000000"/>
                <w:shd w:val="clear" w:color="auto" w:fill="FFFFFF"/>
                <w:lang w:val="ro-MD"/>
              </w:rPr>
              <w:t xml:space="preserve"> de Guvern este plasat pe pagina web a ministerului, la compartimentul „Transparența decizională”, „Procesul decizional” (</w:t>
            </w:r>
            <w:hyperlink r:id="rId5" w:tgtFrame="_blank" w:history="1">
              <w:r>
                <w:rPr>
                  <w:rStyle w:val="Hyperlink"/>
                  <w:shd w:val="clear" w:color="auto" w:fill="FFFFFF"/>
                  <w:lang w:val="ro-MD"/>
                </w:rPr>
                <w:t>www.mf.gov.md</w:t>
              </w:r>
            </w:hyperlink>
            <w:r>
              <w:rPr>
                <w:color w:val="000000"/>
                <w:shd w:val="clear" w:color="auto" w:fill="FFFFFF"/>
                <w:lang w:val="ro-MD"/>
              </w:rPr>
              <w:t>), pentru avizare și consultare publică.</w:t>
            </w:r>
          </w:p>
          <w:p w:rsidR="00DC5E93" w:rsidRDefault="00DC5E93">
            <w:pPr>
              <w:tabs>
                <w:tab w:val="left" w:pos="884"/>
              </w:tabs>
              <w:spacing w:line="276" w:lineRule="auto"/>
              <w:ind w:right="119" w:firstLine="890"/>
              <w:jc w:val="both"/>
            </w:pPr>
          </w:p>
        </w:tc>
      </w:tr>
      <w:tr w:rsidR="00DC5E93" w:rsidRPr="00DC5E93" w:rsidTr="00DC5E93">
        <w:tc>
          <w:tcPr>
            <w:tcW w:w="5000" w:type="pct"/>
          </w:tcPr>
          <w:p w:rsidR="00DC5E93" w:rsidRDefault="00DC5E93">
            <w:pPr>
              <w:tabs>
                <w:tab w:val="left" w:pos="884"/>
              </w:tabs>
              <w:spacing w:line="276" w:lineRule="auto"/>
              <w:ind w:right="119"/>
              <w:jc w:val="both"/>
              <w:rPr>
                <w:color w:val="000000"/>
                <w:shd w:val="clear" w:color="auto" w:fill="FFFFFF"/>
                <w:lang w:val="ro-MD"/>
              </w:rPr>
            </w:pPr>
          </w:p>
        </w:tc>
      </w:tr>
      <w:tr w:rsidR="00DC5E93" w:rsidRPr="00DC5E93" w:rsidTr="00DC5E93">
        <w:tc>
          <w:tcPr>
            <w:tcW w:w="5000" w:type="pct"/>
            <w:hideMark/>
          </w:tcPr>
          <w:p w:rsidR="00DC5E93" w:rsidRDefault="00DC5E93">
            <w:pPr>
              <w:tabs>
                <w:tab w:val="left" w:pos="884"/>
              </w:tabs>
              <w:spacing w:line="276" w:lineRule="auto"/>
              <w:ind w:right="119"/>
              <w:jc w:val="both"/>
              <w:rPr>
                <w:color w:val="000000"/>
                <w:shd w:val="clear" w:color="auto" w:fill="FFFFFF"/>
                <w:lang w:val="ro-MD"/>
              </w:rPr>
            </w:pPr>
            <w:r>
              <w:rPr>
                <w:color w:val="000000"/>
                <w:shd w:val="clear" w:color="auto" w:fill="FFFFFF"/>
                <w:lang w:val="ro-MD"/>
              </w:rPr>
              <w:t xml:space="preserve"> </w:t>
            </w:r>
          </w:p>
        </w:tc>
      </w:tr>
    </w:tbl>
    <w:p w:rsidR="00DC5E93" w:rsidRDefault="00DC5E93" w:rsidP="00DC5E93">
      <w:pPr>
        <w:ind w:right="119"/>
        <w:jc w:val="both"/>
        <w:rPr>
          <w:rFonts w:eastAsiaTheme="minorHAnsi"/>
          <w:b/>
          <w:lang w:val="ro-MD"/>
        </w:rPr>
      </w:pPr>
      <w:r>
        <w:rPr>
          <w:rFonts w:eastAsiaTheme="minorHAnsi"/>
          <w:lang w:val="ro-MD"/>
        </w:rPr>
        <w:tab/>
      </w:r>
      <w:r>
        <w:rPr>
          <w:rFonts w:eastAsiaTheme="minorHAnsi"/>
          <w:lang w:val="ro-MD"/>
        </w:rPr>
        <w:tab/>
      </w:r>
    </w:p>
    <w:p w:rsidR="00DC5E93" w:rsidRDefault="00DC5E93" w:rsidP="00DC5E93">
      <w:pPr>
        <w:ind w:right="119"/>
        <w:jc w:val="both"/>
        <w:rPr>
          <w:rFonts w:eastAsiaTheme="minorHAnsi"/>
          <w:b/>
          <w:lang w:val="ro-MD"/>
        </w:rPr>
      </w:pPr>
    </w:p>
    <w:p w:rsidR="00DC5E93" w:rsidRDefault="00DC5E93" w:rsidP="00DC5E93">
      <w:pPr>
        <w:ind w:right="119"/>
        <w:jc w:val="center"/>
        <w:rPr>
          <w:rFonts w:eastAsiaTheme="minorHAnsi"/>
          <w:b/>
          <w:lang w:val="ro-MD"/>
        </w:rPr>
      </w:pPr>
      <w:r>
        <w:rPr>
          <w:rFonts w:eastAsiaTheme="minorHAnsi"/>
          <w:b/>
          <w:lang w:val="ro-MD"/>
        </w:rPr>
        <w:t>MINISTRU                                                      Octavian ARMAȘU</w:t>
      </w:r>
    </w:p>
    <w:p w:rsidR="00DC5E93" w:rsidRDefault="00DC5E93" w:rsidP="00DC5E93">
      <w:pPr>
        <w:spacing w:line="276" w:lineRule="auto"/>
        <w:ind w:right="119"/>
        <w:jc w:val="both"/>
        <w:rPr>
          <w:lang w:val="ro-RO"/>
        </w:rPr>
      </w:pPr>
    </w:p>
    <w:p w:rsidR="00B313BC" w:rsidRDefault="00B313BC">
      <w:bookmarkStart w:id="0" w:name="_GoBack"/>
      <w:bookmarkEnd w:id="0"/>
    </w:p>
    <w:sectPr w:rsidR="00B31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44"/>
    <w:rsid w:val="00B313BC"/>
    <w:rsid w:val="00CA7A44"/>
    <w:rsid w:val="00DC5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4C4B-6277-4ADE-8720-AEF0DF30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E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DC5E93"/>
    <w:pPr>
      <w:spacing w:before="100" w:beforeAutospacing="1" w:after="100" w:afterAutospacing="1"/>
    </w:pPr>
  </w:style>
  <w:style w:type="character" w:styleId="Hyperlink">
    <w:name w:val="Hyperlink"/>
    <w:basedOn w:val="DefaultParagraphFont"/>
    <w:uiPriority w:val="99"/>
    <w:semiHidden/>
    <w:unhideWhenUsed/>
    <w:rsid w:val="00DC5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Mariana</dc:creator>
  <cp:keywords/>
  <dc:description/>
  <cp:lastModifiedBy>Rotaru Mariana</cp:lastModifiedBy>
  <cp:revision>2</cp:revision>
  <dcterms:created xsi:type="dcterms:W3CDTF">2018-07-04T08:08:00Z</dcterms:created>
  <dcterms:modified xsi:type="dcterms:W3CDTF">2018-07-04T08:08:00Z</dcterms:modified>
</cp:coreProperties>
</file>