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9" w:rsidRPr="00A5770A" w:rsidRDefault="002F1C49" w:rsidP="00447A12">
      <w:pPr>
        <w:spacing w:before="100" w:beforeAutospacing="1" w:after="100" w:afterAutospacing="1"/>
        <w:ind w:right="119"/>
        <w:jc w:val="right"/>
        <w:rPr>
          <w:b/>
          <w:i/>
          <w:u w:val="single"/>
          <w:lang w:val="ro-RO"/>
        </w:rPr>
      </w:pPr>
      <w:r w:rsidRPr="00A5770A">
        <w:rPr>
          <w:b/>
          <w:i/>
          <w:u w:val="single"/>
          <w:lang w:val="ro-RO"/>
        </w:rPr>
        <w:t>Proiect</w:t>
      </w:r>
    </w:p>
    <w:p w:rsidR="002F1C49" w:rsidRPr="00A5770A" w:rsidRDefault="002F1C49" w:rsidP="00447A12">
      <w:pPr>
        <w:ind w:right="119"/>
        <w:jc w:val="center"/>
        <w:rPr>
          <w:lang w:val="ro-RO"/>
        </w:rPr>
      </w:pPr>
      <w:r w:rsidRPr="00A5770A">
        <w:rPr>
          <w:noProof/>
          <w:lang w:val="ru-RU" w:eastAsia="ru-RU"/>
        </w:rPr>
        <w:drawing>
          <wp:inline distT="0" distB="0" distL="0" distR="0" wp14:anchorId="2C635DE1" wp14:editId="7B153D47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49" w:rsidRPr="00A5770A" w:rsidRDefault="002F1C49" w:rsidP="00447A12">
      <w:pPr>
        <w:ind w:right="119"/>
        <w:jc w:val="center"/>
        <w:rPr>
          <w:b/>
          <w:lang w:val="ro-RO"/>
        </w:rPr>
      </w:pPr>
      <w:r w:rsidRPr="00A5770A">
        <w:rPr>
          <w:b/>
          <w:lang w:val="ro-RO"/>
        </w:rPr>
        <w:t>GUVERNUL REPUBLICII MOLDOVA</w:t>
      </w:r>
    </w:p>
    <w:p w:rsidR="002F1C49" w:rsidRPr="00A5770A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A5770A">
        <w:rPr>
          <w:b/>
          <w:bCs/>
          <w:lang w:val="ro-RO"/>
        </w:rPr>
        <w:t xml:space="preserve">H O T Ă R Â R E </w:t>
      </w:r>
    </w:p>
    <w:p w:rsidR="002F1C49" w:rsidRPr="00A5770A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proofErr w:type="spellStart"/>
      <w:r w:rsidRPr="00A5770A">
        <w:rPr>
          <w:b/>
          <w:bCs/>
          <w:lang w:val="ro-RO"/>
        </w:rPr>
        <w:t>nr.__din</w:t>
      </w:r>
      <w:proofErr w:type="spellEnd"/>
      <w:r w:rsidRPr="00A5770A">
        <w:rPr>
          <w:b/>
          <w:bCs/>
          <w:lang w:val="ro-RO"/>
        </w:rPr>
        <w:t>_______________________</w:t>
      </w:r>
    </w:p>
    <w:p w:rsidR="00572F32" w:rsidRPr="00A5770A" w:rsidRDefault="00572F32" w:rsidP="00447A12">
      <w:pPr>
        <w:ind w:left="3540" w:right="119" w:firstLine="708"/>
        <w:rPr>
          <w:b/>
          <w:lang w:val="ro-RO"/>
        </w:rPr>
      </w:pPr>
      <w:r w:rsidRPr="00A5770A">
        <w:rPr>
          <w:b/>
          <w:lang w:val="ro-RO"/>
        </w:rPr>
        <w:t>Chișinău</w:t>
      </w:r>
    </w:p>
    <w:p w:rsidR="002F1C49" w:rsidRPr="00A5770A" w:rsidRDefault="002F1C49" w:rsidP="00B61BCF">
      <w:pPr>
        <w:ind w:left="3540" w:right="119" w:firstLine="708"/>
        <w:rPr>
          <w:b/>
          <w:lang w:val="ro-RO"/>
        </w:rPr>
      </w:pPr>
      <w:r w:rsidRPr="00A5770A"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BCF" w:rsidRDefault="002F1C49" w:rsidP="00C34C4C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  <w:r w:rsidRPr="00A5770A">
        <w:rPr>
          <w:b/>
          <w:lang w:val="ro-RO"/>
        </w:rPr>
        <w:t>cu privire la</w:t>
      </w:r>
      <w:r w:rsidR="00FD66BE" w:rsidRPr="00A5770A">
        <w:rPr>
          <w:b/>
          <w:lang w:val="ro-RO"/>
        </w:rPr>
        <w:t xml:space="preserve"> aprobarea </w:t>
      </w:r>
      <w:r w:rsidR="009B3A07" w:rsidRPr="00A5770A">
        <w:rPr>
          <w:b/>
          <w:lang w:val="ro-RO"/>
        </w:rPr>
        <w:t xml:space="preserve">modificărilor </w:t>
      </w:r>
      <w:r w:rsidR="00C7462D" w:rsidRPr="00A5770A">
        <w:rPr>
          <w:b/>
          <w:lang w:val="ro-RO"/>
        </w:rPr>
        <w:t>și</w:t>
      </w:r>
      <w:r w:rsidR="009B3A07" w:rsidRPr="00A5770A">
        <w:rPr>
          <w:b/>
          <w:lang w:val="ro-RO"/>
        </w:rPr>
        <w:t xml:space="preserve"> completărilor</w:t>
      </w:r>
      <w:r w:rsidR="00C7462D" w:rsidRPr="00A5770A">
        <w:rPr>
          <w:b/>
          <w:lang w:val="ro-RO"/>
        </w:rPr>
        <w:t xml:space="preserve"> </w:t>
      </w:r>
      <w:r w:rsidR="009B3A07" w:rsidRPr="00A5770A">
        <w:rPr>
          <w:b/>
          <w:lang w:val="ro-RO"/>
        </w:rPr>
        <w:t xml:space="preserve">ce se operează în </w:t>
      </w:r>
      <w:r w:rsidR="00C7462D" w:rsidRPr="00A5770A">
        <w:rPr>
          <w:b/>
          <w:lang w:val="ro-RO"/>
        </w:rPr>
        <w:t>Hotărârea</w:t>
      </w:r>
      <w:r w:rsidR="009B3A07" w:rsidRPr="00A5770A">
        <w:rPr>
          <w:b/>
          <w:lang w:val="ro-RO"/>
        </w:rPr>
        <w:t xml:space="preserve"> Guvernului</w:t>
      </w:r>
      <w:r w:rsidR="00FD66BE" w:rsidRPr="00A5770A">
        <w:rPr>
          <w:b/>
          <w:lang w:val="ro-RO"/>
        </w:rPr>
        <w:t xml:space="preserve"> </w:t>
      </w:r>
      <w:r w:rsidR="009B3A07" w:rsidRPr="00A5770A">
        <w:rPr>
          <w:b/>
          <w:lang w:val="ro-RO"/>
        </w:rPr>
        <w:t>nr.246 din 8 aprilie 2010</w:t>
      </w:r>
    </w:p>
    <w:p w:rsidR="00B7551B" w:rsidRPr="00A5770A" w:rsidRDefault="00B7551B" w:rsidP="00C34C4C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</w:p>
    <w:p w:rsidR="00012468" w:rsidRPr="006C4B76" w:rsidRDefault="00FD66BE" w:rsidP="006C4B76">
      <w:pPr>
        <w:pStyle w:val="NormalWeb"/>
        <w:spacing w:before="0" w:beforeAutospacing="0" w:after="0" w:afterAutospacing="0" w:line="276" w:lineRule="auto"/>
        <w:ind w:right="119" w:firstLine="708"/>
        <w:jc w:val="both"/>
        <w:rPr>
          <w:color w:val="000000" w:themeColor="text1"/>
          <w:lang w:val="ro-RO" w:eastAsia="en-US"/>
        </w:rPr>
      </w:pPr>
      <w:r w:rsidRPr="00A5770A">
        <w:rPr>
          <w:color w:val="000000" w:themeColor="text1"/>
          <w:lang w:val="ro-RO" w:eastAsia="en-US"/>
        </w:rPr>
        <w:t>Guvernul</w:t>
      </w:r>
      <w:r w:rsidR="006C4B76">
        <w:rPr>
          <w:color w:val="000000" w:themeColor="text1"/>
          <w:lang w:val="ro-RO" w:eastAsia="en-US"/>
        </w:rPr>
        <w:t xml:space="preserve"> </w:t>
      </w:r>
      <w:r w:rsidR="006C4B76">
        <w:rPr>
          <w:b/>
          <w:color w:val="000000" w:themeColor="text1"/>
          <w:lang w:val="ro-RO" w:eastAsia="en-US"/>
        </w:rPr>
        <w:t>HO</w:t>
      </w:r>
      <w:r w:rsidRPr="00A5770A">
        <w:rPr>
          <w:b/>
          <w:color w:val="000000" w:themeColor="text1"/>
          <w:lang w:val="ro-RO" w:eastAsia="en-US"/>
        </w:rPr>
        <w:t>TĂRĂȘTE:</w:t>
      </w:r>
    </w:p>
    <w:p w:rsidR="00273F72" w:rsidRPr="00A5770A" w:rsidRDefault="00510A99" w:rsidP="00B61BCF">
      <w:pPr>
        <w:pStyle w:val="NormalWeb"/>
        <w:spacing w:before="0" w:beforeAutospacing="0" w:after="0" w:afterAutospacing="0" w:line="276" w:lineRule="auto"/>
        <w:ind w:right="119" w:firstLine="567"/>
        <w:jc w:val="both"/>
        <w:rPr>
          <w:color w:val="0D0D0D" w:themeColor="text1" w:themeTint="F2"/>
          <w:lang w:val="ro-RO"/>
        </w:rPr>
      </w:pPr>
      <w:r w:rsidRPr="00A5770A">
        <w:rPr>
          <w:color w:val="0D0D0D" w:themeColor="text1" w:themeTint="F2"/>
          <w:lang w:val="ro-RO"/>
        </w:rPr>
        <w:t xml:space="preserve">Se aprobă modificările </w:t>
      </w:r>
      <w:r w:rsidR="00012468" w:rsidRPr="00A5770A">
        <w:rPr>
          <w:color w:val="0D0D0D" w:themeColor="text1" w:themeTint="F2"/>
          <w:lang w:val="ro-RO"/>
        </w:rPr>
        <w:t>și</w:t>
      </w:r>
      <w:r w:rsidRPr="00A5770A">
        <w:rPr>
          <w:color w:val="0D0D0D" w:themeColor="text1" w:themeTint="F2"/>
          <w:lang w:val="ro-RO"/>
        </w:rPr>
        <w:t xml:space="preserve"> completările ce se operează în </w:t>
      </w:r>
      <w:proofErr w:type="spellStart"/>
      <w:r w:rsidRPr="00A5770A">
        <w:rPr>
          <w:color w:val="0D0D0D" w:themeColor="text1" w:themeTint="F2"/>
          <w:lang w:val="ro-RO"/>
        </w:rPr>
        <w:t>Hotărîrea</w:t>
      </w:r>
      <w:proofErr w:type="spellEnd"/>
      <w:r w:rsidRPr="00A5770A">
        <w:rPr>
          <w:color w:val="0D0D0D" w:themeColor="text1" w:themeTint="F2"/>
          <w:lang w:val="ro-RO"/>
        </w:rPr>
        <w:t xml:space="preserve"> Guvernului </w:t>
      </w:r>
      <w:r w:rsidR="00F55C9D" w:rsidRPr="00A5770A">
        <w:rPr>
          <w:color w:val="0D0D0D" w:themeColor="text1" w:themeTint="F2"/>
          <w:lang w:val="ro-RO"/>
        </w:rPr>
        <w:t xml:space="preserve">nr.246 din 8 aprilie 2010 </w:t>
      </w:r>
      <w:r w:rsidR="00203397" w:rsidRPr="00560A0F">
        <w:rPr>
          <w:color w:val="0D0D0D" w:themeColor="text1" w:themeTint="F2"/>
          <w:lang w:val="ro-RO"/>
        </w:rPr>
        <w:t>„</w:t>
      </w:r>
      <w:r w:rsidR="00F55C9D" w:rsidRPr="00A5770A">
        <w:rPr>
          <w:color w:val="0D0D0D" w:themeColor="text1" w:themeTint="F2"/>
          <w:lang w:val="ro-RO"/>
        </w:rPr>
        <w:t xml:space="preserve">Cu privire la modul de aplicare a </w:t>
      </w:r>
      <w:proofErr w:type="spellStart"/>
      <w:r w:rsidR="00F55C9D" w:rsidRPr="00A5770A">
        <w:rPr>
          <w:color w:val="0D0D0D" w:themeColor="text1" w:themeTint="F2"/>
          <w:lang w:val="ro-RO"/>
        </w:rPr>
        <w:t>facilităţilor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fiscale </w:t>
      </w:r>
      <w:proofErr w:type="spellStart"/>
      <w:r w:rsidR="00F55C9D" w:rsidRPr="00A5770A">
        <w:rPr>
          <w:color w:val="0D0D0D" w:themeColor="text1" w:themeTint="F2"/>
          <w:lang w:val="ro-RO"/>
        </w:rPr>
        <w:t>şi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vamale aferente realizării proiectelor de </w:t>
      </w:r>
      <w:proofErr w:type="spellStart"/>
      <w:r w:rsidR="00F55C9D" w:rsidRPr="00A5770A">
        <w:rPr>
          <w:color w:val="0D0D0D" w:themeColor="text1" w:themeTint="F2"/>
          <w:lang w:val="ro-RO"/>
        </w:rPr>
        <w:t>asistenţă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tehnică </w:t>
      </w:r>
      <w:proofErr w:type="spellStart"/>
      <w:r w:rsidR="00F55C9D" w:rsidRPr="00A5770A">
        <w:rPr>
          <w:color w:val="0D0D0D" w:themeColor="text1" w:themeTint="F2"/>
          <w:lang w:val="ro-RO"/>
        </w:rPr>
        <w:t>şi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</w:t>
      </w:r>
      <w:proofErr w:type="spellStart"/>
      <w:r w:rsidR="00F55C9D" w:rsidRPr="00A5770A">
        <w:rPr>
          <w:color w:val="0D0D0D" w:themeColor="text1" w:themeTint="F2"/>
          <w:lang w:val="ro-RO"/>
        </w:rPr>
        <w:t>investiţională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în derulare, care cad sub </w:t>
      </w:r>
      <w:proofErr w:type="spellStart"/>
      <w:r w:rsidR="00F55C9D" w:rsidRPr="00A5770A">
        <w:rPr>
          <w:color w:val="0D0D0D" w:themeColor="text1" w:themeTint="F2"/>
          <w:lang w:val="ro-RO"/>
        </w:rPr>
        <w:t>incidenţa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tratatelor </w:t>
      </w:r>
      <w:proofErr w:type="spellStart"/>
      <w:r w:rsidR="00F55C9D" w:rsidRPr="00A5770A">
        <w:rPr>
          <w:color w:val="0D0D0D" w:themeColor="text1" w:themeTint="F2"/>
          <w:lang w:val="ro-RO"/>
        </w:rPr>
        <w:t>internaţionale</w:t>
      </w:r>
      <w:proofErr w:type="spellEnd"/>
      <w:r w:rsidR="00F55C9D" w:rsidRPr="00A5770A">
        <w:rPr>
          <w:color w:val="0D0D0D" w:themeColor="text1" w:themeTint="F2"/>
          <w:lang w:val="ro-RO"/>
        </w:rPr>
        <w:t xml:space="preserve"> la care Republica Moldova este parte” (Monitorul Oficial al Republicii Moldova, 2010, nr.52-53, art.308), după cum urmează:</w:t>
      </w:r>
    </w:p>
    <w:p w:rsidR="00961F29" w:rsidRPr="00961F29" w:rsidRDefault="00340FEC" w:rsidP="00961F29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99645C">
        <w:rPr>
          <w:bCs/>
          <w:lang w:val="ro-RO"/>
        </w:rPr>
        <w:t>La a</w:t>
      </w:r>
      <w:r w:rsidR="002F1C49" w:rsidRPr="0099645C">
        <w:rPr>
          <w:bCs/>
          <w:lang w:val="ro-RO"/>
        </w:rPr>
        <w:t>nexa nr.1</w:t>
      </w:r>
      <w:r w:rsidRPr="0099645C">
        <w:rPr>
          <w:color w:val="0D0D0D" w:themeColor="text1" w:themeTint="F2"/>
          <w:lang w:val="ro-RO"/>
        </w:rPr>
        <w:t>:</w:t>
      </w:r>
    </w:p>
    <w:p w:rsidR="003B49BD" w:rsidRPr="00B7551B" w:rsidRDefault="00C767E0" w:rsidP="00C7470C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3B49BD">
        <w:rPr>
          <w:color w:val="0D0D0D" w:themeColor="text1" w:themeTint="F2"/>
          <w:lang w:val="ro-RO"/>
        </w:rPr>
        <w:t>Sintagma din titlul capitolului X. „ONU-Înaltul Comisariat pentru Drepturile Omului (OHCHR)”, se substituie cu textul „Oficiul Înaltului Comisar ONU pentru Drepturile Omului (OHCHR)”. Totodată, poziția 91</w:t>
      </w:r>
      <w:r w:rsidR="00B7551B">
        <w:rPr>
          <w:color w:val="0D0D0D" w:themeColor="text1" w:themeTint="F2"/>
          <w:lang w:val="ro-RO"/>
        </w:rPr>
        <w:t xml:space="preserve"> </w:t>
      </w:r>
      <w:r w:rsidRPr="003B49BD">
        <w:rPr>
          <w:color w:val="0D0D0D" w:themeColor="text1" w:themeTint="F2"/>
          <w:lang w:val="ro-RO"/>
        </w:rPr>
        <w:t>va avea următorul cuprins</w:t>
      </w:r>
      <w:r w:rsidR="002025C5" w:rsidRPr="003B49BD">
        <w:rPr>
          <w:color w:val="0D0D0D" w:themeColor="text1" w:themeTint="F2"/>
          <w:lang w:val="ro-RO"/>
        </w:rPr>
        <w:t>:</w:t>
      </w:r>
    </w:p>
    <w:p w:rsidR="00B7551B" w:rsidRPr="00C7470C" w:rsidRDefault="00B7551B" w:rsidP="00B7551B">
      <w:pPr>
        <w:pStyle w:val="NormalWeb"/>
        <w:spacing w:before="0" w:beforeAutospacing="0" w:after="0" w:afterAutospacing="0" w:line="276" w:lineRule="auto"/>
        <w:ind w:left="720" w:right="119"/>
        <w:jc w:val="bot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456"/>
        <w:gridCol w:w="2199"/>
        <w:gridCol w:w="1841"/>
        <w:gridCol w:w="2127"/>
        <w:gridCol w:w="1558"/>
      </w:tblGrid>
      <w:tr w:rsidR="00763DEC" w:rsidRPr="00560A0F" w:rsidTr="00447A12">
        <w:trPr>
          <w:trHeight w:val="453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35084" w:rsidRDefault="00763DEC" w:rsidP="00447A12">
            <w:pPr>
              <w:spacing w:line="276" w:lineRule="auto"/>
              <w:ind w:right="119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560A0F">
              <w:rPr>
                <w:b/>
                <w:bCs/>
                <w:sz w:val="20"/>
                <w:szCs w:val="20"/>
                <w:lang w:val="ro-RO"/>
              </w:rPr>
              <w:t>Nr.</w:t>
            </w:r>
          </w:p>
          <w:p w:rsidR="00763DEC" w:rsidRPr="00560A0F" w:rsidRDefault="00763D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560A0F">
              <w:rPr>
                <w:b/>
                <w:bCs/>
                <w:sz w:val="20"/>
                <w:szCs w:val="20"/>
                <w:lang w:val="ro-RO"/>
              </w:rPr>
              <w:t>d/o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3DEC" w:rsidRPr="00560A0F" w:rsidRDefault="00763D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560A0F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3DEC" w:rsidRPr="00560A0F" w:rsidRDefault="00763D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560A0F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3DEC" w:rsidRPr="00560A0F" w:rsidRDefault="00763D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560A0F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3DEC" w:rsidRPr="00560A0F" w:rsidRDefault="00763D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560A0F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63DEC" w:rsidRPr="00560A0F" w:rsidRDefault="00763D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560A0F">
              <w:rPr>
                <w:b/>
                <w:sz w:val="20"/>
                <w:szCs w:val="20"/>
                <w:lang w:val="ro-RO"/>
              </w:rPr>
              <w:t>Baza legală</w:t>
            </w:r>
          </w:p>
        </w:tc>
      </w:tr>
      <w:tr w:rsidR="00203397" w:rsidRPr="0026509C" w:rsidTr="00447A12">
        <w:trPr>
          <w:trHeight w:val="271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3397" w:rsidRPr="00560A0F" w:rsidRDefault="00203397" w:rsidP="0069525E">
            <w:pPr>
              <w:ind w:right="119"/>
              <w:jc w:val="center"/>
              <w:rPr>
                <w:sz w:val="20"/>
                <w:szCs w:val="20"/>
                <w:lang w:val="ro-RO"/>
              </w:rPr>
            </w:pPr>
            <w:r w:rsidRPr="00560A0F">
              <w:rPr>
                <w:sz w:val="20"/>
                <w:szCs w:val="20"/>
                <w:lang w:val="ro-RO"/>
              </w:rPr>
              <w:t>91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3397" w:rsidRPr="00560A0F" w:rsidRDefault="00203397" w:rsidP="00045A8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560A0F">
              <w:rPr>
                <w:sz w:val="20"/>
                <w:szCs w:val="20"/>
                <w:lang w:val="ro-RO"/>
              </w:rPr>
              <w:t>872111594245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3397" w:rsidRPr="00560A0F" w:rsidRDefault="00203397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Planul anual de lucru pentru Coordonatorul Național în drepturile omului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3397" w:rsidRPr="00560A0F" w:rsidRDefault="00203397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Oficiul Înaltului Comisar ONU pentru Drepturile Omului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3397" w:rsidRPr="00560A0F" w:rsidRDefault="00203397" w:rsidP="00045A8A">
            <w:pPr>
              <w:ind w:right="119"/>
              <w:rPr>
                <w:color w:val="0D0D0D" w:themeColor="text1" w:themeTint="F2"/>
                <w:sz w:val="20"/>
                <w:szCs w:val="20"/>
                <w:lang w:val="ro-RO"/>
              </w:rPr>
            </w:pP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Cancelaria de Stat Consiliul pentru Prevenirea și Eliminarea Discriminării și Asigurarea Egalității Institutul </w:t>
            </w:r>
            <w:proofErr w:type="spellStart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Naţional</w:t>
            </w:r>
            <w:proofErr w:type="spellEnd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 al </w:t>
            </w:r>
            <w:proofErr w:type="spellStart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Justiţiei</w:t>
            </w:r>
            <w:proofErr w:type="spellEnd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 </w:t>
            </w:r>
          </w:p>
          <w:p w:rsidR="00203397" w:rsidRPr="00560A0F" w:rsidRDefault="00203397" w:rsidP="00045A8A">
            <w:pPr>
              <w:ind w:right="119"/>
              <w:rPr>
                <w:color w:val="0D0D0D" w:themeColor="text1" w:themeTint="F2"/>
                <w:sz w:val="20"/>
                <w:szCs w:val="20"/>
                <w:lang w:val="ro-RO"/>
              </w:rPr>
            </w:pP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Ministerul Justiției</w:t>
            </w:r>
          </w:p>
          <w:p w:rsidR="00203397" w:rsidRPr="00560A0F" w:rsidRDefault="00203397" w:rsidP="003534F0">
            <w:pPr>
              <w:ind w:right="119"/>
              <w:rPr>
                <w:sz w:val="20"/>
                <w:szCs w:val="20"/>
              </w:rPr>
            </w:pP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Ministerul </w:t>
            </w:r>
            <w:r>
              <w:rPr>
                <w:color w:val="0D0D0D" w:themeColor="text1" w:themeTint="F2"/>
                <w:sz w:val="20"/>
                <w:szCs w:val="20"/>
                <w:lang w:val="ro-RO"/>
              </w:rPr>
              <w:t>S</w:t>
            </w: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ănătății</w:t>
            </w:r>
            <w:r>
              <w:rPr>
                <w:color w:val="0D0D0D" w:themeColor="text1" w:themeTint="F2"/>
                <w:sz w:val="20"/>
                <w:szCs w:val="20"/>
                <w:lang w:val="ro-RO"/>
              </w:rPr>
              <w:t>, M</w:t>
            </w: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uncii </w:t>
            </w:r>
            <w:r>
              <w:rPr>
                <w:color w:val="0D0D0D" w:themeColor="text1" w:themeTint="F2"/>
                <w:sz w:val="20"/>
                <w:szCs w:val="20"/>
                <w:lang w:val="ro-RO"/>
              </w:rPr>
              <w:t>ș</w:t>
            </w: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i </w:t>
            </w:r>
            <w:r>
              <w:rPr>
                <w:color w:val="0D0D0D" w:themeColor="text1" w:themeTint="F2"/>
                <w:sz w:val="20"/>
                <w:szCs w:val="20"/>
                <w:lang w:val="ro-RO"/>
              </w:rPr>
              <w:t>P</w:t>
            </w:r>
            <w:r w:rsidR="0069525E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rotecției </w:t>
            </w:r>
            <w:r w:rsidR="003534F0">
              <w:rPr>
                <w:color w:val="0D0D0D" w:themeColor="text1" w:themeTint="F2"/>
                <w:sz w:val="20"/>
                <w:szCs w:val="20"/>
                <w:lang w:val="ro-RO"/>
              </w:rPr>
              <w:t>S</w:t>
            </w:r>
            <w:r w:rsidR="0069525E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ociale 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3397" w:rsidRPr="0026509C" w:rsidRDefault="00203397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Acordul-tip de </w:t>
            </w:r>
            <w:proofErr w:type="spellStart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asistenţă</w:t>
            </w:r>
            <w:proofErr w:type="spellEnd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 tehnică dintre Guvernul Republicii Moldova </w:t>
            </w:r>
            <w:proofErr w:type="spellStart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şi</w:t>
            </w:r>
            <w:proofErr w:type="spellEnd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 Programul </w:t>
            </w:r>
            <w:proofErr w:type="spellStart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>Naţiunilor</w:t>
            </w:r>
            <w:proofErr w:type="spellEnd"/>
            <w:r w:rsidRPr="00560A0F">
              <w:rPr>
                <w:color w:val="0D0D0D" w:themeColor="text1" w:themeTint="F2"/>
                <w:sz w:val="20"/>
                <w:szCs w:val="20"/>
                <w:lang w:val="ro-RO"/>
              </w:rPr>
              <w:t xml:space="preserve"> Unite pentru Dezvoltare, semnat la 2 octombrie 1992</w:t>
            </w:r>
          </w:p>
        </w:tc>
      </w:tr>
    </w:tbl>
    <w:p w:rsidR="00B7551B" w:rsidRPr="003C58DD" w:rsidRDefault="00941691" w:rsidP="00A1192C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3C58DD">
        <w:rPr>
          <w:lang w:val="ro-RO"/>
        </w:rPr>
        <w:t>Capitolul III Republica Federală Germania,</w:t>
      </w:r>
      <w:r w:rsidRPr="003C58DD">
        <w:rPr>
          <w:color w:val="0D0D0D" w:themeColor="text1" w:themeTint="F2"/>
          <w:lang w:val="ro-RO"/>
        </w:rPr>
        <w:t xml:space="preserve"> se completează cu poziția </w:t>
      </w:r>
      <w:r w:rsidR="004C5215" w:rsidRPr="003C58DD">
        <w:rPr>
          <w:color w:val="0D0D0D" w:themeColor="text1" w:themeTint="F2"/>
          <w:lang w:val="ro-RO"/>
        </w:rPr>
        <w:t>41</w:t>
      </w:r>
      <w:r w:rsidR="004C5215" w:rsidRPr="003C58DD">
        <w:rPr>
          <w:color w:val="0D0D0D" w:themeColor="text1" w:themeTint="F2"/>
          <w:vertAlign w:val="superscript"/>
          <w:lang w:val="ro-RO"/>
        </w:rPr>
        <w:t>8</w:t>
      </w:r>
      <w:r w:rsidRPr="003C58DD">
        <w:rPr>
          <w:color w:val="0D0D0D" w:themeColor="text1" w:themeTint="F2"/>
          <w:lang w:val="ro-RO"/>
        </w:rPr>
        <w:t>, cu</w:t>
      </w:r>
      <w:r w:rsidRPr="003C58DD">
        <w:rPr>
          <w:lang w:val="ro-RO"/>
        </w:rPr>
        <w:t xml:space="preserve"> următorul cuprins</w:t>
      </w:r>
      <w:r w:rsidRPr="003C58DD">
        <w:rPr>
          <w:lang w:val="en-US"/>
        </w:rPr>
        <w:t>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509"/>
        <w:gridCol w:w="2391"/>
        <w:gridCol w:w="1771"/>
        <w:gridCol w:w="1667"/>
        <w:gridCol w:w="1855"/>
      </w:tblGrid>
      <w:tr w:rsidR="00FC1BEC" w:rsidRPr="00CE2E4F" w:rsidTr="006C4B76">
        <w:trPr>
          <w:trHeight w:val="5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97F77">
              <w:rPr>
                <w:b/>
                <w:bCs/>
                <w:sz w:val="20"/>
                <w:szCs w:val="20"/>
                <w:lang w:val="ro-RO"/>
              </w:rPr>
              <w:t>Nr.</w:t>
            </w:r>
            <w:r w:rsidR="00997F77" w:rsidRPr="00997F77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997F77">
              <w:rPr>
                <w:b/>
                <w:bCs/>
                <w:sz w:val="20"/>
                <w:szCs w:val="20"/>
                <w:lang w:val="ro-RO"/>
              </w:rPr>
              <w:t>d/o</w:t>
            </w:r>
            <w:r w:rsidR="00997F77" w:rsidRPr="00997F77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97F77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97F77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97F77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97F77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97F77">
              <w:rPr>
                <w:b/>
                <w:sz w:val="20"/>
                <w:szCs w:val="20"/>
                <w:lang w:val="ro-RO"/>
              </w:rPr>
              <w:t>Baza legală</w:t>
            </w:r>
          </w:p>
          <w:p w:rsidR="00FC1BEC" w:rsidRPr="00997F77" w:rsidRDefault="00FC1BE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6C4B76" w:rsidRPr="009D45AB" w:rsidTr="006C4B76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C4B76" w:rsidRPr="0026509C" w:rsidRDefault="006C4B76" w:rsidP="006C4B76">
            <w:pPr>
              <w:ind w:right="119"/>
              <w:jc w:val="both"/>
              <w:rPr>
                <w:sz w:val="20"/>
                <w:szCs w:val="20"/>
                <w:vertAlign w:val="superscript"/>
                <w:lang w:val="ro-RO"/>
              </w:rPr>
            </w:pPr>
            <w:r w:rsidRPr="0026509C">
              <w:rPr>
                <w:sz w:val="20"/>
                <w:szCs w:val="20"/>
                <w:lang w:val="ro-RO"/>
              </w:rPr>
              <w:t>41</w:t>
            </w:r>
            <w:r w:rsidRPr="0026509C">
              <w:rPr>
                <w:sz w:val="20"/>
                <w:szCs w:val="20"/>
                <w:vertAlign w:val="superscript"/>
                <w:lang w:val="ro-RO"/>
              </w:rPr>
              <w:t>8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C4B76" w:rsidRPr="0026509C" w:rsidRDefault="006C4B76" w:rsidP="006C4B76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26509C">
              <w:rPr>
                <w:sz w:val="20"/>
                <w:szCs w:val="20"/>
                <w:lang w:val="ro-RO"/>
              </w:rPr>
              <w:t>8721149010730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C4B76" w:rsidRPr="0026509C" w:rsidRDefault="006C4B76" w:rsidP="006C4B76">
            <w:pPr>
              <w:ind w:right="119"/>
              <w:rPr>
                <w:sz w:val="20"/>
                <w:szCs w:val="20"/>
                <w:lang w:val="ro-RO"/>
              </w:rPr>
            </w:pPr>
            <w:r w:rsidRPr="0026509C">
              <w:rPr>
                <w:sz w:val="20"/>
                <w:szCs w:val="20"/>
                <w:lang w:val="ro-RO"/>
              </w:rPr>
              <w:t>Rețea rurală transfrontalieră pentru un mediu ambiant curat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C4B76" w:rsidRPr="0026509C" w:rsidRDefault="006C4B76" w:rsidP="006C4B76">
            <w:pPr>
              <w:ind w:right="119"/>
              <w:rPr>
                <w:sz w:val="20"/>
                <w:szCs w:val="20"/>
                <w:lang w:val="ro-RO"/>
              </w:rPr>
            </w:pPr>
            <w:r w:rsidRPr="0026509C">
              <w:rPr>
                <w:sz w:val="20"/>
                <w:szCs w:val="20"/>
                <w:lang w:val="ro-RO"/>
              </w:rPr>
              <w:t>Primăria</w:t>
            </w:r>
            <w:r>
              <w:rPr>
                <w:sz w:val="20"/>
                <w:szCs w:val="20"/>
                <w:lang w:val="ro-RO"/>
              </w:rPr>
              <w:t xml:space="preserve"> satului</w:t>
            </w:r>
            <w:r w:rsidRPr="0026509C">
              <w:rPr>
                <w:sz w:val="20"/>
                <w:szCs w:val="20"/>
                <w:lang w:val="ro-RO"/>
              </w:rPr>
              <w:t xml:space="preserve"> Cărpineni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C4B76" w:rsidRPr="0026509C" w:rsidRDefault="006C4B76" w:rsidP="006C4B76">
            <w:pPr>
              <w:ind w:right="119"/>
              <w:rPr>
                <w:sz w:val="20"/>
                <w:szCs w:val="20"/>
                <w:lang w:val="ro-RO"/>
              </w:rPr>
            </w:pPr>
            <w:r w:rsidRPr="0026509C">
              <w:rPr>
                <w:sz w:val="20"/>
                <w:szCs w:val="20"/>
                <w:lang w:val="ro-RO"/>
              </w:rPr>
              <w:t>Primăria</w:t>
            </w:r>
            <w:r>
              <w:rPr>
                <w:sz w:val="20"/>
                <w:szCs w:val="20"/>
                <w:lang w:val="ro-RO"/>
              </w:rPr>
              <w:t xml:space="preserve"> satului</w:t>
            </w:r>
            <w:r w:rsidRPr="0026509C">
              <w:rPr>
                <w:sz w:val="20"/>
                <w:szCs w:val="20"/>
                <w:lang w:val="ro-RO"/>
              </w:rPr>
              <w:t xml:space="preserve"> Cărpineni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C4B76" w:rsidRPr="0026509C" w:rsidRDefault="006C4B76" w:rsidP="006C4B76">
            <w:pPr>
              <w:ind w:right="119"/>
              <w:rPr>
                <w:sz w:val="20"/>
                <w:szCs w:val="20"/>
                <w:lang w:val="ro-RO"/>
              </w:rPr>
            </w:pPr>
            <w:r w:rsidRPr="0026509C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26509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6509C">
              <w:rPr>
                <w:sz w:val="20"/>
                <w:szCs w:val="20"/>
                <w:lang w:val="ro-RO"/>
              </w:rPr>
              <w:t xml:space="preserve"> Guvernul Republicii Federale Germania privind cooperarea pentru dezvoltare, semnat la 10 iulie 2014 la Berlin </w:t>
            </w:r>
            <w:proofErr w:type="spellStart"/>
            <w:r w:rsidRPr="0026509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6509C">
              <w:rPr>
                <w:sz w:val="20"/>
                <w:szCs w:val="20"/>
                <w:lang w:val="ro-RO"/>
              </w:rPr>
              <w:t xml:space="preserve"> ratificat prin Legea nr.58 din 9 aprilie 2015</w:t>
            </w:r>
          </w:p>
        </w:tc>
      </w:tr>
    </w:tbl>
    <w:p w:rsidR="009D45AB" w:rsidRPr="009D45AB" w:rsidRDefault="00C9496C" w:rsidP="00447A12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9D45AB">
        <w:rPr>
          <w:color w:val="0D0D0D" w:themeColor="text1" w:themeTint="F2"/>
          <w:lang w:val="ro-RO"/>
        </w:rPr>
        <w:lastRenderedPageBreak/>
        <w:t xml:space="preserve">Capitolul XIII ONU-Organizația Mondială a </w:t>
      </w:r>
      <w:r w:rsidR="00B6051F" w:rsidRPr="009D45AB">
        <w:rPr>
          <w:color w:val="0D0D0D" w:themeColor="text1" w:themeTint="F2"/>
          <w:lang w:val="ro-RO"/>
        </w:rPr>
        <w:t>Sănătății</w:t>
      </w:r>
      <w:r w:rsidR="00C271C8">
        <w:rPr>
          <w:color w:val="0D0D0D" w:themeColor="text1" w:themeTint="F2"/>
          <w:lang w:val="ro-RO"/>
        </w:rPr>
        <w:t xml:space="preserve"> (OMS)</w:t>
      </w:r>
      <w:r w:rsidR="00B6051F" w:rsidRPr="009D45AB">
        <w:rPr>
          <w:color w:val="0D0D0D" w:themeColor="text1" w:themeTint="F2"/>
          <w:lang w:val="ro-RO"/>
        </w:rPr>
        <w:t xml:space="preserve"> se completează cu</w:t>
      </w:r>
      <w:r w:rsidR="009D45AB">
        <w:rPr>
          <w:color w:val="0D0D0D" w:themeColor="text1" w:themeTint="F2"/>
          <w:lang w:val="ro-RO"/>
        </w:rPr>
        <w:t xml:space="preserve"> </w:t>
      </w:r>
      <w:r w:rsidRPr="009D45AB">
        <w:rPr>
          <w:color w:val="0D0D0D" w:themeColor="text1" w:themeTint="F2"/>
          <w:lang w:val="ro-RO"/>
        </w:rPr>
        <w:t>poziția 95</w:t>
      </w:r>
      <w:r w:rsidRPr="009D45AB">
        <w:rPr>
          <w:color w:val="0D0D0D" w:themeColor="text1" w:themeTint="F2"/>
          <w:vertAlign w:val="superscript"/>
          <w:lang w:val="ro-RO"/>
        </w:rPr>
        <w:t>1</w:t>
      </w:r>
      <w:r w:rsidRPr="009D45AB">
        <w:rPr>
          <w:color w:val="0D0D0D" w:themeColor="text1" w:themeTint="F2"/>
          <w:lang w:val="ro-RO"/>
        </w:rPr>
        <w:t>, cu</w:t>
      </w:r>
      <w:r w:rsidRPr="009D45AB">
        <w:rPr>
          <w:lang w:val="ro-RO"/>
        </w:rPr>
        <w:t xml:space="preserve"> următorul cuprins</w:t>
      </w:r>
      <w:r w:rsidRPr="009D45AB">
        <w:rPr>
          <w:lang w:val="en-US"/>
        </w:rPr>
        <w:t>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510"/>
        <w:gridCol w:w="2391"/>
        <w:gridCol w:w="1984"/>
        <w:gridCol w:w="1466"/>
        <w:gridCol w:w="1843"/>
      </w:tblGrid>
      <w:tr w:rsidR="00C9496C" w:rsidRPr="00A5770A" w:rsidTr="00045A8A">
        <w:trPr>
          <w:trHeight w:val="598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bCs/>
                <w:sz w:val="20"/>
                <w:szCs w:val="20"/>
                <w:lang w:val="ro-RO"/>
              </w:rPr>
              <w:t>Nr.</w:t>
            </w:r>
            <w:r w:rsidR="00997F77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9D45AB">
              <w:rPr>
                <w:b/>
                <w:bCs/>
                <w:sz w:val="20"/>
                <w:szCs w:val="20"/>
                <w:lang w:val="ro-RO"/>
              </w:rPr>
              <w:t>d/o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Baza legală</w:t>
            </w:r>
          </w:p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C9496C" w:rsidRPr="00A5770A" w:rsidTr="00045A8A">
        <w:trPr>
          <w:trHeight w:val="2333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95</w:t>
            </w:r>
            <w:r w:rsidRPr="009D45AB">
              <w:rPr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8721150610772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2018/2019 ACORDUL BIENAL de Colaborare (ABC) între Ministerul Sănătății, Muncii și Protecției Sociale al Republicii Moldova și Biroul Regional pentru Europa al Organizației Mondiale a Sănătății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Organizația Mondială a Sănătății</w:t>
            </w:r>
            <w:r w:rsidR="00C271C8">
              <w:rPr>
                <w:sz w:val="20"/>
                <w:szCs w:val="20"/>
                <w:lang w:val="ro-RO"/>
              </w:rPr>
              <w:t>(OMS)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spacing w:before="100" w:beforeAutospacing="1" w:after="100" w:afterAutospacing="1"/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Legea nr.36 din 3 martie 2011 pentru aderarea Republicii Moldova la Convenția Organizației Națiunilor Unite cu privire la privilegiile și imunitățile agențiilor specializate</w:t>
            </w:r>
          </w:p>
        </w:tc>
      </w:tr>
    </w:tbl>
    <w:p w:rsidR="00776977" w:rsidRPr="003B49BD" w:rsidRDefault="00203A1A" w:rsidP="00652CA6">
      <w:pPr>
        <w:pStyle w:val="tt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3B49BD">
        <w:rPr>
          <w:lang w:val="ro-RO"/>
        </w:rPr>
        <w:t>Capitolul XVII. SUA- Agenția S</w:t>
      </w:r>
      <w:r w:rsidR="00A5770A" w:rsidRPr="003B49BD">
        <w:rPr>
          <w:lang w:val="ro-RO"/>
        </w:rPr>
        <w:t xml:space="preserve">tatelor Unite pentru Dezvoltare </w:t>
      </w:r>
      <w:r w:rsidR="00203FAB" w:rsidRPr="003B49BD">
        <w:rPr>
          <w:lang w:val="ro-RO"/>
        </w:rPr>
        <w:t>Internațională</w:t>
      </w:r>
      <w:r w:rsidR="009D45AB" w:rsidRPr="003B49BD">
        <w:rPr>
          <w:lang w:val="ro-RO"/>
        </w:rPr>
        <w:t xml:space="preserve"> (USAID), </w:t>
      </w:r>
      <w:r w:rsidRPr="003B49BD">
        <w:rPr>
          <w:lang w:val="ro-RO"/>
        </w:rPr>
        <w:t>la poziția</w:t>
      </w:r>
      <w:r w:rsidR="00BF555B" w:rsidRPr="003B49BD">
        <w:rPr>
          <w:lang w:val="ro-RO"/>
        </w:rPr>
        <w:t xml:space="preserve"> </w:t>
      </w:r>
      <w:r w:rsidRPr="003B49BD">
        <w:rPr>
          <w:lang w:val="ro-RO"/>
        </w:rPr>
        <w:t xml:space="preserve">105, coloana </w:t>
      </w:r>
      <w:r w:rsidR="00203FAB" w:rsidRPr="003B49BD">
        <w:rPr>
          <w:lang w:val="ro-RO"/>
        </w:rPr>
        <w:t>4</w:t>
      </w:r>
      <w:r w:rsidR="0059669F" w:rsidRPr="003B49BD">
        <w:rPr>
          <w:lang w:val="ro-RO"/>
        </w:rPr>
        <w:t xml:space="preserve"> </w:t>
      </w:r>
      <w:r w:rsidRPr="003B49BD">
        <w:rPr>
          <w:lang w:val="ro-RO"/>
        </w:rPr>
        <w:t>„</w:t>
      </w:r>
      <w:r w:rsidR="00203FAB" w:rsidRPr="003B49BD">
        <w:rPr>
          <w:lang w:val="ro-RO"/>
        </w:rPr>
        <w:t>Instituții implementatoare</w:t>
      </w:r>
      <w:r w:rsidRPr="003B49BD">
        <w:rPr>
          <w:lang w:val="ro-RO"/>
        </w:rPr>
        <w:t>”, textul „</w:t>
      </w:r>
      <w:r w:rsidR="00203FAB" w:rsidRPr="003B49BD">
        <w:rPr>
          <w:lang w:val="ro-RO"/>
        </w:rPr>
        <w:t>Reprezentanța din Republica Moldova a Consiliului pentru cercetări și schimburi internaționale IREX</w:t>
      </w:r>
      <w:r w:rsidRPr="003B49BD">
        <w:rPr>
          <w:lang w:val="ro-RO"/>
        </w:rPr>
        <w:t>”, se substituie cu textul „</w:t>
      </w:r>
      <w:r w:rsidR="00203FAB" w:rsidRPr="003B49BD">
        <w:rPr>
          <w:lang w:val="ro-RO"/>
        </w:rPr>
        <w:t xml:space="preserve">Asociația Obștească Reprezentanța în </w:t>
      </w:r>
      <w:r w:rsidR="00BA0B78" w:rsidRPr="003B49BD">
        <w:rPr>
          <w:lang w:val="ro-RO"/>
        </w:rPr>
        <w:t>R</w:t>
      </w:r>
      <w:r w:rsidR="00203FAB" w:rsidRPr="003B49BD">
        <w:rPr>
          <w:lang w:val="ro-RO"/>
        </w:rPr>
        <w:t>epublica Moldova a Asociației IREX Europe</w:t>
      </w:r>
      <w:r w:rsidRPr="003B49BD">
        <w:rPr>
          <w:lang w:val="ro-RO"/>
        </w:rPr>
        <w:t>”</w:t>
      </w:r>
      <w:r w:rsidR="008B5905" w:rsidRPr="003B49BD">
        <w:rPr>
          <w:lang w:val="ro-RO"/>
        </w:rPr>
        <w:t>.</w:t>
      </w:r>
    </w:p>
    <w:p w:rsidR="00B61BCF" w:rsidRPr="009D45AB" w:rsidRDefault="00C9496C" w:rsidP="00171BC1">
      <w:pPr>
        <w:pStyle w:val="ListParagraph"/>
        <w:numPr>
          <w:ilvl w:val="0"/>
          <w:numId w:val="31"/>
        </w:numPr>
        <w:tabs>
          <w:tab w:val="left" w:pos="426"/>
        </w:tabs>
        <w:spacing w:line="276" w:lineRule="auto"/>
        <w:ind w:right="119"/>
        <w:jc w:val="both"/>
      </w:pPr>
      <w:r w:rsidRPr="00B61BCF">
        <w:rPr>
          <w:lang w:val="ro-RO"/>
        </w:rPr>
        <w:t>Capitolul XXII. Republica Turcia – Agenția Internațională Turcă de Cooperare (TIKA), se completează cu poziția 137</w:t>
      </w:r>
      <w:r w:rsidRPr="00B61BCF">
        <w:rPr>
          <w:vertAlign w:val="superscript"/>
          <w:lang w:val="ro-RO"/>
        </w:rPr>
        <w:t>10</w:t>
      </w:r>
      <w:r w:rsidRPr="00B61BCF">
        <w:rPr>
          <w:lang w:val="ro-RO"/>
        </w:rPr>
        <w:t>, cu următorul cuprins</w:t>
      </w:r>
      <w:r w:rsidRPr="009D45AB">
        <w:t>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509"/>
        <w:gridCol w:w="2343"/>
        <w:gridCol w:w="1665"/>
        <w:gridCol w:w="1526"/>
        <w:gridCol w:w="2092"/>
      </w:tblGrid>
      <w:tr w:rsidR="00C9496C" w:rsidRPr="00A5770A" w:rsidTr="00776977">
        <w:trPr>
          <w:trHeight w:val="546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97F77" w:rsidRDefault="00C9496C" w:rsidP="00447A12">
            <w:pPr>
              <w:spacing w:line="276" w:lineRule="auto"/>
              <w:ind w:right="119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D45AB">
              <w:rPr>
                <w:b/>
                <w:bCs/>
                <w:sz w:val="20"/>
                <w:szCs w:val="20"/>
                <w:lang w:val="ro-RO"/>
              </w:rPr>
              <w:t>Nr.</w:t>
            </w:r>
          </w:p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bCs/>
                <w:sz w:val="20"/>
                <w:szCs w:val="20"/>
                <w:lang w:val="ro-RO"/>
              </w:rPr>
              <w:t>d/o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9D45AB">
              <w:rPr>
                <w:b/>
                <w:sz w:val="20"/>
                <w:szCs w:val="20"/>
                <w:lang w:val="ro-RO"/>
              </w:rPr>
              <w:t>Baza legală</w:t>
            </w:r>
          </w:p>
          <w:p w:rsidR="00C9496C" w:rsidRPr="009D45AB" w:rsidRDefault="00C9496C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C9496C" w:rsidRPr="00A5770A" w:rsidTr="00776977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160A34" w:rsidP="00045A8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137</w:t>
            </w:r>
            <w:r w:rsidR="00C9496C" w:rsidRPr="009D45AB">
              <w:rPr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8721130110780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 xml:space="preserve">Construirea parcului central în satul Copceac, raionul </w:t>
            </w:r>
            <w:r w:rsidR="00997F77" w:rsidRPr="009D45AB">
              <w:rPr>
                <w:sz w:val="20"/>
                <w:szCs w:val="20"/>
                <w:lang w:val="ro-RO"/>
              </w:rPr>
              <w:t>Ceadâr</w:t>
            </w:r>
            <w:r w:rsidRPr="009D45AB">
              <w:rPr>
                <w:sz w:val="20"/>
                <w:szCs w:val="20"/>
                <w:lang w:val="ro-RO"/>
              </w:rPr>
              <w:t>-Lunga din UTA Găgăuzia.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6977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Agenția Turcă de Cooperare Internațională</w:t>
            </w:r>
          </w:p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 xml:space="preserve"> ( TIKA)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Primăria satului Copceac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9496C" w:rsidRPr="009D45AB" w:rsidRDefault="00C9496C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D45AB">
              <w:rPr>
                <w:sz w:val="20"/>
                <w:szCs w:val="20"/>
                <w:lang w:val="ro-RO"/>
              </w:rPr>
              <w:t>Protocolul de cooperare dintre Guvernul Republicii Moldova și Guvernul Republicii Turcia privind termenele și condițiile generale pentru dezvoltare, semnat la Chișinău la 2 aprilie 2015 și ratificat prin Legea nr.112 din 28 mai 2015</w:t>
            </w:r>
          </w:p>
        </w:tc>
      </w:tr>
    </w:tbl>
    <w:p w:rsidR="00160A34" w:rsidRPr="009C7D5E" w:rsidRDefault="00160A34" w:rsidP="00447A12">
      <w:pPr>
        <w:pStyle w:val="cn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9C7D5E">
        <w:rPr>
          <w:lang w:val="ro-RO" w:eastAsia="en-US"/>
        </w:rPr>
        <w:t>Capitolul XXXII. Comisia Europeană, la poziția 293</w:t>
      </w:r>
      <w:r w:rsidRPr="009C7D5E">
        <w:rPr>
          <w:vertAlign w:val="superscript"/>
          <w:lang w:val="ro-RO" w:eastAsia="en-US"/>
        </w:rPr>
        <w:t>63</w:t>
      </w:r>
      <w:r w:rsidRPr="009C7D5E">
        <w:rPr>
          <w:lang w:val="ro-RO" w:eastAsia="en-US"/>
        </w:rPr>
        <w:t>, coloana 3 „Denumirea proiectului”, textul „Iluminatul public eficient în orașul Călărași – Licuri în inima pădurilor”, se substituie cu textul „Iluminatul Public Eficient în orașul Călărași – Licurici în inima codrului”.</w:t>
      </w:r>
    </w:p>
    <w:p w:rsidR="00997F77" w:rsidRPr="00816364" w:rsidRDefault="00343F68" w:rsidP="00EB1EC9">
      <w:pPr>
        <w:pStyle w:val="tt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16364">
        <w:rPr>
          <w:lang w:val="ro-RO"/>
        </w:rPr>
        <w:t>Capitolul XXXII. Comisia Europeană, se completează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509"/>
        <w:gridCol w:w="2213"/>
        <w:gridCol w:w="1945"/>
        <w:gridCol w:w="1949"/>
        <w:gridCol w:w="1519"/>
      </w:tblGrid>
      <w:tr w:rsidR="00343F68" w:rsidRPr="00125543" w:rsidTr="00447A12">
        <w:trPr>
          <w:trHeight w:val="538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lang w:val="ro-RO"/>
              </w:rPr>
            </w:pPr>
            <w:r w:rsidRPr="00125543">
              <w:rPr>
                <w:b/>
                <w:bCs/>
                <w:lang w:val="ro-RO"/>
              </w:rPr>
              <w:t>Nr.</w:t>
            </w:r>
            <w:r w:rsidR="00997F77">
              <w:rPr>
                <w:b/>
                <w:bCs/>
                <w:lang w:val="ro-RO"/>
              </w:rPr>
              <w:t xml:space="preserve"> </w:t>
            </w:r>
            <w:r w:rsidRPr="00125543">
              <w:rPr>
                <w:b/>
                <w:bCs/>
                <w:lang w:val="ro-RO"/>
              </w:rPr>
              <w:t>d/o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125543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125543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125543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125543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125543">
              <w:rPr>
                <w:b/>
                <w:sz w:val="20"/>
                <w:szCs w:val="20"/>
                <w:lang w:val="ro-RO"/>
              </w:rPr>
              <w:t>Baza legală</w:t>
            </w:r>
          </w:p>
          <w:p w:rsidR="00343F68" w:rsidRPr="00125543" w:rsidRDefault="00343F68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343F68" w:rsidRPr="00A5770A" w:rsidTr="00447A12">
        <w:trPr>
          <w:trHeight w:val="2829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5F6FDB">
            <w:pPr>
              <w:ind w:right="119"/>
              <w:rPr>
                <w:lang w:val="ro-RO"/>
              </w:rPr>
            </w:pPr>
            <w:r w:rsidRPr="00125543">
              <w:rPr>
                <w:sz w:val="20"/>
                <w:szCs w:val="20"/>
                <w:lang w:val="ro-RO"/>
              </w:rPr>
              <w:t>293</w:t>
            </w:r>
            <w:r w:rsidRPr="00125543">
              <w:rPr>
                <w:sz w:val="20"/>
                <w:szCs w:val="20"/>
                <w:vertAlign w:val="superscript"/>
                <w:lang w:val="ro-RO"/>
              </w:rPr>
              <w:t>73</w:t>
            </w:r>
            <w:r w:rsidRPr="00125543">
              <w:rPr>
                <w:lang w:val="ro-RO"/>
              </w:rPr>
              <w:t xml:space="preserve">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045A8A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125543">
              <w:rPr>
                <w:bCs/>
                <w:color w:val="000000"/>
                <w:sz w:val="20"/>
                <w:szCs w:val="20"/>
                <w:shd w:val="clear" w:color="auto" w:fill="FFFFFF"/>
              </w:rPr>
              <w:t>8721154810723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125543">
              <w:rPr>
                <w:bCs/>
                <w:sz w:val="20"/>
                <w:szCs w:val="20"/>
                <w:lang w:val="ro-RO"/>
              </w:rPr>
              <w:t xml:space="preserve">Promovarea rolului voluntarilor și al cetățenilor în protecția civilă: </w:t>
            </w:r>
            <w:proofErr w:type="spellStart"/>
            <w:r w:rsidRPr="00125543">
              <w:rPr>
                <w:bCs/>
                <w:sz w:val="20"/>
                <w:szCs w:val="20"/>
                <w:lang w:val="ro-RO"/>
              </w:rPr>
              <w:t>ProVoice</w:t>
            </w:r>
            <w:proofErr w:type="spellEnd"/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125543">
              <w:rPr>
                <w:bCs/>
                <w:sz w:val="20"/>
                <w:szCs w:val="20"/>
                <w:lang w:val="ro-RO"/>
              </w:rPr>
              <w:t>Asociația Obștească ECOCONTACT, Moldova</w:t>
            </w:r>
          </w:p>
          <w:p w:rsidR="00003AC0" w:rsidRPr="00125543" w:rsidRDefault="00003AC0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  <w:p w:rsidR="00003AC0" w:rsidRPr="00125543" w:rsidRDefault="00003AC0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  <w:p w:rsidR="00003AC0" w:rsidRPr="00125543" w:rsidRDefault="00003AC0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045A8A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 w:right="119"/>
              <w:rPr>
                <w:bCs/>
                <w:sz w:val="20"/>
                <w:szCs w:val="20"/>
                <w:lang w:val="ro-RO"/>
              </w:rPr>
            </w:pPr>
            <w:r w:rsidRPr="00125543">
              <w:rPr>
                <w:bCs/>
                <w:sz w:val="20"/>
                <w:szCs w:val="20"/>
                <w:lang w:val="ro-RO"/>
              </w:rPr>
              <w:t>Inspectoratul General pentru Situații de Urgență</w:t>
            </w:r>
          </w:p>
          <w:p w:rsidR="00343F68" w:rsidRPr="00125543" w:rsidRDefault="00343F68" w:rsidP="00045A8A">
            <w:pPr>
              <w:ind w:right="119"/>
              <w:rPr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125543" w:rsidRDefault="00343F68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125543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125543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125543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125543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125543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125543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125543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125543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125543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</w:tc>
      </w:tr>
      <w:tr w:rsidR="00343F68" w:rsidRPr="00A5770A" w:rsidTr="00447A12">
        <w:trPr>
          <w:trHeight w:val="3003"/>
        </w:trPr>
        <w:tc>
          <w:tcPr>
            <w:tcW w:w="3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A5770A" w:rsidRDefault="00343F68" w:rsidP="00045A8A">
            <w:pPr>
              <w:ind w:right="119"/>
              <w:jc w:val="both"/>
              <w:rPr>
                <w:lang w:val="ro-RO"/>
              </w:rPr>
            </w:pPr>
            <w:r w:rsidRPr="00183B52">
              <w:rPr>
                <w:sz w:val="20"/>
                <w:szCs w:val="20"/>
                <w:lang w:val="ro-RO"/>
              </w:rPr>
              <w:lastRenderedPageBreak/>
              <w:t>293</w:t>
            </w:r>
            <w:r w:rsidRPr="00183B52">
              <w:rPr>
                <w:sz w:val="20"/>
                <w:szCs w:val="20"/>
                <w:vertAlign w:val="superscript"/>
                <w:lang w:val="ro-RO"/>
              </w:rPr>
              <w:t>74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9C7D5E" w:rsidRDefault="00343F68" w:rsidP="00045A8A">
            <w:pPr>
              <w:ind w:right="119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C7D5E">
              <w:rPr>
                <w:bCs/>
                <w:color w:val="000000"/>
                <w:sz w:val="20"/>
                <w:szCs w:val="20"/>
                <w:shd w:val="clear" w:color="auto" w:fill="FFFFFF"/>
              </w:rPr>
              <w:t>8721139010769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9C7D5E" w:rsidRDefault="00343F68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9C7D5E">
              <w:rPr>
                <w:bCs/>
                <w:sz w:val="20"/>
                <w:szCs w:val="20"/>
                <w:lang w:val="ro-RO"/>
              </w:rPr>
              <w:t>Asistență Tehnică pentru integrarea Unității Administrativ Teritoriale Găgăuzia în cadrul național pentru dezvoltare regional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9C7D5E" w:rsidRDefault="00DA3C99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DA3C99">
              <w:rPr>
                <w:bCs/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97F77" w:rsidRPr="00DA3C99" w:rsidRDefault="00997F77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DA3C99">
              <w:rPr>
                <w:bCs/>
                <w:sz w:val="20"/>
                <w:szCs w:val="20"/>
                <w:lang w:val="ro-RO"/>
              </w:rPr>
              <w:t>Comitetului Executiv al Unității Administrativ Teritoriale Găgăuzia din Republica Moldova</w:t>
            </w:r>
          </w:p>
          <w:p w:rsidR="00997F77" w:rsidRPr="00DA3C99" w:rsidRDefault="00997F77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DA3C99">
              <w:rPr>
                <w:bCs/>
                <w:sz w:val="20"/>
                <w:szCs w:val="20"/>
                <w:lang w:val="ro-RO"/>
              </w:rPr>
              <w:t>Adunarea Populară a Unității Administrativ Teritoriale Găgăuzia;</w:t>
            </w:r>
          </w:p>
          <w:p w:rsidR="00997F77" w:rsidRPr="00DA3C99" w:rsidRDefault="00997F77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DA3C99">
              <w:rPr>
                <w:bCs/>
                <w:sz w:val="20"/>
                <w:szCs w:val="20"/>
                <w:lang w:val="ro-RO"/>
              </w:rPr>
              <w:t>Agenția pentru Dezvoltare Regională a Unității Administrativ Teritoriale Găgăuzia</w:t>
            </w:r>
          </w:p>
          <w:p w:rsidR="00343F68" w:rsidRPr="009C7D5E" w:rsidRDefault="00343F68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F68" w:rsidRPr="009C7D5E" w:rsidRDefault="00343F68" w:rsidP="00045A8A">
            <w:pPr>
              <w:ind w:right="119"/>
              <w:rPr>
                <w:sz w:val="20"/>
                <w:szCs w:val="20"/>
                <w:lang w:val="ro-RO"/>
              </w:rPr>
            </w:pPr>
            <w:r w:rsidRPr="009C7D5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9C7D5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9C7D5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9C7D5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9C7D5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9C7D5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9C7D5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9C7D5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9C7D5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</w:tc>
      </w:tr>
    </w:tbl>
    <w:p w:rsidR="0083681E" w:rsidRPr="00C16A69" w:rsidRDefault="00F63B29" w:rsidP="00447A12">
      <w:pPr>
        <w:pStyle w:val="tt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C16A69">
        <w:rPr>
          <w:lang w:val="ro-RO"/>
        </w:rPr>
        <w:t>Capitolul XXXIII. Consiliul Europei se completează cu poziția 30</w:t>
      </w:r>
      <w:r w:rsidR="00F032EC" w:rsidRPr="00C16A69">
        <w:rPr>
          <w:lang w:val="ro-RO"/>
        </w:rPr>
        <w:t>1</w:t>
      </w:r>
      <w:r w:rsidR="00F032EC" w:rsidRPr="00C16A69">
        <w:rPr>
          <w:vertAlign w:val="superscript"/>
          <w:lang w:val="ro-RO"/>
        </w:rPr>
        <w:t>4</w:t>
      </w:r>
      <w:r w:rsidRPr="00C16A69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515"/>
        <w:gridCol w:w="2338"/>
        <w:gridCol w:w="1665"/>
        <w:gridCol w:w="2156"/>
        <w:gridCol w:w="1507"/>
      </w:tblGrid>
      <w:tr w:rsidR="00F63B29" w:rsidRPr="00C16A69" w:rsidTr="00447A12">
        <w:trPr>
          <w:trHeight w:val="508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16A69">
              <w:rPr>
                <w:b/>
                <w:bCs/>
                <w:sz w:val="20"/>
                <w:szCs w:val="20"/>
                <w:lang w:val="ro-RO"/>
              </w:rPr>
              <w:t>Nr.</w:t>
            </w:r>
            <w:r w:rsidR="00997F77" w:rsidRPr="00C16A69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C16A69">
              <w:rPr>
                <w:b/>
                <w:bCs/>
                <w:sz w:val="20"/>
                <w:szCs w:val="20"/>
                <w:lang w:val="ro-RO"/>
              </w:rPr>
              <w:t>d/o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16A69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16A69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16A69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16A69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16A69">
              <w:rPr>
                <w:b/>
                <w:sz w:val="20"/>
                <w:szCs w:val="20"/>
                <w:lang w:val="ro-RO"/>
              </w:rPr>
              <w:t>Baza legală</w:t>
            </w:r>
          </w:p>
          <w:p w:rsidR="00F63B29" w:rsidRPr="00C16A69" w:rsidRDefault="00F63B2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F63B29" w:rsidRPr="00A5770A" w:rsidTr="00447A12">
        <w:trPr>
          <w:trHeight w:val="2333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0417D2" w:rsidP="00045A8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16A69">
              <w:rPr>
                <w:sz w:val="20"/>
                <w:szCs w:val="20"/>
                <w:lang w:val="ro-RO"/>
              </w:rPr>
              <w:t>30</w:t>
            </w:r>
            <w:r w:rsidR="009B3A07" w:rsidRPr="00C16A69">
              <w:rPr>
                <w:sz w:val="20"/>
                <w:szCs w:val="20"/>
                <w:lang w:val="ro-RO"/>
              </w:rPr>
              <w:t>1</w:t>
            </w:r>
            <w:r w:rsidR="009B3A07" w:rsidRPr="00C16A69">
              <w:rPr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045A8A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C16A69">
              <w:rPr>
                <w:bCs/>
                <w:sz w:val="20"/>
                <w:szCs w:val="20"/>
                <w:lang w:val="ro-RO"/>
              </w:rPr>
              <w:t>8721153210743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16A69">
              <w:rPr>
                <w:bCs/>
                <w:sz w:val="20"/>
                <w:szCs w:val="20"/>
                <w:lang w:val="ro-RO"/>
              </w:rPr>
              <w:t xml:space="preserve">Promovarea unui sistem de </w:t>
            </w:r>
            <w:r w:rsidR="00411EE2" w:rsidRPr="00C16A69">
              <w:rPr>
                <w:bCs/>
                <w:sz w:val="20"/>
                <w:szCs w:val="20"/>
                <w:lang w:val="ro-RO"/>
              </w:rPr>
              <w:t>justiție</w:t>
            </w:r>
            <w:r w:rsidRPr="00C16A69">
              <w:rPr>
                <w:bCs/>
                <w:sz w:val="20"/>
                <w:szCs w:val="20"/>
                <w:lang w:val="ro-RO"/>
              </w:rPr>
              <w:t xml:space="preserve"> penală bazat pe respectarea drepturilor omului în Republica Moldova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045A8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16A69">
              <w:rPr>
                <w:bCs/>
                <w:sz w:val="20"/>
                <w:szCs w:val="20"/>
                <w:lang w:val="ro-RO"/>
              </w:rPr>
              <w:t>Consiliul Europei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C16A69" w:rsidRDefault="00F63B29" w:rsidP="00045A8A">
            <w:pPr>
              <w:ind w:right="119"/>
              <w:rPr>
                <w:color w:val="000000" w:themeColor="text1"/>
                <w:sz w:val="20"/>
                <w:szCs w:val="20"/>
                <w:lang w:val="ro-RO"/>
              </w:rPr>
            </w:pPr>
            <w:r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Ministerul Justiției, Parlamentul, Consiliul Superior al Magistraturii, Curtea Supremă de Justiție, Procuratura, Consiliul Superior al </w:t>
            </w:r>
            <w:r w:rsidR="00AE0C9B"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>P</w:t>
            </w:r>
            <w:r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rocurorilor, Oficiul Avocatului Poporului / Consiliul Național de Prevenire a Torturii, Institutul Național de Justiție, </w:t>
            </w:r>
            <w:r w:rsidR="00997F77"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>Administrația</w:t>
            </w:r>
            <w:r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997F77"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>Națională</w:t>
            </w:r>
            <w:r w:rsidRPr="00C16A6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 Penitenciarelor, Inspectoratul Național de Probațiune, Ministerul Afacerilor Interne, Ministerul Sănătății, Muncii și Protecției Sociale, Uniunea Avocaților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63B29" w:rsidRPr="00E918A2" w:rsidRDefault="00FA00CC" w:rsidP="00045A8A">
            <w:pPr>
              <w:ind w:right="119"/>
              <w:rPr>
                <w:color w:val="000000" w:themeColor="text1"/>
                <w:sz w:val="20"/>
                <w:szCs w:val="20"/>
                <w:lang w:val="ro-RO"/>
              </w:rPr>
            </w:pPr>
            <w:hyperlink r:id="rId7" w:history="1">
              <w:r w:rsidR="00F63B29" w:rsidRPr="00C16A69">
                <w:rPr>
                  <w:rStyle w:val="Hyperlink"/>
                  <w:color w:val="000000" w:themeColor="text1"/>
                  <w:sz w:val="20"/>
                  <w:szCs w:val="20"/>
                  <w:lang w:val="ro-RO"/>
                </w:rPr>
                <w:t>Hotărârea Parlamentului nr.1172-XIII din 30 aprilie 1997</w:t>
              </w:r>
            </w:hyperlink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 xml:space="preserve"> pentru aderarea Republicii Moldova la Acordul General cu privire la Privilegiile </w:t>
            </w:r>
            <w:proofErr w:type="spellStart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>şi</w:t>
            </w:r>
            <w:proofErr w:type="spellEnd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>Imunităţile</w:t>
            </w:r>
            <w:proofErr w:type="spellEnd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 xml:space="preserve"> Consiliului Europei </w:t>
            </w:r>
            <w:proofErr w:type="spellStart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>şi</w:t>
            </w:r>
            <w:proofErr w:type="spellEnd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 xml:space="preserve"> la Protocolul lui </w:t>
            </w:r>
            <w:proofErr w:type="spellStart"/>
            <w:r w:rsidR="00F63B29" w:rsidRPr="00C16A69">
              <w:rPr>
                <w:color w:val="000000" w:themeColor="text1"/>
                <w:sz w:val="20"/>
                <w:szCs w:val="20"/>
                <w:lang w:val="ro-RO"/>
              </w:rPr>
              <w:t>adiţional</w:t>
            </w:r>
            <w:proofErr w:type="spellEnd"/>
          </w:p>
        </w:tc>
      </w:tr>
    </w:tbl>
    <w:p w:rsidR="004205D6" w:rsidRPr="00FE474D" w:rsidRDefault="004205D6" w:rsidP="008C725E">
      <w:pPr>
        <w:pStyle w:val="tt"/>
        <w:numPr>
          <w:ilvl w:val="0"/>
          <w:numId w:val="31"/>
        </w:numPr>
        <w:spacing w:before="0" w:beforeAutospacing="0" w:after="0" w:afterAutospacing="0" w:line="276" w:lineRule="auto"/>
        <w:ind w:right="119"/>
        <w:jc w:val="both"/>
        <w:rPr>
          <w:bCs/>
          <w:lang w:val="ro-RO"/>
        </w:rPr>
      </w:pPr>
      <w:r w:rsidRPr="00FE474D">
        <w:rPr>
          <w:lang w:val="ro-RO"/>
        </w:rPr>
        <w:t>Capitolul XXXIV. Guvernul României se completează cu poziția 304</w:t>
      </w:r>
      <w:r w:rsidRPr="00FE474D">
        <w:rPr>
          <w:vertAlign w:val="superscript"/>
          <w:lang w:val="ro-RO"/>
        </w:rPr>
        <w:t>1</w:t>
      </w:r>
      <w:r w:rsidRPr="00FE474D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509"/>
        <w:gridCol w:w="2383"/>
        <w:gridCol w:w="1976"/>
        <w:gridCol w:w="1452"/>
        <w:gridCol w:w="1843"/>
      </w:tblGrid>
      <w:tr w:rsidR="004205D6" w:rsidRPr="009D45AB" w:rsidTr="00447A12">
        <w:trPr>
          <w:trHeight w:val="598"/>
        </w:trPr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723B8B">
              <w:rPr>
                <w:b/>
                <w:bCs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723B8B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723B8B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723B8B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723B8B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723B8B">
              <w:rPr>
                <w:b/>
                <w:sz w:val="20"/>
                <w:szCs w:val="20"/>
                <w:lang w:val="ro-RO"/>
              </w:rPr>
              <w:t>Baza legală</w:t>
            </w:r>
          </w:p>
          <w:p w:rsidR="004205D6" w:rsidRPr="00723B8B" w:rsidRDefault="004205D6" w:rsidP="00447A1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4205D6" w:rsidRPr="00FA00CC" w:rsidTr="00447A12">
        <w:trPr>
          <w:trHeight w:val="2333"/>
        </w:trPr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4205D6" w:rsidP="00045A8A">
            <w:pPr>
              <w:ind w:right="119"/>
              <w:jc w:val="both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304</w:t>
            </w:r>
            <w:r w:rsidRPr="00EB0229">
              <w:rPr>
                <w:bCs/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D32B6D" w:rsidP="00045A8A">
            <w:pPr>
              <w:ind w:right="119"/>
              <w:jc w:val="both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8721155710789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D32B6D" w:rsidP="00045A8A">
            <w:pPr>
              <w:ind w:right="119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Amenajarea accesului în Unitatea primiri urgen</w:t>
            </w:r>
            <w:r w:rsidR="008D6D84"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ț</w:t>
            </w: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e a Spitalului raional din </w:t>
            </w:r>
            <w:r w:rsidR="008D6D84"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orașul</w:t>
            </w: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Anenii Noi și dotarea cu ambulanță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2B6D" w:rsidRPr="00723B8B" w:rsidRDefault="00D32B6D" w:rsidP="00045A8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ind w:left="0" w:right="119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Consiliul Raional Anenii Noi</w:t>
            </w:r>
          </w:p>
          <w:p w:rsidR="004205D6" w:rsidRPr="00723B8B" w:rsidRDefault="004205D6" w:rsidP="00045A8A">
            <w:pPr>
              <w:ind w:right="119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2B6D" w:rsidRPr="00723B8B" w:rsidRDefault="00D32B6D" w:rsidP="00045A8A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ind w:left="0" w:right="119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Consiliul Raional Anenii Noi</w:t>
            </w:r>
          </w:p>
          <w:p w:rsidR="004205D6" w:rsidRPr="00723B8B" w:rsidRDefault="004205D6" w:rsidP="00045A8A">
            <w:pPr>
              <w:spacing w:before="100" w:beforeAutospacing="1" w:after="100" w:afterAutospacing="1"/>
              <w:ind w:right="119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05D6" w:rsidRPr="00723B8B" w:rsidRDefault="00D32B6D" w:rsidP="00045A8A">
            <w:pPr>
              <w:ind w:right="119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şi</w:t>
            </w:r>
            <w:proofErr w:type="spellEnd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Guvernul României cu privire la cadrul general </w:t>
            </w:r>
            <w:proofErr w:type="spellStart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şi</w:t>
            </w:r>
            <w:proofErr w:type="spellEnd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condiţiile</w:t>
            </w:r>
            <w:proofErr w:type="spellEnd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pentru cooperarea în domeniul dezvoltării, semnat la </w:t>
            </w:r>
            <w:proofErr w:type="spellStart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Bucureşti</w:t>
            </w:r>
            <w:proofErr w:type="spellEnd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la 28 august 2013 </w:t>
            </w:r>
            <w:proofErr w:type="spellStart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>şi</w:t>
            </w:r>
            <w:proofErr w:type="spellEnd"/>
            <w:r w:rsidRPr="00723B8B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ratificat prin Legea nr.317 din 20 decembrie 2013</w:t>
            </w:r>
          </w:p>
        </w:tc>
      </w:tr>
    </w:tbl>
    <w:p w:rsidR="00F61D64" w:rsidRDefault="00F61D64" w:rsidP="00F61D64">
      <w:pPr>
        <w:pStyle w:val="NormalWeb"/>
        <w:spacing w:before="0" w:beforeAutospacing="0" w:after="0" w:afterAutospacing="0" w:line="276" w:lineRule="auto"/>
        <w:ind w:left="1287" w:right="119"/>
        <w:jc w:val="both"/>
        <w:rPr>
          <w:bCs/>
          <w:lang w:val="ro-RO"/>
        </w:rPr>
      </w:pPr>
    </w:p>
    <w:p w:rsidR="00F61D64" w:rsidRDefault="00F61D64" w:rsidP="00F61D64">
      <w:pPr>
        <w:pStyle w:val="NormalWeb"/>
        <w:spacing w:before="0" w:beforeAutospacing="0" w:after="0" w:afterAutospacing="0" w:line="276" w:lineRule="auto"/>
        <w:ind w:left="1287" w:right="119"/>
        <w:jc w:val="both"/>
        <w:rPr>
          <w:bCs/>
          <w:lang w:val="ro-RO"/>
        </w:rPr>
      </w:pPr>
    </w:p>
    <w:p w:rsidR="00F61D64" w:rsidRDefault="00F61D64" w:rsidP="00F61D64">
      <w:pPr>
        <w:pStyle w:val="NormalWeb"/>
        <w:spacing w:before="0" w:beforeAutospacing="0" w:after="0" w:afterAutospacing="0" w:line="276" w:lineRule="auto"/>
        <w:ind w:left="1287" w:right="119"/>
        <w:jc w:val="both"/>
        <w:rPr>
          <w:bCs/>
          <w:lang w:val="ro-RO"/>
        </w:rPr>
      </w:pPr>
    </w:p>
    <w:p w:rsidR="003A549E" w:rsidRPr="009711E0" w:rsidRDefault="00912312" w:rsidP="00447A12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right="119"/>
        <w:jc w:val="both"/>
        <w:rPr>
          <w:bCs/>
          <w:lang w:val="ro-RO"/>
        </w:rPr>
      </w:pPr>
      <w:r w:rsidRPr="009711E0">
        <w:rPr>
          <w:bCs/>
          <w:lang w:val="ro-RO"/>
        </w:rPr>
        <w:lastRenderedPageBreak/>
        <w:t xml:space="preserve">La </w:t>
      </w:r>
      <w:r w:rsidR="00554679" w:rsidRPr="009711E0">
        <w:rPr>
          <w:bCs/>
          <w:lang w:val="ro-RO"/>
        </w:rPr>
        <w:t>Anexa nr.</w:t>
      </w:r>
      <w:r w:rsidR="00554679" w:rsidRPr="009711E0">
        <w:rPr>
          <w:lang w:val="ro-RO"/>
        </w:rPr>
        <w:t>2:</w:t>
      </w:r>
    </w:p>
    <w:p w:rsidR="00A44713" w:rsidRDefault="00912312" w:rsidP="00A44713">
      <w:pPr>
        <w:pStyle w:val="cn"/>
        <w:numPr>
          <w:ilvl w:val="0"/>
          <w:numId w:val="4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043AF">
        <w:rPr>
          <w:lang w:val="ro-RO"/>
        </w:rPr>
        <w:t xml:space="preserve">La </w:t>
      </w:r>
      <w:r w:rsidR="003A549E" w:rsidRPr="008043AF">
        <w:rPr>
          <w:lang w:val="ro-RO"/>
        </w:rPr>
        <w:t xml:space="preserve">Poziția 19, coloana 2 „Donatorul/ proiectul/ instituția beneficiară”, textul „Ministerul Sănătății, Ministerul Muncii, Protecției Sociale și Familiei Ministerul Sănătății”, se substituie cu textul „ Ministerul Sănătății, Muncii și Protecției Sociale”. </w:t>
      </w:r>
    </w:p>
    <w:p w:rsidR="00A44713" w:rsidRDefault="00A44713" w:rsidP="00A44713">
      <w:pPr>
        <w:pStyle w:val="cn"/>
        <w:spacing w:before="0" w:beforeAutospacing="0" w:after="0" w:afterAutospacing="0" w:line="276" w:lineRule="auto"/>
        <w:ind w:left="567" w:right="119"/>
        <w:jc w:val="both"/>
        <w:rPr>
          <w:color w:val="0D0D0D" w:themeColor="text1" w:themeTint="F2"/>
          <w:lang w:val="ro-RO"/>
        </w:rPr>
      </w:pPr>
      <w:r>
        <w:rPr>
          <w:lang w:val="ro-RO"/>
        </w:rPr>
        <w:t xml:space="preserve">   </w:t>
      </w:r>
      <w:r w:rsidR="00912312" w:rsidRPr="00A44713">
        <w:rPr>
          <w:lang w:val="ro-RO"/>
        </w:rPr>
        <w:t>Suplimentar,</w:t>
      </w:r>
      <w:r w:rsidR="003A549E" w:rsidRPr="00A44713">
        <w:rPr>
          <w:color w:val="0D0D0D" w:themeColor="text1" w:themeTint="F2"/>
          <w:lang w:val="ro-RO"/>
        </w:rPr>
        <w:t xml:space="preserve"> coloana 2 „Donatorul/ proiectul/ instituția beneficiară”, Proiectul „Servicii de Sănătate și Asistență Socială” se va exclude</w:t>
      </w:r>
      <w:r w:rsidRPr="00A44713">
        <w:rPr>
          <w:color w:val="0D0D0D" w:themeColor="text1" w:themeTint="F2"/>
          <w:lang w:val="ro-RO"/>
        </w:rPr>
        <w:t>.</w:t>
      </w:r>
    </w:p>
    <w:p w:rsidR="00B61BCF" w:rsidRDefault="003E4573" w:rsidP="00A44713">
      <w:pPr>
        <w:pStyle w:val="cn"/>
        <w:numPr>
          <w:ilvl w:val="0"/>
          <w:numId w:val="41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A44713">
        <w:rPr>
          <w:lang w:val="ro-RO"/>
        </w:rPr>
        <w:t>Poziția 24 se completează</w:t>
      </w:r>
      <w:r w:rsidRPr="00997F77">
        <w:rPr>
          <w:color w:val="0D0D0D" w:themeColor="text1" w:themeTint="F2"/>
          <w:lang w:val="ro-RO"/>
        </w:rPr>
        <w:t xml:space="preserve"> cu următorul cuprins:</w:t>
      </w:r>
    </w:p>
    <w:p w:rsidR="00F61D64" w:rsidRPr="00816364" w:rsidRDefault="00F61D64" w:rsidP="00F61D64">
      <w:pPr>
        <w:pStyle w:val="cn"/>
        <w:spacing w:before="0" w:beforeAutospacing="0" w:after="0" w:afterAutospacing="0" w:line="276" w:lineRule="auto"/>
        <w:ind w:left="720" w:right="119"/>
        <w:jc w:val="both"/>
        <w:rPr>
          <w:color w:val="0D0D0D" w:themeColor="text1" w:themeTint="F2"/>
          <w:lang w:val="ro-R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969"/>
        <w:gridCol w:w="2126"/>
      </w:tblGrid>
      <w:tr w:rsidR="00290C62" w:rsidRPr="00A5770A" w:rsidTr="00962EA9">
        <w:trPr>
          <w:trHeight w:val="420"/>
        </w:trPr>
        <w:tc>
          <w:tcPr>
            <w:tcW w:w="709" w:type="dxa"/>
          </w:tcPr>
          <w:p w:rsidR="002F1C49" w:rsidRPr="00F347F1" w:rsidRDefault="002F1C4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2977" w:type="dxa"/>
          </w:tcPr>
          <w:p w:rsidR="002F1C49" w:rsidRPr="00F347F1" w:rsidRDefault="002F1C4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Donatorul/Proiectul/instituția beneficiară</w:t>
            </w:r>
          </w:p>
        </w:tc>
        <w:tc>
          <w:tcPr>
            <w:tcW w:w="3969" w:type="dxa"/>
          </w:tcPr>
          <w:p w:rsidR="002F1C49" w:rsidRPr="00F347F1" w:rsidRDefault="002F1C4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Baza legală</w:t>
            </w:r>
          </w:p>
        </w:tc>
        <w:tc>
          <w:tcPr>
            <w:tcW w:w="2126" w:type="dxa"/>
          </w:tcPr>
          <w:p w:rsidR="002F1C49" w:rsidRPr="00F347F1" w:rsidRDefault="002F1C49" w:rsidP="00447A12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Componentele scutite</w:t>
            </w:r>
          </w:p>
        </w:tc>
      </w:tr>
      <w:tr w:rsidR="003F52DC" w:rsidRPr="00A5770A" w:rsidTr="00962EA9">
        <w:trPr>
          <w:trHeight w:val="2623"/>
        </w:trPr>
        <w:tc>
          <w:tcPr>
            <w:tcW w:w="709" w:type="dxa"/>
            <w:vMerge w:val="restart"/>
          </w:tcPr>
          <w:p w:rsidR="003F52DC" w:rsidRPr="0094596D" w:rsidRDefault="004B6036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94596D">
              <w:rPr>
                <w:sz w:val="20"/>
                <w:szCs w:val="20"/>
                <w:lang w:val="ro-RO"/>
              </w:rPr>
              <w:t>24</w:t>
            </w:r>
          </w:p>
        </w:tc>
        <w:tc>
          <w:tcPr>
            <w:tcW w:w="2977" w:type="dxa"/>
            <w:vMerge w:val="restart"/>
          </w:tcPr>
          <w:p w:rsidR="003F52DC" w:rsidRPr="0094596D" w:rsidRDefault="00554679" w:rsidP="00447A12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94596D">
              <w:rPr>
                <w:bCs/>
                <w:sz w:val="20"/>
                <w:szCs w:val="20"/>
                <w:lang w:val="ro-RO"/>
              </w:rPr>
              <w:t>Academia de Științe a M</w:t>
            </w:r>
            <w:r w:rsidR="003F52DC" w:rsidRPr="0094596D">
              <w:rPr>
                <w:bCs/>
                <w:sz w:val="20"/>
                <w:szCs w:val="20"/>
                <w:lang w:val="ro-RO"/>
              </w:rPr>
              <w:t>oldovei</w:t>
            </w:r>
          </w:p>
          <w:p w:rsidR="003F52DC" w:rsidRPr="0094596D" w:rsidRDefault="003F52DC" w:rsidP="00447A12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94596D">
              <w:rPr>
                <w:bCs/>
                <w:sz w:val="20"/>
                <w:szCs w:val="20"/>
                <w:lang w:val="ro-RO"/>
              </w:rPr>
              <w:t>Institutul de Fizică Aplicată,</w:t>
            </w:r>
          </w:p>
          <w:p w:rsidR="003F52DC" w:rsidRPr="008043AF" w:rsidRDefault="003F52DC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94596D">
              <w:rPr>
                <w:bCs/>
                <w:sz w:val="20"/>
                <w:szCs w:val="20"/>
                <w:lang w:val="ro-RO"/>
              </w:rPr>
              <w:t>Întreprinderea Mixtă „Uzina TOPAZ” S.A</w:t>
            </w:r>
          </w:p>
        </w:tc>
        <w:tc>
          <w:tcPr>
            <w:tcW w:w="3969" w:type="dxa"/>
          </w:tcPr>
          <w:p w:rsidR="00554679" w:rsidRPr="008043AF" w:rsidRDefault="003F52DC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 xml:space="preserve">Acordul dintre Republica Moldova </w:t>
            </w:r>
            <w:r w:rsidR="00554679" w:rsidRPr="008043AF">
              <w:rPr>
                <w:sz w:val="20"/>
                <w:szCs w:val="20"/>
                <w:lang w:val="ro-RO"/>
              </w:rPr>
              <w:t>și</w:t>
            </w:r>
            <w:r w:rsidRPr="008043AF">
              <w:rPr>
                <w:sz w:val="20"/>
                <w:szCs w:val="20"/>
                <w:lang w:val="ro-RO"/>
              </w:rPr>
              <w:t xml:space="preserve"> Uniunea Europeană privind participarea Republicii Moldova la Programul-cadru al Uniunii Europene pentru cercetare </w:t>
            </w:r>
            <w:r w:rsidR="00554679" w:rsidRPr="008043AF">
              <w:rPr>
                <w:sz w:val="20"/>
                <w:szCs w:val="20"/>
                <w:lang w:val="ro-RO"/>
              </w:rPr>
              <w:t>și</w:t>
            </w:r>
            <w:r w:rsidRPr="008043AF">
              <w:rPr>
                <w:sz w:val="20"/>
                <w:szCs w:val="20"/>
                <w:lang w:val="ro-RO"/>
              </w:rPr>
              <w:t xml:space="preserve"> inovare (2014-2020) </w:t>
            </w:r>
          </w:p>
          <w:p w:rsidR="00554679" w:rsidRPr="008043AF" w:rsidRDefault="003F52DC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Orizont 2020, ratificat prin Legea nr.142 din 17 iulie 2014</w:t>
            </w:r>
          </w:p>
          <w:p w:rsidR="003F52DC" w:rsidRPr="008043AF" w:rsidRDefault="00290C62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 xml:space="preserve">EU </w:t>
            </w:r>
            <w:r w:rsidR="003F52DC" w:rsidRPr="008043AF">
              <w:rPr>
                <w:sz w:val="20"/>
                <w:szCs w:val="20"/>
                <w:lang w:val="ro-RO"/>
              </w:rPr>
              <w:t>EA CG Nr. 201</w:t>
            </w:r>
            <w:r w:rsidR="00554679" w:rsidRPr="008043AF">
              <w:rPr>
                <w:sz w:val="20"/>
                <w:szCs w:val="20"/>
                <w:lang w:val="ro-RO"/>
              </w:rPr>
              <w:t xml:space="preserve">4/ 346-992 European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Commission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r w:rsidR="00554679" w:rsidRPr="008043AF">
              <w:rPr>
                <w:sz w:val="20"/>
                <w:szCs w:val="20"/>
                <w:lang w:val="ro-RO"/>
              </w:rPr>
              <w:t>„</w:t>
            </w:r>
            <w:r w:rsidR="003F52DC" w:rsidRPr="008043AF">
              <w:rPr>
                <w:sz w:val="20"/>
                <w:szCs w:val="20"/>
                <w:lang w:val="ro-RO"/>
              </w:rPr>
              <w:t xml:space="preserve">Financial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support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to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participation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of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Republic of Moldova in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EU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programme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3F52DC" w:rsidRPr="008043AF">
              <w:rPr>
                <w:sz w:val="20"/>
                <w:szCs w:val="20"/>
                <w:lang w:val="ro-RO"/>
              </w:rPr>
              <w:t>Horizon</w:t>
            </w:r>
            <w:proofErr w:type="spellEnd"/>
            <w:r w:rsidR="003F52DC" w:rsidRPr="008043AF">
              <w:rPr>
                <w:sz w:val="20"/>
                <w:szCs w:val="20"/>
                <w:lang w:val="ro-RO"/>
              </w:rPr>
              <w:t xml:space="preserve"> 2020”</w:t>
            </w:r>
          </w:p>
        </w:tc>
        <w:tc>
          <w:tcPr>
            <w:tcW w:w="2126" w:type="dxa"/>
          </w:tcPr>
          <w:p w:rsidR="003F52DC" w:rsidRPr="008043AF" w:rsidRDefault="003F52DC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3F52DC" w:rsidRPr="00A5770A" w:rsidTr="003E66BF">
        <w:trPr>
          <w:trHeight w:val="1084"/>
        </w:trPr>
        <w:tc>
          <w:tcPr>
            <w:tcW w:w="709" w:type="dxa"/>
            <w:vMerge/>
          </w:tcPr>
          <w:p w:rsidR="003F52DC" w:rsidRPr="008043AF" w:rsidRDefault="003F52DC" w:rsidP="00447A12">
            <w:pPr>
              <w:ind w:right="119"/>
              <w:jc w:val="both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:rsidR="003F52DC" w:rsidRPr="008043AF" w:rsidRDefault="003F52DC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3F52DC" w:rsidRPr="008043AF" w:rsidRDefault="003F52DC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H2020-MSCA-RISE-2017 nr.778357-SMARTELECTRODES</w:t>
            </w:r>
            <w:r w:rsidR="00290C62" w:rsidRPr="008043AF">
              <w:rPr>
                <w:sz w:val="20"/>
                <w:szCs w:val="20"/>
                <w:lang w:val="ro-RO"/>
              </w:rPr>
              <w:t xml:space="preserve"> </w:t>
            </w:r>
            <w:r w:rsidRPr="008043AF">
              <w:rPr>
                <w:sz w:val="20"/>
                <w:szCs w:val="20"/>
                <w:lang w:val="ro-RO"/>
              </w:rPr>
              <w:t>„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Multiscaled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smart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metallic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and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semiconductor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electrodes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electrochemical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processing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and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devices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>”</w:t>
            </w:r>
          </w:p>
        </w:tc>
        <w:tc>
          <w:tcPr>
            <w:tcW w:w="2126" w:type="dxa"/>
          </w:tcPr>
          <w:p w:rsidR="003F52DC" w:rsidRPr="008043AF" w:rsidRDefault="003F52DC" w:rsidP="00447A12">
            <w:pPr>
              <w:ind w:right="119"/>
              <w:jc w:val="center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Parțial</w:t>
            </w:r>
          </w:p>
        </w:tc>
      </w:tr>
      <w:tr w:rsidR="00693A0F" w:rsidRPr="00A5770A" w:rsidTr="00962EA9">
        <w:trPr>
          <w:trHeight w:val="2379"/>
        </w:trPr>
        <w:tc>
          <w:tcPr>
            <w:tcW w:w="709" w:type="dxa"/>
            <w:vMerge w:val="restart"/>
          </w:tcPr>
          <w:p w:rsidR="00693A0F" w:rsidRPr="008043AF" w:rsidRDefault="00693A0F" w:rsidP="00447A12">
            <w:pPr>
              <w:ind w:right="119"/>
              <w:jc w:val="both"/>
              <w:rPr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693A0F" w:rsidRPr="008043AF" w:rsidRDefault="00693A0F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Academia de Științe a Moldovei</w:t>
            </w:r>
          </w:p>
          <w:p w:rsidR="00693A0F" w:rsidRPr="008043AF" w:rsidRDefault="00693A0F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Institutul de Fizică Aplicată,</w:t>
            </w:r>
          </w:p>
          <w:p w:rsidR="00693A0F" w:rsidRPr="008043AF" w:rsidRDefault="00693A0F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Societatea cu răspundere</w:t>
            </w:r>
            <w:r w:rsidR="00290C62" w:rsidRPr="008043AF">
              <w:rPr>
                <w:sz w:val="20"/>
                <w:szCs w:val="20"/>
                <w:lang w:val="ro-RO"/>
              </w:rPr>
              <w:t xml:space="preserve"> </w:t>
            </w:r>
            <w:r w:rsidRPr="008043AF">
              <w:rPr>
                <w:sz w:val="20"/>
                <w:szCs w:val="20"/>
                <w:lang w:val="ro-RO"/>
              </w:rPr>
              <w:t>Limitată „SUNGA”</w:t>
            </w:r>
          </w:p>
          <w:p w:rsidR="00693A0F" w:rsidRPr="008043AF" w:rsidRDefault="00693A0F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290C62" w:rsidRPr="008043AF" w:rsidRDefault="00693A0F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 xml:space="preserve">Acordul dintre Republica Moldova </w:t>
            </w:r>
            <w:r w:rsidR="00290C62" w:rsidRPr="008043AF">
              <w:rPr>
                <w:sz w:val="20"/>
                <w:szCs w:val="20"/>
                <w:lang w:val="ro-RO"/>
              </w:rPr>
              <w:t>și</w:t>
            </w:r>
            <w:r w:rsidRPr="008043AF">
              <w:rPr>
                <w:sz w:val="20"/>
                <w:szCs w:val="20"/>
                <w:lang w:val="ro-RO"/>
              </w:rPr>
              <w:t xml:space="preserve"> Uniunea Europeană privind participarea Republicii Moldova la Programul-cadru al Uniunii Europene pentru cercetare </w:t>
            </w:r>
            <w:r w:rsidR="00290C62" w:rsidRPr="008043AF">
              <w:rPr>
                <w:sz w:val="20"/>
                <w:szCs w:val="20"/>
                <w:lang w:val="ro-RO"/>
              </w:rPr>
              <w:t>și</w:t>
            </w:r>
            <w:r w:rsidRPr="008043AF">
              <w:rPr>
                <w:sz w:val="20"/>
                <w:szCs w:val="20"/>
                <w:lang w:val="ro-RO"/>
              </w:rPr>
              <w:t xml:space="preserve"> inovare (2014-2020) Orizont 2020, ratificat prin Legea nr.142 din 17 iulie 2014</w:t>
            </w:r>
            <w:r w:rsidR="00290C62" w:rsidRPr="008043AF">
              <w:rPr>
                <w:sz w:val="20"/>
                <w:szCs w:val="20"/>
                <w:lang w:val="ro-RO"/>
              </w:rPr>
              <w:t xml:space="preserve">  </w:t>
            </w:r>
          </w:p>
          <w:p w:rsidR="00693A0F" w:rsidRPr="008043AF" w:rsidRDefault="00693A0F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 xml:space="preserve">EU EA CG Nr. 2014/ 346-992 European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Commission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“Financial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support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to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participation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Republic of Moldova in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EU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programme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Horizon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2020”</w:t>
            </w:r>
          </w:p>
        </w:tc>
        <w:tc>
          <w:tcPr>
            <w:tcW w:w="2126" w:type="dxa"/>
          </w:tcPr>
          <w:p w:rsidR="00693A0F" w:rsidRPr="008043AF" w:rsidRDefault="00693A0F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693A0F" w:rsidRPr="00A5770A" w:rsidTr="00962EA9">
        <w:trPr>
          <w:trHeight w:val="51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3A0F" w:rsidRPr="008043AF" w:rsidRDefault="00693A0F" w:rsidP="00447A12">
            <w:pPr>
              <w:ind w:right="119"/>
              <w:jc w:val="both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:rsidR="00693A0F" w:rsidRPr="008043AF" w:rsidRDefault="00693A0F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693A0F" w:rsidRPr="008043AF" w:rsidRDefault="00693A0F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H2020-MSCA-RISE</w:t>
            </w:r>
            <w:r w:rsidR="007F51BA" w:rsidRPr="008043AF">
              <w:rPr>
                <w:sz w:val="20"/>
                <w:szCs w:val="20"/>
                <w:lang w:val="ro-RO"/>
              </w:rPr>
              <w:t>-2017 nr.777968-INFINITE-CELL „</w:t>
            </w:r>
            <w:r w:rsidRPr="008043AF">
              <w:rPr>
                <w:sz w:val="20"/>
                <w:szCs w:val="20"/>
                <w:lang w:val="ro-RO"/>
              </w:rPr>
              <w:t xml:space="preserve">International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cooperation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the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development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of cost-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efficient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kesterite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/c-Si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thin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film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next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generation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tandem solar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cells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>”</w:t>
            </w:r>
          </w:p>
        </w:tc>
        <w:tc>
          <w:tcPr>
            <w:tcW w:w="2126" w:type="dxa"/>
          </w:tcPr>
          <w:p w:rsidR="00693A0F" w:rsidRPr="008043AF" w:rsidRDefault="003B6EBE" w:rsidP="00447A12">
            <w:pPr>
              <w:ind w:right="119"/>
              <w:jc w:val="center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Parțial</w:t>
            </w:r>
          </w:p>
        </w:tc>
      </w:tr>
      <w:tr w:rsidR="001F7D0B" w:rsidRPr="00A5770A" w:rsidTr="00962EA9">
        <w:trPr>
          <w:trHeight w:val="1111"/>
        </w:trPr>
        <w:tc>
          <w:tcPr>
            <w:tcW w:w="709" w:type="dxa"/>
            <w:vMerge w:val="restart"/>
          </w:tcPr>
          <w:p w:rsidR="001F7D0B" w:rsidRPr="008043AF" w:rsidRDefault="001F7D0B" w:rsidP="00447A12">
            <w:pPr>
              <w:ind w:right="119"/>
              <w:jc w:val="both"/>
              <w:rPr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1F7D0B" w:rsidRPr="008043AF" w:rsidRDefault="001F7D0B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Academia de Științe a Moldovei</w:t>
            </w:r>
          </w:p>
          <w:p w:rsidR="001F7D0B" w:rsidRPr="008043AF" w:rsidRDefault="001F7D0B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Institutul de Fizică Aplicată,</w:t>
            </w:r>
          </w:p>
        </w:tc>
        <w:tc>
          <w:tcPr>
            <w:tcW w:w="3969" w:type="dxa"/>
          </w:tcPr>
          <w:p w:rsidR="001F7D0B" w:rsidRPr="008043AF" w:rsidRDefault="001F7D0B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 xml:space="preserve">Legea nr.531-XV din 18 decembrie 2003 privind aderarea Republicii Moldova la Acordul de constituire a Centrului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Ştiinţifico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>-Tehnologic din Ucraina</w:t>
            </w:r>
          </w:p>
          <w:p w:rsidR="001F7D0B" w:rsidRPr="008043AF" w:rsidRDefault="001F7D0B" w:rsidP="00447A12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1F7D0B" w:rsidRPr="008043AF" w:rsidRDefault="001F7D0B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1F7D0B" w:rsidRPr="00A5770A" w:rsidTr="003E66BF">
        <w:trPr>
          <w:trHeight w:val="109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7D0B" w:rsidRPr="008043AF" w:rsidRDefault="001F7D0B" w:rsidP="00447A12">
            <w:pPr>
              <w:ind w:right="119"/>
              <w:jc w:val="both"/>
              <w:rPr>
                <w:lang w:val="ro-RO"/>
              </w:rPr>
            </w:pPr>
          </w:p>
        </w:tc>
        <w:tc>
          <w:tcPr>
            <w:tcW w:w="2977" w:type="dxa"/>
            <w:vMerge/>
          </w:tcPr>
          <w:p w:rsidR="001F7D0B" w:rsidRPr="008043AF" w:rsidRDefault="001F7D0B" w:rsidP="00447A1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1F7D0B" w:rsidRPr="008043AF" w:rsidRDefault="001F7D0B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Nr.6224 „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Physical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and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photoelectrocatalytic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properties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of (Ag, Cu)2ZnSn(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S,Se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)4 for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environmental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friendly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photovoltaic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and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photoelectrocatalytic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devices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>”</w:t>
            </w:r>
          </w:p>
        </w:tc>
        <w:tc>
          <w:tcPr>
            <w:tcW w:w="2126" w:type="dxa"/>
          </w:tcPr>
          <w:p w:rsidR="001F7D0B" w:rsidRPr="008043AF" w:rsidRDefault="003B6EBE" w:rsidP="00447A12">
            <w:pPr>
              <w:ind w:right="119"/>
              <w:jc w:val="center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Integral</w:t>
            </w:r>
          </w:p>
        </w:tc>
      </w:tr>
      <w:tr w:rsidR="00646A61" w:rsidRPr="00A5770A" w:rsidTr="00962EA9">
        <w:trPr>
          <w:trHeight w:val="1502"/>
        </w:trPr>
        <w:tc>
          <w:tcPr>
            <w:tcW w:w="709" w:type="dxa"/>
            <w:tcBorders>
              <w:bottom w:val="single" w:sz="4" w:space="0" w:color="auto"/>
            </w:tcBorders>
          </w:tcPr>
          <w:p w:rsidR="00646A61" w:rsidRPr="008043AF" w:rsidRDefault="00646A61" w:rsidP="00447A12">
            <w:pPr>
              <w:ind w:right="119"/>
              <w:jc w:val="both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6A61" w:rsidRPr="008043AF" w:rsidRDefault="00646A61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 xml:space="preserve">Academia de Științe a Moldovei / Serviciul de Protecție și Pază de Stat </w:t>
            </w:r>
          </w:p>
          <w:p w:rsidR="00646A61" w:rsidRPr="008043AF" w:rsidRDefault="00646A61" w:rsidP="00447A12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6A61" w:rsidRPr="008043AF" w:rsidRDefault="00646A61" w:rsidP="00447A12">
            <w:pPr>
              <w:ind w:right="119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H2020-SEC-2016-2017, RED-Alert no. 740688,</w:t>
            </w:r>
            <w:r w:rsidR="008556AA" w:rsidRPr="008043AF">
              <w:rPr>
                <w:sz w:val="20"/>
                <w:szCs w:val="20"/>
                <w:lang w:val="ro-RO"/>
              </w:rPr>
              <w:t xml:space="preserve"> „</w:t>
            </w:r>
            <w:r w:rsidRPr="008043AF">
              <w:rPr>
                <w:sz w:val="20"/>
                <w:szCs w:val="20"/>
                <w:lang w:val="ro-RO"/>
              </w:rPr>
              <w:t>Real-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time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Early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Detection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043AF">
              <w:rPr>
                <w:sz w:val="20"/>
                <w:szCs w:val="20"/>
                <w:lang w:val="ro-RO"/>
              </w:rPr>
              <w:t>and</w:t>
            </w:r>
            <w:proofErr w:type="spellEnd"/>
            <w:r w:rsidRPr="008043AF">
              <w:rPr>
                <w:sz w:val="20"/>
                <w:szCs w:val="20"/>
                <w:lang w:val="ro-RO"/>
              </w:rPr>
              <w:t xml:space="preserve"> Alert System for online Terrorist Content based on Natural Language Processing, Social Network Analysis, Artificial Intelligence and Complex Event Processing”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6A61" w:rsidRPr="008043AF" w:rsidRDefault="00646A61" w:rsidP="00447A12">
            <w:pPr>
              <w:ind w:right="119"/>
              <w:jc w:val="center"/>
              <w:rPr>
                <w:sz w:val="20"/>
                <w:szCs w:val="20"/>
                <w:lang w:val="ro-RO"/>
              </w:rPr>
            </w:pPr>
            <w:r w:rsidRPr="008043AF">
              <w:rPr>
                <w:sz w:val="20"/>
                <w:szCs w:val="20"/>
                <w:lang w:val="ro-RO"/>
              </w:rPr>
              <w:t>Parțial</w:t>
            </w:r>
          </w:p>
          <w:p w:rsidR="00646A61" w:rsidRPr="008043AF" w:rsidRDefault="00646A61" w:rsidP="00447A12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:rsidR="00F61D64" w:rsidRPr="00F61D64" w:rsidRDefault="00F61D64" w:rsidP="00F61D64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:rsidR="00F347F1" w:rsidRPr="00F61D64" w:rsidRDefault="00EE11DF" w:rsidP="00A44713">
      <w:pPr>
        <w:pStyle w:val="cn"/>
        <w:numPr>
          <w:ilvl w:val="0"/>
          <w:numId w:val="4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94596D">
        <w:rPr>
          <w:color w:val="0D0D0D" w:themeColor="text1" w:themeTint="F2"/>
          <w:lang w:val="ro-RO"/>
        </w:rPr>
        <w:t>Poziția 26 va avea următorul cuprins:</w:t>
      </w:r>
    </w:p>
    <w:p w:rsidR="00F61D64" w:rsidRDefault="00F61D64" w:rsidP="00F61D64">
      <w:pPr>
        <w:pStyle w:val="cn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</w:p>
    <w:p w:rsidR="00F61D64" w:rsidRDefault="00F61D64" w:rsidP="00F61D64">
      <w:pPr>
        <w:pStyle w:val="cn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</w:p>
    <w:p w:rsidR="00F61D64" w:rsidRDefault="00F61D64" w:rsidP="00F61D64">
      <w:pPr>
        <w:pStyle w:val="cn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</w:p>
    <w:p w:rsidR="00F61D64" w:rsidRPr="00787431" w:rsidRDefault="00F61D64" w:rsidP="00F61D64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969"/>
        <w:gridCol w:w="2126"/>
      </w:tblGrid>
      <w:tr w:rsidR="00787431" w:rsidRPr="00F347F1" w:rsidTr="00962EA9">
        <w:trPr>
          <w:trHeight w:val="420"/>
        </w:trPr>
        <w:tc>
          <w:tcPr>
            <w:tcW w:w="709" w:type="dxa"/>
          </w:tcPr>
          <w:p w:rsidR="00787431" w:rsidRPr="00F347F1" w:rsidRDefault="00787431" w:rsidP="00F64B06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lastRenderedPageBreak/>
              <w:t>Nr. d/o</w:t>
            </w:r>
          </w:p>
        </w:tc>
        <w:tc>
          <w:tcPr>
            <w:tcW w:w="2977" w:type="dxa"/>
          </w:tcPr>
          <w:p w:rsidR="00787431" w:rsidRPr="00F347F1" w:rsidRDefault="00787431" w:rsidP="00F64B06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Donatorul/Proiectul/instituția beneficiară</w:t>
            </w:r>
          </w:p>
        </w:tc>
        <w:tc>
          <w:tcPr>
            <w:tcW w:w="3969" w:type="dxa"/>
          </w:tcPr>
          <w:p w:rsidR="00787431" w:rsidRPr="00F347F1" w:rsidRDefault="00787431" w:rsidP="00F64B06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Baza legală</w:t>
            </w:r>
          </w:p>
        </w:tc>
        <w:tc>
          <w:tcPr>
            <w:tcW w:w="2126" w:type="dxa"/>
          </w:tcPr>
          <w:p w:rsidR="00787431" w:rsidRPr="00F347F1" w:rsidRDefault="00787431" w:rsidP="00F64B06">
            <w:pPr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F347F1">
              <w:rPr>
                <w:b/>
                <w:sz w:val="20"/>
                <w:szCs w:val="20"/>
                <w:lang w:val="ro-RO"/>
              </w:rPr>
              <w:t>Componentele scutite</w:t>
            </w:r>
          </w:p>
        </w:tc>
      </w:tr>
      <w:tr w:rsidR="00787431" w:rsidRPr="008043AF" w:rsidTr="00962EA9">
        <w:trPr>
          <w:trHeight w:val="2623"/>
        </w:trPr>
        <w:tc>
          <w:tcPr>
            <w:tcW w:w="709" w:type="dxa"/>
          </w:tcPr>
          <w:p w:rsidR="00787431" w:rsidRPr="0094596D" w:rsidRDefault="00787431" w:rsidP="0078743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94596D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2977" w:type="dxa"/>
          </w:tcPr>
          <w:p w:rsidR="00787431" w:rsidRPr="00723B8B" w:rsidRDefault="00787431" w:rsidP="00787431">
            <w:pPr>
              <w:ind w:right="119"/>
              <w:rPr>
                <w:sz w:val="20"/>
                <w:szCs w:val="20"/>
                <w:lang w:val="ro-RO"/>
              </w:rPr>
            </w:pPr>
            <w:r w:rsidRPr="00723B8B">
              <w:rPr>
                <w:sz w:val="20"/>
                <w:szCs w:val="20"/>
                <w:lang w:val="ro-RO"/>
              </w:rPr>
              <w:t xml:space="preserve">Instituția publică „Agenția de Guvernare Electronică” – Proiectul „Modernizarea serviciilor guvernamentale” </w:t>
            </w:r>
          </w:p>
          <w:p w:rsidR="00787431" w:rsidRPr="008043AF" w:rsidRDefault="00787431" w:rsidP="00F64B06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787431" w:rsidRPr="00723B8B" w:rsidRDefault="00787431" w:rsidP="00787431">
            <w:pPr>
              <w:ind w:right="119"/>
              <w:rPr>
                <w:sz w:val="20"/>
                <w:szCs w:val="20"/>
                <w:lang w:val="ro-RO"/>
              </w:rPr>
            </w:pPr>
            <w:r w:rsidRPr="00723B8B">
              <w:rPr>
                <w:sz w:val="20"/>
                <w:szCs w:val="20"/>
                <w:lang w:val="ro-RO"/>
              </w:rPr>
              <w:t xml:space="preserve">Acordul de finanțare dintre Republica Moldova și Asociația Internațională pentru Dezvoltare (IDA Credit no.6126-MD) și Acordul de împrumut dintre Republica Moldova și Banca Internațională pentru Reconstrucție și Dezvoltare (IBRD </w:t>
            </w:r>
            <w:proofErr w:type="spellStart"/>
            <w:r w:rsidRPr="00723B8B">
              <w:rPr>
                <w:sz w:val="20"/>
                <w:szCs w:val="20"/>
                <w:lang w:val="ro-RO"/>
              </w:rPr>
              <w:t>Loan</w:t>
            </w:r>
            <w:proofErr w:type="spellEnd"/>
            <w:r w:rsidRPr="00723B8B">
              <w:rPr>
                <w:sz w:val="20"/>
                <w:szCs w:val="20"/>
                <w:lang w:val="ro-RO"/>
              </w:rPr>
              <w:t xml:space="preserve"> no.8774-MD) </w:t>
            </w:r>
          </w:p>
          <w:p w:rsidR="00787431" w:rsidRPr="008043AF" w:rsidRDefault="00787431" w:rsidP="00787431">
            <w:pPr>
              <w:ind w:right="119"/>
              <w:rPr>
                <w:sz w:val="20"/>
                <w:szCs w:val="20"/>
                <w:lang w:val="ro-RO"/>
              </w:rPr>
            </w:pPr>
            <w:r w:rsidRPr="00723B8B">
              <w:rPr>
                <w:sz w:val="20"/>
                <w:szCs w:val="20"/>
                <w:lang w:val="ro-RO"/>
              </w:rPr>
              <w:t>în vederea realizării proiectului „Modernizarea serviciilor guvernamentale”, semnate la Chișinău la 28 noiembrie 2017 și ratificate prin Legea nr.25 din 1 martie 2018</w:t>
            </w:r>
          </w:p>
        </w:tc>
        <w:tc>
          <w:tcPr>
            <w:tcW w:w="2126" w:type="dxa"/>
          </w:tcPr>
          <w:p w:rsidR="00787431" w:rsidRPr="008043AF" w:rsidRDefault="00787431" w:rsidP="00787431">
            <w:pPr>
              <w:ind w:right="119"/>
              <w:jc w:val="center"/>
              <w:rPr>
                <w:sz w:val="20"/>
                <w:szCs w:val="20"/>
                <w:lang w:val="ro-RO"/>
              </w:rPr>
            </w:pPr>
            <w:r w:rsidRPr="00723B8B">
              <w:rPr>
                <w:color w:val="000000"/>
                <w:sz w:val="20"/>
                <w:szCs w:val="20"/>
                <w:lang w:val="ro-RO"/>
              </w:rPr>
              <w:t>Integral</w:t>
            </w:r>
          </w:p>
        </w:tc>
      </w:tr>
    </w:tbl>
    <w:p w:rsidR="00FA00CC" w:rsidRDefault="00FA00CC" w:rsidP="00FA00CC">
      <w:pPr>
        <w:pStyle w:val="cn"/>
        <w:spacing w:before="0" w:beforeAutospacing="0" w:after="0" w:afterAutospacing="0" w:line="276" w:lineRule="auto"/>
        <w:ind w:left="720" w:right="119"/>
        <w:jc w:val="both"/>
        <w:rPr>
          <w:lang w:val="ro-RO"/>
        </w:rPr>
      </w:pPr>
    </w:p>
    <w:p w:rsidR="002D6321" w:rsidRDefault="00EE11DF" w:rsidP="00A44713">
      <w:pPr>
        <w:pStyle w:val="cn"/>
        <w:numPr>
          <w:ilvl w:val="0"/>
          <w:numId w:val="41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2D6321">
        <w:rPr>
          <w:lang w:val="ro-RO"/>
        </w:rPr>
        <w:t>Poziția 28, coloana 2 „Donatorul/ proiectul/ instituția b</w:t>
      </w:r>
      <w:r w:rsidR="002D6321">
        <w:rPr>
          <w:lang w:val="ro-RO"/>
        </w:rPr>
        <w:t>eneficiară”, textul „Ministerul</w:t>
      </w:r>
    </w:p>
    <w:p w:rsidR="00EE11DF" w:rsidRDefault="00EE11DF" w:rsidP="00447A12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2D6321">
        <w:rPr>
          <w:lang w:val="ro-RO"/>
        </w:rPr>
        <w:t xml:space="preserve">Sănătății, Ministerul Muncii, Protecției Sociale și Familiei Ministerul Sănătății”, se substituie cu textul „ Ministerul Sănătății, Muncii și Protecției Sociale”. </w:t>
      </w:r>
    </w:p>
    <w:p w:rsidR="00997F77" w:rsidRDefault="00997F77" w:rsidP="00447A12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:rsidR="00997F77" w:rsidRDefault="00997F77" w:rsidP="00447A12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:rsidR="00997F77" w:rsidRDefault="00997F77" w:rsidP="00447A12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tbl>
      <w:tblPr>
        <w:tblStyle w:val="TableGrid"/>
        <w:tblpPr w:leftFromText="180" w:rightFromText="180" w:vertAnchor="text" w:horzAnchor="margin" w:tblpY="258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706"/>
        <w:gridCol w:w="1129"/>
        <w:gridCol w:w="665"/>
        <w:gridCol w:w="2170"/>
        <w:gridCol w:w="404"/>
        <w:gridCol w:w="265"/>
      </w:tblGrid>
      <w:tr w:rsidR="0098321C" w:rsidRPr="00F85D0E" w:rsidTr="00B7551B">
        <w:trPr>
          <w:gridAfter w:val="1"/>
          <w:wAfter w:w="265" w:type="dxa"/>
          <w:trHeight w:val="518"/>
        </w:trPr>
        <w:tc>
          <w:tcPr>
            <w:tcW w:w="3261" w:type="dxa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rPr>
                <w:b/>
                <w:sz w:val="28"/>
                <w:szCs w:val="28"/>
              </w:rPr>
            </w:pPr>
          </w:p>
          <w:p w:rsidR="0098321C" w:rsidRPr="00F85D0E" w:rsidRDefault="0098321C" w:rsidP="00447A12">
            <w:pPr>
              <w:tabs>
                <w:tab w:val="left" w:pos="2771"/>
              </w:tabs>
              <w:ind w:right="119"/>
              <w:rPr>
                <w:b/>
                <w:sz w:val="28"/>
                <w:szCs w:val="28"/>
              </w:rPr>
            </w:pPr>
            <w:r w:rsidRPr="00F85D0E">
              <w:rPr>
                <w:b/>
                <w:sz w:val="28"/>
                <w:szCs w:val="28"/>
              </w:rPr>
              <w:t>Prim-</w:t>
            </w:r>
            <w:proofErr w:type="spellStart"/>
            <w:r w:rsidRPr="00F85D0E">
              <w:rPr>
                <w:b/>
                <w:sz w:val="28"/>
                <w:szCs w:val="28"/>
              </w:rPr>
              <w:t>ministru</w:t>
            </w:r>
            <w:proofErr w:type="spellEnd"/>
            <w:r w:rsidRPr="00F85D0E"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1706" w:type="dxa"/>
          </w:tcPr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</w:tcPr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</w:p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  <w:r w:rsidRPr="00F85D0E">
              <w:rPr>
                <w:b/>
                <w:sz w:val="28"/>
                <w:szCs w:val="28"/>
              </w:rPr>
              <w:t>Pavel FILIP</w:t>
            </w:r>
          </w:p>
        </w:tc>
      </w:tr>
      <w:tr w:rsidR="0098321C" w:rsidRPr="00F85D0E" w:rsidTr="00B7551B">
        <w:trPr>
          <w:gridAfter w:val="1"/>
          <w:wAfter w:w="265" w:type="dxa"/>
          <w:trHeight w:val="508"/>
        </w:trPr>
        <w:tc>
          <w:tcPr>
            <w:tcW w:w="3261" w:type="dxa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rPr>
                <w:b/>
                <w:sz w:val="28"/>
                <w:szCs w:val="28"/>
              </w:rPr>
            </w:pPr>
          </w:p>
          <w:p w:rsidR="0098321C" w:rsidRPr="00F85D0E" w:rsidRDefault="0098321C" w:rsidP="00447A12">
            <w:pPr>
              <w:tabs>
                <w:tab w:val="left" w:pos="2771"/>
              </w:tabs>
              <w:ind w:right="119"/>
              <w:rPr>
                <w:b/>
                <w:sz w:val="28"/>
                <w:szCs w:val="28"/>
              </w:rPr>
            </w:pPr>
          </w:p>
          <w:p w:rsidR="0098321C" w:rsidRPr="00F85D0E" w:rsidRDefault="0098321C" w:rsidP="00447A12">
            <w:pPr>
              <w:tabs>
                <w:tab w:val="left" w:pos="2771"/>
              </w:tabs>
              <w:ind w:right="119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74" w:type="dxa"/>
            <w:gridSpan w:val="2"/>
          </w:tcPr>
          <w:p w:rsidR="0098321C" w:rsidRPr="00F85D0E" w:rsidRDefault="0098321C" w:rsidP="00447A12">
            <w:pPr>
              <w:ind w:right="119"/>
              <w:jc w:val="right"/>
              <w:rPr>
                <w:b/>
                <w:sz w:val="28"/>
                <w:szCs w:val="28"/>
              </w:rPr>
            </w:pPr>
          </w:p>
        </w:tc>
      </w:tr>
      <w:tr w:rsidR="0098321C" w:rsidRPr="00F85D0E" w:rsidTr="00B7551B">
        <w:trPr>
          <w:trHeight w:val="369"/>
        </w:trPr>
        <w:tc>
          <w:tcPr>
            <w:tcW w:w="3261" w:type="dxa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  <w:proofErr w:type="spellStart"/>
            <w:r w:rsidRPr="00F85D0E">
              <w:rPr>
                <w:b/>
                <w:sz w:val="28"/>
                <w:szCs w:val="28"/>
              </w:rPr>
              <w:t>Contrasemnează</w:t>
            </w:r>
            <w:proofErr w:type="spellEnd"/>
            <w:r w:rsidRPr="00F85D0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06" w:type="dxa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9" w:type="dxa"/>
            <w:gridSpan w:val="3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</w:p>
        </w:tc>
      </w:tr>
      <w:tr w:rsidR="0098321C" w:rsidRPr="00F85D0E" w:rsidTr="00B7551B">
        <w:trPr>
          <w:gridAfter w:val="2"/>
          <w:wAfter w:w="669" w:type="dxa"/>
          <w:trHeight w:val="339"/>
        </w:trPr>
        <w:tc>
          <w:tcPr>
            <w:tcW w:w="3261" w:type="dxa"/>
          </w:tcPr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  <w:proofErr w:type="spellStart"/>
            <w:r w:rsidRPr="00F85D0E">
              <w:rPr>
                <w:b/>
                <w:sz w:val="28"/>
                <w:szCs w:val="28"/>
              </w:rPr>
              <w:t>Ministrul</w:t>
            </w:r>
            <w:proofErr w:type="spellEnd"/>
            <w:r w:rsidRPr="00F85D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5D0E">
              <w:rPr>
                <w:b/>
                <w:sz w:val="28"/>
                <w:szCs w:val="28"/>
              </w:rPr>
              <w:t>finanţelor</w:t>
            </w:r>
            <w:proofErr w:type="spellEnd"/>
            <w:r w:rsidRPr="00F85D0E">
              <w:rPr>
                <w:b/>
                <w:sz w:val="28"/>
                <w:szCs w:val="28"/>
              </w:rPr>
              <w:t xml:space="preserve"> </w:t>
            </w:r>
          </w:p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  <w:r w:rsidRPr="00F85D0E">
              <w:rPr>
                <w:b/>
                <w:sz w:val="28"/>
                <w:szCs w:val="28"/>
              </w:rPr>
              <w:t xml:space="preserve"> </w:t>
            </w:r>
          </w:p>
          <w:p w:rsidR="0098321C" w:rsidRPr="00F85D0E" w:rsidRDefault="0098321C" w:rsidP="00447A12">
            <w:pPr>
              <w:tabs>
                <w:tab w:val="left" w:pos="2771"/>
              </w:tabs>
              <w:ind w:right="11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:rsidR="0098321C" w:rsidRPr="00F85D0E" w:rsidRDefault="0098321C" w:rsidP="00447A12">
            <w:pPr>
              <w:tabs>
                <w:tab w:val="left" w:pos="0"/>
              </w:tabs>
              <w:ind w:right="11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98321C" w:rsidRPr="00F85D0E" w:rsidRDefault="0098321C" w:rsidP="00447A12">
            <w:pPr>
              <w:tabs>
                <w:tab w:val="left" w:pos="0"/>
              </w:tabs>
              <w:ind w:right="11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8321C" w:rsidRPr="00F85D0E" w:rsidRDefault="00B7551B" w:rsidP="00B7551B">
            <w:pPr>
              <w:tabs>
                <w:tab w:val="left" w:pos="0"/>
                <w:tab w:val="left" w:pos="1790"/>
              </w:tabs>
              <w:ind w:right="11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Octavian ARMAȘU</w:t>
            </w:r>
          </w:p>
        </w:tc>
      </w:tr>
    </w:tbl>
    <w:p w:rsidR="00787431" w:rsidRDefault="00787431" w:rsidP="0099645C">
      <w:pPr>
        <w:spacing w:after="160" w:line="259" w:lineRule="auto"/>
        <w:ind w:right="119"/>
        <w:rPr>
          <w:rFonts w:eastAsiaTheme="minorEastAsia"/>
          <w:b/>
        </w:rPr>
      </w:pPr>
    </w:p>
    <w:p w:rsidR="00961F29" w:rsidRDefault="00961F29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BD41AE" w:rsidRDefault="00BD41AE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BD41AE" w:rsidRDefault="00BD41AE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BD41AE" w:rsidRDefault="00BD41AE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1B7C3F" w:rsidRDefault="001B7C3F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BE2BCB" w:rsidRDefault="00BE2BCB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p w:rsidR="00BE2BCB" w:rsidRDefault="00BE2BCB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  <w:bookmarkStart w:id="0" w:name="_GoBack"/>
      <w:bookmarkEnd w:id="0"/>
    </w:p>
    <w:p w:rsidR="00BE2BCB" w:rsidRDefault="00BE2BCB" w:rsidP="00447A12">
      <w:pPr>
        <w:spacing w:after="160" w:line="259" w:lineRule="auto"/>
        <w:ind w:right="119"/>
        <w:jc w:val="center"/>
        <w:rPr>
          <w:rFonts w:eastAsiaTheme="minorEastAsia"/>
          <w:b/>
        </w:rPr>
      </w:pPr>
    </w:p>
    <w:sectPr w:rsidR="00BE2BCB" w:rsidSect="001B7C3F">
      <w:pgSz w:w="11906" w:h="16838"/>
      <w:pgMar w:top="709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308"/>
    <w:multiLevelType w:val="hybridMultilevel"/>
    <w:tmpl w:val="65E44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6B37"/>
    <w:multiLevelType w:val="multilevel"/>
    <w:tmpl w:val="C58A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6185"/>
    <w:multiLevelType w:val="hybridMultilevel"/>
    <w:tmpl w:val="65E44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DF0E9FD2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0C0"/>
    <w:multiLevelType w:val="hybridMultilevel"/>
    <w:tmpl w:val="0A4A0796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7B3F"/>
    <w:multiLevelType w:val="multilevel"/>
    <w:tmpl w:val="FE14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113C6"/>
    <w:multiLevelType w:val="hybridMultilevel"/>
    <w:tmpl w:val="2D6C0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1AD"/>
    <w:multiLevelType w:val="multilevel"/>
    <w:tmpl w:val="1B2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D61A0"/>
    <w:multiLevelType w:val="hybridMultilevel"/>
    <w:tmpl w:val="14E4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847"/>
    <w:multiLevelType w:val="multilevel"/>
    <w:tmpl w:val="5C0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D78ED"/>
    <w:multiLevelType w:val="multilevel"/>
    <w:tmpl w:val="1B2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17C3A"/>
    <w:multiLevelType w:val="hybridMultilevel"/>
    <w:tmpl w:val="40C41108"/>
    <w:lvl w:ilvl="0" w:tplc="75ACDD62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217B8E"/>
    <w:multiLevelType w:val="multilevel"/>
    <w:tmpl w:val="936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40308"/>
    <w:multiLevelType w:val="hybridMultilevel"/>
    <w:tmpl w:val="F2AEB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125C7"/>
    <w:multiLevelType w:val="multilevel"/>
    <w:tmpl w:val="E1DA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455F"/>
    <w:multiLevelType w:val="multilevel"/>
    <w:tmpl w:val="03F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87C86"/>
    <w:multiLevelType w:val="hybridMultilevel"/>
    <w:tmpl w:val="898412DE"/>
    <w:lvl w:ilvl="0" w:tplc="75ACDD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C3D"/>
    <w:multiLevelType w:val="hybridMultilevel"/>
    <w:tmpl w:val="7E481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6669"/>
    <w:multiLevelType w:val="multilevel"/>
    <w:tmpl w:val="1B2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96BC0"/>
    <w:multiLevelType w:val="multilevel"/>
    <w:tmpl w:val="FF22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B35E6"/>
    <w:multiLevelType w:val="multilevel"/>
    <w:tmpl w:val="1B2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B5607"/>
    <w:multiLevelType w:val="hybridMultilevel"/>
    <w:tmpl w:val="3098BBEE"/>
    <w:lvl w:ilvl="0" w:tplc="545A71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3F2FA3"/>
    <w:multiLevelType w:val="multilevel"/>
    <w:tmpl w:val="96F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5B17FC"/>
    <w:multiLevelType w:val="multilevel"/>
    <w:tmpl w:val="87B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5E4EC0"/>
    <w:multiLevelType w:val="hybridMultilevel"/>
    <w:tmpl w:val="71540A0A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0152F"/>
    <w:multiLevelType w:val="hybridMultilevel"/>
    <w:tmpl w:val="C98EC992"/>
    <w:lvl w:ilvl="0" w:tplc="7E2822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2216BD"/>
    <w:multiLevelType w:val="hybridMultilevel"/>
    <w:tmpl w:val="6E3C4D26"/>
    <w:lvl w:ilvl="0" w:tplc="2A1247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F7B"/>
    <w:multiLevelType w:val="multilevel"/>
    <w:tmpl w:val="59B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66519A"/>
    <w:multiLevelType w:val="hybridMultilevel"/>
    <w:tmpl w:val="B5FE899C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D21E6"/>
    <w:multiLevelType w:val="multilevel"/>
    <w:tmpl w:val="56E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85FC0"/>
    <w:multiLevelType w:val="multilevel"/>
    <w:tmpl w:val="2332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953229"/>
    <w:multiLevelType w:val="multilevel"/>
    <w:tmpl w:val="102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918D8"/>
    <w:multiLevelType w:val="multilevel"/>
    <w:tmpl w:val="8E3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074EC6"/>
    <w:multiLevelType w:val="multilevel"/>
    <w:tmpl w:val="A75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B56974"/>
    <w:multiLevelType w:val="multilevel"/>
    <w:tmpl w:val="A1C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F12336"/>
    <w:multiLevelType w:val="hybridMultilevel"/>
    <w:tmpl w:val="BD005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7782D"/>
    <w:multiLevelType w:val="multilevel"/>
    <w:tmpl w:val="468C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50510"/>
    <w:multiLevelType w:val="multilevel"/>
    <w:tmpl w:val="1B2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22A21"/>
    <w:multiLevelType w:val="hybridMultilevel"/>
    <w:tmpl w:val="65E44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628C2"/>
    <w:multiLevelType w:val="multilevel"/>
    <w:tmpl w:val="8496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37"/>
  </w:num>
  <w:num w:numId="7">
    <w:abstractNumId w:val="30"/>
  </w:num>
  <w:num w:numId="8">
    <w:abstractNumId w:val="31"/>
  </w:num>
  <w:num w:numId="9">
    <w:abstractNumId w:val="14"/>
  </w:num>
  <w:num w:numId="10">
    <w:abstractNumId w:val="32"/>
  </w:num>
  <w:num w:numId="11">
    <w:abstractNumId w:val="35"/>
  </w:num>
  <w:num w:numId="12">
    <w:abstractNumId w:val="9"/>
  </w:num>
  <w:num w:numId="13">
    <w:abstractNumId w:val="40"/>
  </w:num>
  <w:num w:numId="14">
    <w:abstractNumId w:val="19"/>
  </w:num>
  <w:num w:numId="15">
    <w:abstractNumId w:val="39"/>
  </w:num>
  <w:num w:numId="16">
    <w:abstractNumId w:val="16"/>
  </w:num>
  <w:num w:numId="17">
    <w:abstractNumId w:val="0"/>
  </w:num>
  <w:num w:numId="18">
    <w:abstractNumId w:val="36"/>
  </w:num>
  <w:num w:numId="19">
    <w:abstractNumId w:val="8"/>
  </w:num>
  <w:num w:numId="20">
    <w:abstractNumId w:val="13"/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1"/>
  </w:num>
  <w:num w:numId="25">
    <w:abstractNumId w:val="10"/>
  </w:num>
  <w:num w:numId="26">
    <w:abstractNumId w:val="22"/>
  </w:num>
  <w:num w:numId="27">
    <w:abstractNumId w:val="29"/>
  </w:num>
  <w:num w:numId="28">
    <w:abstractNumId w:val="17"/>
  </w:num>
  <w:num w:numId="29">
    <w:abstractNumId w:val="11"/>
  </w:num>
  <w:num w:numId="30">
    <w:abstractNumId w:val="4"/>
  </w:num>
  <w:num w:numId="31">
    <w:abstractNumId w:val="3"/>
  </w:num>
  <w:num w:numId="32">
    <w:abstractNumId w:val="24"/>
  </w:num>
  <w:num w:numId="33">
    <w:abstractNumId w:val="28"/>
  </w:num>
  <w:num w:numId="34">
    <w:abstractNumId w:val="23"/>
  </w:num>
  <w:num w:numId="35">
    <w:abstractNumId w:val="20"/>
  </w:num>
  <w:num w:numId="36">
    <w:abstractNumId w:val="1"/>
  </w:num>
  <w:num w:numId="37">
    <w:abstractNumId w:val="25"/>
  </w:num>
  <w:num w:numId="38">
    <w:abstractNumId w:val="34"/>
  </w:num>
  <w:num w:numId="39">
    <w:abstractNumId w:val="12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3AC0"/>
    <w:rsid w:val="00012468"/>
    <w:rsid w:val="00023A66"/>
    <w:rsid w:val="00025235"/>
    <w:rsid w:val="00031B75"/>
    <w:rsid w:val="000417D2"/>
    <w:rsid w:val="000423FD"/>
    <w:rsid w:val="00045A8A"/>
    <w:rsid w:val="00076A5C"/>
    <w:rsid w:val="000C5515"/>
    <w:rsid w:val="000D41BA"/>
    <w:rsid w:val="000E5F6E"/>
    <w:rsid w:val="000E6625"/>
    <w:rsid w:val="000F16DE"/>
    <w:rsid w:val="00123428"/>
    <w:rsid w:val="00125543"/>
    <w:rsid w:val="00146BA8"/>
    <w:rsid w:val="001523E2"/>
    <w:rsid w:val="00160A34"/>
    <w:rsid w:val="00164BD0"/>
    <w:rsid w:val="00165689"/>
    <w:rsid w:val="00170974"/>
    <w:rsid w:val="001732B1"/>
    <w:rsid w:val="00181071"/>
    <w:rsid w:val="00183B52"/>
    <w:rsid w:val="001B7C3F"/>
    <w:rsid w:val="001E1527"/>
    <w:rsid w:val="001E1A59"/>
    <w:rsid w:val="001F0ED3"/>
    <w:rsid w:val="001F7D0B"/>
    <w:rsid w:val="002003C7"/>
    <w:rsid w:val="002025C5"/>
    <w:rsid w:val="00203397"/>
    <w:rsid w:val="00203A1A"/>
    <w:rsid w:val="00203FAB"/>
    <w:rsid w:val="00205133"/>
    <w:rsid w:val="00230BCB"/>
    <w:rsid w:val="0023275B"/>
    <w:rsid w:val="00235B41"/>
    <w:rsid w:val="00236EF7"/>
    <w:rsid w:val="00244A64"/>
    <w:rsid w:val="002528CD"/>
    <w:rsid w:val="0026509C"/>
    <w:rsid w:val="00273F72"/>
    <w:rsid w:val="00277D98"/>
    <w:rsid w:val="0028163A"/>
    <w:rsid w:val="00290C62"/>
    <w:rsid w:val="002C0737"/>
    <w:rsid w:val="002C102D"/>
    <w:rsid w:val="002D6321"/>
    <w:rsid w:val="002E3924"/>
    <w:rsid w:val="002F1C49"/>
    <w:rsid w:val="00302353"/>
    <w:rsid w:val="00306017"/>
    <w:rsid w:val="0032250E"/>
    <w:rsid w:val="00340FEC"/>
    <w:rsid w:val="00343F68"/>
    <w:rsid w:val="003450E5"/>
    <w:rsid w:val="003534F0"/>
    <w:rsid w:val="003A549E"/>
    <w:rsid w:val="003B2A56"/>
    <w:rsid w:val="003B49BD"/>
    <w:rsid w:val="003B6EBE"/>
    <w:rsid w:val="003C58DD"/>
    <w:rsid w:val="003D5ADA"/>
    <w:rsid w:val="003E4573"/>
    <w:rsid w:val="003E66BF"/>
    <w:rsid w:val="003F3D39"/>
    <w:rsid w:val="003F52DC"/>
    <w:rsid w:val="00411EE2"/>
    <w:rsid w:val="00412646"/>
    <w:rsid w:val="004205D6"/>
    <w:rsid w:val="00423288"/>
    <w:rsid w:val="00447A12"/>
    <w:rsid w:val="00477825"/>
    <w:rsid w:val="004A26B3"/>
    <w:rsid w:val="004A42D7"/>
    <w:rsid w:val="004B6036"/>
    <w:rsid w:val="004C5215"/>
    <w:rsid w:val="004F2D67"/>
    <w:rsid w:val="004F4165"/>
    <w:rsid w:val="00510A99"/>
    <w:rsid w:val="00522E48"/>
    <w:rsid w:val="00525925"/>
    <w:rsid w:val="005327B5"/>
    <w:rsid w:val="00533A08"/>
    <w:rsid w:val="005402F0"/>
    <w:rsid w:val="00543993"/>
    <w:rsid w:val="00554679"/>
    <w:rsid w:val="00560A0F"/>
    <w:rsid w:val="00572F32"/>
    <w:rsid w:val="00575F3E"/>
    <w:rsid w:val="0059669F"/>
    <w:rsid w:val="005B0262"/>
    <w:rsid w:val="005B26FB"/>
    <w:rsid w:val="005B521C"/>
    <w:rsid w:val="005B6F80"/>
    <w:rsid w:val="005B7C93"/>
    <w:rsid w:val="005E1BDD"/>
    <w:rsid w:val="005F6FDB"/>
    <w:rsid w:val="0061669A"/>
    <w:rsid w:val="0062717F"/>
    <w:rsid w:val="00630C2D"/>
    <w:rsid w:val="00641B5C"/>
    <w:rsid w:val="00641E8E"/>
    <w:rsid w:val="00646A61"/>
    <w:rsid w:val="00680640"/>
    <w:rsid w:val="00693A0F"/>
    <w:rsid w:val="0069525E"/>
    <w:rsid w:val="006A64FF"/>
    <w:rsid w:val="006A6942"/>
    <w:rsid w:val="006A7ECD"/>
    <w:rsid w:val="006C4B76"/>
    <w:rsid w:val="006E601C"/>
    <w:rsid w:val="006F5855"/>
    <w:rsid w:val="00703C66"/>
    <w:rsid w:val="00715EFB"/>
    <w:rsid w:val="00723B8B"/>
    <w:rsid w:val="007244F9"/>
    <w:rsid w:val="00733C53"/>
    <w:rsid w:val="00743338"/>
    <w:rsid w:val="00763DEC"/>
    <w:rsid w:val="00773509"/>
    <w:rsid w:val="00776977"/>
    <w:rsid w:val="00787431"/>
    <w:rsid w:val="0079393F"/>
    <w:rsid w:val="007C1192"/>
    <w:rsid w:val="007C725C"/>
    <w:rsid w:val="007D0B8C"/>
    <w:rsid w:val="007D16DE"/>
    <w:rsid w:val="007F51BA"/>
    <w:rsid w:val="008043AF"/>
    <w:rsid w:val="00804EBB"/>
    <w:rsid w:val="00816364"/>
    <w:rsid w:val="0083681E"/>
    <w:rsid w:val="00847F6B"/>
    <w:rsid w:val="00853331"/>
    <w:rsid w:val="008556AA"/>
    <w:rsid w:val="00883346"/>
    <w:rsid w:val="008B5905"/>
    <w:rsid w:val="008C725E"/>
    <w:rsid w:val="008D6D84"/>
    <w:rsid w:val="00901185"/>
    <w:rsid w:val="00905E04"/>
    <w:rsid w:val="00912312"/>
    <w:rsid w:val="00941691"/>
    <w:rsid w:val="00944099"/>
    <w:rsid w:val="0094596D"/>
    <w:rsid w:val="00961F29"/>
    <w:rsid w:val="00962EA9"/>
    <w:rsid w:val="009711E0"/>
    <w:rsid w:val="00977D2B"/>
    <w:rsid w:val="0098321C"/>
    <w:rsid w:val="0099645C"/>
    <w:rsid w:val="00997F77"/>
    <w:rsid w:val="009A258D"/>
    <w:rsid w:val="009B2D33"/>
    <w:rsid w:val="009B3A07"/>
    <w:rsid w:val="009B3D1B"/>
    <w:rsid w:val="009B59F3"/>
    <w:rsid w:val="009C0CB9"/>
    <w:rsid w:val="009C0E4A"/>
    <w:rsid w:val="009C7D5E"/>
    <w:rsid w:val="009D45AB"/>
    <w:rsid w:val="009E2183"/>
    <w:rsid w:val="009E4B0A"/>
    <w:rsid w:val="00A009F8"/>
    <w:rsid w:val="00A12019"/>
    <w:rsid w:val="00A35084"/>
    <w:rsid w:val="00A43B62"/>
    <w:rsid w:val="00A44713"/>
    <w:rsid w:val="00A5770A"/>
    <w:rsid w:val="00A728A3"/>
    <w:rsid w:val="00A90E84"/>
    <w:rsid w:val="00A93E07"/>
    <w:rsid w:val="00AA0883"/>
    <w:rsid w:val="00AC425A"/>
    <w:rsid w:val="00AE0C9B"/>
    <w:rsid w:val="00AE2C65"/>
    <w:rsid w:val="00AE5F18"/>
    <w:rsid w:val="00AF0475"/>
    <w:rsid w:val="00B07E78"/>
    <w:rsid w:val="00B166B3"/>
    <w:rsid w:val="00B25527"/>
    <w:rsid w:val="00B34541"/>
    <w:rsid w:val="00B6023A"/>
    <w:rsid w:val="00B6051F"/>
    <w:rsid w:val="00B61BCF"/>
    <w:rsid w:val="00B71FA0"/>
    <w:rsid w:val="00B7551B"/>
    <w:rsid w:val="00B758F5"/>
    <w:rsid w:val="00BA0B78"/>
    <w:rsid w:val="00BA4E1C"/>
    <w:rsid w:val="00BB0A1D"/>
    <w:rsid w:val="00BB13B5"/>
    <w:rsid w:val="00BD41AE"/>
    <w:rsid w:val="00BD58B3"/>
    <w:rsid w:val="00BE288F"/>
    <w:rsid w:val="00BE2BCB"/>
    <w:rsid w:val="00BE4BCC"/>
    <w:rsid w:val="00BF555B"/>
    <w:rsid w:val="00C16A69"/>
    <w:rsid w:val="00C2565F"/>
    <w:rsid w:val="00C271C8"/>
    <w:rsid w:val="00C33203"/>
    <w:rsid w:val="00C34C4C"/>
    <w:rsid w:val="00C422BC"/>
    <w:rsid w:val="00C53892"/>
    <w:rsid w:val="00C5577A"/>
    <w:rsid w:val="00C603C1"/>
    <w:rsid w:val="00C71FE1"/>
    <w:rsid w:val="00C7462D"/>
    <w:rsid w:val="00C7470C"/>
    <w:rsid w:val="00C767E0"/>
    <w:rsid w:val="00C76F23"/>
    <w:rsid w:val="00C8194D"/>
    <w:rsid w:val="00C9496C"/>
    <w:rsid w:val="00CA4F4D"/>
    <w:rsid w:val="00CE2E4F"/>
    <w:rsid w:val="00CF14E3"/>
    <w:rsid w:val="00D02EBA"/>
    <w:rsid w:val="00D050D5"/>
    <w:rsid w:val="00D07460"/>
    <w:rsid w:val="00D17292"/>
    <w:rsid w:val="00D25E4C"/>
    <w:rsid w:val="00D32B6D"/>
    <w:rsid w:val="00D4787A"/>
    <w:rsid w:val="00D52F24"/>
    <w:rsid w:val="00D53FF8"/>
    <w:rsid w:val="00D56407"/>
    <w:rsid w:val="00D77399"/>
    <w:rsid w:val="00DA3C99"/>
    <w:rsid w:val="00DA5918"/>
    <w:rsid w:val="00DC0D89"/>
    <w:rsid w:val="00DD6E99"/>
    <w:rsid w:val="00DE1BC5"/>
    <w:rsid w:val="00DF75AD"/>
    <w:rsid w:val="00E02B2D"/>
    <w:rsid w:val="00E17F3A"/>
    <w:rsid w:val="00E27D93"/>
    <w:rsid w:val="00E447FB"/>
    <w:rsid w:val="00E45218"/>
    <w:rsid w:val="00E56CE6"/>
    <w:rsid w:val="00E918A2"/>
    <w:rsid w:val="00E921CA"/>
    <w:rsid w:val="00E92CA8"/>
    <w:rsid w:val="00E934D3"/>
    <w:rsid w:val="00EB0229"/>
    <w:rsid w:val="00EB314A"/>
    <w:rsid w:val="00EC37D1"/>
    <w:rsid w:val="00EE11DF"/>
    <w:rsid w:val="00F032EC"/>
    <w:rsid w:val="00F26FDF"/>
    <w:rsid w:val="00F30EBF"/>
    <w:rsid w:val="00F347F1"/>
    <w:rsid w:val="00F358AD"/>
    <w:rsid w:val="00F41870"/>
    <w:rsid w:val="00F5076C"/>
    <w:rsid w:val="00F51DED"/>
    <w:rsid w:val="00F528D5"/>
    <w:rsid w:val="00F55C9D"/>
    <w:rsid w:val="00F61D64"/>
    <w:rsid w:val="00F63B29"/>
    <w:rsid w:val="00F64CB1"/>
    <w:rsid w:val="00F6640D"/>
    <w:rsid w:val="00F71730"/>
    <w:rsid w:val="00F82547"/>
    <w:rsid w:val="00F87EAA"/>
    <w:rsid w:val="00F938B0"/>
    <w:rsid w:val="00F94904"/>
    <w:rsid w:val="00FA00CC"/>
    <w:rsid w:val="00FC1461"/>
    <w:rsid w:val="00FC1BEC"/>
    <w:rsid w:val="00FD66BE"/>
    <w:rsid w:val="00FE24B6"/>
    <w:rsid w:val="00FE2F8B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305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5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HPHP199704301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45C9-BCAF-4A9D-8C0B-8E1FABDB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Rotaru Mariana</cp:lastModifiedBy>
  <cp:revision>243</cp:revision>
  <cp:lastPrinted>2018-07-04T07:51:00Z</cp:lastPrinted>
  <dcterms:created xsi:type="dcterms:W3CDTF">2018-06-18T05:25:00Z</dcterms:created>
  <dcterms:modified xsi:type="dcterms:W3CDTF">2018-07-04T08:09:00Z</dcterms:modified>
</cp:coreProperties>
</file>