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E87" w:rsidRPr="00380E87" w:rsidRDefault="00380E87" w:rsidP="00380E87">
      <w:pPr>
        <w:jc w:val="center"/>
        <w:rPr>
          <w:b/>
          <w:noProof w:val="0"/>
          <w:lang w:eastAsia="en-US"/>
        </w:rPr>
      </w:pPr>
      <w:r w:rsidRPr="00E43B83">
        <w:rPr>
          <w:b/>
          <w:color w:val="000000" w:themeColor="text1"/>
          <w:lang w:val="ro-RO"/>
        </w:rPr>
        <w:t>Tabelul divergenţelor</w:t>
      </w:r>
      <w:r>
        <w:rPr>
          <w:b/>
          <w:color w:val="000000" w:themeColor="text1"/>
          <w:lang w:val="ro-RO"/>
        </w:rPr>
        <w:t xml:space="preserve"> </w:t>
      </w:r>
      <w:r>
        <w:rPr>
          <w:b/>
          <w:color w:val="000000" w:themeColor="text1"/>
          <w:lang w:val="en-US"/>
        </w:rPr>
        <w:t>la proiectul h</w:t>
      </w:r>
      <w:r w:rsidRPr="003C5242">
        <w:rPr>
          <w:b/>
          <w:color w:val="000000" w:themeColor="text1"/>
          <w:lang w:val="en-US"/>
        </w:rPr>
        <w:t>otărîrii de Guvernului ,,</w:t>
      </w:r>
      <w:r w:rsidRPr="003C5242">
        <w:rPr>
          <w:b/>
          <w:noProof w:val="0"/>
          <w:lang w:eastAsia="en-US"/>
        </w:rPr>
        <w:t xml:space="preserve"> </w:t>
      </w:r>
      <w:proofErr w:type="spellStart"/>
      <w:r w:rsidRPr="00380E87">
        <w:rPr>
          <w:b/>
          <w:noProof w:val="0"/>
          <w:lang w:eastAsia="en-US"/>
        </w:rPr>
        <w:t>Pentru</w:t>
      </w:r>
      <w:proofErr w:type="spellEnd"/>
      <w:r w:rsidRPr="00380E87">
        <w:rPr>
          <w:b/>
          <w:noProof w:val="0"/>
          <w:lang w:eastAsia="en-US"/>
        </w:rPr>
        <w:t xml:space="preserve"> </w:t>
      </w:r>
      <w:proofErr w:type="spellStart"/>
      <w:r w:rsidRPr="00380E87">
        <w:rPr>
          <w:b/>
          <w:noProof w:val="0"/>
          <w:lang w:eastAsia="en-US"/>
        </w:rPr>
        <w:t>aprobarea</w:t>
      </w:r>
      <w:proofErr w:type="spellEnd"/>
      <w:r w:rsidRPr="00380E87">
        <w:rPr>
          <w:b/>
          <w:noProof w:val="0"/>
          <w:lang w:eastAsia="en-US"/>
        </w:rPr>
        <w:t xml:space="preserve"> </w:t>
      </w:r>
      <w:proofErr w:type="spellStart"/>
      <w:r w:rsidRPr="00380E87">
        <w:rPr>
          <w:b/>
          <w:noProof w:val="0"/>
          <w:lang w:eastAsia="en-US"/>
        </w:rPr>
        <w:t>Normei</w:t>
      </w:r>
      <w:proofErr w:type="spellEnd"/>
      <w:r w:rsidRPr="00380E87">
        <w:rPr>
          <w:b/>
          <w:noProof w:val="0"/>
          <w:lang w:eastAsia="en-US"/>
        </w:rPr>
        <w:t xml:space="preserve"> </w:t>
      </w:r>
      <w:proofErr w:type="spellStart"/>
      <w:r w:rsidRPr="00380E87">
        <w:rPr>
          <w:b/>
          <w:noProof w:val="0"/>
          <w:lang w:eastAsia="en-US"/>
        </w:rPr>
        <w:t>sanitar-veterinare</w:t>
      </w:r>
      <w:proofErr w:type="spellEnd"/>
      <w:r w:rsidRPr="00380E87">
        <w:rPr>
          <w:b/>
          <w:noProof w:val="0"/>
          <w:lang w:eastAsia="en-US"/>
        </w:rPr>
        <w:t xml:space="preserve"> </w:t>
      </w:r>
      <w:proofErr w:type="spellStart"/>
      <w:r w:rsidRPr="00380E87">
        <w:rPr>
          <w:b/>
          <w:noProof w:val="0"/>
          <w:lang w:eastAsia="en-US"/>
        </w:rPr>
        <w:t>privind</w:t>
      </w:r>
      <w:proofErr w:type="spellEnd"/>
    </w:p>
    <w:p w:rsidR="00380E87" w:rsidRPr="0030729C" w:rsidRDefault="00380E87" w:rsidP="0030729C">
      <w:pPr>
        <w:jc w:val="center"/>
        <w:rPr>
          <w:b/>
          <w:noProof w:val="0"/>
          <w:lang w:val="en-US" w:eastAsia="en-US"/>
        </w:rPr>
      </w:pPr>
      <w:proofErr w:type="spellStart"/>
      <w:r w:rsidRPr="00380E87">
        <w:rPr>
          <w:b/>
          <w:noProof w:val="0"/>
          <w:lang w:eastAsia="en-US"/>
        </w:rPr>
        <w:t>condițiile</w:t>
      </w:r>
      <w:proofErr w:type="spellEnd"/>
      <w:r w:rsidRPr="00380E87">
        <w:rPr>
          <w:b/>
          <w:noProof w:val="0"/>
          <w:lang w:eastAsia="en-US"/>
        </w:rPr>
        <w:t xml:space="preserve"> </w:t>
      </w:r>
      <w:proofErr w:type="spellStart"/>
      <w:r w:rsidRPr="00380E87">
        <w:rPr>
          <w:b/>
          <w:noProof w:val="0"/>
          <w:lang w:eastAsia="en-US"/>
        </w:rPr>
        <w:t>de</w:t>
      </w:r>
      <w:proofErr w:type="spellEnd"/>
      <w:r w:rsidRPr="00380E87">
        <w:rPr>
          <w:b/>
          <w:noProof w:val="0"/>
          <w:lang w:eastAsia="en-US"/>
        </w:rPr>
        <w:t xml:space="preserve"> </w:t>
      </w:r>
      <w:proofErr w:type="spellStart"/>
      <w:r w:rsidRPr="00380E87">
        <w:rPr>
          <w:b/>
          <w:noProof w:val="0"/>
          <w:lang w:eastAsia="en-US"/>
        </w:rPr>
        <w:t>sănătate</w:t>
      </w:r>
      <w:proofErr w:type="spellEnd"/>
      <w:r w:rsidRPr="00380E87">
        <w:rPr>
          <w:b/>
          <w:noProof w:val="0"/>
          <w:lang w:eastAsia="en-US"/>
        </w:rPr>
        <w:t xml:space="preserve"> </w:t>
      </w:r>
      <w:proofErr w:type="spellStart"/>
      <w:r w:rsidRPr="00380E87">
        <w:rPr>
          <w:b/>
          <w:noProof w:val="0"/>
          <w:lang w:eastAsia="en-US"/>
        </w:rPr>
        <w:t>și</w:t>
      </w:r>
      <w:proofErr w:type="spellEnd"/>
      <w:r w:rsidRPr="00380E87">
        <w:rPr>
          <w:b/>
          <w:noProof w:val="0"/>
          <w:lang w:eastAsia="en-US"/>
        </w:rPr>
        <w:t xml:space="preserve"> </w:t>
      </w:r>
      <w:proofErr w:type="spellStart"/>
      <w:r w:rsidRPr="00380E87">
        <w:rPr>
          <w:b/>
          <w:noProof w:val="0"/>
          <w:lang w:eastAsia="en-US"/>
        </w:rPr>
        <w:t>certificare</w:t>
      </w:r>
      <w:proofErr w:type="spellEnd"/>
      <w:r w:rsidRPr="00380E87">
        <w:rPr>
          <w:b/>
          <w:noProof w:val="0"/>
          <w:lang w:eastAsia="en-US"/>
        </w:rPr>
        <w:t xml:space="preserve"> </w:t>
      </w:r>
      <w:proofErr w:type="spellStart"/>
      <w:r w:rsidRPr="00380E87">
        <w:rPr>
          <w:b/>
          <w:noProof w:val="0"/>
          <w:lang w:eastAsia="en-US"/>
        </w:rPr>
        <w:t>animală</w:t>
      </w:r>
      <w:proofErr w:type="spellEnd"/>
      <w:r w:rsidRPr="00380E87">
        <w:rPr>
          <w:b/>
          <w:noProof w:val="0"/>
          <w:lang w:eastAsia="en-US"/>
        </w:rPr>
        <w:t xml:space="preserve"> </w:t>
      </w:r>
      <w:proofErr w:type="spellStart"/>
      <w:r w:rsidRPr="00380E87">
        <w:rPr>
          <w:b/>
          <w:noProof w:val="0"/>
          <w:lang w:eastAsia="en-US"/>
        </w:rPr>
        <w:t>la</w:t>
      </w:r>
      <w:proofErr w:type="spellEnd"/>
      <w:r w:rsidRPr="00380E87">
        <w:rPr>
          <w:b/>
          <w:noProof w:val="0"/>
          <w:lang w:eastAsia="en-US"/>
        </w:rPr>
        <w:t xml:space="preserve"> </w:t>
      </w:r>
      <w:proofErr w:type="spellStart"/>
      <w:r w:rsidRPr="00380E87">
        <w:rPr>
          <w:b/>
          <w:noProof w:val="0"/>
          <w:lang w:eastAsia="en-US"/>
        </w:rPr>
        <w:t>comerţul</w:t>
      </w:r>
      <w:proofErr w:type="spellEnd"/>
      <w:r w:rsidRPr="00380E87">
        <w:rPr>
          <w:b/>
          <w:noProof w:val="0"/>
          <w:lang w:eastAsia="en-US"/>
        </w:rPr>
        <w:t xml:space="preserve"> (</w:t>
      </w:r>
      <w:proofErr w:type="spellStart"/>
      <w:r w:rsidRPr="00380E87">
        <w:rPr>
          <w:b/>
          <w:noProof w:val="0"/>
          <w:lang w:eastAsia="en-US"/>
        </w:rPr>
        <w:t>importul</w:t>
      </w:r>
      <w:proofErr w:type="spellEnd"/>
      <w:r w:rsidRPr="00380E87">
        <w:rPr>
          <w:b/>
          <w:noProof w:val="0"/>
          <w:lang w:eastAsia="en-US"/>
        </w:rPr>
        <w:t xml:space="preserve"> </w:t>
      </w:r>
      <w:proofErr w:type="spellStart"/>
      <w:r w:rsidRPr="00380E87">
        <w:rPr>
          <w:b/>
          <w:noProof w:val="0"/>
          <w:lang w:eastAsia="en-US"/>
        </w:rPr>
        <w:t>și</w:t>
      </w:r>
      <w:proofErr w:type="spellEnd"/>
      <w:r w:rsidRPr="00380E87">
        <w:rPr>
          <w:b/>
          <w:noProof w:val="0"/>
          <w:lang w:eastAsia="en-US"/>
        </w:rPr>
        <w:t xml:space="preserve"> </w:t>
      </w:r>
      <w:proofErr w:type="spellStart"/>
      <w:r w:rsidRPr="00380E87">
        <w:rPr>
          <w:b/>
          <w:noProof w:val="0"/>
          <w:lang w:eastAsia="en-US"/>
        </w:rPr>
        <w:t>exportul</w:t>
      </w:r>
      <w:proofErr w:type="spellEnd"/>
      <w:r w:rsidRPr="00380E87">
        <w:rPr>
          <w:b/>
          <w:noProof w:val="0"/>
          <w:lang w:eastAsia="en-US"/>
        </w:rPr>
        <w:t xml:space="preserve">) </w:t>
      </w:r>
      <w:proofErr w:type="spellStart"/>
      <w:r w:rsidRPr="00380E87">
        <w:rPr>
          <w:b/>
          <w:noProof w:val="0"/>
          <w:lang w:eastAsia="en-US"/>
        </w:rPr>
        <w:t>cu</w:t>
      </w:r>
      <w:proofErr w:type="spellEnd"/>
      <w:r w:rsidRPr="00380E87">
        <w:rPr>
          <w:b/>
          <w:noProof w:val="0"/>
          <w:lang w:eastAsia="en-US"/>
        </w:rPr>
        <w:t xml:space="preserve"> </w:t>
      </w:r>
      <w:proofErr w:type="spellStart"/>
      <w:r w:rsidRPr="00380E87">
        <w:rPr>
          <w:b/>
          <w:noProof w:val="0"/>
          <w:lang w:eastAsia="en-US"/>
        </w:rPr>
        <w:t>bovine</w:t>
      </w:r>
      <w:proofErr w:type="spellEnd"/>
      <w:r w:rsidRPr="00380E87">
        <w:rPr>
          <w:b/>
          <w:noProof w:val="0"/>
          <w:lang w:eastAsia="en-US"/>
        </w:rPr>
        <w:t xml:space="preserve"> </w:t>
      </w:r>
      <w:proofErr w:type="spellStart"/>
      <w:r w:rsidRPr="00380E87">
        <w:rPr>
          <w:b/>
          <w:noProof w:val="0"/>
          <w:lang w:eastAsia="en-US"/>
        </w:rPr>
        <w:t>și</w:t>
      </w:r>
      <w:proofErr w:type="spellEnd"/>
      <w:r w:rsidRPr="00380E87">
        <w:rPr>
          <w:b/>
          <w:noProof w:val="0"/>
          <w:lang w:eastAsia="en-US"/>
        </w:rPr>
        <w:t xml:space="preserve"> </w:t>
      </w:r>
      <w:proofErr w:type="spellStart"/>
      <w:r w:rsidRPr="00380E87">
        <w:rPr>
          <w:b/>
          <w:noProof w:val="0"/>
          <w:lang w:eastAsia="en-US"/>
        </w:rPr>
        <w:t>porcine</w:t>
      </w:r>
      <w:proofErr w:type="spellEnd"/>
      <w:r w:rsidRPr="003C5242">
        <w:rPr>
          <w:b/>
          <w:color w:val="000000" w:themeColor="text1"/>
          <w:lang w:val="en-US"/>
        </w:rPr>
        <w:t>”</w:t>
      </w:r>
    </w:p>
    <w:tbl>
      <w:tblPr>
        <w:tblStyle w:val="a3"/>
        <w:tblW w:w="15593" w:type="dxa"/>
        <w:tblInd w:w="-459" w:type="dxa"/>
        <w:tblLook w:val="04A0" w:firstRow="1" w:lastRow="0" w:firstColumn="1" w:lastColumn="0" w:noHBand="0" w:noVBand="1"/>
      </w:tblPr>
      <w:tblGrid>
        <w:gridCol w:w="662"/>
        <w:gridCol w:w="3098"/>
        <w:gridCol w:w="6015"/>
        <w:gridCol w:w="6"/>
        <w:gridCol w:w="5812"/>
      </w:tblGrid>
      <w:tr w:rsidR="00380E87" w:rsidRPr="0036155D" w:rsidTr="00C6415A">
        <w:trPr>
          <w:trHeight w:val="500"/>
        </w:trPr>
        <w:tc>
          <w:tcPr>
            <w:tcW w:w="662" w:type="dxa"/>
          </w:tcPr>
          <w:p w:rsidR="00380E87" w:rsidRPr="0036155D" w:rsidRDefault="00380E87" w:rsidP="00A170F7">
            <w:pPr>
              <w:jc w:val="center"/>
              <w:rPr>
                <w:lang w:val="ro-RO"/>
              </w:rPr>
            </w:pPr>
            <w:r w:rsidRPr="0036155D">
              <w:rPr>
                <w:b/>
                <w:bCs/>
                <w:lang w:val="ro-RO"/>
              </w:rPr>
              <w:t>Nr. crt.</w:t>
            </w:r>
          </w:p>
        </w:tc>
        <w:tc>
          <w:tcPr>
            <w:tcW w:w="3098" w:type="dxa"/>
          </w:tcPr>
          <w:p w:rsidR="00380E87" w:rsidRPr="0036155D" w:rsidRDefault="00380E87" w:rsidP="00A170F7">
            <w:pPr>
              <w:jc w:val="center"/>
              <w:rPr>
                <w:b/>
                <w:bCs/>
                <w:lang w:val="ro-RO"/>
              </w:rPr>
            </w:pPr>
            <w:r w:rsidRPr="0036155D">
              <w:rPr>
                <w:b/>
                <w:bCs/>
                <w:lang w:val="ro-RO"/>
              </w:rPr>
              <w:t>Instituţia,</w:t>
            </w:r>
          </w:p>
          <w:p w:rsidR="00380E87" w:rsidRPr="0030729C" w:rsidRDefault="00380E87" w:rsidP="0030729C">
            <w:pPr>
              <w:jc w:val="center"/>
              <w:rPr>
                <w:b/>
                <w:bCs/>
                <w:lang w:val="ro-RO"/>
              </w:rPr>
            </w:pPr>
            <w:r w:rsidRPr="0036155D">
              <w:rPr>
                <w:b/>
                <w:bCs/>
                <w:lang w:val="ro-RO"/>
              </w:rPr>
              <w:t>Avizul</w:t>
            </w:r>
          </w:p>
        </w:tc>
        <w:tc>
          <w:tcPr>
            <w:tcW w:w="6021" w:type="dxa"/>
            <w:gridSpan w:val="2"/>
          </w:tcPr>
          <w:p w:rsidR="00380E87" w:rsidRPr="0036155D" w:rsidRDefault="00380E87" w:rsidP="00A170F7">
            <w:pPr>
              <w:jc w:val="center"/>
              <w:rPr>
                <w:b/>
                <w:bCs/>
                <w:lang w:val="ro-RO"/>
              </w:rPr>
            </w:pPr>
            <w:r w:rsidRPr="0036155D">
              <w:rPr>
                <w:b/>
                <w:bCs/>
                <w:lang w:val="ro-RO"/>
              </w:rPr>
              <w:t>Propuneri</w:t>
            </w:r>
          </w:p>
          <w:p w:rsidR="00380E87" w:rsidRPr="0036155D" w:rsidRDefault="00380E87" w:rsidP="00A170F7">
            <w:pPr>
              <w:jc w:val="center"/>
              <w:rPr>
                <w:lang w:val="ro-RO"/>
              </w:rPr>
            </w:pPr>
            <w:r w:rsidRPr="0036155D">
              <w:rPr>
                <w:b/>
                <w:bCs/>
                <w:lang w:val="ro-RO"/>
              </w:rPr>
              <w:t>şi obiecţii</w:t>
            </w:r>
          </w:p>
        </w:tc>
        <w:tc>
          <w:tcPr>
            <w:tcW w:w="5812" w:type="dxa"/>
          </w:tcPr>
          <w:p w:rsidR="00380E87" w:rsidRPr="0036155D" w:rsidRDefault="00380E87" w:rsidP="00A170F7">
            <w:pPr>
              <w:jc w:val="center"/>
              <w:rPr>
                <w:lang w:val="ro-RO"/>
              </w:rPr>
            </w:pPr>
            <w:r w:rsidRPr="0036155D">
              <w:rPr>
                <w:b/>
                <w:bCs/>
                <w:lang w:val="en-US"/>
              </w:rPr>
              <w:t>Nota</w:t>
            </w:r>
            <w:r w:rsidRPr="0036155D">
              <w:rPr>
                <w:b/>
                <w:bCs/>
                <w:lang w:val="ro-RO"/>
              </w:rPr>
              <w:t xml:space="preserve"> autorului</w:t>
            </w:r>
          </w:p>
        </w:tc>
      </w:tr>
      <w:tr w:rsidR="00BC59DC" w:rsidRPr="0036155D" w:rsidTr="00BC59DC">
        <w:trPr>
          <w:trHeight w:val="500"/>
        </w:trPr>
        <w:tc>
          <w:tcPr>
            <w:tcW w:w="662" w:type="dxa"/>
          </w:tcPr>
          <w:p w:rsidR="00BC59DC" w:rsidRPr="0036155D" w:rsidRDefault="00BC59DC" w:rsidP="00A170F7">
            <w:pPr>
              <w:jc w:val="both"/>
              <w:rPr>
                <w:b/>
                <w:bCs/>
                <w:lang w:val="ro-RO"/>
              </w:rPr>
            </w:pPr>
            <w:r w:rsidRPr="0036155D">
              <w:rPr>
                <w:b/>
                <w:bCs/>
                <w:lang w:val="ro-RO"/>
              </w:rPr>
              <w:t>I</w:t>
            </w:r>
          </w:p>
        </w:tc>
        <w:tc>
          <w:tcPr>
            <w:tcW w:w="3098" w:type="dxa"/>
          </w:tcPr>
          <w:p w:rsidR="00BC59DC" w:rsidRPr="0036155D" w:rsidRDefault="00BC59DC" w:rsidP="00380E87">
            <w:pPr>
              <w:jc w:val="both"/>
              <w:rPr>
                <w:b/>
                <w:bCs/>
                <w:lang w:val="ro-RO"/>
              </w:rPr>
            </w:pPr>
            <w:r w:rsidRPr="00684E9A">
              <w:rPr>
                <w:b/>
                <w:bCs/>
                <w:lang w:val="ro-RO"/>
              </w:rPr>
              <w:t>Ministerul Economiei şi Infrastructurii</w:t>
            </w:r>
            <w:r>
              <w:rPr>
                <w:b/>
                <w:bCs/>
                <w:lang w:val="ro-RO"/>
              </w:rPr>
              <w:t xml:space="preserve"> </w:t>
            </w:r>
            <w:r w:rsidR="00C67802">
              <w:rPr>
                <w:b/>
                <w:bCs/>
                <w:lang w:val="ro-RO"/>
              </w:rPr>
              <w:t>(nr. 04-4132 din 18.04.18)</w:t>
            </w:r>
          </w:p>
        </w:tc>
        <w:tc>
          <w:tcPr>
            <w:tcW w:w="6015" w:type="dxa"/>
          </w:tcPr>
          <w:p w:rsidR="00AE45E1" w:rsidRPr="00AE45E1" w:rsidRDefault="00AE45E1" w:rsidP="00AE45E1">
            <w:pPr>
              <w:jc w:val="both"/>
              <w:rPr>
                <w:bCs/>
                <w:lang w:val="ro-RO"/>
              </w:rPr>
            </w:pPr>
            <w:r w:rsidRPr="00AE45E1">
              <w:rPr>
                <w:bCs/>
                <w:lang w:val="ro-RO"/>
              </w:rPr>
              <w:t>Cu titlu de informare, menționăm că, prevederile proiectului includ norme cu caracter de reglementare a activității de întreprinzător și în acest sens urmează a fi conformat stipulărilor art. 37 litera f¹) din Legea nr.317-XV din 18.07.2003 privind actele normative ale Guvernului și ale altor autorități ale administrației publice centrale și locale, potrivit căruia Nota informativă trebuie să includă actul de analiză a impactului de reglementare (AIR), care va reprezenta argumentarea, în baza evaluării costurilor şi beneficiilor, necesității adoptării actului normativ şi analiza de impact al acestuia asupra activității de întreprinzător.</w:t>
            </w:r>
          </w:p>
          <w:p w:rsidR="00AE45E1" w:rsidRPr="00AE45E1" w:rsidRDefault="00AE45E1" w:rsidP="00AE45E1">
            <w:pPr>
              <w:jc w:val="both"/>
              <w:rPr>
                <w:bCs/>
                <w:lang w:val="ro-RO"/>
              </w:rPr>
            </w:pPr>
            <w:r w:rsidRPr="00AE45E1">
              <w:rPr>
                <w:bCs/>
                <w:lang w:val="ro-RO"/>
              </w:rPr>
              <w:t>La proiectul hotărîrii Guvernului:</w:t>
            </w:r>
          </w:p>
          <w:p w:rsidR="00AE45E1" w:rsidRPr="00AE45E1" w:rsidRDefault="00AE45E1" w:rsidP="00AE45E1">
            <w:pPr>
              <w:jc w:val="both"/>
              <w:rPr>
                <w:bCs/>
                <w:lang w:val="ro-RO"/>
              </w:rPr>
            </w:pPr>
            <w:r w:rsidRPr="00AE45E1">
              <w:rPr>
                <w:bCs/>
                <w:lang w:val="ro-RO"/>
              </w:rPr>
              <w:t>Întru asigurarea uniformității structurii proiectului hotărîrii Guvernului, recomandăm numerotarea corespunzătoare și continuă de la început și pînă la sfîrșitul proiectului. Astfel, pct. 2 care urmărește definirea Noțiunilor de bază din proiect va deveni pct.4, și în continuare se va asigura consecutivitatea numerotării.</w:t>
            </w:r>
          </w:p>
          <w:p w:rsidR="00AE45E1" w:rsidRPr="00AE45E1" w:rsidRDefault="00AE45E1" w:rsidP="00AE45E1">
            <w:pPr>
              <w:jc w:val="both"/>
              <w:rPr>
                <w:bCs/>
                <w:lang w:val="ro-RO"/>
              </w:rPr>
            </w:pPr>
            <w:r w:rsidRPr="00AE45E1">
              <w:rPr>
                <w:bCs/>
                <w:lang w:val="ro-RO"/>
              </w:rPr>
              <w:t>La capitolul I, pct. 3, autorul specifică că autoritatea competentă se asigură că numai animalele care corespund cerințelor pertinente se admit către export, astfel considerăm oportun ca după sintagma „autoritatea competentă” să fie inclus domeniul de gestiune al acestei autorității (de ex. „autoritatea competentă în domeniul siguranței alimentare și în domeniul sanitar-veterinar”) întru asigurarea clarității în proiectul hotărîrii Guvernului, care este autoritatea competentă.</w:t>
            </w:r>
          </w:p>
          <w:p w:rsidR="00AE45E1" w:rsidRPr="00AE45E1" w:rsidRDefault="00AE45E1" w:rsidP="00AE45E1">
            <w:pPr>
              <w:jc w:val="both"/>
              <w:rPr>
                <w:bCs/>
                <w:lang w:val="ro-RO"/>
              </w:rPr>
            </w:pPr>
            <w:r w:rsidRPr="00AE45E1">
              <w:rPr>
                <w:bCs/>
                <w:lang w:val="ro-RO"/>
              </w:rPr>
              <w:t xml:space="preserve">Cu privire la norma de la pct.5 și pentru a evita interpretările echivoce, referitor la elementele necesare ale </w:t>
            </w:r>
            <w:r w:rsidRPr="00AE45E1">
              <w:rPr>
                <w:bCs/>
                <w:lang w:val="ro-RO"/>
              </w:rPr>
              <w:lastRenderedPageBreak/>
              <w:t>unui certificat sanitar-veterinar, considerăm necesar de specificat, în norma respectivă că, certificate sanitar-veterinare cuprind certificatele de sănătate a animalelor, conform anexelor la prezenta normă.</w:t>
            </w:r>
          </w:p>
          <w:p w:rsidR="00AE45E1" w:rsidRPr="00AE45E1" w:rsidRDefault="00AE45E1" w:rsidP="00AE45E1">
            <w:pPr>
              <w:jc w:val="both"/>
              <w:rPr>
                <w:bCs/>
                <w:lang w:val="ro-RO"/>
              </w:rPr>
            </w:pPr>
            <w:r w:rsidRPr="00AE45E1">
              <w:rPr>
                <w:bCs/>
                <w:lang w:val="ro-RO"/>
              </w:rPr>
              <w:t>La pct.7, autorul menționează că pentru animalele provenite din centrele de colectare autorizate, certificatul sanitar veterinar se întocmește în baza unui document oficial sau în baza unui certificat sanitar veterinar, astfel întru evitarea dublărilor de sens, considerăm necesar ca după sintagma „în baza” se va completa cu sintagma „modelului de”.</w:t>
            </w:r>
          </w:p>
          <w:p w:rsidR="00AE45E1" w:rsidRPr="00AE45E1" w:rsidRDefault="00AE45E1" w:rsidP="00AE45E1">
            <w:pPr>
              <w:jc w:val="both"/>
              <w:rPr>
                <w:bCs/>
                <w:lang w:val="ro-RO"/>
              </w:rPr>
            </w:pPr>
            <w:r w:rsidRPr="00AE45E1">
              <w:rPr>
                <w:bCs/>
                <w:lang w:val="ro-RO"/>
              </w:rPr>
              <w:t>La pct.9, considerăm necesar de specificat ce cuprinde sistemul „ANIMO” și de către cine este instituit/creat, ori dacă acesta se regăsește în cadrul normativ național, este necesar de făcut referință la actul normativ în cauză.</w:t>
            </w:r>
          </w:p>
          <w:p w:rsidR="00AE45E1" w:rsidRPr="00AE45E1" w:rsidRDefault="00AE45E1" w:rsidP="00AE45E1">
            <w:pPr>
              <w:jc w:val="both"/>
              <w:rPr>
                <w:bCs/>
                <w:lang w:val="ro-RO"/>
              </w:rPr>
            </w:pPr>
            <w:r w:rsidRPr="00AE45E1">
              <w:rPr>
                <w:bCs/>
                <w:lang w:val="ro-RO"/>
              </w:rPr>
              <w:t>Cu referire la norma stipulată în pct.10 din proiect cu privire la „tranzitul animalelor printr-un centru de colectare situat pe teritoriul altei țări”, aceasta urmează a fi corelată cu prevederile art. 34, alin. (2) din Legea nr. 221 din 19.10.2017 privind activitatea sanitar-veterinară, care prevede că „operațiunile de import, export şi tranzit de animale vii, material germinativ de origine animală, produse şi subproduse supuse supravegherii şi controlului sanitar-veterinar pot fi efectuate numai dacă s-a făcut o notificare prealabilă prin sistemul informaţional TRACES cu cel puţin 24 de ore înainte de operaţiunea de import, export sau tranzit”.</w:t>
            </w:r>
          </w:p>
          <w:p w:rsidR="00AE45E1" w:rsidRPr="00AE45E1" w:rsidRDefault="00AE45E1" w:rsidP="00AE45E1">
            <w:pPr>
              <w:jc w:val="both"/>
              <w:rPr>
                <w:bCs/>
                <w:lang w:val="ro-RO"/>
              </w:rPr>
            </w:pPr>
            <w:r w:rsidRPr="00AE45E1">
              <w:rPr>
                <w:bCs/>
                <w:lang w:val="ro-RO"/>
              </w:rPr>
              <w:t>La pct. 10 se menționează că „medicul veterinar oficial responsabil de centrul de colectare eliberează un atestat pentru țara de de destinație, în cazul dat, considerăm necesar de specificat ce cuprinde atestatul respectiv, și dacă acesta este legiferat”.</w:t>
            </w:r>
          </w:p>
          <w:p w:rsidR="005F1B19" w:rsidRDefault="005F1B19" w:rsidP="00AE45E1">
            <w:pPr>
              <w:jc w:val="both"/>
              <w:rPr>
                <w:bCs/>
                <w:lang w:val="ro-RO"/>
              </w:rPr>
            </w:pPr>
          </w:p>
          <w:p w:rsidR="00AE45E1" w:rsidRPr="00AE45E1" w:rsidRDefault="00AE45E1" w:rsidP="00AE45E1">
            <w:pPr>
              <w:jc w:val="both"/>
              <w:rPr>
                <w:bCs/>
                <w:lang w:val="ro-RO"/>
              </w:rPr>
            </w:pPr>
            <w:r w:rsidRPr="00AE45E1">
              <w:rPr>
                <w:bCs/>
                <w:lang w:val="ro-RO"/>
              </w:rPr>
              <w:t xml:space="preserve">La Capitolul V Rețele de control, considerăm necesar de </w:t>
            </w:r>
            <w:r w:rsidRPr="00AE45E1">
              <w:rPr>
                <w:bCs/>
                <w:lang w:val="ro-RO"/>
              </w:rPr>
              <w:lastRenderedPageBreak/>
              <w:t>specificat cum sunt instituite/create „rețele de control”, ori dacă aceste rețele vor fi instituite printr-un Sistem informațional, cum va fi asigurată legătura între participanții la aceste sisteme (autoritatea competentă-proprietarul exploatației- medicul veterinar-serviciul veterinar oficial-laboratoarele oficiale de diagnostic veterinar-centre de colectare autorizate).</w:t>
            </w:r>
          </w:p>
          <w:p w:rsidR="00AE45E1" w:rsidRDefault="00AE45E1" w:rsidP="00AE45E1">
            <w:pPr>
              <w:jc w:val="both"/>
              <w:rPr>
                <w:bCs/>
                <w:lang w:val="ro-RO"/>
              </w:rPr>
            </w:pPr>
            <w:r w:rsidRPr="00AE45E1">
              <w:rPr>
                <w:bCs/>
                <w:lang w:val="ro-RO"/>
              </w:rPr>
              <w:t>Adițional, la pct. 31, considerăm judicios de argumentat/specificat cum va fi efectuată calificarea oficială a exploatațiilor prin sistemele de rețele de control, și de către cine va fi efectuată această calificare oficială.</w:t>
            </w:r>
          </w:p>
          <w:p w:rsidR="00EC005B" w:rsidRDefault="00EC005B" w:rsidP="00AE45E1">
            <w:pPr>
              <w:jc w:val="both"/>
              <w:rPr>
                <w:bCs/>
                <w:lang w:val="ro-RO"/>
              </w:rPr>
            </w:pPr>
          </w:p>
          <w:p w:rsidR="00EC005B" w:rsidRDefault="00EC005B" w:rsidP="00AE45E1">
            <w:pPr>
              <w:jc w:val="both"/>
              <w:rPr>
                <w:bCs/>
                <w:lang w:val="ro-RO"/>
              </w:rPr>
            </w:pPr>
          </w:p>
          <w:p w:rsidR="00EC005B" w:rsidRDefault="00EC005B" w:rsidP="00AE45E1">
            <w:pPr>
              <w:jc w:val="both"/>
              <w:rPr>
                <w:bCs/>
                <w:lang w:val="ro-RO"/>
              </w:rPr>
            </w:pPr>
          </w:p>
          <w:p w:rsidR="00EC005B" w:rsidRPr="00AE45E1" w:rsidRDefault="00EC005B" w:rsidP="00AE45E1">
            <w:pPr>
              <w:jc w:val="both"/>
              <w:rPr>
                <w:bCs/>
                <w:lang w:val="ro-RO"/>
              </w:rPr>
            </w:pPr>
          </w:p>
          <w:p w:rsidR="00BC59DC" w:rsidRPr="006518DD" w:rsidRDefault="00AE45E1" w:rsidP="00AE45E1">
            <w:pPr>
              <w:jc w:val="both"/>
              <w:rPr>
                <w:b/>
                <w:bCs/>
                <w:lang w:val="ro-RO"/>
              </w:rPr>
            </w:pPr>
            <w:r w:rsidRPr="00AE45E1">
              <w:rPr>
                <w:bCs/>
                <w:lang w:val="ro-RO"/>
              </w:rPr>
              <w:t>În context, potrivit alin. (2) din art. 41 al Legii nr.317-XV din 18.07.2003 privind actele normative ale Guvernului și ale altor autorități ale administrației publice centrale și locale, proiectul hotărîrii în cauză urmează a fi supus, în mod obligatoriu, unei expertize anticorupție din partea Centrului Național Anticorupție pentru a preveni apariția de noi reglementări ce favorizează sau pot favoriza corupția.</w:t>
            </w:r>
          </w:p>
        </w:tc>
        <w:tc>
          <w:tcPr>
            <w:tcW w:w="5818" w:type="dxa"/>
            <w:gridSpan w:val="2"/>
          </w:tcPr>
          <w:p w:rsidR="00AE45E1" w:rsidRDefault="00AE45E1" w:rsidP="00AE45E1">
            <w:pPr>
              <w:jc w:val="both"/>
              <w:rPr>
                <w:bCs/>
                <w:lang w:val="ro-RO"/>
              </w:rPr>
            </w:pPr>
            <w:r>
              <w:rPr>
                <w:b/>
                <w:bCs/>
                <w:lang w:val="ro-RO"/>
              </w:rPr>
              <w:lastRenderedPageBreak/>
              <w:t xml:space="preserve">Se acceptă. </w:t>
            </w:r>
            <w:r>
              <w:rPr>
                <w:bCs/>
                <w:lang w:val="ro-RO"/>
              </w:rPr>
              <w:t>În N</w:t>
            </w:r>
            <w:r w:rsidRPr="00AE45E1">
              <w:rPr>
                <w:bCs/>
                <w:lang w:val="ro-RO"/>
              </w:rPr>
              <w:t xml:space="preserve">ota informativă </w:t>
            </w:r>
            <w:r>
              <w:rPr>
                <w:bCs/>
                <w:lang w:val="ro-RO"/>
              </w:rPr>
              <w:t xml:space="preserve"> se face referire la</w:t>
            </w:r>
            <w:r w:rsidRPr="00AE45E1">
              <w:rPr>
                <w:bCs/>
                <w:lang w:val="ro-RO"/>
              </w:rPr>
              <w:t xml:space="preserve"> actul de analiză a impactulu</w:t>
            </w:r>
            <w:r>
              <w:rPr>
                <w:bCs/>
                <w:lang w:val="ro-RO"/>
              </w:rPr>
              <w:t>i de reglementare (AIR), care reprezentă</w:t>
            </w:r>
            <w:r w:rsidRPr="00AE45E1">
              <w:rPr>
                <w:bCs/>
                <w:lang w:val="ro-RO"/>
              </w:rPr>
              <w:t xml:space="preserve"> argumentarea, în baza evalu</w:t>
            </w:r>
            <w:r>
              <w:rPr>
                <w:bCs/>
                <w:lang w:val="ro-RO"/>
              </w:rPr>
              <w:t>ării costurilor şi beneficiilor și necesitatea</w:t>
            </w:r>
            <w:r w:rsidRPr="00AE45E1">
              <w:rPr>
                <w:bCs/>
                <w:lang w:val="ro-RO"/>
              </w:rPr>
              <w:t xml:space="preserve"> adoptării </w:t>
            </w:r>
            <w:r>
              <w:rPr>
                <w:bCs/>
                <w:lang w:val="ro-RO"/>
              </w:rPr>
              <w:t>proiectului de act</w:t>
            </w:r>
            <w:r w:rsidRPr="00AE45E1">
              <w:rPr>
                <w:bCs/>
                <w:lang w:val="ro-RO"/>
              </w:rPr>
              <w:t xml:space="preserve"> normativ.</w:t>
            </w:r>
          </w:p>
          <w:p w:rsidR="00AE45E1" w:rsidRDefault="00AE45E1" w:rsidP="00AE45E1">
            <w:pPr>
              <w:jc w:val="both"/>
              <w:rPr>
                <w:bCs/>
                <w:lang w:val="ro-RO"/>
              </w:rPr>
            </w:pPr>
          </w:p>
          <w:p w:rsidR="00AE45E1" w:rsidRDefault="00AE45E1" w:rsidP="00AE45E1">
            <w:pPr>
              <w:jc w:val="both"/>
              <w:rPr>
                <w:bCs/>
                <w:lang w:val="ro-RO"/>
              </w:rPr>
            </w:pPr>
          </w:p>
          <w:p w:rsidR="00AE45E1" w:rsidRDefault="00AE45E1" w:rsidP="00AE45E1">
            <w:pPr>
              <w:jc w:val="both"/>
              <w:rPr>
                <w:bCs/>
                <w:lang w:val="ro-RO"/>
              </w:rPr>
            </w:pPr>
          </w:p>
          <w:p w:rsidR="00AE45E1" w:rsidRDefault="00AE45E1" w:rsidP="00AE45E1">
            <w:pPr>
              <w:jc w:val="both"/>
              <w:rPr>
                <w:bCs/>
                <w:lang w:val="ro-RO"/>
              </w:rPr>
            </w:pPr>
          </w:p>
          <w:p w:rsidR="00AE45E1" w:rsidRDefault="00AE45E1" w:rsidP="00AE45E1">
            <w:pPr>
              <w:jc w:val="both"/>
              <w:rPr>
                <w:bCs/>
                <w:lang w:val="ro-RO"/>
              </w:rPr>
            </w:pPr>
          </w:p>
          <w:p w:rsidR="00AE45E1" w:rsidRDefault="00AE45E1" w:rsidP="00AE45E1">
            <w:pPr>
              <w:jc w:val="both"/>
              <w:rPr>
                <w:bCs/>
                <w:lang w:val="ro-RO"/>
              </w:rPr>
            </w:pPr>
          </w:p>
          <w:p w:rsidR="00AE45E1" w:rsidRDefault="00AE45E1" w:rsidP="00AE45E1">
            <w:pPr>
              <w:jc w:val="both"/>
              <w:rPr>
                <w:bCs/>
                <w:lang w:val="ro-RO"/>
              </w:rPr>
            </w:pPr>
          </w:p>
          <w:p w:rsidR="00AE45E1" w:rsidRDefault="00BC0358" w:rsidP="00AE45E1">
            <w:pPr>
              <w:jc w:val="both"/>
              <w:rPr>
                <w:bCs/>
                <w:lang w:val="ro-RO"/>
              </w:rPr>
            </w:pPr>
            <w:r>
              <w:rPr>
                <w:b/>
                <w:bCs/>
                <w:lang w:val="ro-RO"/>
              </w:rPr>
              <w:t xml:space="preserve">Se </w:t>
            </w:r>
            <w:r w:rsidR="00AE45E1">
              <w:rPr>
                <w:b/>
                <w:bCs/>
                <w:lang w:val="ro-RO"/>
              </w:rPr>
              <w:t>acceptă.</w:t>
            </w:r>
            <w:r>
              <w:rPr>
                <w:bCs/>
                <w:lang w:val="ro-RO"/>
              </w:rPr>
              <w:t xml:space="preserve"> </w:t>
            </w:r>
            <w:r w:rsidR="00AE45E1">
              <w:rPr>
                <w:bCs/>
                <w:lang w:val="ro-RO"/>
              </w:rPr>
              <w:t xml:space="preserve">A fost efectuată </w:t>
            </w:r>
            <w:r w:rsidR="00AD21FB">
              <w:rPr>
                <w:bCs/>
                <w:lang w:val="ro-RO"/>
              </w:rPr>
              <w:t>nu</w:t>
            </w:r>
            <w:r w:rsidR="00AE45E1" w:rsidRPr="00AE45E1">
              <w:rPr>
                <w:bCs/>
                <w:lang w:val="ro-RO"/>
              </w:rPr>
              <w:t>merotarea corespunzătoare</w:t>
            </w:r>
            <w:r w:rsidR="00AE45E1">
              <w:rPr>
                <w:bCs/>
                <w:lang w:val="ro-RO"/>
              </w:rPr>
              <w:t>.</w:t>
            </w:r>
          </w:p>
          <w:p w:rsidR="00AE45E1" w:rsidRDefault="00AE45E1" w:rsidP="00AE45E1">
            <w:pPr>
              <w:jc w:val="both"/>
              <w:rPr>
                <w:bCs/>
                <w:lang w:val="ro-RO"/>
              </w:rPr>
            </w:pPr>
          </w:p>
          <w:p w:rsidR="00AE45E1" w:rsidRDefault="00AE45E1" w:rsidP="00AE45E1">
            <w:pPr>
              <w:jc w:val="both"/>
              <w:rPr>
                <w:bCs/>
                <w:lang w:val="ro-RO"/>
              </w:rPr>
            </w:pPr>
          </w:p>
          <w:p w:rsidR="00AE45E1" w:rsidRDefault="00AE45E1" w:rsidP="00AE45E1">
            <w:pPr>
              <w:jc w:val="both"/>
              <w:rPr>
                <w:bCs/>
                <w:lang w:val="ro-RO"/>
              </w:rPr>
            </w:pPr>
          </w:p>
          <w:p w:rsidR="00AE45E1" w:rsidRDefault="00AE45E1" w:rsidP="00AE45E1">
            <w:pPr>
              <w:jc w:val="both"/>
              <w:rPr>
                <w:bCs/>
                <w:lang w:val="ro-RO"/>
              </w:rPr>
            </w:pPr>
          </w:p>
          <w:p w:rsidR="00AE45E1" w:rsidRDefault="00AE45E1" w:rsidP="00AE45E1">
            <w:pPr>
              <w:jc w:val="both"/>
              <w:rPr>
                <w:bCs/>
                <w:lang w:val="ro-RO"/>
              </w:rPr>
            </w:pPr>
            <w:r>
              <w:rPr>
                <w:bCs/>
                <w:lang w:val="ro-RO"/>
              </w:rPr>
              <w:t>Potrivit Legii nr. 221 din 19 octombrie 2007</w:t>
            </w:r>
            <w:r w:rsidR="00BC0358">
              <w:rPr>
                <w:bCs/>
                <w:lang w:val="ro-RO"/>
              </w:rPr>
              <w:t xml:space="preserve"> privind activitatea sanitar veterinara, în RM</w:t>
            </w:r>
            <w:r>
              <w:rPr>
                <w:bCs/>
                <w:lang w:val="ro-RO"/>
              </w:rPr>
              <w:t xml:space="preserve"> autoritatea </w:t>
            </w:r>
            <w:r w:rsidR="00BC0358">
              <w:rPr>
                <w:bCs/>
                <w:lang w:val="ro-RO"/>
              </w:rPr>
              <w:t xml:space="preserve">sanitar veterinară competentă </w:t>
            </w:r>
            <w:r>
              <w:rPr>
                <w:bCs/>
                <w:lang w:val="ro-RO"/>
              </w:rPr>
              <w:t>este Agenția Națională pentru Siguranța Ali</w:t>
            </w:r>
            <w:r w:rsidR="00BC0358">
              <w:rPr>
                <w:bCs/>
                <w:lang w:val="ro-RO"/>
              </w:rPr>
              <w:t>mentelor. În alte state această autoritate</w:t>
            </w:r>
            <w:r>
              <w:rPr>
                <w:bCs/>
                <w:lang w:val="ro-RO"/>
              </w:rPr>
              <w:t xml:space="preserve"> se numește diferit. D</w:t>
            </w:r>
            <w:r w:rsidR="00BC0358">
              <w:rPr>
                <w:bCs/>
                <w:lang w:val="ro-RO"/>
              </w:rPr>
              <w:t>eoarece d</w:t>
            </w:r>
            <w:r>
              <w:rPr>
                <w:bCs/>
                <w:lang w:val="ro-RO"/>
              </w:rPr>
              <w:t xml:space="preserve">enumirea autorității competente poate să se modifice deseori, considerăm să ne limităm doar la sintagma </w:t>
            </w:r>
            <w:r w:rsidRPr="00AE45E1">
              <w:rPr>
                <w:bCs/>
                <w:lang w:val="ro-RO"/>
              </w:rPr>
              <w:t>„autoritatea competentă”</w:t>
            </w:r>
            <w:r>
              <w:rPr>
                <w:bCs/>
                <w:lang w:val="ro-RO"/>
              </w:rPr>
              <w:t>.</w:t>
            </w:r>
          </w:p>
          <w:p w:rsidR="00BC0358" w:rsidRDefault="00BC0358" w:rsidP="00AE45E1">
            <w:pPr>
              <w:jc w:val="both"/>
              <w:rPr>
                <w:bCs/>
                <w:lang w:val="ro-RO"/>
              </w:rPr>
            </w:pPr>
          </w:p>
          <w:p w:rsidR="00BC0358" w:rsidRDefault="00BC0358" w:rsidP="00AE45E1">
            <w:pPr>
              <w:jc w:val="both"/>
              <w:rPr>
                <w:bCs/>
                <w:lang w:val="ro-RO"/>
              </w:rPr>
            </w:pPr>
          </w:p>
          <w:p w:rsidR="00BC0358" w:rsidRDefault="00BC0358" w:rsidP="00AE45E1">
            <w:pPr>
              <w:jc w:val="both"/>
              <w:rPr>
                <w:bCs/>
                <w:lang w:val="ro-RO"/>
              </w:rPr>
            </w:pPr>
            <w:r>
              <w:rPr>
                <w:b/>
                <w:bCs/>
                <w:lang w:val="ro-RO"/>
              </w:rPr>
              <w:t xml:space="preserve">Se acceptă. </w:t>
            </w:r>
            <w:r w:rsidRPr="00BC0358">
              <w:rPr>
                <w:bCs/>
                <w:lang w:val="ro-RO"/>
              </w:rPr>
              <w:t>Conform</w:t>
            </w:r>
            <w:r>
              <w:rPr>
                <w:bCs/>
                <w:lang w:val="ro-RO"/>
              </w:rPr>
              <w:t xml:space="preserve"> legii în RM actul permisiv este </w:t>
            </w:r>
            <w:r w:rsidRPr="00BC0358">
              <w:rPr>
                <w:bCs/>
                <w:lang w:val="ro-RO"/>
              </w:rPr>
              <w:t>certificat</w:t>
            </w:r>
            <w:r>
              <w:rPr>
                <w:bCs/>
                <w:lang w:val="ro-RO"/>
              </w:rPr>
              <w:t>ul</w:t>
            </w:r>
            <w:r w:rsidRPr="00BC0358">
              <w:rPr>
                <w:bCs/>
                <w:lang w:val="ro-RO"/>
              </w:rPr>
              <w:t xml:space="preserve"> sanitar-veterinar</w:t>
            </w:r>
            <w:r>
              <w:rPr>
                <w:bCs/>
                <w:lang w:val="ro-RO"/>
              </w:rPr>
              <w:t xml:space="preserve">, în alte țări se numește </w:t>
            </w:r>
            <w:r>
              <w:rPr>
                <w:bCs/>
                <w:lang w:val="ro-RO"/>
              </w:rPr>
              <w:lastRenderedPageBreak/>
              <w:t>certificat de sănătate animală care este echivalentul</w:t>
            </w:r>
            <w:r w:rsidR="00BA234B">
              <w:rPr>
                <w:bCs/>
                <w:lang w:val="ro-RO"/>
              </w:rPr>
              <w:t xml:space="preserve"> (similarul)</w:t>
            </w:r>
            <w:r>
              <w:rPr>
                <w:bCs/>
                <w:lang w:val="ro-RO"/>
              </w:rPr>
              <w:t xml:space="preserve"> primului – fapt inclus </w:t>
            </w:r>
            <w:r w:rsidR="005E6115">
              <w:rPr>
                <w:bCs/>
                <w:lang w:val="ro-RO"/>
              </w:rPr>
              <w:t>la prima menționare</w:t>
            </w:r>
            <w:r w:rsidR="00403FB6">
              <w:rPr>
                <w:bCs/>
                <w:lang w:val="ro-RO"/>
              </w:rPr>
              <w:t xml:space="preserve">. </w:t>
            </w:r>
          </w:p>
          <w:p w:rsidR="00BC0358" w:rsidRDefault="00BC0358" w:rsidP="00AE45E1">
            <w:pPr>
              <w:jc w:val="both"/>
              <w:rPr>
                <w:bCs/>
                <w:lang w:val="ro-RO"/>
              </w:rPr>
            </w:pPr>
          </w:p>
          <w:p w:rsidR="00BC0358" w:rsidRDefault="00BC0358" w:rsidP="00AE45E1">
            <w:pPr>
              <w:jc w:val="both"/>
              <w:rPr>
                <w:bCs/>
                <w:lang w:val="ro-RO"/>
              </w:rPr>
            </w:pPr>
          </w:p>
          <w:p w:rsidR="00BC0358" w:rsidRDefault="00BC0358" w:rsidP="00AE45E1">
            <w:pPr>
              <w:jc w:val="both"/>
              <w:rPr>
                <w:b/>
                <w:bCs/>
                <w:lang w:val="ro-RO"/>
              </w:rPr>
            </w:pPr>
            <w:r>
              <w:rPr>
                <w:b/>
                <w:bCs/>
                <w:lang w:val="ro-RO"/>
              </w:rPr>
              <w:t>Se acceptă.</w:t>
            </w:r>
            <w:r w:rsidR="005E6115">
              <w:rPr>
                <w:b/>
                <w:bCs/>
                <w:lang w:val="ro-RO"/>
              </w:rPr>
              <w:t xml:space="preserve"> </w:t>
            </w:r>
          </w:p>
          <w:p w:rsidR="00BA234B" w:rsidRDefault="00BA234B" w:rsidP="00AE45E1">
            <w:pPr>
              <w:jc w:val="both"/>
              <w:rPr>
                <w:b/>
                <w:bCs/>
                <w:lang w:val="ro-RO"/>
              </w:rPr>
            </w:pPr>
          </w:p>
          <w:p w:rsidR="00BA234B" w:rsidRDefault="00BA234B" w:rsidP="00AE45E1">
            <w:pPr>
              <w:jc w:val="both"/>
              <w:rPr>
                <w:b/>
                <w:bCs/>
                <w:lang w:val="ro-RO"/>
              </w:rPr>
            </w:pPr>
          </w:p>
          <w:p w:rsidR="00BA234B" w:rsidRDefault="00BA234B" w:rsidP="00AE45E1">
            <w:pPr>
              <w:jc w:val="both"/>
              <w:rPr>
                <w:b/>
                <w:bCs/>
                <w:lang w:val="ro-RO"/>
              </w:rPr>
            </w:pPr>
          </w:p>
          <w:p w:rsidR="00BA234B" w:rsidRDefault="00BA234B" w:rsidP="00AE45E1">
            <w:pPr>
              <w:jc w:val="both"/>
              <w:rPr>
                <w:b/>
                <w:bCs/>
                <w:lang w:val="ro-RO"/>
              </w:rPr>
            </w:pPr>
          </w:p>
          <w:p w:rsidR="00BA234B" w:rsidRDefault="00BA234B" w:rsidP="00AE45E1">
            <w:pPr>
              <w:jc w:val="both"/>
              <w:rPr>
                <w:b/>
                <w:bCs/>
                <w:lang w:val="ro-RO"/>
              </w:rPr>
            </w:pPr>
          </w:p>
          <w:p w:rsidR="00BA234B" w:rsidRDefault="00BA234B" w:rsidP="00BA234B">
            <w:pPr>
              <w:jc w:val="both"/>
              <w:rPr>
                <w:bCs/>
                <w:lang w:val="ro-RO"/>
              </w:rPr>
            </w:pPr>
            <w:r>
              <w:rPr>
                <w:b/>
                <w:bCs/>
                <w:lang w:val="ro-RO"/>
              </w:rPr>
              <w:t xml:space="preserve">Se acceptă. </w:t>
            </w:r>
            <w:r w:rsidR="00B82CE3">
              <w:rPr>
                <w:bCs/>
                <w:lang w:val="ro-RO"/>
              </w:rPr>
              <w:t>S</w:t>
            </w:r>
            <w:r w:rsidR="00B82CE3" w:rsidRPr="00AE45E1">
              <w:rPr>
                <w:bCs/>
                <w:lang w:val="ro-RO"/>
              </w:rPr>
              <w:t>istemul „ANIMO”</w:t>
            </w:r>
            <w:r w:rsidR="00C220A2">
              <w:rPr>
                <w:bCs/>
                <w:lang w:val="ro-RO"/>
              </w:rPr>
              <w:t xml:space="preserve"> comunitar</w:t>
            </w:r>
            <w:r w:rsidR="00B82CE3">
              <w:rPr>
                <w:bCs/>
                <w:lang w:val="ro-RO"/>
              </w:rPr>
              <w:t xml:space="preserve"> este similar S</w:t>
            </w:r>
            <w:r w:rsidR="006E73FA">
              <w:rPr>
                <w:bCs/>
                <w:lang w:val="ro-RO"/>
              </w:rPr>
              <w:t xml:space="preserve">istemului </w:t>
            </w:r>
            <w:r w:rsidR="00B82CE3">
              <w:rPr>
                <w:bCs/>
                <w:lang w:val="ro-RO"/>
              </w:rPr>
              <w:t>I</w:t>
            </w:r>
            <w:r w:rsidR="00C220A2">
              <w:rPr>
                <w:bCs/>
                <w:lang w:val="ro-RO"/>
              </w:rPr>
              <w:t>nformațional Agricol Registrul de Stat a Animalelor (SIA RSA) al Republicii Moldova, persoana juridică fiind Centrul Informațional Agricol (CIA).</w:t>
            </w:r>
          </w:p>
          <w:p w:rsidR="003135B6" w:rsidRDefault="003135B6" w:rsidP="00BA234B">
            <w:pPr>
              <w:jc w:val="both"/>
              <w:rPr>
                <w:bCs/>
                <w:lang w:val="ro-RO"/>
              </w:rPr>
            </w:pPr>
            <w:r>
              <w:rPr>
                <w:b/>
                <w:bCs/>
                <w:lang w:val="ro-RO"/>
              </w:rPr>
              <w:t xml:space="preserve">Se acceptă. </w:t>
            </w:r>
            <w:r w:rsidRPr="003135B6">
              <w:rPr>
                <w:bCs/>
                <w:lang w:val="ro-RO"/>
              </w:rPr>
              <w:t xml:space="preserve">Norma </w:t>
            </w:r>
            <w:r>
              <w:rPr>
                <w:bCs/>
                <w:lang w:val="ro-RO"/>
              </w:rPr>
              <w:t xml:space="preserve">stipulată </w:t>
            </w:r>
            <w:r w:rsidR="00AD21FB">
              <w:rPr>
                <w:bCs/>
                <w:lang w:val="ro-RO"/>
              </w:rPr>
              <w:t>în pct.10, după renu</w:t>
            </w:r>
            <w:r>
              <w:rPr>
                <w:bCs/>
                <w:lang w:val="ro-RO"/>
              </w:rPr>
              <w:t>merotare punctul 12</w:t>
            </w:r>
            <w:r w:rsidRPr="003135B6">
              <w:rPr>
                <w:bCs/>
                <w:lang w:val="ro-RO"/>
              </w:rPr>
              <w:t xml:space="preserve"> din proiect cu privire la „tranzitul animalelor printr-un centru de colectare situat pe teritoriul altei țări”, </w:t>
            </w:r>
            <w:r w:rsidR="006B27FF">
              <w:rPr>
                <w:bCs/>
                <w:lang w:val="ro-RO"/>
              </w:rPr>
              <w:t>a fost</w:t>
            </w:r>
            <w:r w:rsidRPr="003135B6">
              <w:rPr>
                <w:bCs/>
                <w:lang w:val="ro-RO"/>
              </w:rPr>
              <w:t xml:space="preserve"> corelată cu prevederile art. 34, alin. (2) din Legea nr. 221 din 19.10.2017 privind activitatea sanitar-veterinar</w:t>
            </w:r>
            <w:r w:rsidR="006B27FF">
              <w:rPr>
                <w:bCs/>
                <w:lang w:val="ro-RO"/>
              </w:rPr>
              <w:t>ă, prin completarea cu cuvintele ”</w:t>
            </w:r>
            <w:r w:rsidR="006B27FF" w:rsidRPr="006B27FF">
              <w:rPr>
                <w:bCs/>
                <w:lang w:val="ro-RO"/>
              </w:rPr>
              <w:t>cu notificarea prealabilă prin sistemul informațional TRACES cu cel puțin 24 de ore înainte de operațiunea planificată</w:t>
            </w:r>
            <w:r w:rsidR="006B27FF">
              <w:rPr>
                <w:bCs/>
                <w:lang w:val="ro-RO"/>
              </w:rPr>
              <w:t>”</w:t>
            </w:r>
            <w:r w:rsidR="006B27FF" w:rsidRPr="006B27FF">
              <w:rPr>
                <w:bCs/>
                <w:lang w:val="ro-RO"/>
              </w:rPr>
              <w:t>.</w:t>
            </w:r>
          </w:p>
          <w:p w:rsidR="003135B6" w:rsidRDefault="003135B6" w:rsidP="00BA234B">
            <w:pPr>
              <w:jc w:val="both"/>
              <w:rPr>
                <w:bCs/>
                <w:lang w:val="ro-RO"/>
              </w:rPr>
            </w:pPr>
          </w:p>
          <w:p w:rsidR="003135B6" w:rsidRDefault="003135B6" w:rsidP="00BA234B">
            <w:pPr>
              <w:jc w:val="both"/>
              <w:rPr>
                <w:bCs/>
                <w:lang w:val="ro-RO"/>
              </w:rPr>
            </w:pPr>
          </w:p>
          <w:p w:rsidR="003135B6" w:rsidRDefault="003135B6" w:rsidP="00BA234B">
            <w:pPr>
              <w:jc w:val="both"/>
              <w:rPr>
                <w:bCs/>
                <w:lang w:val="ro-RO"/>
              </w:rPr>
            </w:pPr>
          </w:p>
          <w:p w:rsidR="003135B6" w:rsidRDefault="003135B6" w:rsidP="00BA234B">
            <w:pPr>
              <w:jc w:val="both"/>
              <w:rPr>
                <w:bCs/>
                <w:lang w:val="ro-RO"/>
              </w:rPr>
            </w:pPr>
          </w:p>
          <w:p w:rsidR="006B27FF" w:rsidRDefault="003135B6" w:rsidP="003135B6">
            <w:pPr>
              <w:jc w:val="both"/>
              <w:rPr>
                <w:bCs/>
                <w:lang w:val="ro-RO"/>
              </w:rPr>
            </w:pPr>
            <w:r>
              <w:rPr>
                <w:b/>
                <w:bCs/>
                <w:lang w:val="ro-RO"/>
              </w:rPr>
              <w:t>Se acceptă.</w:t>
            </w:r>
            <w:r w:rsidR="005F1B19">
              <w:rPr>
                <w:b/>
                <w:bCs/>
                <w:lang w:val="ro-RO"/>
              </w:rPr>
              <w:t xml:space="preserve"> </w:t>
            </w:r>
            <w:r w:rsidR="005F1B19">
              <w:rPr>
                <w:bCs/>
                <w:lang w:val="ro-RO"/>
              </w:rPr>
              <w:t>Punctul 10 a fost modificat și adus în concordanță cu prevederile stabilite în secțiunea</w:t>
            </w:r>
            <w:r w:rsidR="005F1B19" w:rsidRPr="005F1B19">
              <w:rPr>
                <w:bCs/>
                <w:lang w:val="ro-RO"/>
              </w:rPr>
              <w:t xml:space="preserve"> 4</w:t>
            </w:r>
            <w:r w:rsidR="005F1B19">
              <w:rPr>
                <w:bCs/>
                <w:lang w:val="ro-RO"/>
              </w:rPr>
              <w:t>, capitolul II al Hotărîrii de Guvern n</w:t>
            </w:r>
            <w:r w:rsidR="005F1B19" w:rsidRPr="005F1B19">
              <w:rPr>
                <w:bCs/>
                <w:lang w:val="ro-RO"/>
              </w:rPr>
              <w:t>r. 507 din  18.07.2012 pentru aprobarea unor norme privind identificarea şi trasabilitatea animalelor, publicat în Monitorul Oficial, 2012,  nr. 155-159,     art nr : 574;</w:t>
            </w:r>
            <w:r>
              <w:rPr>
                <w:b/>
                <w:bCs/>
                <w:lang w:val="ro-RO"/>
              </w:rPr>
              <w:t xml:space="preserve"> </w:t>
            </w:r>
          </w:p>
          <w:p w:rsidR="006B27FF" w:rsidRDefault="006B27FF" w:rsidP="006B27FF">
            <w:pPr>
              <w:jc w:val="both"/>
              <w:rPr>
                <w:bCs/>
                <w:lang w:val="ro-RO"/>
              </w:rPr>
            </w:pPr>
            <w:r>
              <w:rPr>
                <w:b/>
                <w:bCs/>
                <w:lang w:val="ro-RO"/>
              </w:rPr>
              <w:t xml:space="preserve">Se acceptă. </w:t>
            </w:r>
            <w:r>
              <w:rPr>
                <w:bCs/>
                <w:lang w:val="ro-RO"/>
              </w:rPr>
              <w:t xml:space="preserve">De mai mulți ani se interprind măsuri pentru </w:t>
            </w:r>
            <w:r>
              <w:rPr>
                <w:bCs/>
                <w:lang w:val="ro-RO"/>
              </w:rPr>
              <w:lastRenderedPageBreak/>
              <w:t xml:space="preserve">implementarea Sistemului LIMS </w:t>
            </w:r>
            <w:r w:rsidR="00EC005B">
              <w:rPr>
                <w:bCs/>
                <w:lang w:val="ro-RO"/>
              </w:rPr>
              <w:t>pe tot segmentul  autoritatea competentă</w:t>
            </w:r>
            <w:r>
              <w:rPr>
                <w:bCs/>
                <w:lang w:val="ro-RO"/>
              </w:rPr>
              <w:t xml:space="preserve"> </w:t>
            </w:r>
            <w:r w:rsidRPr="00AE45E1">
              <w:rPr>
                <w:bCs/>
                <w:lang w:val="ro-RO"/>
              </w:rPr>
              <w:t>-</w:t>
            </w:r>
            <w:r>
              <w:rPr>
                <w:bCs/>
                <w:lang w:val="ro-RO"/>
              </w:rPr>
              <w:t xml:space="preserve"> </w:t>
            </w:r>
            <w:r w:rsidRPr="00AE45E1">
              <w:rPr>
                <w:bCs/>
                <w:lang w:val="ro-RO"/>
              </w:rPr>
              <w:t>proprietarul exploatației</w:t>
            </w:r>
            <w:r>
              <w:rPr>
                <w:bCs/>
                <w:lang w:val="ro-RO"/>
              </w:rPr>
              <w:t xml:space="preserve"> </w:t>
            </w:r>
            <w:r w:rsidRPr="00AE45E1">
              <w:rPr>
                <w:bCs/>
                <w:lang w:val="ro-RO"/>
              </w:rPr>
              <w:t>- medicul veterinar</w:t>
            </w:r>
            <w:r>
              <w:rPr>
                <w:bCs/>
                <w:lang w:val="ro-RO"/>
              </w:rPr>
              <w:t xml:space="preserve"> </w:t>
            </w:r>
            <w:r w:rsidRPr="00AE45E1">
              <w:rPr>
                <w:bCs/>
                <w:lang w:val="ro-RO"/>
              </w:rPr>
              <w:t>oficial</w:t>
            </w:r>
            <w:r w:rsidR="00EC005B">
              <w:rPr>
                <w:bCs/>
                <w:lang w:val="ro-RO"/>
              </w:rPr>
              <w:t>/împuternicit</w:t>
            </w:r>
            <w:r>
              <w:rPr>
                <w:bCs/>
                <w:lang w:val="ro-RO"/>
              </w:rPr>
              <w:t xml:space="preserve"> </w:t>
            </w:r>
            <w:r w:rsidRPr="00AE45E1">
              <w:rPr>
                <w:bCs/>
                <w:lang w:val="ro-RO"/>
              </w:rPr>
              <w:t>-</w:t>
            </w:r>
            <w:r>
              <w:rPr>
                <w:bCs/>
                <w:lang w:val="ro-RO"/>
              </w:rPr>
              <w:t xml:space="preserve"> </w:t>
            </w:r>
            <w:r w:rsidRPr="00AE45E1">
              <w:rPr>
                <w:bCs/>
                <w:lang w:val="ro-RO"/>
              </w:rPr>
              <w:t>laboratoarele oficiale de diagnostic veterinar</w:t>
            </w:r>
            <w:r w:rsidR="00EC005B">
              <w:rPr>
                <w:bCs/>
                <w:lang w:val="ro-RO"/>
              </w:rPr>
              <w:t xml:space="preserve"> </w:t>
            </w:r>
            <w:r w:rsidRPr="00AE45E1">
              <w:rPr>
                <w:bCs/>
                <w:lang w:val="ro-RO"/>
              </w:rPr>
              <w:t>-</w:t>
            </w:r>
            <w:r w:rsidR="00EC005B">
              <w:rPr>
                <w:bCs/>
                <w:lang w:val="ro-RO"/>
              </w:rPr>
              <w:t xml:space="preserve"> </w:t>
            </w:r>
            <w:r w:rsidRPr="00AE45E1">
              <w:rPr>
                <w:bCs/>
                <w:lang w:val="ro-RO"/>
              </w:rPr>
              <w:t>centre de colectare autorizate</w:t>
            </w:r>
            <w:r w:rsidR="00EC005B">
              <w:rPr>
                <w:bCs/>
                <w:lang w:val="ro-RO"/>
              </w:rPr>
              <w:t>.</w:t>
            </w:r>
          </w:p>
          <w:p w:rsidR="00EC005B" w:rsidRDefault="00EC005B" w:rsidP="006B27FF">
            <w:pPr>
              <w:jc w:val="both"/>
              <w:rPr>
                <w:bCs/>
                <w:lang w:val="ro-RO"/>
              </w:rPr>
            </w:pPr>
          </w:p>
          <w:p w:rsidR="00EC005B" w:rsidRDefault="00EC005B" w:rsidP="006B27FF">
            <w:pPr>
              <w:jc w:val="both"/>
              <w:rPr>
                <w:bCs/>
                <w:lang w:val="ro-RO"/>
              </w:rPr>
            </w:pPr>
          </w:p>
          <w:p w:rsidR="00EC005B" w:rsidRDefault="00EC005B" w:rsidP="006B27FF">
            <w:pPr>
              <w:jc w:val="both"/>
              <w:rPr>
                <w:bCs/>
                <w:lang w:val="ro-RO"/>
              </w:rPr>
            </w:pPr>
            <w:r w:rsidRPr="00EC005B">
              <w:rPr>
                <w:b/>
                <w:bCs/>
                <w:lang w:val="ro-RO"/>
              </w:rPr>
              <w:t>Se acceptă.</w:t>
            </w:r>
            <w:r w:rsidRPr="00EC005B">
              <w:rPr>
                <w:bCs/>
                <w:lang w:val="ro-RO"/>
              </w:rPr>
              <w:t xml:space="preserve"> De mai mulți ani se interprind măsuri pent</w:t>
            </w:r>
            <w:r>
              <w:rPr>
                <w:bCs/>
                <w:lang w:val="ro-RO"/>
              </w:rPr>
              <w:t>ru implementarea Sistemului LIMS</w:t>
            </w:r>
            <w:r w:rsidRPr="00EC005B">
              <w:rPr>
                <w:bCs/>
                <w:lang w:val="ro-RO"/>
              </w:rPr>
              <w:t xml:space="preserve"> pe tot segmentul  autoritatea competentă - proprietarul exploatației - medicul veterinar oficial/împuternicit - laboratoarele oficiale de diagnostic veterinar - centre de colectare autorizate.</w:t>
            </w:r>
            <w:r>
              <w:rPr>
                <w:bCs/>
                <w:lang w:val="ro-RO"/>
              </w:rPr>
              <w:t xml:space="preserve"> Suplimentar acest sistem prevede </w:t>
            </w:r>
            <w:r w:rsidRPr="00AE45E1">
              <w:rPr>
                <w:bCs/>
                <w:lang w:val="ro-RO"/>
              </w:rPr>
              <w:t>calificarea oficială a exploatațiilor prin sistemele de rețele de control</w:t>
            </w:r>
            <w:r>
              <w:rPr>
                <w:bCs/>
                <w:lang w:val="ro-RO"/>
              </w:rPr>
              <w:t xml:space="preserve"> gestionat de ANSA.</w:t>
            </w:r>
          </w:p>
          <w:p w:rsidR="00EC005B" w:rsidRPr="006B27FF" w:rsidRDefault="00461634" w:rsidP="006B27FF">
            <w:pPr>
              <w:jc w:val="both"/>
              <w:rPr>
                <w:bCs/>
                <w:lang w:val="ro-RO"/>
              </w:rPr>
            </w:pPr>
            <w:r>
              <w:rPr>
                <w:b/>
                <w:bCs/>
                <w:lang w:val="ro-RO"/>
              </w:rPr>
              <w:t xml:space="preserve">Se acceptă. </w:t>
            </w:r>
            <w:r>
              <w:rPr>
                <w:bCs/>
                <w:lang w:val="ro-RO"/>
              </w:rPr>
              <w:t>P</w:t>
            </w:r>
            <w:r w:rsidRPr="00461634">
              <w:rPr>
                <w:bCs/>
                <w:lang w:val="ro-RO"/>
              </w:rPr>
              <w:t>roiectul</w:t>
            </w:r>
            <w:r>
              <w:rPr>
                <w:bCs/>
                <w:lang w:val="ro-RO"/>
              </w:rPr>
              <w:t xml:space="preserve"> hotărîrii în cauză este</w:t>
            </w:r>
            <w:r w:rsidRPr="00461634">
              <w:rPr>
                <w:bCs/>
                <w:lang w:val="ro-RO"/>
              </w:rPr>
              <w:t xml:space="preserve"> </w:t>
            </w:r>
            <w:r>
              <w:rPr>
                <w:bCs/>
                <w:lang w:val="ro-RO"/>
              </w:rPr>
              <w:t xml:space="preserve">înaintat </w:t>
            </w:r>
            <w:r w:rsidRPr="00461634">
              <w:rPr>
                <w:bCs/>
                <w:lang w:val="ro-RO"/>
              </w:rPr>
              <w:t>Centrului</w:t>
            </w:r>
            <w:r>
              <w:rPr>
                <w:bCs/>
                <w:lang w:val="ro-RO"/>
              </w:rPr>
              <w:t>ui</w:t>
            </w:r>
            <w:r w:rsidRPr="00461634">
              <w:rPr>
                <w:bCs/>
                <w:lang w:val="ro-RO"/>
              </w:rPr>
              <w:t xml:space="preserve"> Național Anticorupție pentru</w:t>
            </w:r>
            <w:r>
              <w:rPr>
                <w:bCs/>
                <w:lang w:val="ro-RO"/>
              </w:rPr>
              <w:t xml:space="preserve"> efectuarea </w:t>
            </w:r>
            <w:r w:rsidRPr="00461634">
              <w:rPr>
                <w:bCs/>
                <w:lang w:val="ro-RO"/>
              </w:rPr>
              <w:t>expertize</w:t>
            </w:r>
            <w:r>
              <w:rPr>
                <w:bCs/>
                <w:lang w:val="ro-RO"/>
              </w:rPr>
              <w:t>i</w:t>
            </w:r>
            <w:r w:rsidRPr="00461634">
              <w:rPr>
                <w:bCs/>
                <w:lang w:val="ro-RO"/>
              </w:rPr>
              <w:t xml:space="preserve"> anticorupție </w:t>
            </w:r>
            <w:r>
              <w:rPr>
                <w:bCs/>
                <w:lang w:val="ro-RO"/>
              </w:rPr>
              <w:t xml:space="preserve">în vederea </w:t>
            </w:r>
            <w:r w:rsidRPr="00461634">
              <w:rPr>
                <w:bCs/>
                <w:lang w:val="ro-RO"/>
              </w:rPr>
              <w:t>preveni</w:t>
            </w:r>
            <w:r>
              <w:rPr>
                <w:bCs/>
                <w:lang w:val="ro-RO"/>
              </w:rPr>
              <w:t xml:space="preserve">rii apariției unor </w:t>
            </w:r>
            <w:r w:rsidRPr="00461634">
              <w:rPr>
                <w:bCs/>
                <w:lang w:val="ro-RO"/>
              </w:rPr>
              <w:t xml:space="preserve"> </w:t>
            </w:r>
            <w:r>
              <w:rPr>
                <w:bCs/>
                <w:lang w:val="ro-RO"/>
              </w:rPr>
              <w:t xml:space="preserve">eventuale </w:t>
            </w:r>
            <w:r w:rsidRPr="00461634">
              <w:rPr>
                <w:bCs/>
                <w:lang w:val="ro-RO"/>
              </w:rPr>
              <w:t>reglementări ce pot favoriza corupția.</w:t>
            </w:r>
          </w:p>
          <w:p w:rsidR="003135B6" w:rsidRPr="00BC0358" w:rsidRDefault="003135B6" w:rsidP="00BA234B">
            <w:pPr>
              <w:jc w:val="both"/>
              <w:rPr>
                <w:bCs/>
                <w:lang w:val="ro-RO"/>
              </w:rPr>
            </w:pPr>
          </w:p>
          <w:p w:rsidR="00BA234B" w:rsidRPr="00BC0358" w:rsidRDefault="00BA234B" w:rsidP="00AE45E1">
            <w:pPr>
              <w:jc w:val="both"/>
              <w:rPr>
                <w:bCs/>
                <w:lang w:val="ro-RO"/>
              </w:rPr>
            </w:pPr>
          </w:p>
          <w:p w:rsidR="00BC59DC" w:rsidRPr="00AE45E1" w:rsidRDefault="00BC59DC" w:rsidP="00AE45E1">
            <w:pPr>
              <w:jc w:val="both"/>
              <w:rPr>
                <w:bCs/>
                <w:lang w:val="ro-RO"/>
              </w:rPr>
            </w:pPr>
          </w:p>
        </w:tc>
      </w:tr>
      <w:tr w:rsidR="00BC59DC" w:rsidRPr="0036155D" w:rsidTr="00BC59DC">
        <w:trPr>
          <w:trHeight w:val="500"/>
        </w:trPr>
        <w:tc>
          <w:tcPr>
            <w:tcW w:w="662" w:type="dxa"/>
          </w:tcPr>
          <w:p w:rsidR="00BC59DC" w:rsidRPr="0036155D" w:rsidRDefault="00BC59DC" w:rsidP="00A170F7">
            <w:pPr>
              <w:jc w:val="both"/>
              <w:rPr>
                <w:b/>
                <w:bCs/>
                <w:lang w:val="en-US"/>
              </w:rPr>
            </w:pPr>
            <w:r w:rsidRPr="0036155D">
              <w:rPr>
                <w:b/>
                <w:bCs/>
                <w:lang w:val="en-US"/>
              </w:rPr>
              <w:lastRenderedPageBreak/>
              <w:t>II</w:t>
            </w:r>
          </w:p>
        </w:tc>
        <w:tc>
          <w:tcPr>
            <w:tcW w:w="3098" w:type="dxa"/>
          </w:tcPr>
          <w:p w:rsidR="00BC59DC" w:rsidRPr="0036155D" w:rsidRDefault="00BC59DC" w:rsidP="00380E87">
            <w:pPr>
              <w:jc w:val="both"/>
              <w:rPr>
                <w:b/>
                <w:bCs/>
                <w:lang w:val="ro-RO"/>
              </w:rPr>
            </w:pPr>
            <w:r w:rsidRPr="00684E9A">
              <w:rPr>
                <w:b/>
                <w:bCs/>
                <w:lang w:val="ro-RO"/>
              </w:rPr>
              <w:t>Ministerul Finanţelor</w:t>
            </w:r>
            <w:r>
              <w:rPr>
                <w:b/>
                <w:bCs/>
                <w:lang w:val="ro-RO"/>
              </w:rPr>
              <w:t xml:space="preserve"> </w:t>
            </w:r>
            <w:r w:rsidR="008E6C0C">
              <w:rPr>
                <w:b/>
                <w:bCs/>
                <w:lang w:val="ro-RO"/>
              </w:rPr>
              <w:t>(nr. 11/3-09/475 din 05.04.2018)</w:t>
            </w:r>
          </w:p>
        </w:tc>
        <w:tc>
          <w:tcPr>
            <w:tcW w:w="6015" w:type="dxa"/>
          </w:tcPr>
          <w:p w:rsidR="00BC59DC" w:rsidRDefault="008E6C0C" w:rsidP="00B37D94">
            <w:pPr>
              <w:jc w:val="both"/>
              <w:rPr>
                <w:bCs/>
                <w:lang w:val="en-US"/>
              </w:rPr>
            </w:pPr>
            <w:r w:rsidRPr="008E6C0C">
              <w:rPr>
                <w:bCs/>
                <w:lang w:val="en-US"/>
              </w:rPr>
              <w:t>În</w:t>
            </w:r>
            <w:r>
              <w:rPr>
                <w:bCs/>
                <w:lang w:val="en-US"/>
              </w:rPr>
              <w:t xml:space="preserve"> </w:t>
            </w:r>
            <w:r w:rsidR="00260858">
              <w:rPr>
                <w:bCs/>
                <w:lang w:val="en-US"/>
              </w:rPr>
              <w:t>textul proiectului, sintagmele ”import” și ”export” se substituie</w:t>
            </w:r>
            <w:r w:rsidR="006025ED">
              <w:rPr>
                <w:bCs/>
                <w:lang w:val="en-US"/>
              </w:rPr>
              <w:t xml:space="preserve"> cu sintagmele ”introducerea ” sau ”scoaterea” din țară, la formele gramaticale corespunzătoare, dat fiind faptul că în legislația vamală</w:t>
            </w:r>
            <w:r w:rsidR="00B37D94">
              <w:rPr>
                <w:bCs/>
                <w:lang w:val="en-US"/>
              </w:rPr>
              <w:t>, cuvintele ”introducere” sau ”scoatere” au un sens mai larg și se referă la toate destinațiile și regimurile vamale existente ( antrepozit vamal, admiterea temporară, perfecționare activă etc.), fapt ce va îmbunătăți controlul sanitar-veterinar asupra condițiilor de sănătate și certificare animală pentru comerțul cu bovine și porcine.</w:t>
            </w:r>
          </w:p>
          <w:p w:rsidR="00B37D94" w:rsidRPr="008E6C0C" w:rsidRDefault="00B37D94" w:rsidP="00B37D94">
            <w:pPr>
              <w:jc w:val="both"/>
              <w:rPr>
                <w:bCs/>
                <w:lang w:val="en-US"/>
              </w:rPr>
            </w:pPr>
            <w:r>
              <w:rPr>
                <w:bCs/>
                <w:lang w:val="en-US"/>
              </w:rPr>
              <w:t xml:space="preserve">De asemenea, considerăm oportun de a face distincție dintre </w:t>
            </w:r>
            <w:r>
              <w:rPr>
                <w:bCs/>
                <w:lang w:val="en-US"/>
              </w:rPr>
              <w:lastRenderedPageBreak/>
              <w:t>comercializare, introducerea și scoaterea în/din țară a bovinelor și porcinelor, cu descrierea mai detaliată a fiecărei proceduri în parte.</w:t>
            </w:r>
          </w:p>
        </w:tc>
        <w:tc>
          <w:tcPr>
            <w:tcW w:w="5818" w:type="dxa"/>
            <w:gridSpan w:val="2"/>
          </w:tcPr>
          <w:p w:rsidR="00BC59DC" w:rsidRDefault="00F24898" w:rsidP="00CD41C6">
            <w:pPr>
              <w:jc w:val="both"/>
              <w:rPr>
                <w:bCs/>
                <w:lang w:val="en-US"/>
              </w:rPr>
            </w:pPr>
            <w:r>
              <w:rPr>
                <w:bCs/>
                <w:color w:val="FF0000"/>
                <w:lang w:val="en-US"/>
              </w:rPr>
              <w:lastRenderedPageBreak/>
              <w:t>N</w:t>
            </w:r>
            <w:r w:rsidRPr="00F24898">
              <w:rPr>
                <w:bCs/>
                <w:color w:val="FF0000"/>
                <w:lang w:val="en-US"/>
              </w:rPr>
              <w:t>o</w:t>
            </w:r>
            <w:r w:rsidRPr="00F24898">
              <w:rPr>
                <w:bCs/>
                <w:color w:val="FF0000"/>
                <w:lang w:val="ro-RO"/>
              </w:rPr>
              <w:t xml:space="preserve">țiunile de </w:t>
            </w:r>
            <w:r>
              <w:rPr>
                <w:bCs/>
                <w:color w:val="FF0000"/>
                <w:lang w:val="ro-RO"/>
              </w:rPr>
              <w:t>”</w:t>
            </w:r>
            <w:r w:rsidRPr="00F24898">
              <w:rPr>
                <w:bCs/>
                <w:color w:val="FF0000"/>
                <w:lang w:val="ro-RO"/>
              </w:rPr>
              <w:t>import</w:t>
            </w:r>
            <w:r>
              <w:rPr>
                <w:bCs/>
                <w:color w:val="FF0000"/>
                <w:lang w:val="ro-RO"/>
              </w:rPr>
              <w:t>”,</w:t>
            </w:r>
            <w:r w:rsidRPr="00F24898">
              <w:rPr>
                <w:bCs/>
                <w:color w:val="FF0000"/>
                <w:lang w:val="ro-RO"/>
              </w:rPr>
              <w:t xml:space="preserve"> </w:t>
            </w:r>
            <w:r>
              <w:rPr>
                <w:bCs/>
                <w:color w:val="FF0000"/>
                <w:lang w:val="ro-RO"/>
              </w:rPr>
              <w:t>”</w:t>
            </w:r>
            <w:r w:rsidRPr="00F24898">
              <w:rPr>
                <w:bCs/>
                <w:color w:val="FF0000"/>
                <w:lang w:val="ro-RO"/>
              </w:rPr>
              <w:t>export</w:t>
            </w:r>
            <w:r>
              <w:rPr>
                <w:bCs/>
                <w:color w:val="FF0000"/>
                <w:lang w:val="ro-RO"/>
              </w:rPr>
              <w:t>”</w:t>
            </w:r>
            <w:r w:rsidRPr="00F24898">
              <w:rPr>
                <w:bCs/>
                <w:color w:val="FF0000"/>
                <w:lang w:val="ro-RO"/>
              </w:rPr>
              <w:t xml:space="preserve">, </w:t>
            </w:r>
            <w:r>
              <w:rPr>
                <w:bCs/>
                <w:color w:val="FF0000"/>
                <w:lang w:val="ro-RO"/>
              </w:rPr>
              <w:t>”</w:t>
            </w:r>
            <w:r w:rsidRPr="00F24898">
              <w:rPr>
                <w:bCs/>
                <w:color w:val="FF0000"/>
                <w:lang w:val="ro-RO"/>
              </w:rPr>
              <w:t>tran</w:t>
            </w:r>
            <w:r w:rsidR="00874696">
              <w:rPr>
                <w:bCs/>
                <w:color w:val="FF0000"/>
                <w:lang w:val="ro-RO"/>
              </w:rPr>
              <w:t>zit” sunt specificate în Legea nr. 1031 din 8 iunie 2000 privind Reglementarea de stat a activității comerciale externe</w:t>
            </w:r>
            <w:r>
              <w:rPr>
                <w:bCs/>
                <w:color w:val="FF0000"/>
                <w:lang w:val="ro-RO"/>
              </w:rPr>
              <w:t>,</w:t>
            </w:r>
            <w:r w:rsidRPr="00F24898">
              <w:rPr>
                <w:bCs/>
                <w:color w:val="FF0000"/>
                <w:lang w:val="ro-RO"/>
              </w:rPr>
              <w:t xml:space="preserve"> </w:t>
            </w:r>
            <w:r>
              <w:rPr>
                <w:bCs/>
                <w:color w:val="FF0000"/>
                <w:lang w:val="ro-RO"/>
              </w:rPr>
              <w:t xml:space="preserve">cu care, </w:t>
            </w:r>
            <w:r w:rsidRPr="00F24898">
              <w:rPr>
                <w:bCs/>
                <w:color w:val="FF0000"/>
                <w:lang w:val="ro-RO"/>
              </w:rPr>
              <w:t>de asemenea</w:t>
            </w:r>
            <w:r>
              <w:rPr>
                <w:bCs/>
                <w:color w:val="FF0000"/>
                <w:lang w:val="ro-RO"/>
              </w:rPr>
              <w:t>, operează</w:t>
            </w:r>
            <w:r w:rsidRPr="00F24898">
              <w:rPr>
                <w:bCs/>
                <w:color w:val="FF0000"/>
                <w:lang w:val="ro-RO"/>
              </w:rPr>
              <w:t xml:space="preserve"> </w:t>
            </w:r>
            <w:r>
              <w:rPr>
                <w:bCs/>
                <w:color w:val="FF0000"/>
                <w:lang w:val="ro-RO"/>
              </w:rPr>
              <w:t>și</w:t>
            </w:r>
            <w:r w:rsidRPr="00F24898">
              <w:rPr>
                <w:bCs/>
                <w:color w:val="FF0000"/>
                <w:lang w:val="ro-RO"/>
              </w:rPr>
              <w:t xml:space="preserve"> </w:t>
            </w:r>
            <w:r>
              <w:rPr>
                <w:bCs/>
                <w:color w:val="FF0000"/>
                <w:lang w:val="en-US"/>
              </w:rPr>
              <w:t>Legea</w:t>
            </w:r>
            <w:r w:rsidRPr="00F24898">
              <w:rPr>
                <w:bCs/>
                <w:color w:val="FF0000"/>
                <w:lang w:val="en-US"/>
              </w:rPr>
              <w:t xml:space="preserve"> nr. 221 din 19 octombrie 2007 privin</w:t>
            </w:r>
            <w:r w:rsidR="00CD41C6">
              <w:rPr>
                <w:bCs/>
                <w:color w:val="FF0000"/>
                <w:lang w:val="en-US"/>
              </w:rPr>
              <w:t>d</w:t>
            </w:r>
            <w:r w:rsidR="004E37CD">
              <w:rPr>
                <w:bCs/>
                <w:color w:val="FF0000"/>
                <w:lang w:val="en-US"/>
              </w:rPr>
              <w:t xml:space="preserve"> activitatea sanitar veterinară. Acestea</w:t>
            </w:r>
            <w:r>
              <w:rPr>
                <w:bCs/>
                <w:lang w:val="en-US"/>
              </w:rPr>
              <w:t xml:space="preserve"> le permite medicilor vete</w:t>
            </w:r>
            <w:r w:rsidR="00CD41C6">
              <w:rPr>
                <w:bCs/>
                <w:lang w:val="en-US"/>
              </w:rPr>
              <w:t>rinari</w:t>
            </w:r>
            <w:r>
              <w:rPr>
                <w:bCs/>
                <w:lang w:val="en-US"/>
              </w:rPr>
              <w:t xml:space="preserve"> oficiali efectuarea controlul</w:t>
            </w:r>
            <w:r w:rsidR="00CD41C6">
              <w:rPr>
                <w:bCs/>
                <w:lang w:val="en-US"/>
              </w:rPr>
              <w:t>ui</w:t>
            </w:r>
            <w:r>
              <w:rPr>
                <w:bCs/>
                <w:lang w:val="en-US"/>
              </w:rPr>
              <w:t xml:space="preserve"> sanitar-veterinar asupra condițiilor de sănătate și certificare animală pentru comerțul cu bovine și porcine.</w:t>
            </w:r>
          </w:p>
          <w:p w:rsidR="00C203D1" w:rsidRDefault="00C203D1" w:rsidP="00CD41C6">
            <w:pPr>
              <w:jc w:val="both"/>
              <w:rPr>
                <w:bCs/>
                <w:lang w:val="en-US"/>
              </w:rPr>
            </w:pPr>
          </w:p>
          <w:p w:rsidR="00C203D1" w:rsidRDefault="00C203D1" w:rsidP="00CD41C6">
            <w:pPr>
              <w:jc w:val="both"/>
              <w:rPr>
                <w:bCs/>
                <w:lang w:val="en-US"/>
              </w:rPr>
            </w:pPr>
          </w:p>
          <w:p w:rsidR="00C203D1" w:rsidRDefault="00C203D1" w:rsidP="00CD41C6">
            <w:pPr>
              <w:jc w:val="both"/>
              <w:rPr>
                <w:bCs/>
                <w:lang w:val="en-US"/>
              </w:rPr>
            </w:pPr>
          </w:p>
          <w:p w:rsidR="00C203D1" w:rsidRPr="00F24898" w:rsidRDefault="00C203D1" w:rsidP="00CD41C6">
            <w:pPr>
              <w:jc w:val="both"/>
              <w:rPr>
                <w:bCs/>
                <w:lang w:val="ro-RO"/>
              </w:rPr>
            </w:pPr>
          </w:p>
        </w:tc>
      </w:tr>
      <w:tr w:rsidR="008E6C0C" w:rsidRPr="0036155D" w:rsidTr="00227B89">
        <w:trPr>
          <w:trHeight w:val="500"/>
        </w:trPr>
        <w:tc>
          <w:tcPr>
            <w:tcW w:w="662" w:type="dxa"/>
          </w:tcPr>
          <w:p w:rsidR="008E6C0C" w:rsidRPr="0036155D" w:rsidRDefault="008E6C0C" w:rsidP="00A170F7">
            <w:pPr>
              <w:jc w:val="both"/>
              <w:rPr>
                <w:b/>
                <w:bCs/>
                <w:lang w:val="en-US"/>
              </w:rPr>
            </w:pPr>
            <w:r w:rsidRPr="0036155D">
              <w:rPr>
                <w:b/>
                <w:bCs/>
                <w:lang w:val="en-US"/>
              </w:rPr>
              <w:lastRenderedPageBreak/>
              <w:t>III</w:t>
            </w:r>
          </w:p>
        </w:tc>
        <w:tc>
          <w:tcPr>
            <w:tcW w:w="3098" w:type="dxa"/>
          </w:tcPr>
          <w:p w:rsidR="008E6C0C" w:rsidRPr="0036155D" w:rsidRDefault="008E6C0C" w:rsidP="00380E87">
            <w:pPr>
              <w:jc w:val="both"/>
              <w:rPr>
                <w:b/>
                <w:bCs/>
                <w:lang w:val="ro-RO"/>
              </w:rPr>
            </w:pPr>
            <w:r w:rsidRPr="00684E9A">
              <w:rPr>
                <w:b/>
                <w:bCs/>
                <w:lang w:val="ro-RO"/>
              </w:rPr>
              <w:t>Ministerul Sănătăţii, Muncii şi Protecţiei Sociale</w:t>
            </w:r>
            <w:r>
              <w:rPr>
                <w:b/>
                <w:bCs/>
                <w:lang w:val="ro-RO"/>
              </w:rPr>
              <w:t xml:space="preserve"> (nr. 07–7892 din 26.03.2018) </w:t>
            </w:r>
          </w:p>
        </w:tc>
        <w:tc>
          <w:tcPr>
            <w:tcW w:w="11833" w:type="dxa"/>
            <w:gridSpan w:val="3"/>
          </w:tcPr>
          <w:p w:rsidR="008E6C0C" w:rsidRPr="0036155D" w:rsidRDefault="008E6C0C" w:rsidP="001A3487">
            <w:pPr>
              <w:jc w:val="center"/>
              <w:rPr>
                <w:b/>
                <w:bCs/>
                <w:lang w:val="en-US"/>
              </w:rPr>
            </w:pPr>
            <w:r>
              <w:rPr>
                <w:b/>
                <w:bCs/>
                <w:lang w:val="en-US"/>
              </w:rPr>
              <w:t xml:space="preserve">Aviz </w:t>
            </w:r>
            <w:r w:rsidRPr="0036155D">
              <w:rPr>
                <w:b/>
                <w:bCs/>
                <w:lang w:val="en-US"/>
              </w:rPr>
              <w:t xml:space="preserve"> pozitiv</w:t>
            </w:r>
          </w:p>
          <w:p w:rsidR="008E6C0C" w:rsidRPr="0036155D" w:rsidRDefault="008E6C0C" w:rsidP="001A3487">
            <w:pPr>
              <w:jc w:val="center"/>
              <w:rPr>
                <w:b/>
                <w:bCs/>
                <w:lang w:val="en-US"/>
              </w:rPr>
            </w:pPr>
            <w:r w:rsidRPr="006518DD">
              <w:rPr>
                <w:lang w:val="en-US"/>
              </w:rPr>
              <w:t>Lipsa obiecţiilor şi propunerilor</w:t>
            </w:r>
          </w:p>
        </w:tc>
      </w:tr>
      <w:tr w:rsidR="001A3487" w:rsidRPr="0036155D" w:rsidTr="00871FAB">
        <w:trPr>
          <w:trHeight w:val="500"/>
        </w:trPr>
        <w:tc>
          <w:tcPr>
            <w:tcW w:w="662" w:type="dxa"/>
          </w:tcPr>
          <w:p w:rsidR="001A3487" w:rsidRPr="0036155D" w:rsidRDefault="001A3487" w:rsidP="00A170F7">
            <w:pPr>
              <w:jc w:val="both"/>
              <w:rPr>
                <w:b/>
                <w:bCs/>
                <w:lang w:val="en-US"/>
              </w:rPr>
            </w:pPr>
            <w:r w:rsidRPr="0036155D">
              <w:rPr>
                <w:b/>
                <w:bCs/>
                <w:lang w:val="en-US"/>
              </w:rPr>
              <w:t>IV</w:t>
            </w:r>
          </w:p>
        </w:tc>
        <w:tc>
          <w:tcPr>
            <w:tcW w:w="3098" w:type="dxa"/>
          </w:tcPr>
          <w:p w:rsidR="001A3487" w:rsidRPr="00684E9A" w:rsidRDefault="001A3487" w:rsidP="00A170F7">
            <w:pPr>
              <w:jc w:val="both"/>
              <w:rPr>
                <w:b/>
                <w:bCs/>
                <w:lang w:val="ro-RO"/>
              </w:rPr>
            </w:pPr>
            <w:r w:rsidRPr="00684E9A">
              <w:rPr>
                <w:b/>
                <w:bCs/>
                <w:lang w:val="ro-RO"/>
              </w:rPr>
              <w:t xml:space="preserve">Ministerul Afacerilor Externe şi </w:t>
            </w:r>
          </w:p>
          <w:p w:rsidR="001A3487" w:rsidRPr="0036155D" w:rsidRDefault="001A3487" w:rsidP="00A170F7">
            <w:pPr>
              <w:jc w:val="both"/>
              <w:rPr>
                <w:b/>
                <w:bCs/>
                <w:lang w:val="ro-RO"/>
              </w:rPr>
            </w:pPr>
            <w:r w:rsidRPr="00684E9A">
              <w:rPr>
                <w:b/>
                <w:bCs/>
                <w:lang w:val="ro-RO"/>
              </w:rPr>
              <w:t>Integrării Europene</w:t>
            </w:r>
            <w:r>
              <w:rPr>
                <w:b/>
                <w:bCs/>
                <w:lang w:val="ro-RO"/>
              </w:rPr>
              <w:t xml:space="preserve"> (nr. DI/3/041.1-4115 din 04.04.2018)</w:t>
            </w:r>
          </w:p>
        </w:tc>
        <w:tc>
          <w:tcPr>
            <w:tcW w:w="11833" w:type="dxa"/>
            <w:gridSpan w:val="3"/>
          </w:tcPr>
          <w:p w:rsidR="001A3487" w:rsidRPr="0036155D" w:rsidRDefault="001A3487" w:rsidP="001A3487">
            <w:pPr>
              <w:jc w:val="center"/>
              <w:rPr>
                <w:b/>
                <w:bCs/>
                <w:lang w:val="en-US"/>
              </w:rPr>
            </w:pPr>
            <w:r>
              <w:rPr>
                <w:b/>
                <w:bCs/>
                <w:lang w:val="en-US"/>
              </w:rPr>
              <w:t xml:space="preserve">Aviz </w:t>
            </w:r>
            <w:r w:rsidRPr="0036155D">
              <w:rPr>
                <w:b/>
                <w:bCs/>
                <w:lang w:val="en-US"/>
              </w:rPr>
              <w:t xml:space="preserve"> pozitiv</w:t>
            </w:r>
          </w:p>
          <w:p w:rsidR="001A3487" w:rsidRPr="0036155D" w:rsidRDefault="001A3487" w:rsidP="001A3487">
            <w:pPr>
              <w:jc w:val="center"/>
              <w:rPr>
                <w:bCs/>
                <w:lang w:val="ro-RO"/>
              </w:rPr>
            </w:pPr>
            <w:r w:rsidRPr="006518DD">
              <w:rPr>
                <w:lang w:val="en-US"/>
              </w:rPr>
              <w:t>Lipsa obiecţiilor şi propunerilor</w:t>
            </w:r>
          </w:p>
        </w:tc>
      </w:tr>
      <w:tr w:rsidR="00344093" w:rsidRPr="0036155D" w:rsidTr="00D707A4">
        <w:trPr>
          <w:trHeight w:val="500"/>
        </w:trPr>
        <w:tc>
          <w:tcPr>
            <w:tcW w:w="662" w:type="dxa"/>
          </w:tcPr>
          <w:p w:rsidR="00344093" w:rsidRPr="0036155D" w:rsidRDefault="00344093" w:rsidP="00A170F7">
            <w:pPr>
              <w:jc w:val="both"/>
              <w:rPr>
                <w:b/>
                <w:bCs/>
                <w:lang w:val="en-US"/>
              </w:rPr>
            </w:pPr>
            <w:r w:rsidRPr="0036155D">
              <w:rPr>
                <w:b/>
                <w:bCs/>
                <w:lang w:val="ro-RO"/>
              </w:rPr>
              <w:t>V</w:t>
            </w:r>
          </w:p>
        </w:tc>
        <w:tc>
          <w:tcPr>
            <w:tcW w:w="3098" w:type="dxa"/>
          </w:tcPr>
          <w:p w:rsidR="00344093" w:rsidRPr="0036155D" w:rsidRDefault="00344093" w:rsidP="00A170F7">
            <w:pPr>
              <w:jc w:val="both"/>
              <w:rPr>
                <w:b/>
                <w:bCs/>
                <w:lang w:val="ro-RO"/>
              </w:rPr>
            </w:pPr>
            <w:r w:rsidRPr="00311C35">
              <w:rPr>
                <w:b/>
                <w:bCs/>
                <w:lang w:val="ro-RO"/>
              </w:rPr>
              <w:t>Agenţia Naţională pentru Siguranţa Alimentelor</w:t>
            </w:r>
          </w:p>
        </w:tc>
        <w:tc>
          <w:tcPr>
            <w:tcW w:w="11833" w:type="dxa"/>
            <w:gridSpan w:val="3"/>
          </w:tcPr>
          <w:p w:rsidR="00344093" w:rsidRDefault="00344093" w:rsidP="00344093">
            <w:pPr>
              <w:jc w:val="center"/>
              <w:rPr>
                <w:b/>
                <w:bCs/>
                <w:lang w:val="ro-RO"/>
              </w:rPr>
            </w:pPr>
            <w:r>
              <w:rPr>
                <w:b/>
                <w:bCs/>
                <w:lang w:val="ro-RO"/>
              </w:rPr>
              <w:t>La nr. 01/01-</w:t>
            </w:r>
            <w:r w:rsidR="001079FD">
              <w:rPr>
                <w:b/>
                <w:bCs/>
                <w:lang w:val="ro-RO"/>
              </w:rPr>
              <w:t>1235 din 07.03</w:t>
            </w:r>
            <w:r>
              <w:rPr>
                <w:b/>
                <w:bCs/>
                <w:lang w:val="ro-RO"/>
              </w:rPr>
              <w:t>.2018</w:t>
            </w:r>
          </w:p>
          <w:p w:rsidR="00344093" w:rsidRPr="0036155D" w:rsidRDefault="00344093" w:rsidP="00344093">
            <w:pPr>
              <w:jc w:val="center"/>
              <w:rPr>
                <w:bCs/>
                <w:lang w:val="ro-RO"/>
              </w:rPr>
            </w:pPr>
            <w:r w:rsidRPr="002A6738">
              <w:rPr>
                <w:b/>
                <w:bCs/>
                <w:lang w:val="ro-RO"/>
              </w:rPr>
              <w:t>Aviz tacit pozitiv în baza art. 39 al Legii 317 din 18.07.2003</w:t>
            </w:r>
          </w:p>
        </w:tc>
      </w:tr>
      <w:tr w:rsidR="00380E87" w:rsidRPr="0036155D" w:rsidTr="00A170F7">
        <w:trPr>
          <w:trHeight w:val="274"/>
        </w:trPr>
        <w:tc>
          <w:tcPr>
            <w:tcW w:w="662" w:type="dxa"/>
          </w:tcPr>
          <w:p w:rsidR="00380E87" w:rsidRPr="0036155D" w:rsidRDefault="00380E87" w:rsidP="00A170F7">
            <w:pPr>
              <w:jc w:val="both"/>
              <w:rPr>
                <w:b/>
                <w:bCs/>
                <w:lang w:val="ro-RO"/>
              </w:rPr>
            </w:pPr>
            <w:r w:rsidRPr="0036155D">
              <w:rPr>
                <w:b/>
                <w:bCs/>
                <w:lang w:val="en-US"/>
              </w:rPr>
              <w:t>VI</w:t>
            </w:r>
          </w:p>
        </w:tc>
        <w:tc>
          <w:tcPr>
            <w:tcW w:w="3098" w:type="dxa"/>
          </w:tcPr>
          <w:p w:rsidR="00380E87" w:rsidRPr="0036155D" w:rsidRDefault="00380E87" w:rsidP="00380E87">
            <w:pPr>
              <w:rPr>
                <w:b/>
                <w:bCs/>
                <w:lang w:val="ro-RO"/>
              </w:rPr>
            </w:pPr>
            <w:r w:rsidRPr="00311C35">
              <w:rPr>
                <w:b/>
                <w:bCs/>
                <w:lang w:val="ro-RO"/>
              </w:rPr>
              <w:t>Centrul de Armonizare a Legislației</w:t>
            </w:r>
          </w:p>
        </w:tc>
        <w:tc>
          <w:tcPr>
            <w:tcW w:w="6021" w:type="dxa"/>
            <w:gridSpan w:val="2"/>
          </w:tcPr>
          <w:p w:rsidR="0062398D" w:rsidRPr="0062398D" w:rsidRDefault="0062398D" w:rsidP="0062398D">
            <w:pPr>
              <w:jc w:val="both"/>
              <w:rPr>
                <w:bCs/>
                <w:lang w:val="en-US"/>
              </w:rPr>
            </w:pPr>
            <w:r w:rsidRPr="0062398D">
              <w:rPr>
                <w:bCs/>
                <w:lang w:val="en-US"/>
              </w:rPr>
              <w:t>Directiva 64/432/CEE nu a constituit anterior obiect al transpunerii in legislatia nationala, prezentul proiect fiind exercitiul normativ primar de transpunere a acesteia.</w:t>
            </w:r>
          </w:p>
          <w:p w:rsidR="0062398D" w:rsidRPr="0062398D" w:rsidRDefault="0062398D" w:rsidP="0062398D">
            <w:pPr>
              <w:jc w:val="both"/>
              <w:rPr>
                <w:bCs/>
                <w:lang w:val="en-US"/>
              </w:rPr>
            </w:pPr>
            <w:r w:rsidRPr="0062398D">
              <w:rPr>
                <w:bCs/>
                <w:lang w:val="en-US"/>
              </w:rPr>
              <w:t>In ceea ce priveste transpunerea Directivei 64/432/CEE, mentionam cu titlu general ca proiectul national urmareste о transpunere fidela a reglementarilor UE.</w:t>
            </w:r>
          </w:p>
          <w:p w:rsidR="00380E87" w:rsidRPr="005A29B7" w:rsidRDefault="0062398D" w:rsidP="0062398D">
            <w:pPr>
              <w:jc w:val="both"/>
              <w:rPr>
                <w:bCs/>
                <w:i/>
                <w:lang w:val="en-US"/>
              </w:rPr>
            </w:pPr>
            <w:r w:rsidRPr="005A29B7">
              <w:rPr>
                <w:bCs/>
                <w:i/>
                <w:lang w:val="en-US"/>
              </w:rPr>
              <w:t>Observatii privind compatibilitatea proiectului national cu Directiva 64/432/CEE</w:t>
            </w:r>
          </w:p>
          <w:p w:rsidR="0062398D" w:rsidRPr="0062398D" w:rsidRDefault="00914E45" w:rsidP="0062398D">
            <w:pPr>
              <w:jc w:val="both"/>
              <w:rPr>
                <w:bCs/>
                <w:lang w:val="en-US"/>
              </w:rPr>
            </w:pPr>
            <w:r>
              <w:rPr>
                <w:bCs/>
                <w:lang w:val="en-US"/>
              </w:rPr>
              <w:t>Pc</w:t>
            </w:r>
            <w:r w:rsidR="0062398D" w:rsidRPr="0062398D">
              <w:rPr>
                <w:bCs/>
                <w:lang w:val="en-US"/>
              </w:rPr>
              <w:t>t. 12, subpct. 5) din proiectul national, care transpune art. 6 (2) (e) din Directivei 64/432/CEE se va exclude in masura i</w:t>
            </w:r>
            <w:r w:rsidR="006D179A">
              <w:rPr>
                <w:bCs/>
                <w:lang w:val="en-US"/>
              </w:rPr>
              <w:t>n care derogarea stabilita pentru</w:t>
            </w:r>
            <w:r w:rsidR="0062398D" w:rsidRPr="0062398D">
              <w:rPr>
                <w:bCs/>
                <w:lang w:val="en-US"/>
              </w:rPr>
              <w:t xml:space="preserve"> bovinele pina la 30 luni a expirat la 31 decembrie 2000 si, respectiv, a devenit caduca.</w:t>
            </w:r>
          </w:p>
          <w:p w:rsidR="0062398D" w:rsidRPr="0062398D" w:rsidRDefault="003D14FB" w:rsidP="0062398D">
            <w:pPr>
              <w:jc w:val="both"/>
              <w:rPr>
                <w:bCs/>
                <w:lang w:val="en-US"/>
              </w:rPr>
            </w:pPr>
            <w:r>
              <w:rPr>
                <w:bCs/>
                <w:lang w:val="en-US"/>
              </w:rPr>
              <w:t>Pc</w:t>
            </w:r>
            <w:r w:rsidR="0062398D" w:rsidRPr="0062398D">
              <w:rPr>
                <w:bCs/>
                <w:lang w:val="en-US"/>
              </w:rPr>
              <w:t>t. 37 din proiectul national urmeaza a fi completat la final cu fraza: “Cu t</w:t>
            </w:r>
            <w:r w:rsidR="00914E45">
              <w:rPr>
                <w:bCs/>
                <w:lang w:val="en-US"/>
              </w:rPr>
              <w:t>oate acestea numai punctele 36 ș</w:t>
            </w:r>
            <w:r w:rsidR="0062398D" w:rsidRPr="0062398D">
              <w:rPr>
                <w:bCs/>
                <w:lang w:val="en-US"/>
              </w:rPr>
              <w:t>i 37 se aplica la porcine”, ceea ce ar corespunde cu prevederile art. 14 (3) С 3 din Directiva 64/432/CEE, in sensul aplicarii normelor privind continutul bazei de date electronice doar la categoria porcinelor.</w:t>
            </w:r>
          </w:p>
          <w:p w:rsidR="0062398D" w:rsidRPr="0062398D" w:rsidRDefault="0093026C" w:rsidP="0062398D">
            <w:pPr>
              <w:jc w:val="both"/>
              <w:rPr>
                <w:bCs/>
                <w:lang w:val="en-US"/>
              </w:rPr>
            </w:pPr>
            <w:r>
              <w:rPr>
                <w:bCs/>
                <w:lang w:val="en-US"/>
              </w:rPr>
              <w:t>Î</w:t>
            </w:r>
            <w:r w:rsidR="0062398D" w:rsidRPr="0062398D">
              <w:rPr>
                <w:bCs/>
                <w:lang w:val="en-US"/>
              </w:rPr>
              <w:t xml:space="preserve">n proiectul national Anexa nr. 5, model 1, pet. 1.26 rubrica </w:t>
            </w:r>
            <w:r w:rsidR="0062398D" w:rsidRPr="0062398D">
              <w:rPr>
                <w:bCs/>
                <w:lang w:val="en-US"/>
              </w:rPr>
              <w:lastRenderedPageBreak/>
              <w:t>Numarul PCF urmeaza sa fie substituita cu rubrica PIF, similar prevederilor Anexei F, model 1, 1.26 din Directiva 64/432/CEE.</w:t>
            </w:r>
          </w:p>
          <w:p w:rsidR="0062398D" w:rsidRPr="005A29B7" w:rsidRDefault="0062398D" w:rsidP="0062398D">
            <w:pPr>
              <w:jc w:val="both"/>
              <w:rPr>
                <w:bCs/>
                <w:i/>
                <w:lang w:val="en-US"/>
              </w:rPr>
            </w:pPr>
            <w:r w:rsidRPr="005A29B7">
              <w:rPr>
                <w:bCs/>
                <w:i/>
                <w:lang w:val="en-US"/>
              </w:rPr>
              <w:t>Observatii privind respectarea normelor de tehnica legislativa</w:t>
            </w:r>
          </w:p>
          <w:p w:rsidR="0062398D" w:rsidRDefault="0062398D" w:rsidP="0062398D">
            <w:pPr>
              <w:jc w:val="both"/>
              <w:rPr>
                <w:bCs/>
                <w:lang w:val="en-US"/>
              </w:rPr>
            </w:pPr>
            <w:r w:rsidRPr="0062398D">
              <w:rPr>
                <w:bCs/>
                <w:lang w:val="en-US"/>
              </w:rPr>
              <w:t>Pet. 35 lit. e), din proiectul national confine sintagma „tara terta”. Aceasta sintagma, fiin</w:t>
            </w:r>
            <w:r w:rsidR="005D1D92">
              <w:rPr>
                <w:bCs/>
                <w:lang w:val="en-US"/>
              </w:rPr>
              <w:t>d una specified legislatiei UE ș</w:t>
            </w:r>
            <w:r w:rsidRPr="0062398D">
              <w:rPr>
                <w:bCs/>
                <w:lang w:val="en-US"/>
              </w:rPr>
              <w:t>i calitatii de stat memb</w:t>
            </w:r>
            <w:r w:rsidR="005D1D92">
              <w:rPr>
                <w:bCs/>
                <w:lang w:val="en-US"/>
              </w:rPr>
              <w:t>ru al UE, urmeaza a fi exclusa ș</w:t>
            </w:r>
            <w:r w:rsidRPr="0062398D">
              <w:rPr>
                <w:bCs/>
                <w:lang w:val="en-US"/>
              </w:rPr>
              <w:t>i substituita cu sintagma „alte state”.</w:t>
            </w:r>
          </w:p>
          <w:p w:rsidR="00716203" w:rsidRDefault="0062398D" w:rsidP="0062398D">
            <w:pPr>
              <w:jc w:val="both"/>
              <w:rPr>
                <w:bCs/>
                <w:lang w:val="en-US"/>
              </w:rPr>
            </w:pPr>
            <w:r w:rsidRPr="0062398D">
              <w:rPr>
                <w:bCs/>
                <w:lang w:val="en-US"/>
              </w:rPr>
              <w:t>Cu referire la о serie de prevederi nationale, autorul proiectului a operat cu trimiteri eronate la alte norme din proiectul actului normativ. Pentru a asigura aplicarea corecta a actului national, opinam asupra revizuirii tehnice a proiectului de act normativ si</w:t>
            </w:r>
            <w:r w:rsidR="00EF2F1F">
              <w:rPr>
                <w:bCs/>
                <w:lang w:val="en-US"/>
              </w:rPr>
              <w:t xml:space="preserve"> modificării acestora în conformitate cu prevederile Directivei 64/432/CEE, după cum urmează: la pct. 38 se va substitui trimiterea la ”pct. 34” cu cea la ”pct. 32”; în Anexa nr. 5, model 2, secțiunea II.3.3.2. se va substitui trimiterea la ”pct. 6” cu trimiterea la ”pct. 17”.</w:t>
            </w:r>
          </w:p>
          <w:p w:rsidR="0062398D" w:rsidRPr="0062398D" w:rsidRDefault="00716203" w:rsidP="0062398D">
            <w:pPr>
              <w:jc w:val="both"/>
              <w:rPr>
                <w:bCs/>
                <w:lang w:val="en-US"/>
              </w:rPr>
            </w:pPr>
            <w:r>
              <w:rPr>
                <w:bCs/>
                <w:lang w:val="en-US"/>
              </w:rPr>
              <w:t>O</w:t>
            </w:r>
            <w:r w:rsidR="0062398D" w:rsidRPr="0062398D">
              <w:rPr>
                <w:bCs/>
                <w:lang w:val="en-US"/>
              </w:rPr>
              <w:t xml:space="preserve"> serie de prevederi din proiectul nati</w:t>
            </w:r>
            <w:r w:rsidR="005D1D92">
              <w:rPr>
                <w:bCs/>
                <w:lang w:val="en-US"/>
              </w:rPr>
              <w:t>onal (a se vedea: Anexa nr. 2 pc</w:t>
            </w:r>
            <w:r w:rsidR="0062398D" w:rsidRPr="0062398D">
              <w:rPr>
                <w:bCs/>
                <w:lang w:val="en-US"/>
              </w:rPr>
              <w:t>t. 2.2.5.3.4, 2.2.</w:t>
            </w:r>
            <w:r w:rsidR="00914E45">
              <w:rPr>
                <w:bCs/>
                <w:lang w:val="en-US"/>
              </w:rPr>
              <w:t>5.3.5; Anexa nr. 3 p</w:t>
            </w:r>
            <w:r>
              <w:rPr>
                <w:bCs/>
                <w:lang w:val="en-US"/>
              </w:rPr>
              <w:t>c</w:t>
            </w:r>
            <w:r w:rsidR="00914E45">
              <w:rPr>
                <w:bCs/>
                <w:lang w:val="en-US"/>
              </w:rPr>
              <w:t>t. 3.1.1. ș</w:t>
            </w:r>
            <w:r w:rsidR="0062398D" w:rsidRPr="0062398D">
              <w:rPr>
                <w:bCs/>
                <w:lang w:val="en-US"/>
              </w:rPr>
              <w:t xml:space="preserve">i Anexa nr. 5 pet. II.l.l.) </w:t>
            </w:r>
            <w:r>
              <w:rPr>
                <w:bCs/>
                <w:lang w:val="en-US"/>
              </w:rPr>
              <w:t>contin sintagme precum „legislaț</w:t>
            </w:r>
            <w:r w:rsidR="0062398D" w:rsidRPr="0062398D">
              <w:rPr>
                <w:bCs/>
                <w:lang w:val="en-US"/>
              </w:rPr>
              <w:t>ia comunitara”, „comert intracomunitar”, „state membre” si „legislatia Uniunii”. Aceste sintagme sunt specifice calitatii de stat membru UE, respectiv acestea urmeaza a fi substituite cu sintagmele „legislatia nationala”, „comert international” si „alte state”.</w:t>
            </w:r>
          </w:p>
          <w:p w:rsidR="0062398D" w:rsidRPr="00716203" w:rsidRDefault="0062398D" w:rsidP="0062398D">
            <w:pPr>
              <w:jc w:val="both"/>
              <w:rPr>
                <w:bCs/>
                <w:i/>
                <w:lang w:val="en-US"/>
              </w:rPr>
            </w:pPr>
            <w:r w:rsidRPr="00716203">
              <w:rPr>
                <w:bCs/>
                <w:i/>
                <w:lang w:val="en-US"/>
              </w:rPr>
              <w:t>Respectarea mecanismului de armonizare</w:t>
            </w:r>
          </w:p>
          <w:p w:rsidR="0062398D" w:rsidRPr="00716203" w:rsidRDefault="0062398D" w:rsidP="0062398D">
            <w:pPr>
              <w:jc w:val="both"/>
              <w:rPr>
                <w:bCs/>
                <w:i/>
                <w:lang w:val="en-US"/>
              </w:rPr>
            </w:pPr>
            <w:r w:rsidRPr="00716203">
              <w:rPr>
                <w:bCs/>
                <w:i/>
                <w:lang w:val="en-US"/>
              </w:rPr>
              <w:t>Observatii privind clauza de armonizare</w:t>
            </w:r>
          </w:p>
          <w:p w:rsidR="0062398D" w:rsidRPr="0062398D" w:rsidRDefault="0062398D" w:rsidP="0062398D">
            <w:pPr>
              <w:jc w:val="both"/>
              <w:rPr>
                <w:bCs/>
                <w:lang w:val="en-US"/>
              </w:rPr>
            </w:pPr>
            <w:r w:rsidRPr="0062398D">
              <w:rPr>
                <w:bCs/>
                <w:lang w:val="en-US"/>
              </w:rPr>
              <w:t xml:space="preserve">Pentru respectarea cerintelor inaintate fata de proiectele cu relevanta UE stabilite de art. 31 din Legea nr. 100 din 22 decembrie 2017 cu privire la actele normative si Hotarirea Guvemului nr. 1345 din 24 noiembrie 2006 cu privire la </w:t>
            </w:r>
            <w:r w:rsidRPr="0062398D">
              <w:rPr>
                <w:bCs/>
                <w:lang w:val="en-US"/>
              </w:rPr>
              <w:lastRenderedPageBreak/>
              <w:t>armonizarea legislatiei Republicii Moldova cu legislatia comunitara, dupa partea introductiva a proiectului national urmeaza a fi inserata clauza de armonizare in urmatoarea redactie: „Prezenta Hotarire de Guvern transpune Directiva Consiliului 64/432/CEE din 26 iunie 1964 privind problemele de inspectie veterinara care afecteaza schimbu</w:t>
            </w:r>
            <w:r w:rsidR="00BF060D">
              <w:rPr>
                <w:bCs/>
                <w:lang w:val="en-US"/>
              </w:rPr>
              <w:t>rile intracomunitare cu bovine ș</w:t>
            </w:r>
            <w:r w:rsidRPr="0062398D">
              <w:rPr>
                <w:bCs/>
                <w:lang w:val="en-US"/>
              </w:rPr>
              <w:t xml:space="preserve">i porcine, astfei cum a fost ultima oara modificata prin Decizia de punere in aplicare (UE) 2015/819 a Comisiei din 22 mai 2015, publicata </w:t>
            </w:r>
            <w:r w:rsidR="00914E45">
              <w:rPr>
                <w:bCs/>
                <w:lang w:val="en-US"/>
              </w:rPr>
              <w:t>in Jurnalul Oficial al Comunitaț</w:t>
            </w:r>
            <w:r w:rsidRPr="0062398D">
              <w:rPr>
                <w:bCs/>
                <w:lang w:val="en-US"/>
              </w:rPr>
              <w:t>ilor Europene P 121 din 29 iulie 1964”.</w:t>
            </w:r>
          </w:p>
          <w:p w:rsidR="0062398D" w:rsidRPr="00BF060D" w:rsidRDefault="0062398D" w:rsidP="0062398D">
            <w:pPr>
              <w:jc w:val="both"/>
              <w:rPr>
                <w:bCs/>
                <w:i/>
                <w:lang w:val="en-US"/>
              </w:rPr>
            </w:pPr>
            <w:r w:rsidRPr="00BF060D">
              <w:rPr>
                <w:bCs/>
                <w:i/>
                <w:lang w:val="en-US"/>
              </w:rPr>
              <w:t>Obs</w:t>
            </w:r>
            <w:r w:rsidR="00BF060D">
              <w:rPr>
                <w:bCs/>
                <w:i/>
                <w:lang w:val="en-US"/>
              </w:rPr>
              <w:t>ervatii privind Nota informativă</w:t>
            </w:r>
          </w:p>
          <w:p w:rsidR="0062398D" w:rsidRPr="0062398D" w:rsidRDefault="0062398D" w:rsidP="0062398D">
            <w:pPr>
              <w:jc w:val="both"/>
              <w:rPr>
                <w:bCs/>
                <w:lang w:val="en-US"/>
              </w:rPr>
            </w:pPr>
            <w:r w:rsidRPr="0062398D">
              <w:rPr>
                <w:bCs/>
                <w:lang w:val="en-US"/>
              </w:rPr>
              <w:t xml:space="preserve">Nota informativa la proiect va indica gradul de compatibilitate al proiectului cu Directiva 64/432/CEE, fiind incluse concluziile expertizei de compatibilitate. De asemenea, in Nota informativa se va face mentiunea privind elaborarea Tabelului de concordanta in care se analizeaza comparativ gradul de transpunere al actelor UE mentionate </w:t>
            </w:r>
            <w:r w:rsidRPr="00BF060D">
              <w:rPr>
                <w:bCs/>
                <w:i/>
                <w:lang w:val="en-US"/>
              </w:rPr>
              <w:t>supra</w:t>
            </w:r>
            <w:r w:rsidRPr="0062398D">
              <w:rPr>
                <w:bCs/>
                <w:lang w:val="en-US"/>
              </w:rPr>
              <w:t>, in legislatia nationala.</w:t>
            </w:r>
          </w:p>
          <w:p w:rsidR="0062398D" w:rsidRPr="00C203D1" w:rsidRDefault="0062398D" w:rsidP="0062398D">
            <w:pPr>
              <w:jc w:val="both"/>
              <w:rPr>
                <w:b/>
                <w:bCs/>
                <w:lang w:val="en-US"/>
              </w:rPr>
            </w:pPr>
            <w:r w:rsidRPr="00C203D1">
              <w:rPr>
                <w:b/>
                <w:bCs/>
                <w:lang w:val="en-US"/>
              </w:rPr>
              <w:t>III. Concluzii</w:t>
            </w:r>
          </w:p>
          <w:p w:rsidR="0062398D" w:rsidRDefault="0062398D" w:rsidP="0062398D">
            <w:pPr>
              <w:jc w:val="both"/>
              <w:rPr>
                <w:bCs/>
                <w:lang w:val="en-US"/>
              </w:rPr>
            </w:pPr>
            <w:r w:rsidRPr="0062398D">
              <w:rPr>
                <w:bCs/>
                <w:lang w:val="en-US"/>
              </w:rPr>
              <w:t>Avind in vedere cele mentionate, apreciem ca in urma evaluarii realizate, proiectul national si-a atins in mare parte finalitatea propusa, cu observatiile mentionate in punctul II, care urmeaza a fi incorporate in proiectul national in procesul de definitivare a acestuia.</w:t>
            </w:r>
          </w:p>
          <w:p w:rsidR="0062398D" w:rsidRPr="0062398D" w:rsidRDefault="0062398D" w:rsidP="0062398D">
            <w:pPr>
              <w:jc w:val="both"/>
              <w:rPr>
                <w:bCs/>
                <w:lang w:val="ro-RO"/>
              </w:rPr>
            </w:pPr>
            <w:r w:rsidRPr="0062398D">
              <w:rPr>
                <w:bCs/>
                <w:lang w:val="en-US"/>
              </w:rPr>
              <w:t>Facem mentiunea ca analiza Centrului de Armonizare a Legislatiei nu are in vedere elementele de oportunitate ale solutiilor juridice incluse in proiectul de act normativ</w:t>
            </w:r>
            <w:r>
              <w:rPr>
                <w:bCs/>
                <w:lang w:val="en-US"/>
              </w:rPr>
              <w:t>, ci se refer</w:t>
            </w:r>
            <w:r>
              <w:rPr>
                <w:bCs/>
                <w:lang w:val="ro-RO"/>
              </w:rPr>
              <w:t xml:space="preserve">ă strict la conformitatea acestora cu Dreptul UE aplicabil. </w:t>
            </w:r>
          </w:p>
        </w:tc>
        <w:tc>
          <w:tcPr>
            <w:tcW w:w="5812" w:type="dxa"/>
          </w:tcPr>
          <w:p w:rsidR="00380E87" w:rsidRDefault="00914E45" w:rsidP="00A170F7">
            <w:pPr>
              <w:rPr>
                <w:b/>
                <w:bCs/>
                <w:lang w:val="ro-RO"/>
              </w:rPr>
            </w:pPr>
            <w:r w:rsidRPr="00EC005B">
              <w:rPr>
                <w:b/>
                <w:bCs/>
                <w:lang w:val="ro-RO"/>
              </w:rPr>
              <w:lastRenderedPageBreak/>
              <w:t>Se acceptă.</w:t>
            </w:r>
          </w:p>
          <w:p w:rsidR="00914E45" w:rsidRDefault="00914E45" w:rsidP="00A170F7">
            <w:pPr>
              <w:rPr>
                <w:b/>
                <w:bCs/>
                <w:lang w:val="ro-RO"/>
              </w:rPr>
            </w:pPr>
          </w:p>
          <w:p w:rsidR="00914E45" w:rsidRDefault="00914E45" w:rsidP="00A170F7">
            <w:pPr>
              <w:rPr>
                <w:b/>
                <w:bCs/>
                <w:lang w:val="ro-RO"/>
              </w:rPr>
            </w:pPr>
          </w:p>
          <w:p w:rsidR="00914E45" w:rsidRDefault="00914E45" w:rsidP="00A170F7">
            <w:pPr>
              <w:rPr>
                <w:b/>
                <w:bCs/>
                <w:lang w:val="ro-RO"/>
              </w:rPr>
            </w:pPr>
            <w:r w:rsidRPr="00EC005B">
              <w:rPr>
                <w:b/>
                <w:bCs/>
                <w:lang w:val="ro-RO"/>
              </w:rPr>
              <w:t>Se acceptă.</w:t>
            </w:r>
          </w:p>
          <w:p w:rsidR="00914E45" w:rsidRDefault="00914E45" w:rsidP="00A170F7">
            <w:pPr>
              <w:rPr>
                <w:b/>
                <w:bCs/>
                <w:lang w:val="ro-RO"/>
              </w:rPr>
            </w:pPr>
          </w:p>
          <w:p w:rsidR="00914E45" w:rsidRDefault="00914E45" w:rsidP="00A170F7">
            <w:pPr>
              <w:rPr>
                <w:b/>
                <w:bCs/>
                <w:lang w:val="ro-RO"/>
              </w:rPr>
            </w:pPr>
          </w:p>
          <w:p w:rsidR="00914E45" w:rsidRDefault="00914E45" w:rsidP="00A170F7">
            <w:pPr>
              <w:rPr>
                <w:b/>
                <w:bCs/>
                <w:lang w:val="ro-RO"/>
              </w:rPr>
            </w:pPr>
          </w:p>
          <w:p w:rsidR="00914E45" w:rsidRDefault="00914E45" w:rsidP="00A170F7">
            <w:pPr>
              <w:rPr>
                <w:b/>
                <w:bCs/>
                <w:lang w:val="ro-RO"/>
              </w:rPr>
            </w:pPr>
          </w:p>
          <w:p w:rsidR="00914E45" w:rsidRPr="006D179A" w:rsidRDefault="006D179A" w:rsidP="006D179A">
            <w:pPr>
              <w:jc w:val="both"/>
              <w:rPr>
                <w:bCs/>
                <w:lang w:val="ro-RO"/>
              </w:rPr>
            </w:pPr>
            <w:r w:rsidRPr="00EC005B">
              <w:rPr>
                <w:b/>
                <w:bCs/>
                <w:lang w:val="ro-RO"/>
              </w:rPr>
              <w:t>Se acceptă.</w:t>
            </w:r>
            <w:r>
              <w:rPr>
                <w:b/>
                <w:bCs/>
                <w:lang w:val="ro-RO"/>
              </w:rPr>
              <w:t xml:space="preserve"> </w:t>
            </w:r>
            <w:r>
              <w:rPr>
                <w:bCs/>
                <w:lang w:val="ro-RO"/>
              </w:rPr>
              <w:t>Subpunctul 5) a fost exclus.</w:t>
            </w:r>
          </w:p>
          <w:p w:rsidR="00914E45" w:rsidRDefault="00914E45" w:rsidP="00A170F7">
            <w:pPr>
              <w:rPr>
                <w:bCs/>
                <w:lang w:val="en-US"/>
              </w:rPr>
            </w:pPr>
          </w:p>
          <w:p w:rsidR="003D14FB" w:rsidRDefault="003D14FB" w:rsidP="00A170F7">
            <w:pPr>
              <w:rPr>
                <w:bCs/>
                <w:lang w:val="en-US"/>
              </w:rPr>
            </w:pPr>
          </w:p>
          <w:p w:rsidR="003D14FB" w:rsidRDefault="003D14FB" w:rsidP="00A170F7">
            <w:pPr>
              <w:rPr>
                <w:bCs/>
                <w:lang w:val="en-US"/>
              </w:rPr>
            </w:pPr>
          </w:p>
          <w:p w:rsidR="003D14FB" w:rsidRDefault="003D14FB" w:rsidP="0093026C">
            <w:pPr>
              <w:spacing w:line="240" w:lineRule="atLeast"/>
              <w:jc w:val="both"/>
              <w:rPr>
                <w:lang w:val="ro-RO"/>
              </w:rPr>
            </w:pPr>
            <w:r w:rsidRPr="00EC005B">
              <w:rPr>
                <w:b/>
                <w:bCs/>
                <w:lang w:val="ro-RO"/>
              </w:rPr>
              <w:t>Se acceptă.</w:t>
            </w:r>
            <w:r>
              <w:rPr>
                <w:bCs/>
                <w:lang w:val="ro-RO"/>
              </w:rPr>
              <w:t xml:space="preserve"> </w:t>
            </w:r>
            <w:r w:rsidR="0093026C">
              <w:rPr>
                <w:bCs/>
                <w:lang w:val="en-US"/>
              </w:rPr>
              <w:t>Î</w:t>
            </w:r>
            <w:r>
              <w:rPr>
                <w:bCs/>
                <w:lang w:val="en-US"/>
              </w:rPr>
              <w:t xml:space="preserve">n prezent </w:t>
            </w:r>
            <w:r w:rsidR="0093026C">
              <w:rPr>
                <w:bCs/>
                <w:lang w:val="en-US"/>
              </w:rPr>
              <w:t>prevederile stipulate la punctele 36-37, în legătură cu modificarea numerotării, sînt prevăzute în alin. 3 din punctul 39 al prezentului proiect, care expres prevede: ”</w:t>
            </w:r>
            <w:r w:rsidR="0093026C">
              <w:rPr>
                <w:sz w:val="28"/>
                <w:szCs w:val="28"/>
                <w:lang w:val="ro-RO"/>
              </w:rPr>
              <w:t xml:space="preserve"> </w:t>
            </w:r>
            <w:r w:rsidR="0093026C" w:rsidRPr="0093026C">
              <w:rPr>
                <w:lang w:val="ro-RO"/>
              </w:rPr>
              <w:t>Prevederile prezentului punct și ale punctului 38 se aplică la porcine</w:t>
            </w:r>
            <w:r w:rsidR="0093026C">
              <w:rPr>
                <w:lang w:val="ro-RO"/>
              </w:rPr>
              <w:t>.”</w:t>
            </w:r>
          </w:p>
          <w:p w:rsidR="00E445B3" w:rsidRDefault="00E445B3" w:rsidP="0093026C">
            <w:pPr>
              <w:spacing w:line="240" w:lineRule="atLeast"/>
              <w:jc w:val="both"/>
              <w:rPr>
                <w:lang w:val="ro-RO"/>
              </w:rPr>
            </w:pPr>
          </w:p>
          <w:p w:rsidR="00E445B3" w:rsidRDefault="00E445B3" w:rsidP="0093026C">
            <w:pPr>
              <w:spacing w:line="240" w:lineRule="atLeast"/>
              <w:jc w:val="both"/>
              <w:rPr>
                <w:b/>
                <w:bCs/>
                <w:lang w:val="ro-RO"/>
              </w:rPr>
            </w:pPr>
            <w:r w:rsidRPr="00EC005B">
              <w:rPr>
                <w:b/>
                <w:bCs/>
                <w:lang w:val="ro-RO"/>
              </w:rPr>
              <w:t>Se acceptă.</w:t>
            </w:r>
          </w:p>
          <w:p w:rsidR="000B5F46" w:rsidRDefault="000B5F46" w:rsidP="0093026C">
            <w:pPr>
              <w:spacing w:line="240" w:lineRule="atLeast"/>
              <w:jc w:val="both"/>
              <w:rPr>
                <w:b/>
                <w:bCs/>
                <w:lang w:val="ro-RO"/>
              </w:rPr>
            </w:pPr>
          </w:p>
          <w:p w:rsidR="000B5F46" w:rsidRDefault="000B5F46" w:rsidP="0093026C">
            <w:pPr>
              <w:spacing w:line="240" w:lineRule="atLeast"/>
              <w:jc w:val="both"/>
              <w:rPr>
                <w:b/>
                <w:bCs/>
                <w:lang w:val="ro-RO"/>
              </w:rPr>
            </w:pPr>
          </w:p>
          <w:p w:rsidR="000B5F46" w:rsidRDefault="000B5F46" w:rsidP="0093026C">
            <w:pPr>
              <w:spacing w:line="240" w:lineRule="atLeast"/>
              <w:jc w:val="both"/>
              <w:rPr>
                <w:b/>
                <w:bCs/>
                <w:lang w:val="ro-RO"/>
              </w:rPr>
            </w:pPr>
          </w:p>
          <w:p w:rsidR="000B5F46" w:rsidRDefault="000B5F46" w:rsidP="0093026C">
            <w:pPr>
              <w:spacing w:line="240" w:lineRule="atLeast"/>
              <w:jc w:val="both"/>
              <w:rPr>
                <w:b/>
                <w:bCs/>
                <w:lang w:val="ro-RO"/>
              </w:rPr>
            </w:pPr>
          </w:p>
          <w:p w:rsidR="000B5F46" w:rsidRDefault="000B5F46" w:rsidP="0093026C">
            <w:pPr>
              <w:spacing w:line="240" w:lineRule="atLeast"/>
              <w:jc w:val="both"/>
              <w:rPr>
                <w:b/>
                <w:bCs/>
                <w:lang w:val="ro-RO"/>
              </w:rPr>
            </w:pPr>
          </w:p>
          <w:p w:rsidR="000B5F46" w:rsidRDefault="005D1D92" w:rsidP="0093026C">
            <w:pPr>
              <w:spacing w:line="240" w:lineRule="atLeast"/>
              <w:jc w:val="both"/>
              <w:rPr>
                <w:b/>
                <w:bCs/>
                <w:lang w:val="ro-RO"/>
              </w:rPr>
            </w:pPr>
            <w:r w:rsidRPr="00EC005B">
              <w:rPr>
                <w:b/>
                <w:bCs/>
                <w:lang w:val="ro-RO"/>
              </w:rPr>
              <w:t>Se acceptă.</w:t>
            </w:r>
          </w:p>
          <w:p w:rsidR="005D1D92" w:rsidRDefault="005D1D92" w:rsidP="0093026C">
            <w:pPr>
              <w:spacing w:line="240" w:lineRule="atLeast"/>
              <w:jc w:val="both"/>
              <w:rPr>
                <w:b/>
                <w:bCs/>
                <w:lang w:val="ro-RO"/>
              </w:rPr>
            </w:pPr>
          </w:p>
          <w:p w:rsidR="005D1D92" w:rsidRDefault="005D1D92" w:rsidP="0093026C">
            <w:pPr>
              <w:spacing w:line="240" w:lineRule="atLeast"/>
              <w:jc w:val="both"/>
              <w:rPr>
                <w:b/>
                <w:bCs/>
                <w:lang w:val="ro-RO"/>
              </w:rPr>
            </w:pPr>
          </w:p>
          <w:p w:rsidR="005D1D92" w:rsidRDefault="005D1D92" w:rsidP="0093026C">
            <w:pPr>
              <w:spacing w:line="240" w:lineRule="atLeast"/>
              <w:jc w:val="both"/>
              <w:rPr>
                <w:b/>
                <w:bCs/>
                <w:lang w:val="ro-RO"/>
              </w:rPr>
            </w:pPr>
          </w:p>
          <w:p w:rsidR="005D1D92" w:rsidRDefault="005D1D92" w:rsidP="00716203">
            <w:pPr>
              <w:spacing w:line="240" w:lineRule="atLeast"/>
              <w:jc w:val="both"/>
              <w:rPr>
                <w:bCs/>
                <w:lang w:val="ro-RO"/>
              </w:rPr>
            </w:pPr>
            <w:r w:rsidRPr="00EC005B">
              <w:rPr>
                <w:b/>
                <w:bCs/>
                <w:lang w:val="ro-RO"/>
              </w:rPr>
              <w:t>Se acceptă.</w:t>
            </w:r>
            <w:r w:rsidR="00716203">
              <w:rPr>
                <w:bCs/>
                <w:lang w:val="en-US"/>
              </w:rPr>
              <w:t xml:space="preserve"> În legătură cu modificarea numerotării</w:t>
            </w:r>
            <w:r w:rsidR="00716203">
              <w:rPr>
                <w:bCs/>
                <w:lang w:val="ro-RO"/>
              </w:rPr>
              <w:t>,</w:t>
            </w:r>
            <w:r w:rsidR="00716203">
              <w:rPr>
                <w:b/>
                <w:bCs/>
                <w:lang w:val="ro-RO"/>
              </w:rPr>
              <w:t xml:space="preserve"> </w:t>
            </w:r>
            <w:r w:rsidR="00716203">
              <w:rPr>
                <w:bCs/>
                <w:lang w:val="ro-RO"/>
              </w:rPr>
              <w:t>s-a făcut referire la punctele corespunzătoare respectiv 34, și 19.</w:t>
            </w:r>
          </w:p>
          <w:p w:rsidR="00716203" w:rsidRDefault="00716203" w:rsidP="00716203">
            <w:pPr>
              <w:spacing w:line="240" w:lineRule="atLeast"/>
              <w:jc w:val="both"/>
              <w:rPr>
                <w:bCs/>
                <w:lang w:val="ro-RO"/>
              </w:rPr>
            </w:pPr>
          </w:p>
          <w:p w:rsidR="00716203" w:rsidRDefault="00716203" w:rsidP="00716203">
            <w:pPr>
              <w:spacing w:line="240" w:lineRule="atLeast"/>
              <w:jc w:val="both"/>
              <w:rPr>
                <w:bCs/>
                <w:lang w:val="ro-RO"/>
              </w:rPr>
            </w:pPr>
          </w:p>
          <w:p w:rsidR="00716203" w:rsidRDefault="00716203" w:rsidP="00716203">
            <w:pPr>
              <w:spacing w:line="240" w:lineRule="atLeast"/>
              <w:jc w:val="both"/>
              <w:rPr>
                <w:bCs/>
                <w:lang w:val="ro-RO"/>
              </w:rPr>
            </w:pPr>
          </w:p>
          <w:p w:rsidR="00716203" w:rsidRDefault="00716203" w:rsidP="00716203">
            <w:pPr>
              <w:spacing w:line="240" w:lineRule="atLeast"/>
              <w:jc w:val="both"/>
              <w:rPr>
                <w:bCs/>
                <w:lang w:val="ro-RO"/>
              </w:rPr>
            </w:pPr>
          </w:p>
          <w:p w:rsidR="00716203" w:rsidRDefault="00716203" w:rsidP="00716203">
            <w:pPr>
              <w:spacing w:line="240" w:lineRule="atLeast"/>
              <w:jc w:val="both"/>
              <w:rPr>
                <w:bCs/>
                <w:lang w:val="ro-RO"/>
              </w:rPr>
            </w:pPr>
          </w:p>
          <w:p w:rsidR="00716203" w:rsidRDefault="00716203" w:rsidP="00716203">
            <w:pPr>
              <w:spacing w:line="240" w:lineRule="atLeast"/>
              <w:jc w:val="both"/>
              <w:rPr>
                <w:bCs/>
                <w:lang w:val="ro-RO"/>
              </w:rPr>
            </w:pPr>
          </w:p>
          <w:p w:rsidR="00716203" w:rsidRDefault="00716203" w:rsidP="00716203">
            <w:pPr>
              <w:spacing w:line="240" w:lineRule="atLeast"/>
              <w:jc w:val="both"/>
              <w:rPr>
                <w:bCs/>
                <w:lang w:val="ro-RO"/>
              </w:rPr>
            </w:pPr>
          </w:p>
          <w:p w:rsidR="00716203" w:rsidRDefault="00716203" w:rsidP="00716203">
            <w:pPr>
              <w:spacing w:line="240" w:lineRule="atLeast"/>
              <w:jc w:val="both"/>
              <w:rPr>
                <w:bCs/>
                <w:lang w:val="ro-RO"/>
              </w:rPr>
            </w:pPr>
            <w:r w:rsidRPr="00EC005B">
              <w:rPr>
                <w:b/>
                <w:bCs/>
                <w:lang w:val="ro-RO"/>
              </w:rPr>
              <w:t>Se acceptă.</w:t>
            </w:r>
            <w:r>
              <w:rPr>
                <w:b/>
                <w:bCs/>
                <w:lang w:val="ro-RO"/>
              </w:rPr>
              <w:t xml:space="preserve"> </w:t>
            </w:r>
            <w:r>
              <w:rPr>
                <w:bCs/>
                <w:lang w:val="ro-RO"/>
              </w:rPr>
              <w:t>Astfel de referiri au fost excluse.</w:t>
            </w:r>
          </w:p>
          <w:p w:rsidR="00716203" w:rsidRDefault="00716203" w:rsidP="00716203">
            <w:pPr>
              <w:spacing w:line="240" w:lineRule="atLeast"/>
              <w:jc w:val="both"/>
              <w:rPr>
                <w:bCs/>
                <w:lang w:val="ro-RO"/>
              </w:rPr>
            </w:pPr>
          </w:p>
          <w:p w:rsidR="00716203" w:rsidRDefault="00716203" w:rsidP="00716203">
            <w:pPr>
              <w:spacing w:line="240" w:lineRule="atLeast"/>
              <w:jc w:val="both"/>
              <w:rPr>
                <w:bCs/>
                <w:lang w:val="ro-RO"/>
              </w:rPr>
            </w:pPr>
          </w:p>
          <w:p w:rsidR="00716203" w:rsidRDefault="00716203" w:rsidP="00716203">
            <w:pPr>
              <w:spacing w:line="240" w:lineRule="atLeast"/>
              <w:jc w:val="both"/>
              <w:rPr>
                <w:bCs/>
                <w:lang w:val="ro-RO"/>
              </w:rPr>
            </w:pPr>
          </w:p>
          <w:p w:rsidR="00716203" w:rsidRDefault="00716203" w:rsidP="00716203">
            <w:pPr>
              <w:spacing w:line="240" w:lineRule="atLeast"/>
              <w:jc w:val="both"/>
              <w:rPr>
                <w:bCs/>
                <w:lang w:val="ro-RO"/>
              </w:rPr>
            </w:pPr>
          </w:p>
          <w:p w:rsidR="00716203" w:rsidRDefault="00716203" w:rsidP="00716203">
            <w:pPr>
              <w:spacing w:line="240" w:lineRule="atLeast"/>
              <w:jc w:val="both"/>
              <w:rPr>
                <w:bCs/>
                <w:lang w:val="ro-RO"/>
              </w:rPr>
            </w:pPr>
          </w:p>
          <w:p w:rsidR="00716203" w:rsidRDefault="00716203" w:rsidP="00716203">
            <w:pPr>
              <w:spacing w:line="240" w:lineRule="atLeast"/>
              <w:jc w:val="both"/>
              <w:rPr>
                <w:bCs/>
                <w:lang w:val="ro-RO"/>
              </w:rPr>
            </w:pPr>
          </w:p>
          <w:p w:rsidR="00716203" w:rsidRDefault="00716203" w:rsidP="00716203">
            <w:pPr>
              <w:spacing w:line="240" w:lineRule="atLeast"/>
              <w:jc w:val="both"/>
              <w:rPr>
                <w:bCs/>
                <w:lang w:val="ro-RO"/>
              </w:rPr>
            </w:pPr>
          </w:p>
          <w:p w:rsidR="00716203" w:rsidRDefault="00716203" w:rsidP="00716203">
            <w:pPr>
              <w:spacing w:line="240" w:lineRule="atLeast"/>
              <w:jc w:val="both"/>
              <w:rPr>
                <w:bCs/>
                <w:lang w:val="ro-RO"/>
              </w:rPr>
            </w:pPr>
          </w:p>
          <w:p w:rsidR="00716203" w:rsidRDefault="00716203" w:rsidP="00716203">
            <w:pPr>
              <w:spacing w:line="240" w:lineRule="atLeast"/>
              <w:jc w:val="both"/>
              <w:rPr>
                <w:bCs/>
                <w:lang w:val="ro-RO"/>
              </w:rPr>
            </w:pPr>
          </w:p>
          <w:p w:rsidR="00716203" w:rsidRPr="00716203" w:rsidRDefault="005A29B7" w:rsidP="00716203">
            <w:pPr>
              <w:spacing w:line="240" w:lineRule="atLeast"/>
              <w:jc w:val="both"/>
              <w:rPr>
                <w:bCs/>
                <w:lang w:val="ro-RO"/>
              </w:rPr>
            </w:pPr>
            <w:r>
              <w:rPr>
                <w:bCs/>
                <w:lang w:val="ro-RO"/>
              </w:rPr>
              <w:t>Conform acordului reciproc</w:t>
            </w:r>
            <w:r w:rsidR="003F7BB7">
              <w:rPr>
                <w:bCs/>
                <w:lang w:val="ro-RO"/>
              </w:rPr>
              <w:t>,</w:t>
            </w:r>
            <w:r>
              <w:rPr>
                <w:bCs/>
                <w:lang w:val="ro-RO"/>
              </w:rPr>
              <w:t xml:space="preserve"> s-a convenit pentru o mai bună convingere a experților internaționali care verifică echivalența actelor naționale cu cele comunitare</w:t>
            </w:r>
            <w:r w:rsidR="003F7BB7">
              <w:rPr>
                <w:bCs/>
                <w:lang w:val="ro-RO"/>
              </w:rPr>
              <w:t>, să fie inclusă</w:t>
            </w:r>
            <w:r>
              <w:rPr>
                <w:bCs/>
                <w:lang w:val="ro-RO"/>
              </w:rPr>
              <w:t xml:space="preserve"> acestă clauză</w:t>
            </w:r>
            <w:r w:rsidR="003F7BB7">
              <w:rPr>
                <w:bCs/>
                <w:lang w:val="ro-RO"/>
              </w:rPr>
              <w:t xml:space="preserve"> după denumirea normei în cauză, </w:t>
            </w:r>
            <w:r w:rsidR="003F7BB7">
              <w:rPr>
                <w:bCs/>
                <w:lang w:val="ro-RO"/>
              </w:rPr>
              <w:lastRenderedPageBreak/>
              <w:t>adică înaintea capitolului I. Astfel de precedente sunt în majoritatea actelor normative în domeniul respectiv, acceptate de toate instituțiile interesate.</w:t>
            </w:r>
          </w:p>
          <w:p w:rsidR="00716203" w:rsidRDefault="00716203" w:rsidP="00716203">
            <w:pPr>
              <w:spacing w:line="240" w:lineRule="atLeast"/>
              <w:jc w:val="both"/>
              <w:rPr>
                <w:bCs/>
                <w:lang w:val="ro-RO"/>
              </w:rPr>
            </w:pPr>
          </w:p>
          <w:p w:rsidR="00716203" w:rsidRDefault="00716203" w:rsidP="00716203">
            <w:pPr>
              <w:spacing w:line="240" w:lineRule="atLeast"/>
              <w:jc w:val="both"/>
              <w:rPr>
                <w:bCs/>
                <w:lang w:val="ro-RO"/>
              </w:rPr>
            </w:pPr>
          </w:p>
          <w:p w:rsidR="00BF060D" w:rsidRDefault="00BF060D" w:rsidP="00716203">
            <w:pPr>
              <w:spacing w:line="240" w:lineRule="atLeast"/>
              <w:jc w:val="both"/>
              <w:rPr>
                <w:bCs/>
                <w:lang w:val="ro-RO"/>
              </w:rPr>
            </w:pPr>
          </w:p>
          <w:p w:rsidR="00BF060D" w:rsidRDefault="00BF060D" w:rsidP="00716203">
            <w:pPr>
              <w:spacing w:line="240" w:lineRule="atLeast"/>
              <w:jc w:val="both"/>
              <w:rPr>
                <w:bCs/>
                <w:lang w:val="ro-RO"/>
              </w:rPr>
            </w:pPr>
          </w:p>
          <w:p w:rsidR="00BF060D" w:rsidRDefault="00BF060D" w:rsidP="00716203">
            <w:pPr>
              <w:spacing w:line="240" w:lineRule="atLeast"/>
              <w:jc w:val="both"/>
              <w:rPr>
                <w:bCs/>
                <w:lang w:val="ro-RO"/>
              </w:rPr>
            </w:pPr>
          </w:p>
          <w:p w:rsidR="00BF060D" w:rsidRDefault="00BF060D" w:rsidP="00716203">
            <w:pPr>
              <w:spacing w:line="240" w:lineRule="atLeast"/>
              <w:jc w:val="both"/>
              <w:rPr>
                <w:bCs/>
                <w:lang w:val="ro-RO"/>
              </w:rPr>
            </w:pPr>
          </w:p>
          <w:p w:rsidR="00BF060D" w:rsidRDefault="00BF060D" w:rsidP="00716203">
            <w:pPr>
              <w:spacing w:line="240" w:lineRule="atLeast"/>
              <w:jc w:val="both"/>
              <w:rPr>
                <w:bCs/>
                <w:lang w:val="ro-RO"/>
              </w:rPr>
            </w:pPr>
          </w:p>
          <w:p w:rsidR="00BF060D" w:rsidRDefault="00BF060D" w:rsidP="00716203">
            <w:pPr>
              <w:spacing w:line="240" w:lineRule="atLeast"/>
              <w:jc w:val="both"/>
              <w:rPr>
                <w:bCs/>
                <w:lang w:val="ro-RO"/>
              </w:rPr>
            </w:pPr>
          </w:p>
          <w:p w:rsidR="00BF060D" w:rsidRDefault="00BF060D" w:rsidP="00716203">
            <w:pPr>
              <w:spacing w:line="240" w:lineRule="atLeast"/>
              <w:jc w:val="both"/>
              <w:rPr>
                <w:bCs/>
                <w:lang w:val="ro-RO"/>
              </w:rPr>
            </w:pPr>
          </w:p>
          <w:p w:rsidR="00BF060D" w:rsidRPr="00BF060D" w:rsidRDefault="00BF060D" w:rsidP="00716203">
            <w:pPr>
              <w:spacing w:line="240" w:lineRule="atLeast"/>
              <w:jc w:val="both"/>
              <w:rPr>
                <w:bCs/>
                <w:lang w:val="ro-RO"/>
              </w:rPr>
            </w:pPr>
            <w:r w:rsidRPr="00EC005B">
              <w:rPr>
                <w:b/>
                <w:bCs/>
                <w:lang w:val="ro-RO"/>
              </w:rPr>
              <w:t>Se acceptă.</w:t>
            </w:r>
            <w:r>
              <w:rPr>
                <w:b/>
                <w:bCs/>
                <w:lang w:val="ro-RO"/>
              </w:rPr>
              <w:t xml:space="preserve"> </w:t>
            </w:r>
            <w:r w:rsidRPr="00BF060D">
              <w:rPr>
                <w:bCs/>
                <w:lang w:val="ro-RO"/>
              </w:rPr>
              <w:t>În</w:t>
            </w:r>
            <w:r>
              <w:rPr>
                <w:b/>
                <w:bCs/>
                <w:lang w:val="ro-RO"/>
              </w:rPr>
              <w:t xml:space="preserve"> </w:t>
            </w:r>
            <w:r>
              <w:rPr>
                <w:bCs/>
                <w:lang w:val="en-US"/>
              </w:rPr>
              <w:t>Nota informativa la proiect este</w:t>
            </w:r>
            <w:r w:rsidRPr="0062398D">
              <w:rPr>
                <w:bCs/>
                <w:lang w:val="en-US"/>
              </w:rPr>
              <w:t xml:space="preserve"> indica</w:t>
            </w:r>
            <w:r>
              <w:rPr>
                <w:bCs/>
                <w:lang w:val="en-US"/>
              </w:rPr>
              <w:t>t</w:t>
            </w:r>
            <w:r w:rsidRPr="0062398D">
              <w:rPr>
                <w:bCs/>
                <w:lang w:val="en-US"/>
              </w:rPr>
              <w:t xml:space="preserve"> </w:t>
            </w:r>
            <w:r>
              <w:rPr>
                <w:bCs/>
                <w:lang w:val="en-US"/>
              </w:rPr>
              <w:t>echivalența (</w:t>
            </w:r>
            <w:r w:rsidRPr="0062398D">
              <w:rPr>
                <w:bCs/>
                <w:lang w:val="en-US"/>
              </w:rPr>
              <w:t>gradul de compatibilitate</w:t>
            </w:r>
            <w:r>
              <w:rPr>
                <w:bCs/>
                <w:lang w:val="en-US"/>
              </w:rPr>
              <w:t>)</w:t>
            </w:r>
            <w:r w:rsidRPr="0062398D">
              <w:rPr>
                <w:bCs/>
                <w:lang w:val="en-US"/>
              </w:rPr>
              <w:t xml:space="preserve"> al proiectului cu Directiva 64/432/CEE</w:t>
            </w:r>
            <w:r w:rsidR="00C203D1">
              <w:rPr>
                <w:bCs/>
                <w:lang w:val="en-US"/>
              </w:rPr>
              <w:t>, precum și faptul că este însoțit de tabelul de concordanță, în cazul dat de declarația de compatibilitate emisă de Centrul de Armonizare a Legislației nr. 31/11 din 27 martie 2017.</w:t>
            </w:r>
          </w:p>
          <w:p w:rsidR="00716203" w:rsidRDefault="00716203" w:rsidP="00716203">
            <w:pPr>
              <w:spacing w:line="240" w:lineRule="atLeast"/>
              <w:jc w:val="both"/>
              <w:rPr>
                <w:bCs/>
                <w:lang w:val="ro-RO"/>
              </w:rPr>
            </w:pPr>
          </w:p>
          <w:p w:rsidR="00716203" w:rsidRDefault="00716203" w:rsidP="00716203">
            <w:pPr>
              <w:spacing w:line="240" w:lineRule="atLeast"/>
              <w:jc w:val="both"/>
              <w:rPr>
                <w:bCs/>
                <w:lang w:val="ro-RO"/>
              </w:rPr>
            </w:pPr>
          </w:p>
          <w:p w:rsidR="00716203" w:rsidRPr="00C203D1" w:rsidRDefault="00C203D1" w:rsidP="00C203D1">
            <w:pPr>
              <w:spacing w:line="240" w:lineRule="atLeast"/>
              <w:jc w:val="both"/>
              <w:rPr>
                <w:sz w:val="28"/>
                <w:szCs w:val="28"/>
                <w:lang w:val="ro-RO"/>
              </w:rPr>
            </w:pPr>
            <w:r w:rsidRPr="00EC005B">
              <w:rPr>
                <w:b/>
                <w:bCs/>
                <w:lang w:val="ro-RO"/>
              </w:rPr>
              <w:t>Se acceptă.</w:t>
            </w:r>
            <w:r>
              <w:rPr>
                <w:b/>
                <w:bCs/>
                <w:lang w:val="ro-RO"/>
              </w:rPr>
              <w:t xml:space="preserve"> </w:t>
            </w:r>
            <w:r w:rsidR="00817FFD">
              <w:rPr>
                <w:bCs/>
                <w:lang w:val="en-US"/>
              </w:rPr>
              <w:t>Propunerile</w:t>
            </w:r>
            <w:r>
              <w:rPr>
                <w:bCs/>
                <w:lang w:val="en-US"/>
              </w:rPr>
              <w:t xml:space="preserve"> menț</w:t>
            </w:r>
            <w:r w:rsidR="00817FFD">
              <w:rPr>
                <w:bCs/>
                <w:lang w:val="en-US"/>
              </w:rPr>
              <w:t>ionate in punctul II</w:t>
            </w:r>
            <w:r w:rsidRPr="0062398D">
              <w:rPr>
                <w:bCs/>
                <w:lang w:val="en-US"/>
              </w:rPr>
              <w:t xml:space="preserve"> </w:t>
            </w:r>
            <w:r>
              <w:rPr>
                <w:bCs/>
                <w:lang w:val="en-US"/>
              </w:rPr>
              <w:t>au fost incorporate in proiectul naț</w:t>
            </w:r>
            <w:r w:rsidRPr="0062398D">
              <w:rPr>
                <w:bCs/>
                <w:lang w:val="en-US"/>
              </w:rPr>
              <w:t xml:space="preserve">ional </w:t>
            </w:r>
            <w:r>
              <w:rPr>
                <w:bCs/>
                <w:lang w:val="en-US"/>
              </w:rPr>
              <w:t>pentru</w:t>
            </w:r>
            <w:r w:rsidRPr="0062398D">
              <w:rPr>
                <w:bCs/>
                <w:lang w:val="en-US"/>
              </w:rPr>
              <w:t xml:space="preserve"> definitiv</w:t>
            </w:r>
            <w:r>
              <w:rPr>
                <w:bCs/>
                <w:lang w:val="en-US"/>
              </w:rPr>
              <w:t>are</w:t>
            </w:r>
            <w:r w:rsidRPr="0062398D">
              <w:rPr>
                <w:bCs/>
                <w:lang w:val="en-US"/>
              </w:rPr>
              <w:t>a acestuia</w:t>
            </w:r>
            <w:r>
              <w:rPr>
                <w:bCs/>
                <w:lang w:val="en-US"/>
              </w:rPr>
              <w:t>.</w:t>
            </w:r>
          </w:p>
        </w:tc>
      </w:tr>
    </w:tbl>
    <w:p w:rsidR="00380E87" w:rsidRDefault="00380E87" w:rsidP="00380E87">
      <w:pPr>
        <w:rPr>
          <w:rFonts w:eastAsia="MS Mincho"/>
          <w:b/>
          <w:noProof w:val="0"/>
          <w:lang w:val="ro-RO" w:eastAsia="ja-JP"/>
        </w:rPr>
      </w:pPr>
    </w:p>
    <w:p w:rsidR="0030729C" w:rsidRDefault="00380E87" w:rsidP="0030729C">
      <w:pPr>
        <w:ind w:firstLine="708"/>
        <w:rPr>
          <w:rFonts w:eastAsia="MS Mincho"/>
          <w:b/>
          <w:noProof w:val="0"/>
          <w:sz w:val="28"/>
          <w:szCs w:val="28"/>
          <w:lang w:val="en-US" w:eastAsia="ja-JP"/>
        </w:rPr>
      </w:pPr>
      <w:r>
        <w:rPr>
          <w:rFonts w:eastAsia="MS Mincho"/>
          <w:b/>
          <w:noProof w:val="0"/>
          <w:lang w:val="ro-RO" w:eastAsia="ja-JP"/>
        </w:rPr>
        <w:t xml:space="preserve">            </w:t>
      </w:r>
      <w:proofErr w:type="spellStart"/>
      <w:r w:rsidR="00C15112">
        <w:rPr>
          <w:rFonts w:eastAsia="MS Mincho"/>
          <w:b/>
          <w:noProof w:val="0"/>
          <w:sz w:val="28"/>
          <w:szCs w:val="28"/>
          <w:lang w:val="en-US" w:eastAsia="ja-JP"/>
        </w:rPr>
        <w:t>M</w:t>
      </w:r>
      <w:r w:rsidR="00C15112" w:rsidRPr="003A0527">
        <w:rPr>
          <w:rFonts w:eastAsia="MS Mincho"/>
          <w:b/>
          <w:noProof w:val="0"/>
          <w:sz w:val="28"/>
          <w:szCs w:val="28"/>
          <w:lang w:val="en-US" w:eastAsia="ja-JP"/>
        </w:rPr>
        <w:t>inistru</w:t>
      </w:r>
      <w:proofErr w:type="spellEnd"/>
      <w:r w:rsidR="0030729C">
        <w:rPr>
          <w:rFonts w:eastAsia="MS Mincho"/>
          <w:b/>
          <w:noProof w:val="0"/>
          <w:sz w:val="28"/>
          <w:szCs w:val="28"/>
          <w:lang w:val="en-US" w:eastAsia="ja-JP"/>
        </w:rPr>
        <w:tab/>
      </w:r>
      <w:r w:rsidR="0030729C">
        <w:rPr>
          <w:rFonts w:eastAsia="MS Mincho"/>
          <w:b/>
          <w:noProof w:val="0"/>
          <w:sz w:val="28"/>
          <w:szCs w:val="28"/>
          <w:lang w:val="en-US" w:eastAsia="ja-JP"/>
        </w:rPr>
        <w:tab/>
      </w:r>
      <w:r w:rsidR="0030729C">
        <w:rPr>
          <w:rFonts w:eastAsia="MS Mincho"/>
          <w:b/>
          <w:noProof w:val="0"/>
          <w:sz w:val="28"/>
          <w:szCs w:val="28"/>
          <w:lang w:val="en-US" w:eastAsia="ja-JP"/>
        </w:rPr>
        <w:tab/>
      </w:r>
      <w:r w:rsidR="0030729C">
        <w:rPr>
          <w:rFonts w:eastAsia="MS Mincho"/>
          <w:b/>
          <w:noProof w:val="0"/>
          <w:sz w:val="28"/>
          <w:szCs w:val="28"/>
          <w:lang w:val="en-US" w:eastAsia="ja-JP"/>
        </w:rPr>
        <w:tab/>
      </w:r>
      <w:r w:rsidR="0030729C">
        <w:rPr>
          <w:rFonts w:eastAsia="MS Mincho"/>
          <w:b/>
          <w:noProof w:val="0"/>
          <w:sz w:val="28"/>
          <w:szCs w:val="28"/>
          <w:lang w:val="en-US" w:eastAsia="ja-JP"/>
        </w:rPr>
        <w:tab/>
      </w:r>
      <w:r w:rsidR="0030729C">
        <w:rPr>
          <w:rFonts w:eastAsia="MS Mincho"/>
          <w:b/>
          <w:noProof w:val="0"/>
          <w:sz w:val="28"/>
          <w:szCs w:val="28"/>
          <w:lang w:val="en-US" w:eastAsia="ja-JP"/>
        </w:rPr>
        <w:tab/>
      </w:r>
      <w:r w:rsidR="0030729C">
        <w:rPr>
          <w:rFonts w:eastAsia="MS Mincho"/>
          <w:b/>
          <w:noProof w:val="0"/>
          <w:sz w:val="28"/>
          <w:szCs w:val="28"/>
          <w:lang w:val="en-US" w:eastAsia="ja-JP"/>
        </w:rPr>
        <w:tab/>
      </w:r>
      <w:r w:rsidR="0030729C">
        <w:rPr>
          <w:rFonts w:eastAsia="MS Mincho"/>
          <w:b/>
          <w:noProof w:val="0"/>
          <w:sz w:val="28"/>
          <w:szCs w:val="28"/>
          <w:lang w:val="en-US" w:eastAsia="ja-JP"/>
        </w:rPr>
        <w:tab/>
      </w:r>
      <w:r w:rsidR="0030729C">
        <w:rPr>
          <w:rFonts w:eastAsia="MS Mincho"/>
          <w:b/>
          <w:noProof w:val="0"/>
          <w:sz w:val="28"/>
          <w:szCs w:val="28"/>
          <w:lang w:val="en-US" w:eastAsia="ja-JP"/>
        </w:rPr>
        <w:tab/>
      </w:r>
      <w:r w:rsidR="0030729C">
        <w:rPr>
          <w:rFonts w:eastAsia="MS Mincho"/>
          <w:b/>
          <w:noProof w:val="0"/>
          <w:sz w:val="28"/>
          <w:szCs w:val="28"/>
          <w:lang w:val="en-US" w:eastAsia="ja-JP"/>
        </w:rPr>
        <w:tab/>
      </w:r>
      <w:r w:rsidR="0030729C">
        <w:rPr>
          <w:rFonts w:eastAsia="MS Mincho"/>
          <w:b/>
          <w:noProof w:val="0"/>
          <w:sz w:val="28"/>
          <w:szCs w:val="28"/>
          <w:lang w:val="en-US" w:eastAsia="ja-JP"/>
        </w:rPr>
        <w:tab/>
      </w:r>
      <w:r w:rsidR="0030729C">
        <w:rPr>
          <w:rFonts w:eastAsia="MS Mincho"/>
          <w:b/>
          <w:noProof w:val="0"/>
          <w:sz w:val="28"/>
          <w:szCs w:val="28"/>
          <w:lang w:val="en-US" w:eastAsia="ja-JP"/>
        </w:rPr>
        <w:tab/>
      </w:r>
      <w:r w:rsidR="0030729C">
        <w:rPr>
          <w:rFonts w:eastAsia="MS Mincho"/>
          <w:b/>
          <w:noProof w:val="0"/>
          <w:sz w:val="28"/>
          <w:szCs w:val="28"/>
          <w:lang w:val="en-US" w:eastAsia="ja-JP"/>
        </w:rPr>
        <w:tab/>
      </w:r>
      <w:proofErr w:type="spellStart"/>
      <w:r w:rsidR="0030729C">
        <w:rPr>
          <w:rFonts w:eastAsia="MS Mincho"/>
          <w:b/>
          <w:noProof w:val="0"/>
          <w:sz w:val="28"/>
          <w:szCs w:val="28"/>
          <w:lang w:val="en-US" w:eastAsia="ja-JP"/>
        </w:rPr>
        <w:t>Liviu</w:t>
      </w:r>
      <w:proofErr w:type="spellEnd"/>
      <w:r w:rsidR="0030729C">
        <w:rPr>
          <w:rFonts w:eastAsia="MS Mincho"/>
          <w:b/>
          <w:noProof w:val="0"/>
          <w:sz w:val="28"/>
          <w:szCs w:val="28"/>
          <w:lang w:val="en-US" w:eastAsia="ja-JP"/>
        </w:rPr>
        <w:t xml:space="preserve"> VOLCONOVIC</w:t>
      </w:r>
      <w:r w:rsidR="00832969">
        <w:rPr>
          <w:rFonts w:eastAsia="MS Mincho"/>
          <w:b/>
          <w:noProof w:val="0"/>
          <w:sz w:val="28"/>
          <w:szCs w:val="28"/>
          <w:lang w:val="en-US" w:eastAsia="ja-JP"/>
        </w:rPr>
        <w:t>I</w:t>
      </w:r>
      <w:bookmarkStart w:id="0" w:name="_GoBack"/>
      <w:bookmarkEnd w:id="0"/>
    </w:p>
    <w:p w:rsidR="00C72192" w:rsidRPr="00C15112" w:rsidRDefault="00C72192" w:rsidP="00F278B4">
      <w:pPr>
        <w:autoSpaceDE w:val="0"/>
        <w:jc w:val="both"/>
        <w:rPr>
          <w:rFonts w:eastAsia="TimesNewRoman"/>
          <w:sz w:val="20"/>
          <w:szCs w:val="20"/>
          <w:lang w:val="ro-RO" w:eastAsia="ja-JP"/>
        </w:rPr>
      </w:pPr>
    </w:p>
    <w:sectPr w:rsidR="00C72192" w:rsidRPr="00C15112" w:rsidSect="006518D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45B92"/>
    <w:multiLevelType w:val="hybridMultilevel"/>
    <w:tmpl w:val="6F12A828"/>
    <w:lvl w:ilvl="0" w:tplc="122C96B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624"/>
    <w:rsid w:val="00094E65"/>
    <w:rsid w:val="000B5F46"/>
    <w:rsid w:val="001079FD"/>
    <w:rsid w:val="001A3487"/>
    <w:rsid w:val="00260858"/>
    <w:rsid w:val="0030729C"/>
    <w:rsid w:val="003135B6"/>
    <w:rsid w:val="00344093"/>
    <w:rsid w:val="00380E87"/>
    <w:rsid w:val="003D14FB"/>
    <w:rsid w:val="003F06C8"/>
    <w:rsid w:val="003F7BB7"/>
    <w:rsid w:val="00403FB6"/>
    <w:rsid w:val="00461634"/>
    <w:rsid w:val="004E37CD"/>
    <w:rsid w:val="005A29B7"/>
    <w:rsid w:val="005D1D92"/>
    <w:rsid w:val="005E6115"/>
    <w:rsid w:val="005F1B19"/>
    <w:rsid w:val="006025ED"/>
    <w:rsid w:val="0062398D"/>
    <w:rsid w:val="0066088E"/>
    <w:rsid w:val="006B27FF"/>
    <w:rsid w:val="006D179A"/>
    <w:rsid w:val="006E73FA"/>
    <w:rsid w:val="00716203"/>
    <w:rsid w:val="00817FFD"/>
    <w:rsid w:val="00821A83"/>
    <w:rsid w:val="00832969"/>
    <w:rsid w:val="00874696"/>
    <w:rsid w:val="008E6C0C"/>
    <w:rsid w:val="00914E45"/>
    <w:rsid w:val="0093026C"/>
    <w:rsid w:val="00961AC1"/>
    <w:rsid w:val="009B6ECE"/>
    <w:rsid w:val="009C0217"/>
    <w:rsid w:val="00AA4A6E"/>
    <w:rsid w:val="00AA717A"/>
    <w:rsid w:val="00AD21FB"/>
    <w:rsid w:val="00AE45E1"/>
    <w:rsid w:val="00B13E43"/>
    <w:rsid w:val="00B37D94"/>
    <w:rsid w:val="00B82CE3"/>
    <w:rsid w:val="00BA234B"/>
    <w:rsid w:val="00BB0A79"/>
    <w:rsid w:val="00BC0358"/>
    <w:rsid w:val="00BC59DC"/>
    <w:rsid w:val="00BF060D"/>
    <w:rsid w:val="00C03A47"/>
    <w:rsid w:val="00C15112"/>
    <w:rsid w:val="00C203D1"/>
    <w:rsid w:val="00C220A2"/>
    <w:rsid w:val="00C6415A"/>
    <w:rsid w:val="00C67802"/>
    <w:rsid w:val="00C72192"/>
    <w:rsid w:val="00CD41C6"/>
    <w:rsid w:val="00DF1624"/>
    <w:rsid w:val="00E445B3"/>
    <w:rsid w:val="00EC005B"/>
    <w:rsid w:val="00EF2F1F"/>
    <w:rsid w:val="00F24898"/>
    <w:rsid w:val="00F278B4"/>
    <w:rsid w:val="00FD409C"/>
    <w:rsid w:val="00FF0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E87"/>
    <w:pPr>
      <w:spacing w:after="0" w:line="240" w:lineRule="auto"/>
    </w:pPr>
    <w:rPr>
      <w:rFonts w:ascii="Times New Roman" w:eastAsia="Calibri" w:hAnsi="Times New Roman" w:cs="Times New Roman"/>
      <w:noProo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0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80E87"/>
    <w:pPr>
      <w:ind w:left="720"/>
      <w:contextualSpacing/>
    </w:pPr>
  </w:style>
  <w:style w:type="character" w:styleId="a5">
    <w:name w:val="Hyperlink"/>
    <w:basedOn w:val="a0"/>
    <w:uiPriority w:val="99"/>
    <w:unhideWhenUsed/>
    <w:rsid w:val="00380E87"/>
    <w:rPr>
      <w:color w:val="0000FF" w:themeColor="hyperlink"/>
      <w:u w:val="single"/>
    </w:rPr>
  </w:style>
  <w:style w:type="paragraph" w:styleId="a6">
    <w:name w:val="Balloon Text"/>
    <w:basedOn w:val="a"/>
    <w:link w:val="a7"/>
    <w:uiPriority w:val="99"/>
    <w:semiHidden/>
    <w:unhideWhenUsed/>
    <w:rsid w:val="00F278B4"/>
    <w:rPr>
      <w:rFonts w:ascii="Tahoma" w:hAnsi="Tahoma" w:cs="Tahoma"/>
      <w:sz w:val="16"/>
      <w:szCs w:val="16"/>
    </w:rPr>
  </w:style>
  <w:style w:type="character" w:customStyle="1" w:styleId="a7">
    <w:name w:val="Текст выноски Знак"/>
    <w:basedOn w:val="a0"/>
    <w:link w:val="a6"/>
    <w:uiPriority w:val="99"/>
    <w:semiHidden/>
    <w:rsid w:val="00F278B4"/>
    <w:rPr>
      <w:rFonts w:ascii="Tahoma" w:eastAsia="Calibri" w:hAnsi="Tahoma" w:cs="Tahoma"/>
      <w:noProof/>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E87"/>
    <w:pPr>
      <w:spacing w:after="0" w:line="240" w:lineRule="auto"/>
    </w:pPr>
    <w:rPr>
      <w:rFonts w:ascii="Times New Roman" w:eastAsia="Calibri" w:hAnsi="Times New Roman" w:cs="Times New Roman"/>
      <w:noProo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0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80E87"/>
    <w:pPr>
      <w:ind w:left="720"/>
      <w:contextualSpacing/>
    </w:pPr>
  </w:style>
  <w:style w:type="character" w:styleId="a5">
    <w:name w:val="Hyperlink"/>
    <w:basedOn w:val="a0"/>
    <w:uiPriority w:val="99"/>
    <w:unhideWhenUsed/>
    <w:rsid w:val="00380E87"/>
    <w:rPr>
      <w:color w:val="0000FF" w:themeColor="hyperlink"/>
      <w:u w:val="single"/>
    </w:rPr>
  </w:style>
  <w:style w:type="paragraph" w:styleId="a6">
    <w:name w:val="Balloon Text"/>
    <w:basedOn w:val="a"/>
    <w:link w:val="a7"/>
    <w:uiPriority w:val="99"/>
    <w:semiHidden/>
    <w:unhideWhenUsed/>
    <w:rsid w:val="00F278B4"/>
    <w:rPr>
      <w:rFonts w:ascii="Tahoma" w:hAnsi="Tahoma" w:cs="Tahoma"/>
      <w:sz w:val="16"/>
      <w:szCs w:val="16"/>
    </w:rPr>
  </w:style>
  <w:style w:type="character" w:customStyle="1" w:styleId="a7">
    <w:name w:val="Текст выноски Знак"/>
    <w:basedOn w:val="a0"/>
    <w:link w:val="a6"/>
    <w:uiPriority w:val="99"/>
    <w:semiHidden/>
    <w:rsid w:val="00F278B4"/>
    <w:rPr>
      <w:rFonts w:ascii="Tahoma" w:eastAsia="Calibri" w:hAnsi="Tahoma" w:cs="Tahoma"/>
      <w:noProof/>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3BE0D-42DB-493B-B380-3F50A73F6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6</Pages>
  <Words>2234</Words>
  <Characters>12739</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Edu</dc:creator>
  <cp:keywords/>
  <dc:description/>
  <cp:lastModifiedBy>Elena Edu</cp:lastModifiedBy>
  <cp:revision>28</cp:revision>
  <cp:lastPrinted>2018-04-25T06:41:00Z</cp:lastPrinted>
  <dcterms:created xsi:type="dcterms:W3CDTF">2018-03-21T09:07:00Z</dcterms:created>
  <dcterms:modified xsi:type="dcterms:W3CDTF">2018-04-25T06:52:00Z</dcterms:modified>
</cp:coreProperties>
</file>