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489" w:rsidRPr="00B20CBE" w:rsidRDefault="00CA0489" w:rsidP="00AA4CFD">
      <w:pPr>
        <w:shd w:val="clear" w:color="auto" w:fill="FFFFFF"/>
        <w:jc w:val="center"/>
        <w:rPr>
          <w:b/>
          <w:sz w:val="28"/>
          <w:szCs w:val="28"/>
        </w:rPr>
      </w:pPr>
      <w:r w:rsidRPr="00B20CBE">
        <w:rPr>
          <w:b/>
          <w:sz w:val="28"/>
          <w:szCs w:val="28"/>
        </w:rPr>
        <w:t>NOTĂ INFORMATIVĂ</w:t>
      </w:r>
    </w:p>
    <w:p w:rsidR="00CA0489" w:rsidRPr="00B20CBE" w:rsidRDefault="00CA0489" w:rsidP="00AA4CFD">
      <w:pPr>
        <w:jc w:val="center"/>
        <w:rPr>
          <w:b/>
          <w:sz w:val="28"/>
          <w:szCs w:val="28"/>
          <w:lang w:eastAsia="ro-RO"/>
        </w:rPr>
      </w:pPr>
      <w:r w:rsidRPr="00B20CBE">
        <w:rPr>
          <w:b/>
          <w:sz w:val="28"/>
          <w:szCs w:val="28"/>
        </w:rPr>
        <w:t>la proiectul Hotărârii Guvernului „Privind cerinţele minime</w:t>
      </w:r>
      <w:r w:rsidRPr="00B20CBE">
        <w:rPr>
          <w:b/>
          <w:sz w:val="28"/>
          <w:szCs w:val="28"/>
          <w:lang w:eastAsia="ro-RO"/>
        </w:rPr>
        <w:t xml:space="preserve"> </w:t>
      </w:r>
    </w:p>
    <w:p w:rsidR="00CA0489" w:rsidRPr="00B20CBE" w:rsidRDefault="00CA0489" w:rsidP="00B20CBE">
      <w:pPr>
        <w:jc w:val="center"/>
        <w:rPr>
          <w:b/>
          <w:sz w:val="28"/>
          <w:szCs w:val="28"/>
        </w:rPr>
      </w:pPr>
      <w:r w:rsidRPr="00B20CBE">
        <w:rPr>
          <w:b/>
          <w:sz w:val="28"/>
          <w:szCs w:val="28"/>
          <w:lang w:eastAsia="ro-RO"/>
        </w:rPr>
        <w:t>de securitate şi sănătate</w:t>
      </w:r>
      <w:r w:rsidRPr="00B20CBE">
        <w:rPr>
          <w:b/>
          <w:sz w:val="28"/>
          <w:szCs w:val="28"/>
        </w:rPr>
        <w:t xml:space="preserve"> </w:t>
      </w:r>
      <w:r w:rsidR="00B20CBE" w:rsidRPr="00B20CBE">
        <w:rPr>
          <w:b/>
          <w:bCs/>
          <w:sz w:val="28"/>
          <w:szCs w:val="28"/>
        </w:rPr>
        <w:t>referitoare la expunerea lucratorilor la riscuri generate de c</w:t>
      </w:r>
      <w:r w:rsidR="00B20CBE">
        <w:rPr>
          <w:b/>
          <w:bCs/>
          <w:sz w:val="28"/>
          <w:szCs w:val="28"/>
        </w:rPr>
        <w:t>î</w:t>
      </w:r>
      <w:r w:rsidR="00B20CBE" w:rsidRPr="00B20CBE">
        <w:rPr>
          <w:b/>
          <w:bCs/>
          <w:sz w:val="28"/>
          <w:szCs w:val="28"/>
        </w:rPr>
        <w:t>mpuri electromagnetice</w:t>
      </w:r>
      <w:r w:rsidRPr="00B20CBE">
        <w:rPr>
          <w:b/>
          <w:sz w:val="28"/>
          <w:szCs w:val="28"/>
        </w:rPr>
        <w:t>”</w:t>
      </w:r>
    </w:p>
    <w:p w:rsidR="00B20CBE" w:rsidRPr="00B20CBE" w:rsidRDefault="00B20CBE" w:rsidP="00B20CBE">
      <w:pPr>
        <w:jc w:val="center"/>
        <w:rPr>
          <w:b/>
          <w:sz w:val="28"/>
          <w:szCs w:val="28"/>
        </w:rPr>
      </w:pPr>
    </w:p>
    <w:p w:rsidR="00B20CBE" w:rsidRPr="00B20CBE" w:rsidRDefault="00B20CBE" w:rsidP="00B20CBE">
      <w:pPr>
        <w:spacing w:line="276" w:lineRule="auto"/>
        <w:ind w:left="-142"/>
        <w:rPr>
          <w:b/>
          <w:sz w:val="28"/>
          <w:szCs w:val="28"/>
        </w:rPr>
      </w:pPr>
      <w:r w:rsidRPr="00B20CBE">
        <w:rPr>
          <w:b/>
          <w:sz w:val="28"/>
          <w:szCs w:val="28"/>
        </w:rPr>
        <w:t>I. Condițiile ce au impus elaborarea proiectului și scopul urmărit</w:t>
      </w:r>
    </w:p>
    <w:p w:rsidR="00CA0489" w:rsidRPr="00B20CBE" w:rsidRDefault="00CA0489" w:rsidP="00AA4CFD">
      <w:pPr>
        <w:pStyle w:val="NormalWeb"/>
        <w:spacing w:before="0" w:beforeAutospacing="0" w:after="0" w:afterAutospacing="0"/>
        <w:jc w:val="center"/>
        <w:rPr>
          <w:rStyle w:val="albastrusubliniere1"/>
          <w:rFonts w:ascii="Times New Roman" w:hAnsi="Times New Roman" w:cs="Times New Roman"/>
          <w:b w:val="0"/>
          <w:color w:val="auto"/>
          <w:sz w:val="28"/>
          <w:szCs w:val="28"/>
        </w:rPr>
      </w:pPr>
    </w:p>
    <w:p w:rsidR="00CA0489" w:rsidRPr="00B20CBE" w:rsidRDefault="00CA0489" w:rsidP="001A21CE">
      <w:pPr>
        <w:ind w:firstLine="709"/>
        <w:jc w:val="both"/>
        <w:rPr>
          <w:bCs/>
          <w:sz w:val="28"/>
          <w:szCs w:val="28"/>
        </w:rPr>
      </w:pPr>
      <w:r w:rsidRPr="00B20CBE">
        <w:rPr>
          <w:sz w:val="28"/>
          <w:szCs w:val="28"/>
        </w:rPr>
        <w:t>Potrivit art. 6 din Legea securităţii şi sănătăţii în muncă nr. 186-XVI din        10 iulie 2008 (Monitorul Oficial al Republicii Moldova, 2008, nr. 143-144,     art. 587), Guvernul aprobă cerinţele minime de securitate şi sănătate pentru protecţia lucrătorilor în anumite activităţi complexe. Aceste p</w:t>
      </w:r>
      <w:r w:rsidRPr="00B20CBE">
        <w:rPr>
          <w:bCs/>
          <w:sz w:val="28"/>
          <w:szCs w:val="28"/>
        </w:rPr>
        <w:t>revederi au servit drept bază pentru elaborarea</w:t>
      </w:r>
      <w:r w:rsidRPr="00B20CBE">
        <w:rPr>
          <w:sz w:val="28"/>
          <w:szCs w:val="28"/>
        </w:rPr>
        <w:t xml:space="preserve"> proiectului Hotărârii Guvernului „Privind cerinţele minime</w:t>
      </w:r>
      <w:r w:rsidRPr="00B20CBE">
        <w:rPr>
          <w:sz w:val="28"/>
          <w:szCs w:val="28"/>
          <w:lang w:eastAsia="ro-RO"/>
        </w:rPr>
        <w:t xml:space="preserve"> de securitate şi sănătate</w:t>
      </w:r>
      <w:r w:rsidRPr="00B20CBE">
        <w:rPr>
          <w:sz w:val="28"/>
          <w:szCs w:val="28"/>
        </w:rPr>
        <w:t xml:space="preserve"> </w:t>
      </w:r>
      <w:r w:rsidR="00B20CBE" w:rsidRPr="00B20CBE">
        <w:rPr>
          <w:bCs/>
          <w:sz w:val="28"/>
          <w:szCs w:val="28"/>
        </w:rPr>
        <w:t>referitoare la expunerea lucratorilor la riscuri generate de c</w:t>
      </w:r>
      <w:r w:rsidR="00B20CBE">
        <w:rPr>
          <w:bCs/>
          <w:sz w:val="28"/>
          <w:szCs w:val="28"/>
        </w:rPr>
        <w:t>î</w:t>
      </w:r>
      <w:r w:rsidR="00B20CBE" w:rsidRPr="00B20CBE">
        <w:rPr>
          <w:bCs/>
          <w:sz w:val="28"/>
          <w:szCs w:val="28"/>
        </w:rPr>
        <w:t>mpuri electromagnetice</w:t>
      </w:r>
      <w:r w:rsidRPr="00B20CBE">
        <w:rPr>
          <w:bCs/>
          <w:sz w:val="28"/>
          <w:szCs w:val="28"/>
        </w:rPr>
        <w:t>”.</w:t>
      </w:r>
    </w:p>
    <w:p w:rsidR="00CA0489" w:rsidRPr="00B20CBE" w:rsidRDefault="00CA0489" w:rsidP="001A21CE">
      <w:pPr>
        <w:ind w:firstLine="709"/>
        <w:jc w:val="both"/>
        <w:rPr>
          <w:bCs/>
          <w:sz w:val="28"/>
          <w:szCs w:val="28"/>
        </w:rPr>
      </w:pPr>
      <w:r w:rsidRPr="00B20CBE">
        <w:rPr>
          <w:sz w:val="28"/>
          <w:szCs w:val="28"/>
        </w:rPr>
        <w:t xml:space="preserve">În contextul tendinţei de armonizare a legislaţiei naţionale cu cea europeană, proiectul Hotărârii propus pentru examinare are drept scop transpunerea dispoziţiilor Directivei </w:t>
      </w:r>
      <w:r w:rsidR="00B20CBE" w:rsidRPr="00B20CBE">
        <w:rPr>
          <w:sz w:val="28"/>
          <w:szCs w:val="28"/>
        </w:rPr>
        <w:t>2013/35/UE a Parlamentului European şi a Consiliului din 26 iunie 2013 privind cerinţele minime de sănătate şi securitate referitoare la expunerea lucrătorilor la riscuri generate de agenţii fizici (cîmpuri electromagnetice) [a douăzecea directivă specială în sensul articolului 16 alineatul (1) din Directiva 89/391/CEE] şi de abrogare a Directivei 2004/40/CE, publicată în Jurnalul Oficial al Uniunii Europene, seria L, nr. 179 din 29 iunie 2013</w:t>
      </w:r>
      <w:r w:rsidRPr="00B20CBE">
        <w:rPr>
          <w:sz w:val="28"/>
          <w:szCs w:val="28"/>
        </w:rPr>
        <w:t>.</w:t>
      </w:r>
    </w:p>
    <w:p w:rsidR="00B20CBE" w:rsidRPr="00B20CBE" w:rsidRDefault="00B20CBE" w:rsidP="00B20CBE">
      <w:pPr>
        <w:ind w:left="-142"/>
        <w:jc w:val="both"/>
        <w:rPr>
          <w:b/>
          <w:sz w:val="28"/>
          <w:szCs w:val="28"/>
        </w:rPr>
      </w:pPr>
    </w:p>
    <w:p w:rsidR="00B20CBE" w:rsidRPr="00B20CBE" w:rsidRDefault="00B20CBE" w:rsidP="00B20CBE">
      <w:pPr>
        <w:ind w:left="-142"/>
        <w:jc w:val="both"/>
        <w:rPr>
          <w:sz w:val="28"/>
          <w:szCs w:val="28"/>
        </w:rPr>
      </w:pPr>
      <w:r w:rsidRPr="00B20CBE">
        <w:rPr>
          <w:b/>
          <w:sz w:val="28"/>
          <w:szCs w:val="28"/>
        </w:rPr>
        <w:t>II. Principalele prevederi ale proiectului</w:t>
      </w:r>
    </w:p>
    <w:p w:rsidR="00B20CBE" w:rsidRPr="00B20CBE" w:rsidRDefault="00B20CBE" w:rsidP="001A21CE">
      <w:pPr>
        <w:pStyle w:val="Textbloc"/>
        <w:spacing w:line="240" w:lineRule="auto"/>
        <w:ind w:left="0" w:right="0" w:firstLine="709"/>
        <w:rPr>
          <w:sz w:val="28"/>
          <w:szCs w:val="28"/>
        </w:rPr>
      </w:pPr>
    </w:p>
    <w:p w:rsidR="00B20CBE" w:rsidRPr="00B20CBE" w:rsidRDefault="00CA0489" w:rsidP="001A21CE">
      <w:pPr>
        <w:pStyle w:val="Textbloc"/>
        <w:spacing w:line="240" w:lineRule="auto"/>
        <w:ind w:left="0" w:right="0" w:firstLine="709"/>
        <w:rPr>
          <w:sz w:val="28"/>
          <w:szCs w:val="28"/>
        </w:rPr>
      </w:pPr>
      <w:r w:rsidRPr="00B20CBE">
        <w:rPr>
          <w:sz w:val="28"/>
          <w:szCs w:val="28"/>
        </w:rPr>
        <w:t xml:space="preserve">Potrivit proiectului, angajatorii vor trebui să adopte măsurile organizatorice </w:t>
      </w:r>
      <w:r w:rsidR="00B20CBE" w:rsidRPr="00B20CBE">
        <w:rPr>
          <w:sz w:val="28"/>
          <w:szCs w:val="28"/>
        </w:rPr>
        <w:t>pentru a se asigura că riscurile generate de cîmpurile electromagnetice la locul de muncă sînt eliminate sau reduse la minimum.</w:t>
      </w:r>
    </w:p>
    <w:p w:rsidR="00B20CBE" w:rsidRPr="00B20CBE" w:rsidRDefault="00B20CBE" w:rsidP="00B20CBE">
      <w:pPr>
        <w:pStyle w:val="Textbloc"/>
        <w:spacing w:line="240" w:lineRule="auto"/>
        <w:ind w:left="0" w:right="0" w:firstLine="709"/>
        <w:rPr>
          <w:sz w:val="28"/>
          <w:szCs w:val="28"/>
        </w:rPr>
      </w:pPr>
      <w:r w:rsidRPr="00B20CBE">
        <w:rPr>
          <w:sz w:val="28"/>
          <w:szCs w:val="28"/>
        </w:rPr>
        <w:t>De asemenea, potrivit Hotărârii, angajatorii vor fi obligaţi să evalueze, în prealabil, condiţiile de securitate şi sănătate pentru lucrările care presupun expunerea lucrătorilor la cîmpuri electromagnetice.</w:t>
      </w:r>
    </w:p>
    <w:p w:rsidR="00CA0489" w:rsidRPr="00B20CBE" w:rsidRDefault="00B20CBE" w:rsidP="00B20CBE">
      <w:pPr>
        <w:pStyle w:val="Textbloc"/>
        <w:spacing w:line="240" w:lineRule="auto"/>
        <w:ind w:left="0" w:right="0" w:firstLine="709"/>
        <w:rPr>
          <w:sz w:val="28"/>
          <w:szCs w:val="28"/>
        </w:rPr>
      </w:pPr>
      <w:r w:rsidRPr="00B20CBE">
        <w:rPr>
          <w:sz w:val="28"/>
          <w:szCs w:val="28"/>
        </w:rPr>
        <w:t>Totodată, conform proiectului, angajatorul este obligat să elaboreze şi să  pună în aplicare un plan de acţiune care cuprinde măsuri tehnice şi/sau organizatorice pentru a evita expuneri care depăşesc valorile-limită de expunere ELV pentru efecte asupra sănătăţii şi valorile-limită de expunere ELV pentru efecte senzoriale, pentru efectele nontermice și pentru efectele termice</w:t>
      </w:r>
      <w:r w:rsidR="00CA0489" w:rsidRPr="00B20CBE">
        <w:rPr>
          <w:sz w:val="28"/>
          <w:szCs w:val="28"/>
        </w:rPr>
        <w:t>, pentru a reduce riscul pe care această activitate îl implică.</w:t>
      </w:r>
    </w:p>
    <w:p w:rsidR="00B20CBE" w:rsidRPr="00B20CBE" w:rsidRDefault="00CA0489" w:rsidP="00B20CBE">
      <w:pPr>
        <w:ind w:left="-142" w:firstLine="850"/>
        <w:jc w:val="both"/>
        <w:rPr>
          <w:sz w:val="28"/>
          <w:szCs w:val="28"/>
        </w:rPr>
      </w:pPr>
      <w:r w:rsidRPr="00B20CBE">
        <w:rPr>
          <w:sz w:val="28"/>
          <w:szCs w:val="28"/>
        </w:rPr>
        <w:t>În contextul celor expuse mai sus, menţionăm că în prezent nu există acte normative naţionale care să reglementeze domeniul acoperit de proiect, astfel că adoptarea Hotărârii le va fi de un real folos angajatorilor în activitatea de ameliorare a securităţii şi sănătăţii lucrătorilor</w:t>
      </w:r>
      <w:r w:rsidRPr="00B20CBE">
        <w:rPr>
          <w:color w:val="FF00FF"/>
          <w:sz w:val="28"/>
          <w:szCs w:val="28"/>
        </w:rPr>
        <w:t xml:space="preserve"> </w:t>
      </w:r>
      <w:r w:rsidRPr="00B20CBE">
        <w:rPr>
          <w:sz w:val="28"/>
          <w:szCs w:val="28"/>
        </w:rPr>
        <w:t xml:space="preserve">la </w:t>
      </w:r>
      <w:r w:rsidR="00B20CBE" w:rsidRPr="00B20CBE">
        <w:rPr>
          <w:bCs/>
          <w:sz w:val="28"/>
          <w:szCs w:val="28"/>
        </w:rPr>
        <w:t>expunerea la riscuri generate de cîmpuri electromagnetice</w:t>
      </w:r>
      <w:r w:rsidRPr="00B20CBE">
        <w:rPr>
          <w:sz w:val="28"/>
          <w:szCs w:val="28"/>
        </w:rPr>
        <w:t xml:space="preserve">. </w:t>
      </w:r>
    </w:p>
    <w:p w:rsidR="00B20CBE" w:rsidRPr="00B20CBE" w:rsidRDefault="00B20CBE" w:rsidP="00B20CBE">
      <w:pPr>
        <w:ind w:left="-142"/>
        <w:jc w:val="both"/>
        <w:rPr>
          <w:b/>
          <w:sz w:val="28"/>
          <w:szCs w:val="28"/>
        </w:rPr>
      </w:pPr>
    </w:p>
    <w:p w:rsidR="00B20CBE" w:rsidRPr="00B20CBE" w:rsidRDefault="00B20CBE" w:rsidP="00B20CBE">
      <w:pPr>
        <w:ind w:left="-142"/>
        <w:jc w:val="both"/>
        <w:rPr>
          <w:sz w:val="28"/>
          <w:szCs w:val="28"/>
        </w:rPr>
      </w:pPr>
      <w:r w:rsidRPr="00B20CBE">
        <w:rPr>
          <w:b/>
          <w:sz w:val="28"/>
          <w:szCs w:val="28"/>
        </w:rPr>
        <w:t>III. Fundamentarea economico-financiară</w:t>
      </w:r>
    </w:p>
    <w:p w:rsidR="00B20CBE" w:rsidRPr="00B20CBE" w:rsidRDefault="00B20CBE" w:rsidP="00B20CBE">
      <w:pPr>
        <w:spacing w:line="276" w:lineRule="auto"/>
        <w:ind w:left="-142" w:firstLine="540"/>
        <w:jc w:val="both"/>
        <w:rPr>
          <w:sz w:val="28"/>
          <w:szCs w:val="28"/>
        </w:rPr>
      </w:pPr>
      <w:r w:rsidRPr="00B20CBE">
        <w:rPr>
          <w:sz w:val="28"/>
          <w:szCs w:val="28"/>
        </w:rPr>
        <w:lastRenderedPageBreak/>
        <w:t xml:space="preserve">    Aprobarea proiectului de hotărîre în varianta propusă nu va atrage careva cheltuieli din bugetul statului, precum şi nici cheltuieli majore din partea angajatorilor.   </w:t>
      </w:r>
    </w:p>
    <w:p w:rsidR="00B20CBE" w:rsidRPr="00B20CBE" w:rsidRDefault="00B20CBE" w:rsidP="00B20CBE">
      <w:pPr>
        <w:spacing w:line="276" w:lineRule="auto"/>
        <w:ind w:left="-142" w:firstLine="540"/>
        <w:jc w:val="both"/>
        <w:rPr>
          <w:b/>
          <w:sz w:val="28"/>
          <w:szCs w:val="28"/>
        </w:rPr>
      </w:pPr>
    </w:p>
    <w:p w:rsidR="00B20CBE" w:rsidRPr="00B20CBE" w:rsidRDefault="00B20CBE" w:rsidP="00B20CBE">
      <w:pPr>
        <w:spacing w:line="276" w:lineRule="auto"/>
        <w:ind w:left="-142" w:firstLine="540"/>
        <w:jc w:val="both"/>
        <w:rPr>
          <w:b/>
          <w:sz w:val="28"/>
          <w:szCs w:val="28"/>
        </w:rPr>
      </w:pPr>
      <w:r w:rsidRPr="00B20CBE">
        <w:rPr>
          <w:b/>
          <w:sz w:val="28"/>
          <w:szCs w:val="28"/>
        </w:rPr>
        <w:t>IV. Modul de încorporare în sistemul actelor normative în vigoare</w:t>
      </w:r>
    </w:p>
    <w:p w:rsidR="00B20CBE" w:rsidRPr="00B20CBE" w:rsidRDefault="00B20CBE" w:rsidP="00B20CBE">
      <w:pPr>
        <w:spacing w:line="276" w:lineRule="auto"/>
        <w:ind w:left="-142" w:firstLine="540"/>
        <w:jc w:val="both"/>
        <w:rPr>
          <w:sz w:val="28"/>
          <w:szCs w:val="28"/>
        </w:rPr>
      </w:pPr>
      <w:r w:rsidRPr="00B20CBE">
        <w:rPr>
          <w:sz w:val="28"/>
          <w:szCs w:val="28"/>
        </w:rPr>
        <w:t>Urmare a adoptării prezentului proiect nu va fi necesară modificarea și completarea altor acte legislative și normative.</w:t>
      </w:r>
    </w:p>
    <w:p w:rsidR="00B20CBE" w:rsidRPr="00B20CBE" w:rsidRDefault="00B20CBE" w:rsidP="00B20CBE">
      <w:pPr>
        <w:spacing w:line="276" w:lineRule="auto"/>
        <w:ind w:left="-142" w:firstLine="540"/>
        <w:jc w:val="both"/>
        <w:rPr>
          <w:b/>
          <w:sz w:val="28"/>
          <w:szCs w:val="28"/>
        </w:rPr>
      </w:pPr>
    </w:p>
    <w:p w:rsidR="00B20CBE" w:rsidRPr="00B20CBE" w:rsidRDefault="00B20CBE" w:rsidP="00B20CBE">
      <w:pPr>
        <w:spacing w:line="276" w:lineRule="auto"/>
        <w:ind w:left="-142" w:firstLine="540"/>
        <w:jc w:val="both"/>
        <w:rPr>
          <w:b/>
          <w:sz w:val="28"/>
          <w:szCs w:val="28"/>
        </w:rPr>
      </w:pPr>
      <w:r w:rsidRPr="00B20CBE">
        <w:rPr>
          <w:b/>
          <w:sz w:val="28"/>
          <w:szCs w:val="28"/>
        </w:rPr>
        <w:t>V. Transparența în procesul decizional/coordonarea proiectului</w:t>
      </w:r>
    </w:p>
    <w:p w:rsidR="00B20CBE" w:rsidRPr="00B20CBE" w:rsidRDefault="00B20CBE" w:rsidP="00B20CBE">
      <w:pPr>
        <w:spacing w:line="276" w:lineRule="auto"/>
        <w:ind w:left="-142" w:firstLine="540"/>
        <w:jc w:val="both"/>
        <w:rPr>
          <w:b/>
          <w:sz w:val="28"/>
          <w:szCs w:val="28"/>
        </w:rPr>
      </w:pPr>
      <w:r w:rsidRPr="00B20CBE">
        <w:rPr>
          <w:sz w:val="28"/>
          <w:szCs w:val="28"/>
        </w:rPr>
        <w:t>Proiectul Hotărîrii Guvernului Privind cerinţele minime de securitate şi sănătate referitoare la expunerea lucratorilor la riscuri generate de c</w:t>
      </w:r>
      <w:r>
        <w:rPr>
          <w:sz w:val="28"/>
          <w:szCs w:val="28"/>
        </w:rPr>
        <w:t>î</w:t>
      </w:r>
      <w:r w:rsidRPr="00B20CBE">
        <w:rPr>
          <w:sz w:val="28"/>
          <w:szCs w:val="28"/>
        </w:rPr>
        <w:t xml:space="preserve">mpuri electromagnetice este plasat pentru consultare publică pe site-ul </w:t>
      </w:r>
      <w:r w:rsidRPr="00B20CBE">
        <w:rPr>
          <w:b/>
          <w:sz w:val="28"/>
          <w:szCs w:val="28"/>
          <w:u w:val="single"/>
        </w:rPr>
        <w:t>www.msmps.gov.md</w:t>
      </w:r>
      <w:r w:rsidRPr="00B20CBE">
        <w:rPr>
          <w:sz w:val="28"/>
          <w:szCs w:val="28"/>
        </w:rPr>
        <w:t xml:space="preserve">/transparența/proiecte supuse consultărilor publice, precum și urmează a fi coordonat cu toate instituțiile interesate, inclusiv cu societatea civilă. </w:t>
      </w:r>
    </w:p>
    <w:p w:rsidR="00B20CBE" w:rsidRPr="00B20CBE" w:rsidRDefault="00B20CBE" w:rsidP="00B20CBE">
      <w:pPr>
        <w:jc w:val="both"/>
        <w:rPr>
          <w:b/>
          <w:sz w:val="28"/>
          <w:szCs w:val="28"/>
        </w:rPr>
      </w:pPr>
    </w:p>
    <w:p w:rsidR="00CA0489" w:rsidRPr="00B20CBE" w:rsidRDefault="00CA0489" w:rsidP="00E958D2">
      <w:pPr>
        <w:pStyle w:val="Titlu2"/>
        <w:spacing w:before="120" w:line="240" w:lineRule="auto"/>
        <w:ind w:firstLine="0"/>
        <w:rPr>
          <w:rFonts w:ascii="Times New Roman" w:hAnsi="Times New Roman"/>
          <w:b/>
          <w:sz w:val="28"/>
          <w:szCs w:val="28"/>
          <w:lang w:val="ro-RO"/>
        </w:rPr>
      </w:pPr>
      <w:r w:rsidRPr="00B20CBE">
        <w:rPr>
          <w:rFonts w:ascii="Times New Roman" w:hAnsi="Times New Roman"/>
          <w:b/>
          <w:sz w:val="28"/>
          <w:szCs w:val="28"/>
          <w:lang w:val="ro-RO"/>
        </w:rPr>
        <w:t xml:space="preserve">Ministrul </w:t>
      </w:r>
      <w:r w:rsidR="00B20CBE" w:rsidRPr="00B20CBE">
        <w:rPr>
          <w:rFonts w:ascii="Times New Roman" w:hAnsi="Times New Roman"/>
          <w:b/>
          <w:sz w:val="28"/>
          <w:szCs w:val="28"/>
          <w:lang w:val="ro-RO"/>
        </w:rPr>
        <w:t>Sănătății, Muncii și</w:t>
      </w:r>
    </w:p>
    <w:p w:rsidR="00CA0489" w:rsidRPr="00B20CBE" w:rsidRDefault="00B20CBE" w:rsidP="00182D6C">
      <w:pPr>
        <w:pStyle w:val="Titlu2"/>
        <w:spacing w:line="240" w:lineRule="auto"/>
        <w:ind w:firstLine="0"/>
        <w:rPr>
          <w:rFonts w:ascii="Times New Roman" w:hAnsi="Times New Roman"/>
          <w:b/>
          <w:sz w:val="28"/>
          <w:szCs w:val="28"/>
          <w:lang w:val="ro-RO"/>
        </w:rPr>
      </w:pPr>
      <w:r w:rsidRPr="00B20CBE">
        <w:rPr>
          <w:rFonts w:ascii="Times New Roman" w:hAnsi="Times New Roman"/>
          <w:b/>
          <w:sz w:val="28"/>
          <w:szCs w:val="28"/>
          <w:lang w:val="ro-RO"/>
        </w:rPr>
        <w:t xml:space="preserve">Protecţiei Sociale </w:t>
      </w:r>
      <w:r w:rsidRPr="00B20CBE">
        <w:rPr>
          <w:rFonts w:ascii="Times New Roman" w:hAnsi="Times New Roman"/>
          <w:b/>
          <w:sz w:val="28"/>
          <w:szCs w:val="28"/>
          <w:lang w:val="ro-RO"/>
        </w:rPr>
        <w:tab/>
      </w:r>
      <w:r w:rsidRPr="00B20CBE">
        <w:rPr>
          <w:rFonts w:ascii="Times New Roman" w:hAnsi="Times New Roman"/>
          <w:b/>
          <w:sz w:val="28"/>
          <w:szCs w:val="28"/>
          <w:lang w:val="ro-RO"/>
        </w:rPr>
        <w:tab/>
      </w:r>
      <w:r w:rsidR="00CA0489" w:rsidRPr="00B20CBE">
        <w:rPr>
          <w:rFonts w:ascii="Times New Roman" w:hAnsi="Times New Roman"/>
          <w:b/>
          <w:sz w:val="28"/>
          <w:szCs w:val="28"/>
          <w:lang w:val="ro-RO"/>
        </w:rPr>
        <w:t xml:space="preserve">                                              Stela GRIGORAŞ</w:t>
      </w:r>
    </w:p>
    <w:p w:rsidR="00CA0489" w:rsidRPr="00B20CBE" w:rsidRDefault="00CA0489" w:rsidP="00382E1D">
      <w:pPr>
        <w:ind w:left="7068"/>
        <w:rPr>
          <w:b/>
          <w:color w:val="FF0000"/>
          <w:sz w:val="28"/>
          <w:szCs w:val="28"/>
        </w:rPr>
      </w:pPr>
    </w:p>
    <w:sectPr w:rsidR="00CA0489" w:rsidRPr="00B20CBE" w:rsidSect="00B20CBE">
      <w:footerReference w:type="even" r:id="rId6"/>
      <w:pgSz w:w="11907" w:h="16840" w:code="9"/>
      <w:pgMar w:top="993" w:right="1418" w:bottom="993" w:left="1418" w:header="567" w:footer="567" w:gutter="0"/>
      <w:cols w:space="1247"/>
      <w:noEndnote/>
      <w:titlePg/>
      <w:docGrid w:linePitch="9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2C5" w:rsidRDefault="009672C5" w:rsidP="00725FD6">
      <w:r>
        <w:separator/>
      </w:r>
    </w:p>
  </w:endnote>
  <w:endnote w:type="continuationSeparator" w:id="0">
    <w:p w:rsidR="009672C5" w:rsidRDefault="009672C5" w:rsidP="00725F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BC Newton">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489" w:rsidRDefault="00AB635A" w:rsidP="00C25838">
    <w:pPr>
      <w:pStyle w:val="Subsol"/>
      <w:framePr w:wrap="around" w:vAnchor="text" w:hAnchor="margin" w:xAlign="center" w:y="1"/>
      <w:rPr>
        <w:rStyle w:val="Numrdepagin"/>
      </w:rPr>
    </w:pPr>
    <w:r>
      <w:rPr>
        <w:rStyle w:val="Numrdepagin"/>
      </w:rPr>
      <w:fldChar w:fldCharType="begin"/>
    </w:r>
    <w:r w:rsidR="00CA0489">
      <w:rPr>
        <w:rStyle w:val="Numrdepagin"/>
      </w:rPr>
      <w:instrText xml:space="preserve">PAGE  </w:instrText>
    </w:r>
    <w:r>
      <w:rPr>
        <w:rStyle w:val="Numrdepagin"/>
      </w:rPr>
      <w:fldChar w:fldCharType="end"/>
    </w:r>
  </w:p>
  <w:p w:rsidR="00CA0489" w:rsidRDefault="00CA0489">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2C5" w:rsidRDefault="009672C5" w:rsidP="00725FD6">
      <w:r>
        <w:separator/>
      </w:r>
    </w:p>
  </w:footnote>
  <w:footnote w:type="continuationSeparator" w:id="0">
    <w:p w:rsidR="009672C5" w:rsidRDefault="009672C5" w:rsidP="00725F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4CFD"/>
    <w:rsid w:val="00032CB1"/>
    <w:rsid w:val="000B7E6D"/>
    <w:rsid w:val="00182D6C"/>
    <w:rsid w:val="001A21CE"/>
    <w:rsid w:val="001E0E93"/>
    <w:rsid w:val="00382E1D"/>
    <w:rsid w:val="005016B2"/>
    <w:rsid w:val="00506AB2"/>
    <w:rsid w:val="0051327C"/>
    <w:rsid w:val="00545F72"/>
    <w:rsid w:val="0062203A"/>
    <w:rsid w:val="006D08AA"/>
    <w:rsid w:val="006E1D32"/>
    <w:rsid w:val="006F078E"/>
    <w:rsid w:val="00720749"/>
    <w:rsid w:val="00725FD6"/>
    <w:rsid w:val="007A7612"/>
    <w:rsid w:val="00883E69"/>
    <w:rsid w:val="0094393E"/>
    <w:rsid w:val="00947643"/>
    <w:rsid w:val="009672C5"/>
    <w:rsid w:val="00AA4CFD"/>
    <w:rsid w:val="00AB635A"/>
    <w:rsid w:val="00AD7669"/>
    <w:rsid w:val="00B20CBE"/>
    <w:rsid w:val="00BA2C26"/>
    <w:rsid w:val="00BC78B7"/>
    <w:rsid w:val="00BD5AEF"/>
    <w:rsid w:val="00C25838"/>
    <w:rsid w:val="00C94505"/>
    <w:rsid w:val="00CA0489"/>
    <w:rsid w:val="00D73693"/>
    <w:rsid w:val="00DE1789"/>
    <w:rsid w:val="00E958D2"/>
    <w:rsid w:val="00F474AE"/>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CFD"/>
    <w:pPr>
      <w:widowControl w:val="0"/>
      <w:autoSpaceDE w:val="0"/>
      <w:autoSpaceDN w:val="0"/>
      <w:adjustRightInd w:val="0"/>
    </w:pPr>
    <w:rPr>
      <w:rFonts w:ascii="Times New Roman" w:eastAsia="Times New Roman" w:hAnsi="Times New Roman"/>
      <w:lang w:eastAsia="ru-RU"/>
    </w:rPr>
  </w:style>
  <w:style w:type="paragraph" w:styleId="Titlu2">
    <w:name w:val="heading 2"/>
    <w:basedOn w:val="Normal"/>
    <w:next w:val="Normal"/>
    <w:link w:val="Titlu2Caracter"/>
    <w:uiPriority w:val="99"/>
    <w:qFormat/>
    <w:rsid w:val="00AA4CFD"/>
    <w:pPr>
      <w:keepNext/>
      <w:widowControl/>
      <w:autoSpaceDE/>
      <w:autoSpaceDN/>
      <w:adjustRightInd/>
      <w:spacing w:line="420" w:lineRule="atLeast"/>
      <w:ind w:firstLine="720"/>
      <w:jc w:val="both"/>
      <w:outlineLvl w:val="1"/>
    </w:pPr>
    <w:rPr>
      <w:rFonts w:ascii="ABC Newton" w:hAnsi="ABC Newton"/>
      <w:sz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9"/>
    <w:locked/>
    <w:rsid w:val="00AA4CFD"/>
    <w:rPr>
      <w:rFonts w:ascii="ABC Newton" w:hAnsi="ABC Newton" w:cs="Times New Roman"/>
      <w:sz w:val="20"/>
      <w:szCs w:val="20"/>
      <w:lang w:val="en-US" w:eastAsia="ru-RU"/>
    </w:rPr>
  </w:style>
  <w:style w:type="paragraph" w:styleId="Subsol">
    <w:name w:val="footer"/>
    <w:basedOn w:val="Normal"/>
    <w:link w:val="SubsolCaracter"/>
    <w:uiPriority w:val="99"/>
    <w:rsid w:val="00AA4CFD"/>
    <w:pPr>
      <w:tabs>
        <w:tab w:val="center" w:pos="4677"/>
        <w:tab w:val="right" w:pos="9355"/>
      </w:tabs>
    </w:pPr>
  </w:style>
  <w:style w:type="character" w:customStyle="1" w:styleId="SubsolCaracter">
    <w:name w:val="Subsol Caracter"/>
    <w:basedOn w:val="Fontdeparagrafimplicit"/>
    <w:link w:val="Subsol"/>
    <w:uiPriority w:val="99"/>
    <w:locked/>
    <w:rsid w:val="00AA4CFD"/>
    <w:rPr>
      <w:rFonts w:ascii="Times New Roman" w:hAnsi="Times New Roman" w:cs="Times New Roman"/>
      <w:sz w:val="20"/>
      <w:szCs w:val="20"/>
      <w:lang w:eastAsia="ru-RU"/>
    </w:rPr>
  </w:style>
  <w:style w:type="character" w:styleId="Numrdepagin">
    <w:name w:val="page number"/>
    <w:basedOn w:val="Fontdeparagrafimplicit"/>
    <w:uiPriority w:val="99"/>
    <w:rsid w:val="00AA4CFD"/>
    <w:rPr>
      <w:rFonts w:cs="Times New Roman"/>
    </w:rPr>
  </w:style>
  <w:style w:type="paragraph" w:customStyle="1" w:styleId="CharChar1">
    <w:name w:val="Char Char1"/>
    <w:basedOn w:val="Normal"/>
    <w:uiPriority w:val="99"/>
    <w:rsid w:val="00AA4CFD"/>
    <w:pPr>
      <w:widowControl/>
      <w:autoSpaceDE/>
      <w:autoSpaceDN/>
      <w:adjustRightInd/>
    </w:pPr>
    <w:rPr>
      <w:sz w:val="24"/>
      <w:szCs w:val="24"/>
      <w:lang w:val="pl-PL" w:eastAsia="pl-PL"/>
    </w:rPr>
  </w:style>
  <w:style w:type="paragraph" w:styleId="Textbloc">
    <w:name w:val="Block Text"/>
    <w:basedOn w:val="Normal"/>
    <w:uiPriority w:val="99"/>
    <w:rsid w:val="00AA4CFD"/>
    <w:pPr>
      <w:widowControl/>
      <w:autoSpaceDE/>
      <w:autoSpaceDN/>
      <w:adjustRightInd/>
      <w:spacing w:line="240" w:lineRule="atLeast"/>
      <w:ind w:left="2268" w:right="2268"/>
      <w:jc w:val="both"/>
    </w:pPr>
    <w:rPr>
      <w:sz w:val="24"/>
    </w:rPr>
  </w:style>
  <w:style w:type="paragraph" w:styleId="NormalWeb">
    <w:name w:val="Normal (Web)"/>
    <w:basedOn w:val="Normal"/>
    <w:uiPriority w:val="99"/>
    <w:rsid w:val="00AA4CFD"/>
    <w:pPr>
      <w:widowControl/>
      <w:autoSpaceDE/>
      <w:autoSpaceDN/>
      <w:adjustRightInd/>
      <w:spacing w:before="100" w:beforeAutospacing="1" w:after="100" w:afterAutospacing="1"/>
    </w:pPr>
    <w:rPr>
      <w:rFonts w:ascii="Arial" w:hAnsi="Arial" w:cs="Arial"/>
      <w:color w:val="000000"/>
      <w:sz w:val="18"/>
      <w:szCs w:val="18"/>
    </w:rPr>
  </w:style>
  <w:style w:type="character" w:customStyle="1" w:styleId="albastrusubliniere1">
    <w:name w:val="albastrusubliniere1"/>
    <w:basedOn w:val="Fontdeparagrafimplicit"/>
    <w:uiPriority w:val="99"/>
    <w:rsid w:val="00AA4CFD"/>
    <w:rPr>
      <w:rFonts w:ascii="Arial" w:hAnsi="Arial" w:cs="Arial"/>
      <w:b/>
      <w:bCs/>
      <w:color w:val="00339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532</Words>
  <Characters>3091</Characters>
  <Application>Microsoft Office Word</Application>
  <DocSecurity>0</DocSecurity>
  <Lines>25</Lines>
  <Paragraphs>7</Paragraphs>
  <ScaleCrop>false</ScaleCrop>
  <Company>CtrlSoft</Company>
  <LinksUpToDate>false</LinksUpToDate>
  <CharactersWithSpaces>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Asistent Social</dc:creator>
  <cp:keywords/>
  <dc:description/>
  <cp:lastModifiedBy>Asistent Social</cp:lastModifiedBy>
  <cp:revision>11</cp:revision>
  <cp:lastPrinted>2017-12-01T14:15:00Z</cp:lastPrinted>
  <dcterms:created xsi:type="dcterms:W3CDTF">2013-10-08T13:03:00Z</dcterms:created>
  <dcterms:modified xsi:type="dcterms:W3CDTF">2018-05-14T11:25:00Z</dcterms:modified>
</cp:coreProperties>
</file>