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24" w:rsidRPr="00216AB9" w:rsidRDefault="00356124" w:rsidP="0064258E">
      <w:pPr>
        <w:ind w:firstLine="706"/>
        <w:jc w:val="center"/>
        <w:rPr>
          <w:b/>
          <w:sz w:val="28"/>
          <w:szCs w:val="28"/>
          <w:lang w:val="ro-RO"/>
        </w:rPr>
      </w:pPr>
      <w:r w:rsidRPr="00216AB9">
        <w:rPr>
          <w:b/>
          <w:sz w:val="28"/>
          <w:szCs w:val="28"/>
          <w:lang w:val="ro-RO"/>
        </w:rPr>
        <w:t xml:space="preserve">Nota informativă </w:t>
      </w:r>
    </w:p>
    <w:p w:rsidR="00356124" w:rsidRPr="00216AB9" w:rsidRDefault="00356124" w:rsidP="0064258E">
      <w:pPr>
        <w:pStyle w:val="30"/>
        <w:shd w:val="clear" w:color="auto" w:fill="auto"/>
        <w:spacing w:before="0" w:after="0" w:line="240" w:lineRule="auto"/>
        <w:ind w:firstLine="706"/>
        <w:rPr>
          <w:rFonts w:ascii="Times New Roman" w:hAnsi="Times New Roman" w:cs="Times New Roman"/>
        </w:rPr>
      </w:pPr>
      <w:r w:rsidRPr="00216AB9">
        <w:rPr>
          <w:rFonts w:ascii="Times New Roman" w:hAnsi="Times New Roman" w:cs="Times New Roman"/>
        </w:rPr>
        <w:t>la proiectul de lege pentru modificarea și completarea unor acte legislative</w:t>
      </w:r>
    </w:p>
    <w:p w:rsidR="00356124" w:rsidRPr="00216AB9" w:rsidRDefault="00356124" w:rsidP="0064258E">
      <w:pPr>
        <w:ind w:firstLine="706"/>
        <w:jc w:val="both"/>
        <w:rPr>
          <w:sz w:val="28"/>
          <w:szCs w:val="28"/>
          <w:lang w:val="ro-RO"/>
        </w:rPr>
      </w:pPr>
    </w:p>
    <w:tbl>
      <w:tblPr>
        <w:tblW w:w="9360" w:type="dxa"/>
        <w:tblInd w:w="18" w:type="dxa"/>
        <w:tblLook w:val="04A0" w:firstRow="1" w:lastRow="0" w:firstColumn="1" w:lastColumn="0" w:noHBand="0" w:noVBand="1"/>
      </w:tblPr>
      <w:tblGrid>
        <w:gridCol w:w="9360"/>
      </w:tblGrid>
      <w:tr w:rsidR="00A272FF" w:rsidRPr="00216AB9" w:rsidTr="007F32A0">
        <w:tc>
          <w:tcPr>
            <w:tcW w:w="9360" w:type="dxa"/>
            <w:shd w:val="clear" w:color="auto" w:fill="D9D9D9"/>
          </w:tcPr>
          <w:p w:rsidR="00A272FF" w:rsidRPr="00216AB9" w:rsidRDefault="00A272FF" w:rsidP="0064258E">
            <w:pPr>
              <w:numPr>
                <w:ilvl w:val="0"/>
                <w:numId w:val="2"/>
              </w:numPr>
              <w:tabs>
                <w:tab w:val="left" w:pos="252"/>
              </w:tabs>
              <w:ind w:left="0" w:firstLine="706"/>
              <w:mirrorIndents/>
              <w:jc w:val="both"/>
              <w:rPr>
                <w:b/>
                <w:sz w:val="28"/>
                <w:szCs w:val="28"/>
                <w:lang w:val="ro-RO"/>
              </w:rPr>
            </w:pPr>
            <w:r w:rsidRPr="00216AB9">
              <w:rPr>
                <w:b/>
                <w:sz w:val="28"/>
                <w:szCs w:val="28"/>
                <w:lang w:val="ro-RO"/>
              </w:rPr>
              <w:t>Condițiile ce au impus elaborarea proiectului de act normativ și finalitățile urmărite</w:t>
            </w:r>
          </w:p>
        </w:tc>
      </w:tr>
      <w:tr w:rsidR="00A272FF" w:rsidRPr="00216AB9" w:rsidTr="007F32A0">
        <w:tc>
          <w:tcPr>
            <w:tcW w:w="9360" w:type="dxa"/>
            <w:shd w:val="clear" w:color="auto" w:fill="auto"/>
          </w:tcPr>
          <w:p w:rsidR="00FE6FBB" w:rsidRPr="00216AB9" w:rsidRDefault="00FC5DEB" w:rsidP="0064258E">
            <w:pPr>
              <w:pStyle w:val="NoSpacing"/>
              <w:ind w:firstLine="706"/>
              <w:jc w:val="both"/>
              <w:rPr>
                <w:rFonts w:ascii="Times New Roman" w:hAnsi="Times New Roman" w:cs="Times New Roman"/>
                <w:sz w:val="28"/>
                <w:szCs w:val="28"/>
                <w:lang w:val="ro-RO"/>
              </w:rPr>
            </w:pPr>
            <w:r w:rsidRPr="00216AB9">
              <w:rPr>
                <w:rFonts w:ascii="Times New Roman" w:hAnsi="Times New Roman" w:cs="Times New Roman"/>
                <w:sz w:val="28"/>
                <w:szCs w:val="28"/>
                <w:lang w:val="ro-RO"/>
              </w:rPr>
              <w:t>Instituţionalizarea mecanismului de asigurare a transparenţei şi control al activităţii entităţilor economice proprietate a statului</w:t>
            </w:r>
            <w:r w:rsidR="00D2555F" w:rsidRPr="00216AB9">
              <w:rPr>
                <w:rFonts w:ascii="Times New Roman" w:hAnsi="Times New Roman" w:cs="Times New Roman"/>
                <w:sz w:val="28"/>
                <w:szCs w:val="28"/>
                <w:lang w:val="ro-RO"/>
              </w:rPr>
              <w:t xml:space="preserve"> este unul din obiectivele</w:t>
            </w:r>
            <w:r w:rsidR="00284162" w:rsidRPr="00216AB9">
              <w:rPr>
                <w:rFonts w:ascii="Times New Roman" w:hAnsi="Times New Roman" w:cs="Times New Roman"/>
                <w:sz w:val="28"/>
                <w:szCs w:val="28"/>
                <w:lang w:val="ro-RO"/>
              </w:rPr>
              <w:t xml:space="preserve"> prevăzute de Strategia privind reforma administrației publice pentru anii 2016-2020</w:t>
            </w:r>
            <w:r w:rsidR="00524D3A" w:rsidRPr="00216AB9">
              <w:rPr>
                <w:rFonts w:ascii="Times New Roman" w:hAnsi="Times New Roman" w:cs="Times New Roman"/>
                <w:sz w:val="28"/>
                <w:szCs w:val="28"/>
                <w:lang w:val="ro-RO"/>
              </w:rPr>
              <w:t>,</w:t>
            </w:r>
            <w:r w:rsidR="00BD4042" w:rsidRPr="00216AB9">
              <w:rPr>
                <w:rFonts w:ascii="Times New Roman" w:hAnsi="Times New Roman" w:cs="Times New Roman"/>
                <w:sz w:val="28"/>
                <w:szCs w:val="28"/>
                <w:lang w:val="ro-RO"/>
              </w:rPr>
              <w:t xml:space="preserve"> aprobată prin </w:t>
            </w:r>
            <w:proofErr w:type="spellStart"/>
            <w:r w:rsidR="00BD4042" w:rsidRPr="00216AB9">
              <w:rPr>
                <w:rFonts w:ascii="Times New Roman" w:hAnsi="Times New Roman" w:cs="Times New Roman"/>
                <w:sz w:val="28"/>
                <w:szCs w:val="28"/>
                <w:lang w:val="ro-RO"/>
              </w:rPr>
              <w:t>Hotărîrea</w:t>
            </w:r>
            <w:proofErr w:type="spellEnd"/>
            <w:r w:rsidR="00BD4042" w:rsidRPr="00216AB9">
              <w:rPr>
                <w:rFonts w:ascii="Times New Roman" w:hAnsi="Times New Roman" w:cs="Times New Roman"/>
                <w:sz w:val="28"/>
                <w:szCs w:val="28"/>
                <w:lang w:val="ro-RO"/>
              </w:rPr>
              <w:t xml:space="preserve"> Guvernului nr.</w:t>
            </w:r>
            <w:r w:rsidR="007E2C17">
              <w:rPr>
                <w:rFonts w:ascii="Times New Roman" w:hAnsi="Times New Roman" w:cs="Times New Roman"/>
                <w:sz w:val="28"/>
                <w:szCs w:val="28"/>
                <w:lang w:val="ro-RO"/>
              </w:rPr>
              <w:t xml:space="preserve"> </w:t>
            </w:r>
            <w:r w:rsidR="00BD4042" w:rsidRPr="00216AB9">
              <w:rPr>
                <w:rFonts w:ascii="Times New Roman" w:hAnsi="Times New Roman" w:cs="Times New Roman"/>
                <w:sz w:val="28"/>
                <w:szCs w:val="28"/>
                <w:lang w:val="ro-RO"/>
              </w:rPr>
              <w:t xml:space="preserve">911 din 25 iulie 2016 </w:t>
            </w:r>
            <w:r w:rsidR="00524D3A" w:rsidRPr="00216AB9">
              <w:rPr>
                <w:rFonts w:ascii="Times New Roman" w:hAnsi="Times New Roman" w:cs="Times New Roman"/>
                <w:sz w:val="28"/>
                <w:szCs w:val="28"/>
                <w:lang w:val="ro-RO"/>
              </w:rPr>
              <w:t xml:space="preserve">și de Planul de acțiuni pe anii 2016-2018 pentru implementarea acestei Strategii, aprobat de </w:t>
            </w:r>
            <w:proofErr w:type="spellStart"/>
            <w:r w:rsidR="00524D3A" w:rsidRPr="00216AB9">
              <w:rPr>
                <w:rFonts w:ascii="Times New Roman" w:hAnsi="Times New Roman" w:cs="Times New Roman"/>
                <w:sz w:val="28"/>
                <w:szCs w:val="28"/>
                <w:lang w:val="ro-RO"/>
              </w:rPr>
              <w:t>Hotărîrea</w:t>
            </w:r>
            <w:proofErr w:type="spellEnd"/>
            <w:r w:rsidR="00524D3A" w:rsidRPr="00216AB9">
              <w:rPr>
                <w:rFonts w:ascii="Times New Roman" w:hAnsi="Times New Roman" w:cs="Times New Roman"/>
                <w:sz w:val="28"/>
                <w:szCs w:val="28"/>
                <w:lang w:val="ro-RO"/>
              </w:rPr>
              <w:t xml:space="preserve"> Guvernului nr. 1351 din 15 decembrie 2016.</w:t>
            </w:r>
          </w:p>
          <w:p w:rsidR="00A272FF" w:rsidRPr="00216AB9" w:rsidRDefault="00FE6FBB" w:rsidP="0064258E">
            <w:pPr>
              <w:pStyle w:val="NoSpacing"/>
              <w:ind w:firstLine="706"/>
              <w:jc w:val="both"/>
              <w:rPr>
                <w:rFonts w:ascii="Times New Roman" w:hAnsi="Times New Roman" w:cs="Times New Roman"/>
                <w:sz w:val="28"/>
                <w:szCs w:val="28"/>
                <w:lang w:val="ro-RO"/>
              </w:rPr>
            </w:pPr>
            <w:r w:rsidRPr="00216AB9">
              <w:rPr>
                <w:rFonts w:ascii="Times New Roman" w:hAnsi="Times New Roman" w:cs="Times New Roman"/>
                <w:sz w:val="28"/>
                <w:szCs w:val="28"/>
                <w:lang w:val="ro-RO"/>
              </w:rPr>
              <w:t>Întru realizarea acest</w:t>
            </w:r>
            <w:r w:rsidR="003A5A75" w:rsidRPr="00216AB9">
              <w:rPr>
                <w:rFonts w:ascii="Times New Roman" w:hAnsi="Times New Roman" w:cs="Times New Roman"/>
                <w:sz w:val="28"/>
                <w:szCs w:val="28"/>
                <w:lang w:val="ro-RO"/>
              </w:rPr>
              <w:t>ui</w:t>
            </w:r>
            <w:r w:rsidRPr="00216AB9">
              <w:rPr>
                <w:rFonts w:ascii="Times New Roman" w:hAnsi="Times New Roman" w:cs="Times New Roman"/>
                <w:sz w:val="28"/>
                <w:szCs w:val="28"/>
                <w:lang w:val="ro-RO"/>
              </w:rPr>
              <w:t xml:space="preserve"> deziderat, precum şi </w:t>
            </w:r>
            <w:r w:rsidR="004D5B18" w:rsidRPr="00216AB9">
              <w:rPr>
                <w:rFonts w:ascii="Times New Roman" w:hAnsi="Times New Roman" w:cs="Times New Roman"/>
                <w:sz w:val="28"/>
                <w:szCs w:val="28"/>
                <w:lang w:val="ro-RO"/>
              </w:rPr>
              <w:t xml:space="preserve">în scopul </w:t>
            </w:r>
            <w:r w:rsidR="003A5A75" w:rsidRPr="00216AB9">
              <w:rPr>
                <w:rFonts w:ascii="Times New Roman" w:hAnsi="Times New Roman" w:cs="Times New Roman"/>
                <w:sz w:val="28"/>
                <w:szCs w:val="28"/>
                <w:lang w:val="ro-RO"/>
              </w:rPr>
              <w:t>consolidării responsabilității pentru gestionarea patrimoniului statului</w:t>
            </w:r>
            <w:r w:rsidRPr="00216AB9">
              <w:rPr>
                <w:rFonts w:ascii="Times New Roman" w:hAnsi="Times New Roman" w:cs="Times New Roman"/>
                <w:sz w:val="28"/>
                <w:szCs w:val="28"/>
                <w:lang w:val="ro-RO"/>
              </w:rPr>
              <w:t xml:space="preserve">, a fost inițiată elaborarea prezentului proiect de act </w:t>
            </w:r>
            <w:r w:rsidR="001A7A0B" w:rsidRPr="00216AB9">
              <w:rPr>
                <w:rFonts w:ascii="Times New Roman" w:hAnsi="Times New Roman" w:cs="Times New Roman"/>
                <w:sz w:val="28"/>
                <w:szCs w:val="28"/>
                <w:lang w:val="ro-RO"/>
              </w:rPr>
              <w:t>legislativ</w:t>
            </w:r>
            <w:r w:rsidRPr="00216AB9">
              <w:rPr>
                <w:rFonts w:ascii="Times New Roman" w:hAnsi="Times New Roman" w:cs="Times New Roman"/>
                <w:sz w:val="28"/>
                <w:szCs w:val="28"/>
                <w:lang w:val="ro-RO"/>
              </w:rPr>
              <w:t>.</w:t>
            </w:r>
            <w:r w:rsidRPr="00216AB9">
              <w:rPr>
                <w:rFonts w:ascii="Times New Roman" w:hAnsi="Times New Roman"/>
                <w:sz w:val="26"/>
                <w:szCs w:val="26"/>
                <w:lang w:val="ro-RO"/>
              </w:rPr>
              <w:t xml:space="preserve"> </w:t>
            </w:r>
          </w:p>
        </w:tc>
      </w:tr>
      <w:tr w:rsidR="00A272FF" w:rsidRPr="00216AB9" w:rsidTr="007F32A0">
        <w:tc>
          <w:tcPr>
            <w:tcW w:w="9360" w:type="dxa"/>
            <w:shd w:val="clear" w:color="auto" w:fill="D9D9D9"/>
          </w:tcPr>
          <w:p w:rsidR="00A272FF" w:rsidRPr="00216AB9" w:rsidRDefault="00A272FF" w:rsidP="0064258E">
            <w:pPr>
              <w:numPr>
                <w:ilvl w:val="0"/>
                <w:numId w:val="2"/>
              </w:numPr>
              <w:tabs>
                <w:tab w:val="left" w:pos="252"/>
                <w:tab w:val="left" w:pos="342"/>
              </w:tabs>
              <w:ind w:left="0" w:firstLine="706"/>
              <w:mirrorIndents/>
              <w:jc w:val="both"/>
              <w:rPr>
                <w:b/>
                <w:sz w:val="28"/>
                <w:szCs w:val="28"/>
                <w:lang w:val="ro-RO"/>
              </w:rPr>
            </w:pPr>
            <w:r w:rsidRPr="00216AB9">
              <w:rPr>
                <w:b/>
                <w:sz w:val="28"/>
                <w:szCs w:val="28"/>
                <w:lang w:val="ro-RO"/>
              </w:rPr>
              <w:t xml:space="preserve">Principalele prevederi, locul actului în sistemul de acte normative, evidenţierea elementelor noi </w:t>
            </w:r>
          </w:p>
        </w:tc>
      </w:tr>
      <w:tr w:rsidR="00A272FF" w:rsidRPr="00216AB9" w:rsidTr="007F32A0">
        <w:tc>
          <w:tcPr>
            <w:tcW w:w="9360" w:type="dxa"/>
            <w:shd w:val="clear" w:color="auto" w:fill="auto"/>
          </w:tcPr>
          <w:p w:rsidR="00C27ADC" w:rsidRPr="00216AB9" w:rsidRDefault="00C27ADC" w:rsidP="0064258E">
            <w:pPr>
              <w:ind w:firstLine="706"/>
              <w:jc w:val="both"/>
              <w:rPr>
                <w:sz w:val="28"/>
                <w:szCs w:val="28"/>
                <w:lang w:val="ro-RO"/>
              </w:rPr>
            </w:pPr>
            <w:r w:rsidRPr="00216AB9">
              <w:rPr>
                <w:sz w:val="28"/>
                <w:szCs w:val="28"/>
                <w:lang w:val="ro-RO"/>
              </w:rPr>
              <w:t xml:space="preserve">Proiectul de lege pentru modificarea și completarea unor acte legislative </w:t>
            </w:r>
            <w:r w:rsidRPr="00216AB9">
              <w:rPr>
                <w:bCs/>
                <w:sz w:val="28"/>
                <w:szCs w:val="28"/>
                <w:lang w:val="ro-RO"/>
              </w:rPr>
              <w:t xml:space="preserve">are drept scop stabilirea unei </w:t>
            </w:r>
            <w:r w:rsidRPr="00216AB9">
              <w:rPr>
                <w:sz w:val="28"/>
                <w:szCs w:val="28"/>
                <w:lang w:val="ro-RO"/>
              </w:rPr>
              <w:t>proceduri transparente de selectare a conducătorilor întreprinderilor de stat/societăților comerciale cu capital integral sau majoritar de stat cu un efectiv de personal mai mare de 100 de unităţi sau o cifră de afaceri medie anuală pe ultimii 3 ani de minimum 20 milioane de lei, precum și eliminarea incertitudinilor în</w:t>
            </w:r>
            <w:r w:rsidRPr="00216AB9">
              <w:rPr>
                <w:bCs/>
                <w:sz w:val="28"/>
                <w:szCs w:val="28"/>
                <w:lang w:val="ro-RO"/>
              </w:rPr>
              <w:t xml:space="preserve"> cadrul normativ existent</w:t>
            </w:r>
            <w:r w:rsidRPr="00216AB9">
              <w:rPr>
                <w:sz w:val="28"/>
                <w:szCs w:val="28"/>
                <w:lang w:val="ro-RO"/>
              </w:rPr>
              <w:t xml:space="preserve">, prin stabilirea unui mecanism adecvat de administrare a terenurilor domeniului public, în special a terenurilor prevăzute în anexa la Legea nr. 668-XIII din 23 noiembrie 1995 pentru aprobarea Listei unităților ale căror terenuri destinate agriculturii </w:t>
            </w:r>
            <w:proofErr w:type="spellStart"/>
            <w:r w:rsidRPr="00216AB9">
              <w:rPr>
                <w:sz w:val="28"/>
                <w:szCs w:val="28"/>
                <w:lang w:val="ro-RO"/>
              </w:rPr>
              <w:t>rămîn</w:t>
            </w:r>
            <w:proofErr w:type="spellEnd"/>
            <w:r w:rsidRPr="00216AB9">
              <w:rPr>
                <w:sz w:val="28"/>
                <w:szCs w:val="28"/>
                <w:lang w:val="ro-RO"/>
              </w:rPr>
              <w:t xml:space="preserve"> în proprietatea statului, inclusiv transmiterea lor în locațiune/arendă/comodat/superficie. </w:t>
            </w:r>
          </w:p>
          <w:p w:rsidR="008B5641" w:rsidRPr="00C37236" w:rsidRDefault="00C27ADC" w:rsidP="0064258E">
            <w:pPr>
              <w:ind w:firstLine="706"/>
              <w:jc w:val="both"/>
              <w:rPr>
                <w:sz w:val="28"/>
                <w:szCs w:val="28"/>
                <w:lang w:val="ro-RO"/>
              </w:rPr>
            </w:pPr>
            <w:r w:rsidRPr="00C37236">
              <w:rPr>
                <w:sz w:val="28"/>
                <w:szCs w:val="28"/>
                <w:lang w:val="ro-RO"/>
              </w:rPr>
              <w:t>Astfel, prin prezentul proiect se propune ca Agenția Proprietății Publice să asigure selectarea</w:t>
            </w:r>
            <w:r w:rsidR="00202312" w:rsidRPr="00C37236">
              <w:rPr>
                <w:sz w:val="28"/>
                <w:szCs w:val="28"/>
                <w:lang w:val="ro-RO"/>
              </w:rPr>
              <w:t xml:space="preserve"> prin concurs</w:t>
            </w:r>
            <w:r w:rsidRPr="00C37236">
              <w:rPr>
                <w:sz w:val="28"/>
                <w:szCs w:val="28"/>
                <w:lang w:val="ro-RO"/>
              </w:rPr>
              <w:t xml:space="preserve">, în modul stabilit de Guvern, a candidaturii conducătorului întreprinderii de stat/societății comerciale cu capital integral sau majoritar de stat și </w:t>
            </w:r>
            <w:r w:rsidR="006C02BD" w:rsidRPr="00C37236">
              <w:rPr>
                <w:sz w:val="28"/>
                <w:szCs w:val="28"/>
                <w:lang w:val="ro-RO"/>
              </w:rPr>
              <w:t xml:space="preserve">să </w:t>
            </w:r>
            <w:r w:rsidRPr="00C37236">
              <w:rPr>
                <w:sz w:val="28"/>
                <w:szCs w:val="28"/>
                <w:lang w:val="ro-RO"/>
              </w:rPr>
              <w:t>prezent</w:t>
            </w:r>
            <w:r w:rsidR="006C02BD" w:rsidRPr="00C37236">
              <w:rPr>
                <w:sz w:val="28"/>
                <w:szCs w:val="28"/>
                <w:lang w:val="ro-RO"/>
              </w:rPr>
              <w:t xml:space="preserve">e </w:t>
            </w:r>
            <w:r w:rsidRPr="00C37236">
              <w:rPr>
                <w:sz w:val="28"/>
                <w:szCs w:val="28"/>
                <w:lang w:val="ro-RO"/>
              </w:rPr>
              <w:t>candidaturii selectate Guvernului spre numire în funcție, pentru întreprinderile de stat/societățile comerciale cu capital integral sau majoritar de stat, cu un efectiv de personal mai mare de 100 de unităţi sau o cifră de afaceri medie anuală pe ultimii 3 ani de minimum 20 milioane de lei. Conform proiectului, Guvernul va fi investit cu dreptul de a numi sau înceta înainte de termen împuternicirile conducătorilor întreprinderilor de stat/societăților comerciale cu capital integral sau majoritar de stat, care corespund criteriilor enunțate, iar încheierea contractelor de management și asigurarea procedurii de încetare înainte de termen a împuternicirilor conducătorilor întreprinderilor de stat și a societăților comerciale cu capital integral sau majoritar de stat se propune a fi puse în sarcina Agenției Proprietății Publice.</w:t>
            </w:r>
          </w:p>
          <w:p w:rsidR="008B5641" w:rsidRPr="00216AB9" w:rsidRDefault="008B5641" w:rsidP="0064258E">
            <w:pPr>
              <w:ind w:firstLine="706"/>
              <w:jc w:val="both"/>
              <w:rPr>
                <w:sz w:val="28"/>
                <w:szCs w:val="28"/>
                <w:lang w:val="ro-RO"/>
              </w:rPr>
            </w:pPr>
            <w:r w:rsidRPr="00216AB9">
              <w:rPr>
                <w:sz w:val="28"/>
                <w:szCs w:val="28"/>
                <w:lang w:val="ro-RO"/>
              </w:rPr>
              <w:t xml:space="preserve">Odată cu întrarea în vigoare a Legii nr.246 din 23 noiembrie 2017 cu privire la întreprinderea de stat și întreprinderea municipală, funcțiile de fondator </w:t>
            </w:r>
            <w:r w:rsidRPr="00216AB9">
              <w:rPr>
                <w:sz w:val="28"/>
                <w:szCs w:val="28"/>
                <w:lang w:val="ro-RO"/>
              </w:rPr>
              <w:lastRenderedPageBreak/>
              <w:t xml:space="preserve">în întreprinderi de stat se exercită de Agenția Proprietății Publice. </w:t>
            </w:r>
          </w:p>
          <w:p w:rsidR="009E188F" w:rsidRPr="00216AB9" w:rsidRDefault="008B5641" w:rsidP="0064258E">
            <w:pPr>
              <w:ind w:firstLine="706"/>
              <w:jc w:val="both"/>
              <w:rPr>
                <w:sz w:val="28"/>
                <w:szCs w:val="28"/>
                <w:lang w:val="ro-RO"/>
              </w:rPr>
            </w:pPr>
            <w:r w:rsidRPr="00216AB9">
              <w:rPr>
                <w:sz w:val="28"/>
                <w:szCs w:val="28"/>
                <w:lang w:val="ro-RO"/>
              </w:rPr>
              <w:t xml:space="preserve">Respectiv, în acest sens pe </w:t>
            </w:r>
            <w:proofErr w:type="spellStart"/>
            <w:r w:rsidRPr="00216AB9">
              <w:rPr>
                <w:sz w:val="28"/>
                <w:szCs w:val="28"/>
                <w:lang w:val="ro-RO"/>
              </w:rPr>
              <w:t>lîngă</w:t>
            </w:r>
            <w:proofErr w:type="spellEnd"/>
            <w:r w:rsidRPr="00216AB9">
              <w:rPr>
                <w:sz w:val="28"/>
                <w:szCs w:val="28"/>
                <w:lang w:val="ro-RO"/>
              </w:rPr>
              <w:t xml:space="preserve"> administrarea întreprinderilor de stat din domeniul agriculturii, care vor fi transmise în administrarea Agenției Proprietății Publice în modul stabilit de lege, se propune ca această autoritate să asigure și administrarea terenurilor agricole prevăzute în anexa la Legea nr.668-XIII din 23 noiembrie 1995 pentru aprobarea Listei unităților ale căror terenuri destinate agriculturii rămân în proprietatea statului transmise în gestiunea unor întreprinderi de stat, în modul stabilit de Guvern.</w:t>
            </w:r>
          </w:p>
          <w:p w:rsidR="00A272FF" w:rsidRDefault="009E188F" w:rsidP="00F44AB7">
            <w:pPr>
              <w:ind w:firstLine="706"/>
              <w:jc w:val="both"/>
              <w:rPr>
                <w:sz w:val="28"/>
                <w:szCs w:val="28"/>
                <w:lang w:val="ro-RO"/>
              </w:rPr>
            </w:pPr>
            <w:r w:rsidRPr="00216AB9">
              <w:rPr>
                <w:sz w:val="28"/>
                <w:szCs w:val="28"/>
                <w:lang w:val="ro-RO"/>
              </w:rPr>
              <w:t>De asemenea,</w:t>
            </w:r>
            <w:r w:rsidR="006B0A1D" w:rsidRPr="00216AB9">
              <w:rPr>
                <w:sz w:val="28"/>
                <w:szCs w:val="28"/>
                <w:lang w:val="ro-RO"/>
              </w:rPr>
              <w:t xml:space="preserve"> proiectul prevede că membrii organelor de conducere ale întreprinderilor de stat şi ale societăţilor pe acţiuni cu capital majoritar sau integral de stat (consiliul de administraţie, consiliul societăţii, comisia de cenzori) beneficiază de remunerații pentru munca prestat</w:t>
            </w:r>
            <w:r w:rsidR="00FB63E5" w:rsidRPr="00216AB9">
              <w:rPr>
                <w:sz w:val="28"/>
                <w:szCs w:val="28"/>
                <w:lang w:val="ro-RO"/>
              </w:rPr>
              <w:t>ă</w:t>
            </w:r>
            <w:r w:rsidR="00202312">
              <w:rPr>
                <w:sz w:val="28"/>
                <w:szCs w:val="28"/>
                <w:lang w:val="ro-RO"/>
              </w:rPr>
              <w:t>,</w:t>
            </w:r>
            <w:r w:rsidR="006B0A1D" w:rsidRPr="00216AB9">
              <w:rPr>
                <w:sz w:val="28"/>
                <w:szCs w:val="28"/>
                <w:lang w:val="ro-RO"/>
              </w:rPr>
              <w:t xml:space="preserve"> </w:t>
            </w:r>
            <w:r w:rsidR="007E2C17">
              <w:rPr>
                <w:sz w:val="28"/>
                <w:szCs w:val="28"/>
                <w:lang w:val="ro-RO"/>
              </w:rPr>
              <w:t>reieșind din performanț</w:t>
            </w:r>
            <w:r w:rsidR="00202312">
              <w:rPr>
                <w:sz w:val="28"/>
                <w:szCs w:val="28"/>
                <w:lang w:val="ro-RO"/>
              </w:rPr>
              <w:t xml:space="preserve">a atinsă, </w:t>
            </w:r>
            <w:r w:rsidR="006B0A1D" w:rsidRPr="00216AB9">
              <w:rPr>
                <w:sz w:val="28"/>
                <w:szCs w:val="28"/>
                <w:lang w:val="ro-RO"/>
              </w:rPr>
              <w:t>modul şi condiţiile</w:t>
            </w:r>
            <w:r w:rsidR="00202312">
              <w:rPr>
                <w:sz w:val="28"/>
                <w:szCs w:val="28"/>
                <w:lang w:val="ro-RO"/>
              </w:rPr>
              <w:t xml:space="preserve"> de stabilire a remunerațiilor vor fi reglementate de </w:t>
            </w:r>
            <w:r w:rsidR="006B0A1D" w:rsidRPr="00216AB9">
              <w:rPr>
                <w:sz w:val="28"/>
                <w:szCs w:val="28"/>
                <w:lang w:val="ro-RO"/>
              </w:rPr>
              <w:t xml:space="preserve">Guvern, iar în cazul în care </w:t>
            </w:r>
            <w:r w:rsidR="00AC27AB" w:rsidRPr="00216AB9">
              <w:rPr>
                <w:sz w:val="28"/>
                <w:szCs w:val="28"/>
                <w:lang w:val="ro-RO"/>
              </w:rPr>
              <w:t xml:space="preserve">se vor eschiva de la îndeplinirea acestor funcţiilor, achitarea remunerațiilor </w:t>
            </w:r>
            <w:r w:rsidR="00FB63E5" w:rsidRPr="00216AB9">
              <w:rPr>
                <w:sz w:val="28"/>
                <w:szCs w:val="28"/>
                <w:lang w:val="ro-RO"/>
              </w:rPr>
              <w:t>va fi anulată.</w:t>
            </w:r>
            <w:r w:rsidR="00926632">
              <w:rPr>
                <w:sz w:val="28"/>
                <w:szCs w:val="28"/>
                <w:lang w:val="ro-RO"/>
              </w:rPr>
              <w:t xml:space="preserve"> </w:t>
            </w:r>
            <w:r w:rsidR="000300B3">
              <w:rPr>
                <w:sz w:val="28"/>
                <w:szCs w:val="28"/>
                <w:lang w:val="ro-RO"/>
              </w:rPr>
              <w:t xml:space="preserve">Prevederile menționate </w:t>
            </w:r>
            <w:r w:rsidR="00925124">
              <w:rPr>
                <w:sz w:val="28"/>
                <w:szCs w:val="28"/>
                <w:lang w:val="ro-RO"/>
              </w:rPr>
              <w:t xml:space="preserve">vin întru ajustarea </w:t>
            </w:r>
            <w:r w:rsidR="00F5654E">
              <w:rPr>
                <w:sz w:val="28"/>
                <w:szCs w:val="28"/>
                <w:lang w:val="ro-RO"/>
              </w:rPr>
              <w:t xml:space="preserve">cadrului normativ </w:t>
            </w:r>
            <w:r w:rsidR="00DE103B">
              <w:rPr>
                <w:sz w:val="28"/>
                <w:szCs w:val="28"/>
                <w:lang w:val="ro-RO"/>
              </w:rPr>
              <w:t xml:space="preserve">ce reglementează </w:t>
            </w:r>
            <w:r w:rsidR="005D1082">
              <w:rPr>
                <w:sz w:val="28"/>
                <w:szCs w:val="28"/>
                <w:lang w:val="ro-RO"/>
              </w:rPr>
              <w:t xml:space="preserve">stabilirea remunerațiilor organelor de conducere </w:t>
            </w:r>
            <w:r w:rsidR="007F4FEA">
              <w:rPr>
                <w:sz w:val="28"/>
                <w:szCs w:val="28"/>
                <w:lang w:val="ro-RO"/>
              </w:rPr>
              <w:t>la</w:t>
            </w:r>
            <w:r w:rsidR="00F5654E">
              <w:rPr>
                <w:sz w:val="28"/>
                <w:szCs w:val="28"/>
                <w:lang w:val="ro-RO"/>
              </w:rPr>
              <w:t xml:space="preserve"> prevederile </w:t>
            </w:r>
            <w:r w:rsidR="007F4FEA" w:rsidRPr="006474A2">
              <w:rPr>
                <w:sz w:val="28"/>
                <w:szCs w:val="28"/>
                <w:lang w:val="ro-RO"/>
              </w:rPr>
              <w:t>Leg</w:t>
            </w:r>
            <w:r w:rsidR="00BF080C">
              <w:rPr>
                <w:sz w:val="28"/>
                <w:szCs w:val="28"/>
                <w:lang w:val="ro-RO"/>
              </w:rPr>
              <w:t>ii</w:t>
            </w:r>
            <w:r w:rsidR="007F4FEA" w:rsidRPr="006474A2">
              <w:rPr>
                <w:sz w:val="28"/>
                <w:szCs w:val="28"/>
                <w:lang w:val="ro-RO"/>
              </w:rPr>
              <w:t xml:space="preserve"> nr. 246 din 23 noiembrie 2017 cu privire la întreprinderea de stat și întreprinderea municipală</w:t>
            </w:r>
            <w:r w:rsidR="007C14FE">
              <w:rPr>
                <w:sz w:val="28"/>
                <w:szCs w:val="28"/>
                <w:lang w:val="ro-RO"/>
              </w:rPr>
              <w:t>.</w:t>
            </w:r>
          </w:p>
          <w:p w:rsidR="000D51A8" w:rsidRPr="00216AB9" w:rsidRDefault="003F6367" w:rsidP="00F51846">
            <w:pPr>
              <w:ind w:firstLine="706"/>
              <w:jc w:val="both"/>
              <w:rPr>
                <w:sz w:val="28"/>
                <w:szCs w:val="28"/>
                <w:lang w:val="ro-RO"/>
              </w:rPr>
            </w:pPr>
            <w:r>
              <w:rPr>
                <w:sz w:val="28"/>
                <w:szCs w:val="28"/>
                <w:lang w:val="ro-RO"/>
              </w:rPr>
              <w:t>Concomitent cu referire la componența consiliilor de administrație ale societăților pe acțiuni cu capital integral sau majoritar de stat, menționăm că prin intermediul proiectului se propun</w:t>
            </w:r>
            <w:r w:rsidR="00392D7E">
              <w:rPr>
                <w:sz w:val="28"/>
                <w:szCs w:val="28"/>
                <w:lang w:val="ro-RO"/>
              </w:rPr>
              <w:t>e</w:t>
            </w:r>
            <w:r>
              <w:rPr>
                <w:sz w:val="28"/>
                <w:szCs w:val="28"/>
                <w:lang w:val="ro-RO"/>
              </w:rPr>
              <w:t xml:space="preserve"> modific</w:t>
            </w:r>
            <w:r w:rsidR="00392D7E">
              <w:rPr>
                <w:sz w:val="28"/>
                <w:szCs w:val="28"/>
                <w:lang w:val="ro-RO"/>
              </w:rPr>
              <w:t xml:space="preserve">area art. 66 al </w:t>
            </w:r>
            <w:r w:rsidR="00D075D7" w:rsidRPr="00BA2438">
              <w:rPr>
                <w:sz w:val="28"/>
                <w:szCs w:val="28"/>
                <w:lang w:val="ro-RO"/>
              </w:rPr>
              <w:t>Leg</w:t>
            </w:r>
            <w:r w:rsidR="00D075D7">
              <w:rPr>
                <w:sz w:val="28"/>
                <w:szCs w:val="28"/>
                <w:lang w:val="ro-RO"/>
              </w:rPr>
              <w:t>ii</w:t>
            </w:r>
            <w:r w:rsidR="00D075D7" w:rsidRPr="00BA2438">
              <w:rPr>
                <w:sz w:val="28"/>
                <w:szCs w:val="28"/>
                <w:lang w:val="ro-RO"/>
              </w:rPr>
              <w:t xml:space="preserve"> nr.1134-XIII din 2 aprilie 1997 privind societățile pe acțiuni </w:t>
            </w:r>
            <w:r w:rsidR="00392D7E">
              <w:rPr>
                <w:sz w:val="28"/>
                <w:szCs w:val="28"/>
                <w:lang w:val="ro-RO"/>
              </w:rPr>
              <w:t xml:space="preserve">în scopul </w:t>
            </w:r>
            <w:r w:rsidR="00D075D7">
              <w:rPr>
                <w:sz w:val="28"/>
                <w:szCs w:val="28"/>
                <w:lang w:val="ro-RO"/>
              </w:rPr>
              <w:t>instituirii</w:t>
            </w:r>
            <w:r w:rsidR="00392D7E">
              <w:rPr>
                <w:sz w:val="28"/>
                <w:szCs w:val="28"/>
                <w:lang w:val="ro-RO"/>
              </w:rPr>
              <w:t xml:space="preserve"> aceluiași mecanism aplicabil la moment </w:t>
            </w:r>
            <w:bookmarkStart w:id="0" w:name="_GoBack"/>
            <w:bookmarkEnd w:id="0"/>
            <w:r w:rsidR="00392D7E">
              <w:rPr>
                <w:sz w:val="28"/>
                <w:szCs w:val="28"/>
                <w:lang w:val="ro-RO"/>
              </w:rPr>
              <w:t xml:space="preserve">componenței consiliilor de administrație ale întreprinderilor de stat în virtutea art. 8 al Legii </w:t>
            </w:r>
            <w:r w:rsidR="00805870" w:rsidRPr="00BA2438">
              <w:rPr>
                <w:sz w:val="28"/>
                <w:szCs w:val="28"/>
                <w:lang w:val="ro-RO"/>
              </w:rPr>
              <w:t>nr. 246 din 23 noiembrie 2017 cu privire la întreprinderea de stat și întreprinderea municipală</w:t>
            </w:r>
            <w:r w:rsidR="00392D7E">
              <w:rPr>
                <w:sz w:val="28"/>
                <w:szCs w:val="28"/>
                <w:lang w:val="ro-RO"/>
              </w:rPr>
              <w:t xml:space="preserve">. Or, modificările propuse vor permite aplicarea unitară și fără echivoc a procedurii de desemnare a </w:t>
            </w:r>
            <w:r w:rsidR="00B54B8A">
              <w:rPr>
                <w:sz w:val="28"/>
                <w:szCs w:val="28"/>
                <w:lang w:val="ro-RO"/>
              </w:rPr>
              <w:t xml:space="preserve">membrilor consiliilor de administrație în entitățile ce gestionează patrimoniul public. </w:t>
            </w:r>
            <w:r w:rsidR="00805870">
              <w:rPr>
                <w:sz w:val="28"/>
                <w:szCs w:val="28"/>
                <w:lang w:val="ro-RO"/>
              </w:rPr>
              <w:t xml:space="preserve"> </w:t>
            </w:r>
          </w:p>
        </w:tc>
      </w:tr>
      <w:tr w:rsidR="00A272FF" w:rsidRPr="00216AB9" w:rsidTr="007F32A0">
        <w:tc>
          <w:tcPr>
            <w:tcW w:w="9360" w:type="dxa"/>
            <w:shd w:val="clear" w:color="auto" w:fill="D9D9D9"/>
          </w:tcPr>
          <w:p w:rsidR="00A272FF" w:rsidRPr="00216AB9" w:rsidRDefault="00A272FF" w:rsidP="0064258E">
            <w:pPr>
              <w:numPr>
                <w:ilvl w:val="0"/>
                <w:numId w:val="2"/>
              </w:numPr>
              <w:tabs>
                <w:tab w:val="left" w:pos="252"/>
              </w:tabs>
              <w:ind w:left="0" w:firstLine="706"/>
              <w:mirrorIndents/>
              <w:jc w:val="both"/>
              <w:rPr>
                <w:b/>
                <w:sz w:val="28"/>
                <w:szCs w:val="28"/>
                <w:lang w:val="ro-RO"/>
              </w:rPr>
            </w:pPr>
            <w:r w:rsidRPr="00216AB9">
              <w:rPr>
                <w:b/>
                <w:sz w:val="28"/>
                <w:szCs w:val="28"/>
                <w:lang w:val="ro-RO"/>
              </w:rPr>
              <w:lastRenderedPageBreak/>
              <w:t>Descrierea gradului de compatibilitate  a prevederilor proiectului cu legislația Uniunii Europene</w:t>
            </w:r>
          </w:p>
        </w:tc>
      </w:tr>
      <w:tr w:rsidR="00A272FF" w:rsidRPr="00216AB9" w:rsidTr="007F32A0">
        <w:tc>
          <w:tcPr>
            <w:tcW w:w="9360" w:type="dxa"/>
            <w:shd w:val="clear" w:color="auto" w:fill="auto"/>
          </w:tcPr>
          <w:p w:rsidR="00A272FF" w:rsidRPr="00216AB9" w:rsidRDefault="00A272FF" w:rsidP="0064258E">
            <w:pPr>
              <w:ind w:firstLine="706"/>
              <w:mirrorIndents/>
              <w:jc w:val="both"/>
              <w:rPr>
                <w:sz w:val="28"/>
                <w:szCs w:val="28"/>
                <w:lang w:val="ro-RO"/>
              </w:rPr>
            </w:pPr>
            <w:r w:rsidRPr="00216AB9">
              <w:rPr>
                <w:sz w:val="28"/>
                <w:szCs w:val="28"/>
                <w:lang w:val="ro-RO"/>
              </w:rPr>
              <w:t>Prezentul proiect de nu contravine legislației Uniunii Europene.</w:t>
            </w:r>
          </w:p>
        </w:tc>
      </w:tr>
      <w:tr w:rsidR="00A272FF" w:rsidRPr="00216AB9" w:rsidTr="007F32A0">
        <w:tc>
          <w:tcPr>
            <w:tcW w:w="9360" w:type="dxa"/>
            <w:shd w:val="clear" w:color="auto" w:fill="D9D9D9"/>
          </w:tcPr>
          <w:p w:rsidR="00A272FF" w:rsidRPr="00216AB9" w:rsidRDefault="00A272FF" w:rsidP="0064258E">
            <w:pPr>
              <w:numPr>
                <w:ilvl w:val="0"/>
                <w:numId w:val="2"/>
              </w:numPr>
              <w:tabs>
                <w:tab w:val="left" w:pos="252"/>
              </w:tabs>
              <w:ind w:left="0" w:firstLine="706"/>
              <w:mirrorIndents/>
              <w:jc w:val="both"/>
              <w:rPr>
                <w:b/>
                <w:sz w:val="28"/>
                <w:szCs w:val="28"/>
                <w:lang w:val="ro-RO"/>
              </w:rPr>
            </w:pPr>
            <w:r w:rsidRPr="00216AB9">
              <w:rPr>
                <w:b/>
                <w:sz w:val="28"/>
                <w:szCs w:val="28"/>
                <w:lang w:val="ro-RO"/>
              </w:rPr>
              <w:t>Fundamentarea economico-financiară</w:t>
            </w:r>
          </w:p>
        </w:tc>
      </w:tr>
      <w:tr w:rsidR="00A272FF" w:rsidRPr="00216AB9" w:rsidTr="007F32A0">
        <w:tc>
          <w:tcPr>
            <w:tcW w:w="9360" w:type="dxa"/>
            <w:shd w:val="clear" w:color="auto" w:fill="auto"/>
          </w:tcPr>
          <w:p w:rsidR="00A272FF" w:rsidRPr="00216AB9" w:rsidRDefault="009E188F" w:rsidP="008C7B89">
            <w:pPr>
              <w:ind w:firstLine="706"/>
              <w:jc w:val="both"/>
              <w:rPr>
                <w:sz w:val="28"/>
                <w:szCs w:val="28"/>
                <w:lang w:val="ro-RO"/>
              </w:rPr>
            </w:pPr>
            <w:r w:rsidRPr="00216AB9">
              <w:rPr>
                <w:sz w:val="28"/>
                <w:szCs w:val="28"/>
                <w:lang w:val="ro-RO"/>
              </w:rPr>
              <w:t>Realizarea proiectului dat nu implică cheltuieli financiare publice şi nu conţine prevederi de reglementare a activităţii de întreprinzător în contextul Legii cu privire la principiile de bază de reglementare a activităţii de întreprinz</w:t>
            </w:r>
            <w:r w:rsidR="008C7B89">
              <w:rPr>
                <w:sz w:val="28"/>
                <w:szCs w:val="28"/>
                <w:lang w:val="ro-RO"/>
              </w:rPr>
              <w:t>ător nr.235-XVI din 20.07.2006.</w:t>
            </w:r>
          </w:p>
        </w:tc>
      </w:tr>
    </w:tbl>
    <w:p w:rsidR="00A272FF" w:rsidRPr="00216AB9" w:rsidRDefault="00A272FF" w:rsidP="0064258E">
      <w:pPr>
        <w:ind w:firstLine="706"/>
        <w:jc w:val="both"/>
        <w:rPr>
          <w:sz w:val="28"/>
          <w:szCs w:val="28"/>
          <w:lang w:val="ro-RO"/>
        </w:rPr>
      </w:pPr>
    </w:p>
    <w:p w:rsidR="00356124" w:rsidRPr="00216AB9" w:rsidRDefault="00356124" w:rsidP="0064258E">
      <w:pPr>
        <w:ind w:firstLine="706"/>
        <w:jc w:val="center"/>
        <w:rPr>
          <w:sz w:val="28"/>
          <w:szCs w:val="28"/>
          <w:lang w:val="ro-RO"/>
        </w:rPr>
      </w:pPr>
    </w:p>
    <w:p w:rsidR="00B3427D" w:rsidRPr="004C7AC4" w:rsidRDefault="00B3427D" w:rsidP="00B3427D">
      <w:pPr>
        <w:ind w:left="-567" w:firstLine="1275"/>
        <w:rPr>
          <w:b/>
          <w:bCs/>
          <w:sz w:val="28"/>
          <w:szCs w:val="28"/>
          <w:lang w:val="ro-MO"/>
        </w:rPr>
      </w:pPr>
      <w:r w:rsidRPr="004C7AC4">
        <w:rPr>
          <w:b/>
          <w:bCs/>
          <w:sz w:val="28"/>
          <w:szCs w:val="28"/>
          <w:lang w:val="ro-MO"/>
        </w:rPr>
        <w:t>Iurie CIOCAN,</w:t>
      </w:r>
    </w:p>
    <w:p w:rsidR="00B3427D" w:rsidRPr="004C7AC4" w:rsidRDefault="00B3427D" w:rsidP="00B3427D">
      <w:pPr>
        <w:ind w:left="-567" w:firstLine="1275"/>
        <w:rPr>
          <w:b/>
          <w:bCs/>
          <w:sz w:val="28"/>
          <w:szCs w:val="28"/>
          <w:lang w:val="ro-MO"/>
        </w:rPr>
      </w:pPr>
      <w:r w:rsidRPr="004C7AC4">
        <w:rPr>
          <w:b/>
          <w:bCs/>
          <w:sz w:val="28"/>
          <w:szCs w:val="28"/>
          <w:lang w:val="ro-MO"/>
        </w:rPr>
        <w:t xml:space="preserve">Director </w:t>
      </w:r>
    </w:p>
    <w:p w:rsidR="00B3427D" w:rsidRPr="004C7AC4" w:rsidRDefault="00B3427D" w:rsidP="00B3427D">
      <w:pPr>
        <w:ind w:left="-567" w:firstLine="1275"/>
        <w:rPr>
          <w:b/>
          <w:bCs/>
          <w:sz w:val="28"/>
          <w:szCs w:val="28"/>
          <w:lang w:val="ro-MO"/>
        </w:rPr>
      </w:pPr>
      <w:r w:rsidRPr="004C7AC4">
        <w:rPr>
          <w:b/>
          <w:bCs/>
          <w:sz w:val="28"/>
          <w:szCs w:val="28"/>
          <w:lang w:val="ro-MO"/>
        </w:rPr>
        <w:t xml:space="preserve">Centrul de </w:t>
      </w:r>
      <w:r w:rsidR="00ED3DF3" w:rsidRPr="004C7AC4">
        <w:rPr>
          <w:b/>
          <w:bCs/>
          <w:sz w:val="28"/>
          <w:szCs w:val="28"/>
          <w:lang w:val="ro-MO"/>
        </w:rPr>
        <w:t xml:space="preserve">Implementare </w:t>
      </w:r>
      <w:r w:rsidRPr="004C7AC4">
        <w:rPr>
          <w:b/>
          <w:bCs/>
          <w:sz w:val="28"/>
          <w:szCs w:val="28"/>
          <w:lang w:val="ro-MO"/>
        </w:rPr>
        <w:t xml:space="preserve">a Reformelor                                </w:t>
      </w:r>
    </w:p>
    <w:p w:rsidR="00356124" w:rsidRPr="00B3427D" w:rsidRDefault="00356124" w:rsidP="0064258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hAnsi="Times New Roman"/>
          <w:i/>
          <w:sz w:val="28"/>
          <w:szCs w:val="28"/>
          <w:lang w:val="ro-MO"/>
        </w:rPr>
      </w:pPr>
    </w:p>
    <w:p w:rsidR="00C67FA5" w:rsidRPr="00B3427D" w:rsidRDefault="00C67FA5" w:rsidP="0064258E">
      <w:pPr>
        <w:ind w:firstLine="706"/>
        <w:rPr>
          <w:sz w:val="28"/>
          <w:szCs w:val="28"/>
          <w:lang w:val="ro-MO"/>
        </w:rPr>
      </w:pPr>
    </w:p>
    <w:sectPr w:rsidR="00C67FA5" w:rsidRPr="00B34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3D4"/>
    <w:multiLevelType w:val="hybridMultilevel"/>
    <w:tmpl w:val="2F3696C0"/>
    <w:lvl w:ilvl="0" w:tplc="C7886946">
      <w:start w:val="1"/>
      <w:numFmt w:val="decimal"/>
      <w:lvlText w:val="%1."/>
      <w:lvlJc w:val="left"/>
      <w:pPr>
        <w:ind w:left="1070" w:hanging="360"/>
      </w:pPr>
      <w:rPr>
        <w:i w:val="0"/>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nsid w:val="1B0E2153"/>
    <w:multiLevelType w:val="hybridMultilevel"/>
    <w:tmpl w:val="3B7462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0AA7883"/>
    <w:multiLevelType w:val="hybridMultilevel"/>
    <w:tmpl w:val="15141C80"/>
    <w:lvl w:ilvl="0" w:tplc="F38E1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31"/>
    <w:rsid w:val="00000A6F"/>
    <w:rsid w:val="00002784"/>
    <w:rsid w:val="0001714F"/>
    <w:rsid w:val="000300B3"/>
    <w:rsid w:val="00043FFF"/>
    <w:rsid w:val="00046805"/>
    <w:rsid w:val="00077B04"/>
    <w:rsid w:val="000C5D5A"/>
    <w:rsid w:val="000D51A8"/>
    <w:rsid w:val="000D5285"/>
    <w:rsid w:val="000E154C"/>
    <w:rsid w:val="000F1C78"/>
    <w:rsid w:val="00125403"/>
    <w:rsid w:val="001A069D"/>
    <w:rsid w:val="001A2A22"/>
    <w:rsid w:val="001A30E2"/>
    <w:rsid w:val="001A7A0B"/>
    <w:rsid w:val="00202312"/>
    <w:rsid w:val="00207420"/>
    <w:rsid w:val="00216AB9"/>
    <w:rsid w:val="0023377C"/>
    <w:rsid w:val="00265927"/>
    <w:rsid w:val="00284162"/>
    <w:rsid w:val="00291944"/>
    <w:rsid w:val="002A060A"/>
    <w:rsid w:val="003126C3"/>
    <w:rsid w:val="00316F17"/>
    <w:rsid w:val="003401E6"/>
    <w:rsid w:val="00356124"/>
    <w:rsid w:val="00384D9E"/>
    <w:rsid w:val="00392D7E"/>
    <w:rsid w:val="003A5A75"/>
    <w:rsid w:val="003F6367"/>
    <w:rsid w:val="0040112B"/>
    <w:rsid w:val="004414F2"/>
    <w:rsid w:val="00482BB0"/>
    <w:rsid w:val="004B2C5E"/>
    <w:rsid w:val="004D5B18"/>
    <w:rsid w:val="004E7F60"/>
    <w:rsid w:val="004F7E30"/>
    <w:rsid w:val="00524D3A"/>
    <w:rsid w:val="00537947"/>
    <w:rsid w:val="005B4C05"/>
    <w:rsid w:val="005D1082"/>
    <w:rsid w:val="005F5459"/>
    <w:rsid w:val="00626E31"/>
    <w:rsid w:val="0064258E"/>
    <w:rsid w:val="006B0A1D"/>
    <w:rsid w:val="006C02BD"/>
    <w:rsid w:val="006E0A31"/>
    <w:rsid w:val="007169DB"/>
    <w:rsid w:val="007226DD"/>
    <w:rsid w:val="00734A52"/>
    <w:rsid w:val="00752E6A"/>
    <w:rsid w:val="00757B6E"/>
    <w:rsid w:val="007816EF"/>
    <w:rsid w:val="00790153"/>
    <w:rsid w:val="007A6E66"/>
    <w:rsid w:val="007B658E"/>
    <w:rsid w:val="007C14FE"/>
    <w:rsid w:val="007E2C17"/>
    <w:rsid w:val="007F4FEA"/>
    <w:rsid w:val="00805870"/>
    <w:rsid w:val="008246E8"/>
    <w:rsid w:val="00830D47"/>
    <w:rsid w:val="00836584"/>
    <w:rsid w:val="00842517"/>
    <w:rsid w:val="00861C21"/>
    <w:rsid w:val="00890F8E"/>
    <w:rsid w:val="008B2754"/>
    <w:rsid w:val="008B5641"/>
    <w:rsid w:val="008C7B89"/>
    <w:rsid w:val="008F3276"/>
    <w:rsid w:val="009071A8"/>
    <w:rsid w:val="00925124"/>
    <w:rsid w:val="00926632"/>
    <w:rsid w:val="0093319C"/>
    <w:rsid w:val="00943A3F"/>
    <w:rsid w:val="009E188F"/>
    <w:rsid w:val="009E4D32"/>
    <w:rsid w:val="009E61FE"/>
    <w:rsid w:val="009F10EC"/>
    <w:rsid w:val="009F7205"/>
    <w:rsid w:val="00A21778"/>
    <w:rsid w:val="00A272FF"/>
    <w:rsid w:val="00A44A33"/>
    <w:rsid w:val="00A54417"/>
    <w:rsid w:val="00A56291"/>
    <w:rsid w:val="00A93373"/>
    <w:rsid w:val="00AC27AB"/>
    <w:rsid w:val="00AD363D"/>
    <w:rsid w:val="00AD5854"/>
    <w:rsid w:val="00B04C17"/>
    <w:rsid w:val="00B132F0"/>
    <w:rsid w:val="00B3427D"/>
    <w:rsid w:val="00B54B8A"/>
    <w:rsid w:val="00BD4042"/>
    <w:rsid w:val="00BE290C"/>
    <w:rsid w:val="00BF038E"/>
    <w:rsid w:val="00BF080C"/>
    <w:rsid w:val="00C27ADC"/>
    <w:rsid w:val="00C37236"/>
    <w:rsid w:val="00C41523"/>
    <w:rsid w:val="00C67FA5"/>
    <w:rsid w:val="00C75548"/>
    <w:rsid w:val="00C93254"/>
    <w:rsid w:val="00CE51E0"/>
    <w:rsid w:val="00CF66B3"/>
    <w:rsid w:val="00D0047E"/>
    <w:rsid w:val="00D0065C"/>
    <w:rsid w:val="00D075D7"/>
    <w:rsid w:val="00D2555F"/>
    <w:rsid w:val="00D45975"/>
    <w:rsid w:val="00D5038A"/>
    <w:rsid w:val="00D54500"/>
    <w:rsid w:val="00DD2625"/>
    <w:rsid w:val="00DE103B"/>
    <w:rsid w:val="00EA1E77"/>
    <w:rsid w:val="00ED3DF3"/>
    <w:rsid w:val="00F064A0"/>
    <w:rsid w:val="00F30660"/>
    <w:rsid w:val="00F44AB7"/>
    <w:rsid w:val="00F51846"/>
    <w:rsid w:val="00F54F99"/>
    <w:rsid w:val="00F5654E"/>
    <w:rsid w:val="00F60CD9"/>
    <w:rsid w:val="00F70BF1"/>
    <w:rsid w:val="00FB63E5"/>
    <w:rsid w:val="00FC1ADD"/>
    <w:rsid w:val="00FC3EFD"/>
    <w:rsid w:val="00FC5DEB"/>
    <w:rsid w:val="00FD27CF"/>
    <w:rsid w:val="00FE6FBB"/>
    <w:rsid w:val="00FE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2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124"/>
    <w:pPr>
      <w:ind w:firstLine="567"/>
      <w:jc w:val="both"/>
    </w:pPr>
    <w:rPr>
      <w:sz w:val="24"/>
      <w:szCs w:val="24"/>
      <w:lang w:val="ru-RU"/>
    </w:rPr>
  </w:style>
  <w:style w:type="paragraph" w:customStyle="1" w:styleId="1">
    <w:name w:val="Без интервала1"/>
    <w:uiPriority w:val="99"/>
    <w:qFormat/>
    <w:rsid w:val="00356124"/>
    <w:pPr>
      <w:spacing w:after="0" w:line="240" w:lineRule="auto"/>
    </w:pPr>
    <w:rPr>
      <w:rFonts w:ascii="Calibri" w:eastAsia="Times New Roman" w:hAnsi="Calibri" w:cs="Times New Roman"/>
      <w:lang w:eastAsia="ru-RU"/>
    </w:rPr>
  </w:style>
  <w:style w:type="paragraph" w:customStyle="1" w:styleId="tt">
    <w:name w:val="tt"/>
    <w:basedOn w:val="Normal"/>
    <w:uiPriority w:val="99"/>
    <w:rsid w:val="00356124"/>
    <w:pPr>
      <w:jc w:val="center"/>
    </w:pPr>
    <w:rPr>
      <w:b/>
      <w:bCs/>
      <w:sz w:val="24"/>
      <w:szCs w:val="24"/>
      <w:lang w:val="ru-RU"/>
    </w:rPr>
  </w:style>
  <w:style w:type="character" w:customStyle="1" w:styleId="3">
    <w:name w:val="Основной текст (3)_"/>
    <w:basedOn w:val="DefaultParagraphFont"/>
    <w:link w:val="30"/>
    <w:rsid w:val="00356124"/>
    <w:rPr>
      <w:b/>
      <w:bCs/>
      <w:sz w:val="28"/>
      <w:szCs w:val="28"/>
      <w:shd w:val="clear" w:color="auto" w:fill="FFFFFF"/>
      <w:lang w:val="ro-RO" w:eastAsia="ro-RO" w:bidi="ro-RO"/>
    </w:rPr>
  </w:style>
  <w:style w:type="paragraph" w:customStyle="1" w:styleId="30">
    <w:name w:val="Основной текст (3)"/>
    <w:basedOn w:val="Normal"/>
    <w:link w:val="3"/>
    <w:rsid w:val="00356124"/>
    <w:pPr>
      <w:widowControl w:val="0"/>
      <w:shd w:val="clear" w:color="auto" w:fill="FFFFFF"/>
      <w:spacing w:before="420" w:after="420" w:line="0" w:lineRule="atLeast"/>
      <w:jc w:val="center"/>
    </w:pPr>
    <w:rPr>
      <w:rFonts w:asciiTheme="minorHAnsi" w:eastAsiaTheme="minorHAnsi" w:hAnsiTheme="minorHAnsi" w:cstheme="minorBidi"/>
      <w:b/>
      <w:bCs/>
      <w:sz w:val="28"/>
      <w:szCs w:val="28"/>
      <w:lang w:val="ro-RO" w:eastAsia="ro-RO" w:bidi="ro-RO"/>
    </w:rPr>
  </w:style>
  <w:style w:type="paragraph" w:styleId="Revision">
    <w:name w:val="Revision"/>
    <w:hidden/>
    <w:uiPriority w:val="99"/>
    <w:semiHidden/>
    <w:rsid w:val="00BE290C"/>
    <w:pPr>
      <w:spacing w:after="0" w:line="240" w:lineRule="auto"/>
    </w:pPr>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BE290C"/>
    <w:rPr>
      <w:rFonts w:ascii="Tahoma" w:hAnsi="Tahoma" w:cs="Tahoma"/>
      <w:sz w:val="16"/>
      <w:szCs w:val="16"/>
    </w:rPr>
  </w:style>
  <w:style w:type="character" w:customStyle="1" w:styleId="BalloonTextChar">
    <w:name w:val="Balloon Text Char"/>
    <w:basedOn w:val="DefaultParagraphFont"/>
    <w:link w:val="BalloonText"/>
    <w:uiPriority w:val="99"/>
    <w:semiHidden/>
    <w:rsid w:val="00BE290C"/>
    <w:rPr>
      <w:rFonts w:ascii="Tahoma" w:eastAsia="Times New Roman" w:hAnsi="Tahoma" w:cs="Tahoma"/>
      <w:sz w:val="16"/>
      <w:szCs w:val="16"/>
      <w:lang w:val="en-GB" w:eastAsia="ru-RU"/>
    </w:rPr>
  </w:style>
  <w:style w:type="paragraph" w:styleId="NoSpacing">
    <w:name w:val="No Spacing"/>
    <w:uiPriority w:val="1"/>
    <w:qFormat/>
    <w:rsid w:val="00A272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24"/>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6124"/>
    <w:pPr>
      <w:ind w:firstLine="567"/>
      <w:jc w:val="both"/>
    </w:pPr>
    <w:rPr>
      <w:sz w:val="24"/>
      <w:szCs w:val="24"/>
      <w:lang w:val="ru-RU"/>
    </w:rPr>
  </w:style>
  <w:style w:type="paragraph" w:customStyle="1" w:styleId="1">
    <w:name w:val="Без интервала1"/>
    <w:uiPriority w:val="99"/>
    <w:qFormat/>
    <w:rsid w:val="00356124"/>
    <w:pPr>
      <w:spacing w:after="0" w:line="240" w:lineRule="auto"/>
    </w:pPr>
    <w:rPr>
      <w:rFonts w:ascii="Calibri" w:eastAsia="Times New Roman" w:hAnsi="Calibri" w:cs="Times New Roman"/>
      <w:lang w:eastAsia="ru-RU"/>
    </w:rPr>
  </w:style>
  <w:style w:type="paragraph" w:customStyle="1" w:styleId="tt">
    <w:name w:val="tt"/>
    <w:basedOn w:val="Normal"/>
    <w:uiPriority w:val="99"/>
    <w:rsid w:val="00356124"/>
    <w:pPr>
      <w:jc w:val="center"/>
    </w:pPr>
    <w:rPr>
      <w:b/>
      <w:bCs/>
      <w:sz w:val="24"/>
      <w:szCs w:val="24"/>
      <w:lang w:val="ru-RU"/>
    </w:rPr>
  </w:style>
  <w:style w:type="character" w:customStyle="1" w:styleId="3">
    <w:name w:val="Основной текст (3)_"/>
    <w:basedOn w:val="DefaultParagraphFont"/>
    <w:link w:val="30"/>
    <w:rsid w:val="00356124"/>
    <w:rPr>
      <w:b/>
      <w:bCs/>
      <w:sz w:val="28"/>
      <w:szCs w:val="28"/>
      <w:shd w:val="clear" w:color="auto" w:fill="FFFFFF"/>
      <w:lang w:val="ro-RO" w:eastAsia="ro-RO" w:bidi="ro-RO"/>
    </w:rPr>
  </w:style>
  <w:style w:type="paragraph" w:customStyle="1" w:styleId="30">
    <w:name w:val="Основной текст (3)"/>
    <w:basedOn w:val="Normal"/>
    <w:link w:val="3"/>
    <w:rsid w:val="00356124"/>
    <w:pPr>
      <w:widowControl w:val="0"/>
      <w:shd w:val="clear" w:color="auto" w:fill="FFFFFF"/>
      <w:spacing w:before="420" w:after="420" w:line="0" w:lineRule="atLeast"/>
      <w:jc w:val="center"/>
    </w:pPr>
    <w:rPr>
      <w:rFonts w:asciiTheme="minorHAnsi" w:eastAsiaTheme="minorHAnsi" w:hAnsiTheme="minorHAnsi" w:cstheme="minorBidi"/>
      <w:b/>
      <w:bCs/>
      <w:sz w:val="28"/>
      <w:szCs w:val="28"/>
      <w:lang w:val="ro-RO" w:eastAsia="ro-RO" w:bidi="ro-RO"/>
    </w:rPr>
  </w:style>
  <w:style w:type="paragraph" w:styleId="Revision">
    <w:name w:val="Revision"/>
    <w:hidden/>
    <w:uiPriority w:val="99"/>
    <w:semiHidden/>
    <w:rsid w:val="00BE290C"/>
    <w:pPr>
      <w:spacing w:after="0" w:line="240" w:lineRule="auto"/>
    </w:pPr>
    <w:rPr>
      <w:rFonts w:ascii="Times New Roman" w:eastAsia="Times New Roman" w:hAnsi="Times New Roman" w:cs="Times New Roman"/>
      <w:sz w:val="20"/>
      <w:szCs w:val="20"/>
      <w:lang w:val="en-GB" w:eastAsia="ru-RU"/>
    </w:rPr>
  </w:style>
  <w:style w:type="paragraph" w:styleId="BalloonText">
    <w:name w:val="Balloon Text"/>
    <w:basedOn w:val="Normal"/>
    <w:link w:val="BalloonTextChar"/>
    <w:uiPriority w:val="99"/>
    <w:semiHidden/>
    <w:unhideWhenUsed/>
    <w:rsid w:val="00BE290C"/>
    <w:rPr>
      <w:rFonts w:ascii="Tahoma" w:hAnsi="Tahoma" w:cs="Tahoma"/>
      <w:sz w:val="16"/>
      <w:szCs w:val="16"/>
    </w:rPr>
  </w:style>
  <w:style w:type="character" w:customStyle="1" w:styleId="BalloonTextChar">
    <w:name w:val="Balloon Text Char"/>
    <w:basedOn w:val="DefaultParagraphFont"/>
    <w:link w:val="BalloonText"/>
    <w:uiPriority w:val="99"/>
    <w:semiHidden/>
    <w:rsid w:val="00BE290C"/>
    <w:rPr>
      <w:rFonts w:ascii="Tahoma" w:eastAsia="Times New Roman" w:hAnsi="Tahoma" w:cs="Tahoma"/>
      <w:sz w:val="16"/>
      <w:szCs w:val="16"/>
      <w:lang w:val="en-GB" w:eastAsia="ru-RU"/>
    </w:rPr>
  </w:style>
  <w:style w:type="paragraph" w:styleId="NoSpacing">
    <w:name w:val="No Spacing"/>
    <w:uiPriority w:val="1"/>
    <w:qFormat/>
    <w:rsid w:val="00A27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19A99-E7FF-4DBE-AEF2-A4808F55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844</Words>
  <Characters>4813</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Chilaru</dc:creator>
  <cp:keywords/>
  <dc:description/>
  <cp:lastModifiedBy>RePack by Diakov</cp:lastModifiedBy>
  <cp:revision>8</cp:revision>
  <dcterms:created xsi:type="dcterms:W3CDTF">2018-05-11T05:25:00Z</dcterms:created>
  <dcterms:modified xsi:type="dcterms:W3CDTF">2018-05-17T07:17:00Z</dcterms:modified>
</cp:coreProperties>
</file>