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C22362" w:rsidRDefault="005B6A94" w:rsidP="00AE5115">
      <w:pPr>
        <w:spacing w:after="0"/>
        <w:ind w:firstLine="567"/>
        <w:mirrorIndents/>
        <w:jc w:val="center"/>
        <w:rPr>
          <w:rFonts w:ascii="Times New Roman" w:hAnsi="Times New Roman"/>
          <w:b/>
          <w:sz w:val="26"/>
          <w:szCs w:val="26"/>
          <w:lang w:val="ro-MO"/>
        </w:rPr>
      </w:pPr>
      <w:r w:rsidRPr="00C22362">
        <w:rPr>
          <w:rFonts w:ascii="Times New Roman" w:hAnsi="Times New Roman"/>
          <w:b/>
          <w:sz w:val="26"/>
          <w:szCs w:val="26"/>
          <w:lang w:val="ro-MO"/>
        </w:rPr>
        <w:t>NOTĂ INFORMATIVĂ</w:t>
      </w:r>
    </w:p>
    <w:p w:rsidR="005B6A94" w:rsidRPr="00C22362" w:rsidRDefault="005B6A94" w:rsidP="000B7E98">
      <w:pPr>
        <w:spacing w:after="0"/>
        <w:jc w:val="center"/>
        <w:rPr>
          <w:rFonts w:ascii="Times New Roman" w:hAnsi="Times New Roman"/>
          <w:b/>
          <w:sz w:val="26"/>
          <w:szCs w:val="26"/>
          <w:lang w:val="ro-MO"/>
        </w:rPr>
      </w:pPr>
      <w:r w:rsidRPr="00C22362">
        <w:rPr>
          <w:rFonts w:ascii="Times New Roman" w:hAnsi="Times New Roman"/>
          <w:b/>
          <w:i/>
          <w:sz w:val="26"/>
          <w:szCs w:val="26"/>
          <w:lang w:val="ro-MO"/>
        </w:rPr>
        <w:t xml:space="preserve">la proiectul hotărârii Guvernului </w:t>
      </w:r>
      <w:r w:rsidR="009A1BE7" w:rsidRPr="00C22362">
        <w:rPr>
          <w:rFonts w:ascii="Times New Roman" w:hAnsi="Times New Roman"/>
          <w:b/>
          <w:sz w:val="26"/>
          <w:szCs w:val="26"/>
          <w:lang w:val="ro-MO"/>
        </w:rPr>
        <w:t>„Cu privire la modificarea și comp</w:t>
      </w:r>
      <w:r w:rsidR="00F42957" w:rsidRPr="00C22362">
        <w:rPr>
          <w:rFonts w:ascii="Times New Roman" w:hAnsi="Times New Roman"/>
          <w:b/>
          <w:sz w:val="26"/>
          <w:szCs w:val="26"/>
          <w:lang w:val="ro-MO"/>
        </w:rPr>
        <w:t xml:space="preserve">letarea unor </w:t>
      </w:r>
      <w:proofErr w:type="spellStart"/>
      <w:r w:rsidR="00F42957" w:rsidRPr="00C22362">
        <w:rPr>
          <w:rFonts w:ascii="Times New Roman" w:hAnsi="Times New Roman"/>
          <w:b/>
          <w:sz w:val="26"/>
          <w:szCs w:val="26"/>
          <w:lang w:val="ro-MO"/>
        </w:rPr>
        <w:t>hotărîri</w:t>
      </w:r>
      <w:proofErr w:type="spellEnd"/>
      <w:r w:rsidR="00F42957" w:rsidRPr="00C22362">
        <w:rPr>
          <w:rFonts w:ascii="Times New Roman" w:hAnsi="Times New Roman"/>
          <w:b/>
          <w:sz w:val="26"/>
          <w:szCs w:val="26"/>
          <w:lang w:val="ro-MO"/>
        </w:rPr>
        <w:t xml:space="preserve"> de Guvern</w:t>
      </w:r>
      <w:r w:rsidR="009A1BE7" w:rsidRPr="00C22362">
        <w:rPr>
          <w:rFonts w:ascii="Times New Roman" w:hAnsi="Times New Roman"/>
          <w:b/>
          <w:bCs/>
          <w:sz w:val="26"/>
          <w:szCs w:val="26"/>
          <w:lang w:val="ro-MO"/>
        </w:rPr>
        <w:t>”</w:t>
      </w:r>
    </w:p>
    <w:p w:rsidR="005B6A94" w:rsidRPr="00C22362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6"/>
          <w:szCs w:val="26"/>
          <w:lang w:val="ro-MO"/>
        </w:rPr>
      </w:pPr>
    </w:p>
    <w:tbl>
      <w:tblPr>
        <w:tblW w:w="9729" w:type="dxa"/>
        <w:tblInd w:w="18" w:type="dxa"/>
        <w:tblLook w:val="04A0" w:firstRow="1" w:lastRow="0" w:firstColumn="1" w:lastColumn="0" w:noHBand="0" w:noVBand="1"/>
      </w:tblPr>
      <w:tblGrid>
        <w:gridCol w:w="9729"/>
      </w:tblGrid>
      <w:tr w:rsidR="005B6A94" w:rsidRPr="00D71424" w:rsidTr="00F42957">
        <w:tc>
          <w:tcPr>
            <w:tcW w:w="9729" w:type="dxa"/>
            <w:shd w:val="clear" w:color="auto" w:fill="D9D9D9"/>
          </w:tcPr>
          <w:p w:rsidR="005B6A94" w:rsidRPr="00E72D99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E72D99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D71424" w:rsidTr="00F42957">
        <w:tc>
          <w:tcPr>
            <w:tcW w:w="9729" w:type="dxa"/>
            <w:shd w:val="clear" w:color="auto" w:fill="auto"/>
          </w:tcPr>
          <w:p w:rsidR="00655AF7" w:rsidRPr="00C22362" w:rsidRDefault="00655AF7" w:rsidP="00655AF7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Reforma administrației publice este un obiectiv prioritar asumat de Guvern în Programul de activitate pe anii 2016-2018.</w:t>
            </w:r>
          </w:p>
          <w:p w:rsidR="00655AF7" w:rsidRPr="00C22362" w:rsidRDefault="00655AF7" w:rsidP="00655AF7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acest context, Guvernul a restructurat </w:t>
            </w:r>
            <w:r w:rsidR="002778FD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Cancelaria de Stat</w:t>
            </w:r>
            <w:r w:rsidR="00320CAD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 în conformitate cu</w:t>
            </w:r>
            <w:r w:rsidR="00320CAD" w:rsidRPr="00C22362">
              <w:rPr>
                <w:sz w:val="26"/>
                <w:szCs w:val="26"/>
                <w:lang w:val="ro-MO"/>
              </w:rPr>
              <w:t xml:space="preserve"> </w:t>
            </w:r>
            <w:r w:rsidR="00320CAD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recomandările UE/SIGMA privind rolul “Centrului Guvernului”</w:t>
            </w:r>
            <w:r w:rsidR="005A14D5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. Ulterior, </w:t>
            </w:r>
            <w:r w:rsidR="00083896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Guvernul </w:t>
            </w:r>
            <w:r w:rsidR="005A14D5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 restructurat</w:t>
            </w:r>
            <w:r w:rsidR="00320CAD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administrația publică centrală de specialitate și a deter</w:t>
            </w:r>
            <w:r w:rsidR="00E57D6E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minat domeniile de activitate ale </w:t>
            </w:r>
            <w:r w:rsidR="00083896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ministerelor</w:t>
            </w:r>
            <w:r w:rsidR="00E57D6E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prin aprobarea regulamentelor de organizare și funcționare</w:t>
            </w:r>
            <w:r w:rsidR="00083896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 acestora</w:t>
            </w: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</w:p>
          <w:p w:rsidR="00F42957" w:rsidRPr="00C22362" w:rsidRDefault="00F42957" w:rsidP="0001151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Proiectul de </w:t>
            </w:r>
            <w:proofErr w:type="spellStart"/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hotărîre</w:t>
            </w:r>
            <w:proofErr w:type="spellEnd"/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426558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vine cu anumite concretizări a domeniilor de politici care sunt </w:t>
            </w:r>
            <w:r w:rsidR="004E661E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aria de </w:t>
            </w:r>
            <w:r w:rsidR="00EC63C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responsabilitate</w:t>
            </w:r>
            <w:r w:rsidR="004E661E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 Cancelariei de Stat, Ministerului Justiției și Ministerului Afacerilor Interne. </w:t>
            </w:r>
            <w:r w:rsidR="00EC63C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</w:t>
            </w:r>
            <w:r w:rsidR="00A16E05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acest </w:t>
            </w:r>
            <w:r w:rsidR="00AC007E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sens</w:t>
            </w:r>
            <w:r w:rsidR="00A16E05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</w:t>
            </w:r>
            <w:r w:rsidR="00426558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EC63C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se propun</w:t>
            </w: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mo</w:t>
            </w:r>
            <w:r w:rsidR="001A58B6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dificări la:</w:t>
            </w:r>
          </w:p>
          <w:p w:rsidR="001A58B6" w:rsidRPr="00C22362" w:rsidRDefault="001A58B6" w:rsidP="001A58B6">
            <w:pPr>
              <w:pStyle w:val="NoSpacing"/>
              <w:numPr>
                <w:ilvl w:val="0"/>
                <w:numId w:val="5"/>
              </w:numPr>
              <w:ind w:left="0"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proofErr w:type="spellStart"/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Hotărîrea</w:t>
            </w:r>
            <w:proofErr w:type="spellEnd"/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Guvernului nr.657 din 6 noiembrie 2009 “Pentru aprobarea Regulamentului privind organizarea şi funcţionarea, structurii şi efectivului-limită ale Cancelariei de Stat”</w:t>
            </w:r>
            <w:r w:rsidR="00145C22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. </w:t>
            </w:r>
            <w:r w:rsidR="00AC007E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Astfel, s</w:t>
            </w:r>
            <w:r w:rsidR="00145C22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e propune </w:t>
            </w: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completarea </w:t>
            </w:r>
            <w:r w:rsidR="00F304E2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pct.7 anexa nr.1</w:t>
            </w:r>
            <w:r w:rsidR="00145C22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cu prevederi de concretizare a </w:t>
            </w: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atribuți</w:t>
            </w:r>
            <w:r w:rsidR="00145C22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ei</w:t>
            </w:r>
            <w:r w:rsidR="00F304E2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F71478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Cancelariei de Stat</w:t>
            </w:r>
            <w:r w:rsidR="00F304E2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3F1374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în domeniul</w:t>
            </w:r>
            <w:r w:rsidR="00F304E2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: ,,</w:t>
            </w:r>
            <w:r w:rsidR="00F304E2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a</w:t>
            </w:r>
            <w:r w:rsidR="003F1374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sigurăr</w:t>
            </w:r>
            <w:bookmarkStart w:id="0" w:name="_GoBack"/>
            <w:bookmarkEnd w:id="0"/>
            <w:r w:rsidR="003F1374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ii</w:t>
            </w:r>
            <w:r w:rsidR="00F304E2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promovării și realizării politicii statului în domeniul serviciilor publice”.</w:t>
            </w:r>
            <w:r w:rsidR="00C3662A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</w:p>
          <w:p w:rsidR="00790377" w:rsidRPr="00C22362" w:rsidRDefault="00C3662A" w:rsidP="001D0F05">
            <w:pPr>
              <w:pStyle w:val="NoSpacing"/>
              <w:ind w:firstLine="549"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Necesitatea acestei completări rezultă din </w:t>
            </w:r>
            <w:r w:rsidR="002922FD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prevederile </w:t>
            </w:r>
            <w:r w:rsidR="00BE6286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Strategiei privind reforma administrației publice pentru anii 2016-2020</w:t>
            </w:r>
            <w:r w:rsidR="00DA7BEC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,</w:t>
            </w:r>
            <w:r w:rsidR="00BE6286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aprobată prin Hotărârea</w:t>
            </w:r>
            <w:r w:rsidR="002922FD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Guvernului nr.</w:t>
            </w:r>
            <w:r w:rsidR="003F1374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911 din 25 iulie 2016 </w:t>
            </w:r>
            <w:r w:rsidR="002D4F14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și</w:t>
            </w:r>
            <w:r w:rsidR="00790377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</w:t>
            </w:r>
            <w:r w:rsidR="00DA7BEC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Planului de acțiuni pe anii 2016-2018 pentru implementarea acestei Strategii, aprobat prin </w:t>
            </w:r>
            <w:r w:rsidR="00790377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Hotărârea Guvernului </w:t>
            </w:r>
            <w:r w:rsidR="002D4F14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n</w:t>
            </w:r>
            <w:r w:rsidR="00B01D0E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r. 1351 din 15 decembrie 2016</w:t>
            </w:r>
            <w:r w:rsidR="00790377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. Unul din domeniile abordate de Strategie este </w:t>
            </w:r>
            <w:r w:rsidR="00790377" w:rsidRPr="00C22362">
              <w:rPr>
                <w:rFonts w:ascii="Times New Roman" w:hAnsi="Times New Roman"/>
                <w:b/>
                <w:i/>
                <w:sz w:val="26"/>
                <w:szCs w:val="26"/>
                <w:lang w:val="ro-MO"/>
              </w:rPr>
              <w:t>modernizarea serviciilor publice</w:t>
            </w:r>
            <w:r w:rsidR="00B60BFF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. Iar, potrivit capitolului III </w:t>
            </w:r>
            <w:r w:rsidR="000D5E1A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,,</w:t>
            </w:r>
            <w:r w:rsidR="000D5E1A" w:rsidRPr="00C22362">
              <w:rPr>
                <w:rFonts w:ascii="Times New Roman" w:hAnsi="Times New Roman"/>
                <w:b/>
                <w:i/>
                <w:sz w:val="26"/>
                <w:szCs w:val="26"/>
                <w:lang w:val="ro-MO"/>
              </w:rPr>
              <w:t>Modernizarea serviciilor publice”</w:t>
            </w:r>
            <w:r w:rsidR="000D5E1A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</w:t>
            </w:r>
            <w:r w:rsidR="00B60BFF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din Planul de acțiuni pentru implementarea Strategiei, Cancelaria de Stat </w:t>
            </w:r>
            <w:r w:rsidR="001D0F05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</w:t>
            </w:r>
            <w:r w:rsidR="000D5E1A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este desemnată î</w:t>
            </w:r>
            <w:r w:rsidR="001D0F05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n </w:t>
            </w:r>
            <w:r w:rsidR="000D5E1A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calitate de autoritate responsabilă de acest </w:t>
            </w:r>
            <w:r w:rsidR="003C4DC8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domeniu</w:t>
            </w:r>
            <w:r w:rsidR="00B01D0E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, </w:t>
            </w:r>
            <w:proofErr w:type="spellStart"/>
            <w:r w:rsidR="00C95BFC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avînd</w:t>
            </w:r>
            <w:proofErr w:type="spellEnd"/>
            <w:r w:rsidR="00C95BFC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ca obiectiv d</w:t>
            </w:r>
            <w:r w:rsidR="00B01D0E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ezvoltarea cadrului normativ şi metodologic pentru asigurarea modernizării serviciilor publice, sporirea eficienţei prestării acestora, creşterea accesibilităţii şi implementării standardelor de calitate şi de cost pentru serviciile publice</w:t>
            </w:r>
            <w:r w:rsidR="006D2F70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.</w:t>
            </w:r>
          </w:p>
          <w:p w:rsidR="00336380" w:rsidRPr="00C22362" w:rsidRDefault="00336380" w:rsidP="00336380">
            <w:pPr>
              <w:pStyle w:val="NoSpacing"/>
              <w:ind w:left="549"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</w:p>
          <w:p w:rsidR="00597D46" w:rsidRPr="00C22362" w:rsidRDefault="00336380" w:rsidP="00336380">
            <w:pPr>
              <w:pStyle w:val="NoSpacing"/>
              <w:numPr>
                <w:ilvl w:val="0"/>
                <w:numId w:val="5"/>
              </w:numPr>
              <w:ind w:left="0" w:firstLine="549"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proofErr w:type="spellStart"/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Hotărîrea</w:t>
            </w:r>
            <w:proofErr w:type="spellEnd"/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Guvernului nr.693 din 30 august 2017 “Cu privire la organizarea şi funcţionarea Ministerului Afacerilor Interne”</w:t>
            </w:r>
            <w:r w:rsidR="00145C22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</w:p>
          <w:p w:rsidR="004C5CA7" w:rsidRPr="00C22362" w:rsidRDefault="00340DC3" w:rsidP="004C5CA7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</w:t>
            </w:r>
            <w:r w:rsidR="00F746E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otrivit </w:t>
            </w: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pct.6, subpct.7) din </w:t>
            </w:r>
            <w:r w:rsidR="00F746E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Regulamentul</w:t>
            </w: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F746E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cu privire la organizarea și funcționarea Ministerului Afaceri</w:t>
            </w:r>
            <w:r w:rsidR="00A55156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lor Interne, aprobat prin Hotărâ</w:t>
            </w:r>
            <w:r w:rsidR="00F746E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rea Guvernului nr.693/2017, acest minister asigură </w:t>
            </w:r>
            <w:r w:rsidR="00237DED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elaborarea și </w:t>
            </w:r>
            <w:r w:rsidR="00F746E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realizarea politicii guvernamentale în domeniul </w:t>
            </w:r>
            <w:r w:rsidRPr="00C22362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MO"/>
              </w:rPr>
              <w:t>evidenței populației și cetățeniei</w:t>
            </w:r>
            <w:r w:rsidR="0080440B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.  </w:t>
            </w:r>
          </w:p>
          <w:p w:rsidR="004C5CA7" w:rsidRPr="00C22362" w:rsidRDefault="00DE286F" w:rsidP="004C5CA7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În procesul delimitării clare a domeniilor de politici între ministere, s</w:t>
            </w:r>
            <w:r w:rsidR="004C5CA7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-a constatat insuficiența reglementării în cadrul normativ de organizare și funcționare a ministerelor, a atribuirii elaborării și promovării politicii de stat în domeniul  </w:t>
            </w:r>
            <w:r w:rsidR="004C5CA7" w:rsidRPr="00C22362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evidenţei vehiculelor</w:t>
            </w:r>
            <w:r w:rsidR="004531C6" w:rsidRPr="00C22362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 xml:space="preserve"> și </w:t>
            </w:r>
            <w:r w:rsidR="004C5CA7" w:rsidRPr="00C22362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conducătorilor de vehicule</w:t>
            </w:r>
            <w:r w:rsidR="004C5CA7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. </w:t>
            </w:r>
          </w:p>
          <w:p w:rsidR="00AE5115" w:rsidRPr="00C22362" w:rsidRDefault="002F59E9" w:rsidP="00AE5115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ro-MO"/>
              </w:rPr>
            </w:pP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Este </w:t>
            </w:r>
            <w:r w:rsidR="00CB456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de remarcat că, </w:t>
            </w:r>
            <w:r w:rsidR="00AE5115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Ministerul Economiei și Infrastructurii </w:t>
            </w:r>
            <w:r w:rsidR="00813B92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este</w:t>
            </w:r>
            <w:r w:rsidR="00047936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succesor</w:t>
            </w:r>
            <w:r w:rsidR="00AE5115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drepturi și obligații al Ministerului Tehnologiei Informaţiei şi Comunicaţiilor, </w:t>
            </w:r>
            <w:r w:rsidR="00813B92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</w:t>
            </w:r>
            <w:r w:rsidR="00AE5115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</w:t>
            </w:r>
            <w:r w:rsidR="00047936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</w:t>
            </w:r>
            <w:r w:rsidR="00AE5115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813B92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avea în</w:t>
            </w:r>
            <w:r w:rsidR="00AE5115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competență - elaborarea şi coordonarea implementării politicilor în domeniile </w:t>
            </w:r>
            <w:r w:rsidR="00AE5115" w:rsidRPr="00C22362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evidenţa și documentarea populației, înmatricularea şi evidenţa vehiculelor, evidenţa conducătorilor de vehicule</w:t>
            </w:r>
            <w:r w:rsidR="00AE5115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. </w:t>
            </w:r>
          </w:p>
          <w:p w:rsidR="00FA4D21" w:rsidRPr="00C22362" w:rsidRDefault="00F2525D" w:rsidP="00FA4D21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Prin urmare, î</w:t>
            </w:r>
            <w:r w:rsidR="006562C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n scopul evitării dispersării acestor domenii de politici între mai multe </w:t>
            </w:r>
            <w:r w:rsidR="006562C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lastRenderedPageBreak/>
              <w:t>ministere, ț</w:t>
            </w:r>
            <w:r w:rsidR="00861AC6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inâ</w:t>
            </w:r>
            <w:r w:rsidR="006562C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nd cont că aceste domenii erau atribuite Ministerului Tehnologiei Informaţiei şi Comunicaţiilor, considerăm necesar de menținut opțiunea de consolidare a acestor domenii de politici în sfera de competență a unui minister, și anume a Ministerului Afacerilor Interne, pornind de la faptul că politica în domeniul </w:t>
            </w:r>
            <w:r w:rsidR="006562C1" w:rsidRPr="00C22362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evidenței populației</w:t>
            </w:r>
            <w:r w:rsidR="006562C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deja este atribuită în sfera de competență a acestuia.</w:t>
            </w:r>
            <w:r w:rsidR="00FA4D2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</w:p>
          <w:p w:rsidR="00FA4D21" w:rsidRPr="00C22362" w:rsidRDefault="00FA4D21" w:rsidP="00FA4D21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Prin proiectul hotărârii Guvernului se propune modificarea Regulamentului cu privire la organizarea și funcționarea Ministerului Afacerilor Interne, prin completarea domeniilor de activitate a acestui minister cu politicile în sfera </w:t>
            </w:r>
            <w:r w:rsidRPr="00C22362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evidenţei vehiculelor și a conducătorilor de vehicule</w:t>
            </w: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</w:p>
          <w:p w:rsidR="006A26C8" w:rsidRPr="00C22362" w:rsidRDefault="006A26C8" w:rsidP="00FA4D21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</w:p>
          <w:p w:rsidR="006562C1" w:rsidRPr="00C22362" w:rsidRDefault="00485BCC" w:rsidP="00485BCC">
            <w:pPr>
              <w:pStyle w:val="NoSpacing"/>
              <w:numPr>
                <w:ilvl w:val="0"/>
                <w:numId w:val="5"/>
              </w:numPr>
              <w:ind w:left="0"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proofErr w:type="spellStart"/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Hotărîrea</w:t>
            </w:r>
            <w:proofErr w:type="spellEnd"/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Guvernului nr.698 din 30 august 2017 “Cu privire la organizarea şi funcţionarea Ministerului Justiției”</w:t>
            </w:r>
            <w:r w:rsidR="006A26C8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</w:t>
            </w:r>
          </w:p>
          <w:p w:rsidR="00681871" w:rsidRPr="00C22362" w:rsidRDefault="008E5C62" w:rsidP="005B4267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Se </w:t>
            </w:r>
            <w:r w:rsidR="004D7275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propune completarea punctul 6 din anexa nr.1 la </w:t>
            </w:r>
            <w:proofErr w:type="spellStart"/>
            <w:r w:rsidR="004D7275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Hotărîrea</w:t>
            </w:r>
            <w:proofErr w:type="spellEnd"/>
            <w:r w:rsidR="004D7275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Guvernului nr.698/2017 cu </w:t>
            </w:r>
            <w:r w:rsidR="006F5FAB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prevederi de concretizare a domeniilor de competență a ministerului și anume: </w:t>
            </w:r>
            <w:r w:rsidR="0027359B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înregistrarea de stat a persoanelor juridice şi a întreprinzătorilor individuali;</w:t>
            </w:r>
            <w:r w:rsidR="0027359B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27359B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activitatea organizaţiilor necomerciale; actele de stare civilă; expertiza judiciară</w:t>
            </w:r>
            <w:r w:rsidR="00F5519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;</w:t>
            </w:r>
            <w:r w:rsidR="00F55197" w:rsidRPr="00BB4416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r w:rsidR="00F55197" w:rsidRPr="00F551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anticorupție și integritate</w:t>
            </w:r>
            <w:r w:rsidR="0027359B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. Aceste </w:t>
            </w:r>
            <w:r w:rsidR="00130D18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concretizări rez</w:t>
            </w:r>
            <w:r w:rsidR="0027359B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i</w:t>
            </w:r>
            <w:r w:rsidR="00130D18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dă din necesitatea clarificării autorității responsabile de elaborarea politicilor</w:t>
            </w:r>
            <w:r w:rsidR="0068187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stat în domeniile enunțate. Mai mult ca </w:t>
            </w:r>
            <w:proofErr w:type="spellStart"/>
            <w:r w:rsidR="0068187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atît</w:t>
            </w:r>
            <w:proofErr w:type="spellEnd"/>
            <w:r w:rsidR="0068187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ministerul era responsabil de aceste domenii de competență și </w:t>
            </w:r>
            <w:proofErr w:type="spellStart"/>
            <w:r w:rsidR="0068187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pînă</w:t>
            </w:r>
            <w:proofErr w:type="spellEnd"/>
            <w:r w:rsidR="00681871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la restructurarea ministerelor.</w:t>
            </w:r>
          </w:p>
          <w:p w:rsidR="00F066F5" w:rsidRPr="00C22362" w:rsidRDefault="00681871" w:rsidP="006F5FAB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</w:pPr>
            <w:r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Suplimentar evocăm că, d</w:t>
            </w:r>
            <w:r w:rsidR="00546C39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eși cadrul normativ a fost amendat odată cu </w:t>
            </w:r>
            <w:r w:rsidR="00197973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constituirea Agenției Servicii Publice care a absorbit </w:t>
            </w:r>
            <w:r w:rsidR="00197973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Întreprinderea de Stat “Camera Înregistrării de Stat”</w:t>
            </w:r>
            <w:r w:rsidR="004B3126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și Serviciul Stare Civilă </w:t>
            </w:r>
            <w:r w:rsidR="00C44748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-</w:t>
            </w:r>
            <w:r w:rsidR="004B3126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structuri organizaționale care erau în</w:t>
            </w:r>
            <w:r w:rsidR="00197973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subordinea Ministerului Justiţiei</w:t>
            </w:r>
            <w:r w:rsidR="004B3126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, </w:t>
            </w:r>
            <w:r w:rsidR="00C44748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acest fapt nu a presupus excluderea </w:t>
            </w:r>
            <w:r w:rsidR="00675CA5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competenței </w:t>
            </w:r>
            <w:r w:rsidR="00A7024E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ministerului </w:t>
            </w:r>
            <w:r w:rsidR="00675CA5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de elaborare a politicilor în domeniile </w:t>
            </w:r>
            <w:r w:rsidR="00A7024E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enunțate</w:t>
            </w:r>
            <w:r w:rsidR="006A6CD8" w:rsidRPr="00C2236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. </w:t>
            </w:r>
          </w:p>
        </w:tc>
      </w:tr>
      <w:tr w:rsidR="005B6A94" w:rsidRPr="00E72D99" w:rsidTr="00F42957">
        <w:tc>
          <w:tcPr>
            <w:tcW w:w="9729" w:type="dxa"/>
            <w:shd w:val="clear" w:color="auto" w:fill="D9D9D9"/>
          </w:tcPr>
          <w:p w:rsidR="005B6A94" w:rsidRPr="00E72D99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E72D99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>Fundamentarea economico-financiară</w:t>
            </w:r>
          </w:p>
        </w:tc>
      </w:tr>
      <w:tr w:rsidR="00A82402" w:rsidRPr="00D71424" w:rsidTr="00F42957">
        <w:tc>
          <w:tcPr>
            <w:tcW w:w="9729" w:type="dxa"/>
            <w:shd w:val="clear" w:color="auto" w:fill="auto"/>
          </w:tcPr>
          <w:p w:rsidR="005B6A94" w:rsidRPr="00C22362" w:rsidRDefault="00080699" w:rsidP="00B01466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Din considerentul </w:t>
            </w:r>
            <w:r w:rsidR="00484926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că prin proiect se propune</w:t>
            </w:r>
            <w:r w:rsidR="007D3196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atribuirea </w:t>
            </w:r>
            <w:r w:rsidR="001E055D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suplimentară a </w:t>
            </w:r>
            <w:r w:rsidR="007D3196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domeniul</w:t>
            </w:r>
            <w:r w:rsidR="00B01466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ui</w:t>
            </w:r>
            <w:r w:rsidR="007D3196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 </w:t>
            </w:r>
            <w:r w:rsidR="007D3196" w:rsidRPr="00C22362">
              <w:rPr>
                <w:rFonts w:ascii="Times New Roman" w:hAnsi="Times New Roman" w:cs="Times New Roman"/>
                <w:i/>
                <w:sz w:val="26"/>
                <w:szCs w:val="26"/>
                <w:lang w:val="ro-MO"/>
              </w:rPr>
              <w:t>evidenţei vehiculelor și conducătorilor de vehicule</w:t>
            </w:r>
            <w:r w:rsidR="007D3196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în sfera de competență a MAI</w:t>
            </w:r>
            <w:r w:rsidR="001E055D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acest </w:t>
            </w:r>
            <w:r w:rsidR="007D3196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1E055D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fapt presupune necesitatea fortificării resurselor și capacităților acestui minister. În acest context, se propune majorarea efectivului –limită cu două unități de personal.</w:t>
            </w:r>
            <w:r w:rsidR="00827A6D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Astfel, în scopul i</w:t>
            </w:r>
            <w:r w:rsidR="005B6A94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mplement</w:t>
            </w:r>
            <w:r w:rsidR="00827A6D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ării</w:t>
            </w:r>
            <w:r w:rsidR="005B6A94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prevederilor proiectului </w:t>
            </w:r>
            <w:r w:rsidR="00707CC9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v</w:t>
            </w:r>
            <w:r w:rsidR="00827A6D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or fi</w:t>
            </w:r>
            <w:r w:rsidR="00707CC9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neces</w:t>
            </w:r>
            <w:r w:rsidR="00827A6D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are</w:t>
            </w:r>
            <w:r w:rsidR="005B6A94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cheltuieli financiare suplimentare </w:t>
            </w:r>
            <w:r w:rsidR="00A82402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din bugetul de stat</w:t>
            </w:r>
            <w:r w:rsidR="00707CC9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</w:t>
            </w:r>
            <w:r w:rsidR="00FB082C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pentru anul 2018 </w:t>
            </w:r>
            <w:r w:rsidR="00707CC9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de circa 250 mii lei, </w:t>
            </w:r>
            <w:proofErr w:type="spellStart"/>
            <w:r w:rsidR="00707CC9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avînd</w:t>
            </w:r>
            <w:proofErr w:type="spellEnd"/>
            <w:r w:rsidR="00707CC9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 în vedere creșterea </w:t>
            </w:r>
            <w:r w:rsidR="004B741E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efectivului de </w:t>
            </w:r>
            <w:r w:rsidR="000E19E1" w:rsidRPr="00C22362">
              <w:rPr>
                <w:rFonts w:ascii="Times New Roman" w:hAnsi="Times New Roman"/>
                <w:sz w:val="26"/>
                <w:szCs w:val="26"/>
                <w:lang w:val="ro-MO"/>
              </w:rPr>
              <w:t xml:space="preserve">personal și schimbarea statutului subdiviziunii structurale a </w:t>
            </w:r>
            <w:r w:rsidR="00827A6D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MAI</w:t>
            </w:r>
            <w:r w:rsidR="005B6A94" w:rsidRPr="00C22362">
              <w:rPr>
                <w:rFonts w:ascii="Times New Roman" w:hAnsi="Times New Roman"/>
                <w:sz w:val="26"/>
                <w:szCs w:val="26"/>
                <w:lang w:val="ro-MO"/>
              </w:rPr>
              <w:t>.</w:t>
            </w:r>
            <w:r w:rsidR="000C5984" w:rsidRPr="00C2236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</w:p>
        </w:tc>
      </w:tr>
    </w:tbl>
    <w:p w:rsidR="005B6A94" w:rsidRPr="00E72D99" w:rsidRDefault="005B6A94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FB12DF" w:rsidRPr="00E72D99" w:rsidRDefault="00FB12DF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F25829" w:rsidRPr="00C22362" w:rsidRDefault="00F25829" w:rsidP="00F25829">
      <w:pPr>
        <w:pStyle w:val="NoSpacing"/>
        <w:rPr>
          <w:rFonts w:ascii="Times New Roman" w:hAnsi="Times New Roman" w:cs="Times New Roman"/>
          <w:sz w:val="26"/>
          <w:szCs w:val="26"/>
          <w:lang w:val="ro-MO"/>
        </w:rPr>
      </w:pPr>
      <w:r w:rsidRPr="00E72D99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C22362">
        <w:rPr>
          <w:rFonts w:ascii="Times New Roman" w:hAnsi="Times New Roman" w:cs="Times New Roman"/>
          <w:sz w:val="26"/>
          <w:szCs w:val="26"/>
          <w:lang w:val="ro-MO"/>
        </w:rPr>
        <w:t>Director                                                                                      Iurie CIOCAN</w:t>
      </w:r>
    </w:p>
    <w:p w:rsidR="00F25829" w:rsidRPr="00C22362" w:rsidRDefault="00F25829" w:rsidP="00F2582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C22362">
        <w:rPr>
          <w:rFonts w:ascii="Times New Roman" w:hAnsi="Times New Roman" w:cs="Times New Roman"/>
          <w:sz w:val="26"/>
          <w:szCs w:val="26"/>
          <w:lang w:val="ro-MO"/>
        </w:rPr>
        <w:t xml:space="preserve">al Centrului de Implementare a  Reformelor                                      </w:t>
      </w:r>
    </w:p>
    <w:p w:rsidR="00FB12DF" w:rsidRPr="00E72D99" w:rsidRDefault="00FB12DF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CA4ECF" w:rsidRPr="00E72D99" w:rsidRDefault="00CA4ECF" w:rsidP="005D3BEB">
      <w:pPr>
        <w:pStyle w:val="NoSpacing"/>
        <w:rPr>
          <w:rFonts w:ascii="Times New Roman" w:hAnsi="Times New Roman" w:cs="Times New Roman"/>
          <w:sz w:val="28"/>
          <w:szCs w:val="28"/>
          <w:lang w:val="ro-MO"/>
        </w:rPr>
      </w:pPr>
      <w:r w:rsidRPr="00E72D99">
        <w:rPr>
          <w:rFonts w:ascii="Times New Roman" w:hAnsi="Times New Roman" w:cs="Times New Roman"/>
          <w:sz w:val="28"/>
          <w:szCs w:val="28"/>
          <w:lang w:val="ro-MO"/>
        </w:rPr>
        <w:tab/>
        <w:t xml:space="preserve"> </w:t>
      </w:r>
    </w:p>
    <w:p w:rsidR="00F67792" w:rsidRPr="00E72D99" w:rsidRDefault="005B6A94" w:rsidP="00A96FDA">
      <w:pPr>
        <w:pStyle w:val="NoSpacing"/>
        <w:jc w:val="both"/>
        <w:rPr>
          <w:sz w:val="28"/>
          <w:szCs w:val="28"/>
          <w:lang w:val="ro-MO"/>
        </w:rPr>
      </w:pPr>
      <w:r w:rsidRPr="00E72D99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E72D99">
        <w:rPr>
          <w:rFonts w:ascii="Times New Roman" w:hAnsi="Times New Roman" w:cs="Times New Roman"/>
          <w:sz w:val="28"/>
          <w:szCs w:val="28"/>
          <w:lang w:val="ro-MO"/>
        </w:rPr>
        <w:tab/>
      </w:r>
    </w:p>
    <w:sectPr w:rsidR="00F67792" w:rsidRPr="00E72D99" w:rsidSect="00F066F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6215A2"/>
    <w:multiLevelType w:val="hybridMultilevel"/>
    <w:tmpl w:val="A8B22882"/>
    <w:lvl w:ilvl="0" w:tplc="4B8CAADE">
      <w:start w:val="1"/>
      <w:numFmt w:val="lowerLetter"/>
      <w:lvlText w:val="%1)"/>
      <w:lvlJc w:val="left"/>
      <w:pPr>
        <w:ind w:left="9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2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322C0"/>
    <w:multiLevelType w:val="hybridMultilevel"/>
    <w:tmpl w:val="0830622E"/>
    <w:lvl w:ilvl="0" w:tplc="2C10E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E33D87"/>
    <w:multiLevelType w:val="hybridMultilevel"/>
    <w:tmpl w:val="CC2E950A"/>
    <w:lvl w:ilvl="0" w:tplc="7486D97A">
      <w:start w:val="1"/>
      <w:numFmt w:val="decimal"/>
      <w:lvlText w:val="%1."/>
      <w:lvlJc w:val="left"/>
      <w:pPr>
        <w:ind w:left="9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464C"/>
    <w:rsid w:val="0000757E"/>
    <w:rsid w:val="0001151C"/>
    <w:rsid w:val="00020B8F"/>
    <w:rsid w:val="00024362"/>
    <w:rsid w:val="00036C50"/>
    <w:rsid w:val="00036DDF"/>
    <w:rsid w:val="00040179"/>
    <w:rsid w:val="00045438"/>
    <w:rsid w:val="00047936"/>
    <w:rsid w:val="00047B2F"/>
    <w:rsid w:val="00056C49"/>
    <w:rsid w:val="00071442"/>
    <w:rsid w:val="00071F39"/>
    <w:rsid w:val="00080699"/>
    <w:rsid w:val="00083896"/>
    <w:rsid w:val="00092D5F"/>
    <w:rsid w:val="000B7E98"/>
    <w:rsid w:val="000C5984"/>
    <w:rsid w:val="000D118A"/>
    <w:rsid w:val="000D2111"/>
    <w:rsid w:val="000D5E1A"/>
    <w:rsid w:val="000E19E1"/>
    <w:rsid w:val="001059CB"/>
    <w:rsid w:val="00106395"/>
    <w:rsid w:val="001111AC"/>
    <w:rsid w:val="00130D18"/>
    <w:rsid w:val="00133D52"/>
    <w:rsid w:val="00133E06"/>
    <w:rsid w:val="00142304"/>
    <w:rsid w:val="00145C22"/>
    <w:rsid w:val="00147B1C"/>
    <w:rsid w:val="0017722D"/>
    <w:rsid w:val="00185BD7"/>
    <w:rsid w:val="00193943"/>
    <w:rsid w:val="00197973"/>
    <w:rsid w:val="001A58B6"/>
    <w:rsid w:val="001B2095"/>
    <w:rsid w:val="001C721B"/>
    <w:rsid w:val="001D0F05"/>
    <w:rsid w:val="001D746A"/>
    <w:rsid w:val="001E055D"/>
    <w:rsid w:val="001E362B"/>
    <w:rsid w:val="001E591D"/>
    <w:rsid w:val="001F08F2"/>
    <w:rsid w:val="0020762E"/>
    <w:rsid w:val="002230B2"/>
    <w:rsid w:val="00235CFF"/>
    <w:rsid w:val="00237DED"/>
    <w:rsid w:val="00250952"/>
    <w:rsid w:val="00251C46"/>
    <w:rsid w:val="0027359B"/>
    <w:rsid w:val="002778FD"/>
    <w:rsid w:val="00281139"/>
    <w:rsid w:val="00281E75"/>
    <w:rsid w:val="002922FD"/>
    <w:rsid w:val="002A7F68"/>
    <w:rsid w:val="002B0971"/>
    <w:rsid w:val="002C0A44"/>
    <w:rsid w:val="002D43A4"/>
    <w:rsid w:val="002D4F14"/>
    <w:rsid w:val="002E0E6C"/>
    <w:rsid w:val="002F59E9"/>
    <w:rsid w:val="00303830"/>
    <w:rsid w:val="00320CAD"/>
    <w:rsid w:val="00323427"/>
    <w:rsid w:val="00332CDE"/>
    <w:rsid w:val="0033476F"/>
    <w:rsid w:val="00336086"/>
    <w:rsid w:val="00336380"/>
    <w:rsid w:val="00337804"/>
    <w:rsid w:val="00340DC3"/>
    <w:rsid w:val="00344B5D"/>
    <w:rsid w:val="00344BE2"/>
    <w:rsid w:val="0035504B"/>
    <w:rsid w:val="00363AB5"/>
    <w:rsid w:val="00366FD7"/>
    <w:rsid w:val="00371499"/>
    <w:rsid w:val="00392233"/>
    <w:rsid w:val="00394FAC"/>
    <w:rsid w:val="003A4D14"/>
    <w:rsid w:val="003B0927"/>
    <w:rsid w:val="003B741B"/>
    <w:rsid w:val="003C4DC8"/>
    <w:rsid w:val="003D7C72"/>
    <w:rsid w:val="003E0A6E"/>
    <w:rsid w:val="003E682F"/>
    <w:rsid w:val="003E686D"/>
    <w:rsid w:val="003F1374"/>
    <w:rsid w:val="003F3301"/>
    <w:rsid w:val="003F4981"/>
    <w:rsid w:val="0040256E"/>
    <w:rsid w:val="00417B12"/>
    <w:rsid w:val="00426558"/>
    <w:rsid w:val="00445580"/>
    <w:rsid w:val="004531C6"/>
    <w:rsid w:val="00461087"/>
    <w:rsid w:val="00481193"/>
    <w:rsid w:val="00484926"/>
    <w:rsid w:val="00485BCC"/>
    <w:rsid w:val="00487747"/>
    <w:rsid w:val="0049661F"/>
    <w:rsid w:val="004A7C7E"/>
    <w:rsid w:val="004B3126"/>
    <w:rsid w:val="004B3E21"/>
    <w:rsid w:val="004B741E"/>
    <w:rsid w:val="004C5CA7"/>
    <w:rsid w:val="004D7275"/>
    <w:rsid w:val="004E661E"/>
    <w:rsid w:val="004E68C5"/>
    <w:rsid w:val="004F1A73"/>
    <w:rsid w:val="004F4094"/>
    <w:rsid w:val="004F6607"/>
    <w:rsid w:val="005141E3"/>
    <w:rsid w:val="005171ED"/>
    <w:rsid w:val="0052386C"/>
    <w:rsid w:val="005247A9"/>
    <w:rsid w:val="005340F2"/>
    <w:rsid w:val="005342CE"/>
    <w:rsid w:val="00537706"/>
    <w:rsid w:val="005430DA"/>
    <w:rsid w:val="00546C39"/>
    <w:rsid w:val="0056337A"/>
    <w:rsid w:val="0058409C"/>
    <w:rsid w:val="005862BC"/>
    <w:rsid w:val="00597D46"/>
    <w:rsid w:val="005A14D5"/>
    <w:rsid w:val="005A59AB"/>
    <w:rsid w:val="005B4267"/>
    <w:rsid w:val="005B6A94"/>
    <w:rsid w:val="005C1D73"/>
    <w:rsid w:val="005C433D"/>
    <w:rsid w:val="005C55E0"/>
    <w:rsid w:val="005C7297"/>
    <w:rsid w:val="005D0544"/>
    <w:rsid w:val="005D3BEB"/>
    <w:rsid w:val="005E3BBB"/>
    <w:rsid w:val="005E4126"/>
    <w:rsid w:val="005F263C"/>
    <w:rsid w:val="005F2DD3"/>
    <w:rsid w:val="00600798"/>
    <w:rsid w:val="00617FC6"/>
    <w:rsid w:val="00624F20"/>
    <w:rsid w:val="006251D4"/>
    <w:rsid w:val="0063059D"/>
    <w:rsid w:val="006355B3"/>
    <w:rsid w:val="006526D0"/>
    <w:rsid w:val="006527B3"/>
    <w:rsid w:val="00655AF7"/>
    <w:rsid w:val="006562C1"/>
    <w:rsid w:val="006627C5"/>
    <w:rsid w:val="00675CA5"/>
    <w:rsid w:val="00680BB7"/>
    <w:rsid w:val="00681871"/>
    <w:rsid w:val="006A114D"/>
    <w:rsid w:val="006A26C8"/>
    <w:rsid w:val="006A4BE0"/>
    <w:rsid w:val="006A6CD8"/>
    <w:rsid w:val="006B333B"/>
    <w:rsid w:val="006B7E6B"/>
    <w:rsid w:val="006C27F1"/>
    <w:rsid w:val="006D2F70"/>
    <w:rsid w:val="006D7330"/>
    <w:rsid w:val="006F5FAB"/>
    <w:rsid w:val="006F6309"/>
    <w:rsid w:val="0070193D"/>
    <w:rsid w:val="00707CC9"/>
    <w:rsid w:val="00716388"/>
    <w:rsid w:val="007206D3"/>
    <w:rsid w:val="0072150B"/>
    <w:rsid w:val="00727903"/>
    <w:rsid w:val="00740FA3"/>
    <w:rsid w:val="00753156"/>
    <w:rsid w:val="007653E2"/>
    <w:rsid w:val="0078230C"/>
    <w:rsid w:val="00790377"/>
    <w:rsid w:val="007B6E7E"/>
    <w:rsid w:val="007C242B"/>
    <w:rsid w:val="007D3196"/>
    <w:rsid w:val="007E68AD"/>
    <w:rsid w:val="007E6ECD"/>
    <w:rsid w:val="008025A4"/>
    <w:rsid w:val="0080440B"/>
    <w:rsid w:val="0080641E"/>
    <w:rsid w:val="00813B92"/>
    <w:rsid w:val="00825A4F"/>
    <w:rsid w:val="00827A6D"/>
    <w:rsid w:val="008452C9"/>
    <w:rsid w:val="0085073D"/>
    <w:rsid w:val="008507F6"/>
    <w:rsid w:val="008509BE"/>
    <w:rsid w:val="00861AC6"/>
    <w:rsid w:val="008703EF"/>
    <w:rsid w:val="008A5565"/>
    <w:rsid w:val="008D76A8"/>
    <w:rsid w:val="008E5C62"/>
    <w:rsid w:val="008F1651"/>
    <w:rsid w:val="008F5CC2"/>
    <w:rsid w:val="008F6B02"/>
    <w:rsid w:val="009219DD"/>
    <w:rsid w:val="00922326"/>
    <w:rsid w:val="00940750"/>
    <w:rsid w:val="00941E99"/>
    <w:rsid w:val="00947575"/>
    <w:rsid w:val="009518EA"/>
    <w:rsid w:val="0096161A"/>
    <w:rsid w:val="009736C4"/>
    <w:rsid w:val="00980FBE"/>
    <w:rsid w:val="00986C63"/>
    <w:rsid w:val="00992E4C"/>
    <w:rsid w:val="00997AB6"/>
    <w:rsid w:val="009A1BE7"/>
    <w:rsid w:val="009A3890"/>
    <w:rsid w:val="009B6B8F"/>
    <w:rsid w:val="009B72AA"/>
    <w:rsid w:val="009E1126"/>
    <w:rsid w:val="00A16E05"/>
    <w:rsid w:val="00A26575"/>
    <w:rsid w:val="00A43848"/>
    <w:rsid w:val="00A55156"/>
    <w:rsid w:val="00A642EB"/>
    <w:rsid w:val="00A65E11"/>
    <w:rsid w:val="00A665B2"/>
    <w:rsid w:val="00A7024E"/>
    <w:rsid w:val="00A767C7"/>
    <w:rsid w:val="00A82402"/>
    <w:rsid w:val="00A84B2F"/>
    <w:rsid w:val="00A864D1"/>
    <w:rsid w:val="00A9028C"/>
    <w:rsid w:val="00A96FDA"/>
    <w:rsid w:val="00AA29B9"/>
    <w:rsid w:val="00AA35DC"/>
    <w:rsid w:val="00AA73C4"/>
    <w:rsid w:val="00AB2245"/>
    <w:rsid w:val="00AB6503"/>
    <w:rsid w:val="00AB71CA"/>
    <w:rsid w:val="00AC007E"/>
    <w:rsid w:val="00AD4C0B"/>
    <w:rsid w:val="00AD7FE1"/>
    <w:rsid w:val="00AE5115"/>
    <w:rsid w:val="00B01466"/>
    <w:rsid w:val="00B01D0E"/>
    <w:rsid w:val="00B101AA"/>
    <w:rsid w:val="00B1207E"/>
    <w:rsid w:val="00B21F76"/>
    <w:rsid w:val="00B526EF"/>
    <w:rsid w:val="00B60BFF"/>
    <w:rsid w:val="00B9527F"/>
    <w:rsid w:val="00B963A2"/>
    <w:rsid w:val="00BC0A05"/>
    <w:rsid w:val="00BD36D5"/>
    <w:rsid w:val="00BE6286"/>
    <w:rsid w:val="00C14EFA"/>
    <w:rsid w:val="00C16CCB"/>
    <w:rsid w:val="00C20F99"/>
    <w:rsid w:val="00C215DD"/>
    <w:rsid w:val="00C22362"/>
    <w:rsid w:val="00C25CE2"/>
    <w:rsid w:val="00C315FE"/>
    <w:rsid w:val="00C36009"/>
    <w:rsid w:val="00C3662A"/>
    <w:rsid w:val="00C4459A"/>
    <w:rsid w:val="00C44748"/>
    <w:rsid w:val="00C85DF9"/>
    <w:rsid w:val="00C95BFC"/>
    <w:rsid w:val="00CA47C0"/>
    <w:rsid w:val="00CA4ECF"/>
    <w:rsid w:val="00CA710D"/>
    <w:rsid w:val="00CA7FB5"/>
    <w:rsid w:val="00CB40AF"/>
    <w:rsid w:val="00CB4561"/>
    <w:rsid w:val="00CB5D92"/>
    <w:rsid w:val="00CC23EE"/>
    <w:rsid w:val="00CC3812"/>
    <w:rsid w:val="00D042FE"/>
    <w:rsid w:val="00D1315C"/>
    <w:rsid w:val="00D27051"/>
    <w:rsid w:val="00D410E2"/>
    <w:rsid w:val="00D43B6A"/>
    <w:rsid w:val="00D64413"/>
    <w:rsid w:val="00D71424"/>
    <w:rsid w:val="00D77366"/>
    <w:rsid w:val="00D80876"/>
    <w:rsid w:val="00D876EA"/>
    <w:rsid w:val="00D92844"/>
    <w:rsid w:val="00DA2FA2"/>
    <w:rsid w:val="00DA6B82"/>
    <w:rsid w:val="00DA7291"/>
    <w:rsid w:val="00DA7BEC"/>
    <w:rsid w:val="00DB7216"/>
    <w:rsid w:val="00DD0923"/>
    <w:rsid w:val="00DE0DDE"/>
    <w:rsid w:val="00DE286F"/>
    <w:rsid w:val="00DF52BD"/>
    <w:rsid w:val="00E04FC4"/>
    <w:rsid w:val="00E16D9F"/>
    <w:rsid w:val="00E316C1"/>
    <w:rsid w:val="00E34950"/>
    <w:rsid w:val="00E57D6E"/>
    <w:rsid w:val="00E611FB"/>
    <w:rsid w:val="00E616BF"/>
    <w:rsid w:val="00E6368F"/>
    <w:rsid w:val="00E72D99"/>
    <w:rsid w:val="00E87BE6"/>
    <w:rsid w:val="00E92F49"/>
    <w:rsid w:val="00E96DA8"/>
    <w:rsid w:val="00EA7866"/>
    <w:rsid w:val="00EB0FA6"/>
    <w:rsid w:val="00EC63C1"/>
    <w:rsid w:val="00EC659B"/>
    <w:rsid w:val="00EC6CDD"/>
    <w:rsid w:val="00EE0A17"/>
    <w:rsid w:val="00EE22C1"/>
    <w:rsid w:val="00F066F5"/>
    <w:rsid w:val="00F109A4"/>
    <w:rsid w:val="00F17D26"/>
    <w:rsid w:val="00F2525D"/>
    <w:rsid w:val="00F25829"/>
    <w:rsid w:val="00F26B34"/>
    <w:rsid w:val="00F27731"/>
    <w:rsid w:val="00F304E2"/>
    <w:rsid w:val="00F4267A"/>
    <w:rsid w:val="00F42957"/>
    <w:rsid w:val="00F44815"/>
    <w:rsid w:val="00F44F84"/>
    <w:rsid w:val="00F46D29"/>
    <w:rsid w:val="00F55197"/>
    <w:rsid w:val="00F67792"/>
    <w:rsid w:val="00F70914"/>
    <w:rsid w:val="00F71478"/>
    <w:rsid w:val="00F72E1A"/>
    <w:rsid w:val="00F746E1"/>
    <w:rsid w:val="00F81F85"/>
    <w:rsid w:val="00F904E6"/>
    <w:rsid w:val="00F906CD"/>
    <w:rsid w:val="00F90806"/>
    <w:rsid w:val="00F92EF2"/>
    <w:rsid w:val="00FA4D21"/>
    <w:rsid w:val="00FB082C"/>
    <w:rsid w:val="00FB12DF"/>
    <w:rsid w:val="00FB7398"/>
    <w:rsid w:val="00FC1DCD"/>
    <w:rsid w:val="00FC56E5"/>
    <w:rsid w:val="00FC746F"/>
    <w:rsid w:val="00FE4C09"/>
    <w:rsid w:val="00FF15E7"/>
    <w:rsid w:val="00FF6F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DA8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39"/>
    <w:rsid w:val="003E682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Основной текст"/>
    <w:basedOn w:val="DefaultParagraphFont"/>
    <w:rsid w:val="003E6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DA8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39"/>
    <w:rsid w:val="003E682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Основной текст"/>
    <w:basedOn w:val="DefaultParagraphFont"/>
    <w:rsid w:val="003E6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Sergiu Bivol</cp:lastModifiedBy>
  <cp:revision>7</cp:revision>
  <cp:lastPrinted>2018-03-07T11:49:00Z</cp:lastPrinted>
  <dcterms:created xsi:type="dcterms:W3CDTF">2018-03-14T10:57:00Z</dcterms:created>
  <dcterms:modified xsi:type="dcterms:W3CDTF">2018-03-19T06:51:00Z</dcterms:modified>
</cp:coreProperties>
</file>