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EA7C6" w14:textId="77777777" w:rsidR="00547771" w:rsidRDefault="00547771" w:rsidP="00A04983">
      <w:pPr>
        <w:jc w:val="both"/>
        <w:rPr>
          <w:b/>
          <w:sz w:val="28"/>
          <w:szCs w:val="28"/>
        </w:rPr>
      </w:pPr>
    </w:p>
    <w:p w14:paraId="6EE7412D" w14:textId="77777777" w:rsidR="00BD7EE6" w:rsidRDefault="00BD7EE6" w:rsidP="00A04983">
      <w:pPr>
        <w:jc w:val="both"/>
        <w:rPr>
          <w:b/>
          <w:sz w:val="28"/>
          <w:szCs w:val="28"/>
        </w:rPr>
      </w:pPr>
    </w:p>
    <w:p w14:paraId="38BC4AEB" w14:textId="77777777" w:rsidR="00547771" w:rsidRDefault="00547771" w:rsidP="00A04983">
      <w:pPr>
        <w:jc w:val="both"/>
        <w:rPr>
          <w:b/>
          <w:sz w:val="28"/>
          <w:szCs w:val="28"/>
        </w:rPr>
      </w:pPr>
    </w:p>
    <w:p w14:paraId="2A92DEAE" w14:textId="77777777" w:rsidR="00547771" w:rsidRDefault="00547771" w:rsidP="00A04983">
      <w:pPr>
        <w:jc w:val="both"/>
        <w:rPr>
          <w:b/>
          <w:sz w:val="28"/>
          <w:szCs w:val="28"/>
        </w:rPr>
      </w:pPr>
    </w:p>
    <w:p w14:paraId="5F7593B9" w14:textId="77777777" w:rsidR="00547771" w:rsidRPr="001F6DCE" w:rsidRDefault="00A04983" w:rsidP="00A04983">
      <w:pPr>
        <w:jc w:val="center"/>
        <w:rPr>
          <w:b/>
          <w:sz w:val="28"/>
          <w:szCs w:val="28"/>
        </w:rPr>
      </w:pPr>
      <w:r w:rsidRPr="001F6DCE">
        <w:rPr>
          <w:b/>
          <w:sz w:val="28"/>
          <w:szCs w:val="28"/>
        </w:rPr>
        <w:t>The Republic of Moldova</w:t>
      </w:r>
    </w:p>
    <w:p w14:paraId="3CB10A3B" w14:textId="77777777" w:rsidR="00547771" w:rsidRPr="001F6DCE" w:rsidRDefault="00547771" w:rsidP="00A04983">
      <w:pPr>
        <w:jc w:val="both"/>
        <w:rPr>
          <w:b/>
          <w:sz w:val="28"/>
          <w:szCs w:val="28"/>
        </w:rPr>
      </w:pPr>
    </w:p>
    <w:p w14:paraId="6EE25418" w14:textId="77777777" w:rsidR="00547771" w:rsidRPr="001F6DCE" w:rsidRDefault="00547771" w:rsidP="00A04983">
      <w:pPr>
        <w:jc w:val="both"/>
        <w:rPr>
          <w:b/>
          <w:sz w:val="28"/>
          <w:szCs w:val="28"/>
        </w:rPr>
      </w:pPr>
    </w:p>
    <w:p w14:paraId="7BC114AD" w14:textId="77777777" w:rsidR="00547771" w:rsidRPr="001F6DCE" w:rsidRDefault="00547771" w:rsidP="00A04983">
      <w:pPr>
        <w:jc w:val="both"/>
        <w:rPr>
          <w:b/>
          <w:sz w:val="28"/>
          <w:szCs w:val="28"/>
        </w:rPr>
      </w:pPr>
    </w:p>
    <w:p w14:paraId="394329B5" w14:textId="77777777" w:rsidR="00A53A9D" w:rsidRPr="001F6DCE" w:rsidRDefault="00A53A9D" w:rsidP="00A04983">
      <w:pPr>
        <w:jc w:val="center"/>
        <w:rPr>
          <w:b/>
          <w:sz w:val="28"/>
          <w:szCs w:val="28"/>
        </w:rPr>
      </w:pPr>
      <w:r w:rsidRPr="001F6DCE">
        <w:rPr>
          <w:b/>
          <w:sz w:val="28"/>
          <w:szCs w:val="28"/>
        </w:rPr>
        <w:t>Programme for Results</w:t>
      </w:r>
    </w:p>
    <w:p w14:paraId="60A3DE24" w14:textId="77777777" w:rsidR="00A53A9D" w:rsidRPr="001F6DCE" w:rsidRDefault="00A53A9D" w:rsidP="00A04983">
      <w:pPr>
        <w:jc w:val="both"/>
        <w:rPr>
          <w:b/>
          <w:sz w:val="28"/>
          <w:szCs w:val="28"/>
        </w:rPr>
      </w:pPr>
    </w:p>
    <w:p w14:paraId="098DFFAC" w14:textId="77777777" w:rsidR="00844480" w:rsidRPr="001F6DCE" w:rsidRDefault="00A53A9D" w:rsidP="00A04983">
      <w:pPr>
        <w:jc w:val="center"/>
        <w:rPr>
          <w:b/>
          <w:sz w:val="28"/>
          <w:szCs w:val="28"/>
        </w:rPr>
      </w:pPr>
      <w:r w:rsidRPr="001F6DCE">
        <w:rPr>
          <w:b/>
          <w:sz w:val="28"/>
          <w:szCs w:val="28"/>
        </w:rPr>
        <w:t xml:space="preserve">Health Transformation </w:t>
      </w:r>
      <w:r w:rsidR="006A5C49" w:rsidRPr="001F6DCE">
        <w:rPr>
          <w:b/>
          <w:sz w:val="28"/>
          <w:szCs w:val="28"/>
        </w:rPr>
        <w:t>Operation</w:t>
      </w:r>
    </w:p>
    <w:p w14:paraId="27960EE0" w14:textId="77777777" w:rsidR="00A53A9D" w:rsidRPr="001F6DCE" w:rsidRDefault="00A53A9D" w:rsidP="00A04983">
      <w:pPr>
        <w:jc w:val="center"/>
        <w:rPr>
          <w:b/>
          <w:sz w:val="28"/>
          <w:szCs w:val="28"/>
        </w:rPr>
      </w:pPr>
    </w:p>
    <w:p w14:paraId="42C5735A" w14:textId="77777777" w:rsidR="00A53A9D" w:rsidRPr="001F6DCE" w:rsidRDefault="00A53A9D" w:rsidP="00A04983">
      <w:pPr>
        <w:jc w:val="center"/>
        <w:rPr>
          <w:b/>
          <w:sz w:val="28"/>
          <w:szCs w:val="28"/>
        </w:rPr>
      </w:pPr>
    </w:p>
    <w:p w14:paraId="2BE72494" w14:textId="77777777" w:rsidR="00A53A9D" w:rsidRPr="001F6DCE" w:rsidRDefault="00A53A9D" w:rsidP="00A04983">
      <w:pPr>
        <w:jc w:val="center"/>
        <w:rPr>
          <w:b/>
          <w:sz w:val="28"/>
          <w:szCs w:val="28"/>
        </w:rPr>
      </w:pPr>
    </w:p>
    <w:p w14:paraId="5D731649" w14:textId="77777777" w:rsidR="00A53A9D" w:rsidRPr="001F6DCE" w:rsidRDefault="000A108A" w:rsidP="00A04983">
      <w:pPr>
        <w:jc w:val="center"/>
        <w:rPr>
          <w:b/>
          <w:sz w:val="28"/>
          <w:szCs w:val="28"/>
        </w:rPr>
      </w:pPr>
      <w:r w:rsidRPr="001F6DCE">
        <w:rPr>
          <w:b/>
          <w:sz w:val="28"/>
          <w:szCs w:val="28"/>
        </w:rPr>
        <w:t xml:space="preserve">Environmental and </w:t>
      </w:r>
      <w:r w:rsidR="00A53A9D" w:rsidRPr="001F6DCE">
        <w:rPr>
          <w:b/>
          <w:sz w:val="28"/>
          <w:szCs w:val="28"/>
        </w:rPr>
        <w:t>Social Systems Assessment</w:t>
      </w:r>
    </w:p>
    <w:p w14:paraId="232AC42A" w14:textId="77777777" w:rsidR="00A04983" w:rsidRPr="001F6DCE" w:rsidRDefault="00A04983" w:rsidP="00A04983">
      <w:pPr>
        <w:jc w:val="center"/>
        <w:rPr>
          <w:b/>
          <w:szCs w:val="24"/>
        </w:rPr>
      </w:pPr>
    </w:p>
    <w:p w14:paraId="3AB44A56" w14:textId="77777777" w:rsidR="00A04983" w:rsidRPr="001F6DCE" w:rsidRDefault="00A04983" w:rsidP="00A04983">
      <w:pPr>
        <w:jc w:val="center"/>
        <w:rPr>
          <w:b/>
          <w:szCs w:val="24"/>
        </w:rPr>
      </w:pPr>
    </w:p>
    <w:p w14:paraId="31949F3B" w14:textId="77777777" w:rsidR="00A04983" w:rsidRPr="001F6DCE" w:rsidRDefault="00A04983" w:rsidP="00A04983">
      <w:pPr>
        <w:jc w:val="center"/>
        <w:rPr>
          <w:b/>
          <w:szCs w:val="24"/>
        </w:rPr>
      </w:pPr>
    </w:p>
    <w:p w14:paraId="2DAD7A0B" w14:textId="77777777" w:rsidR="00A04983" w:rsidRPr="001F6DCE" w:rsidRDefault="00A04983" w:rsidP="00A04983">
      <w:pPr>
        <w:jc w:val="center"/>
        <w:rPr>
          <w:b/>
          <w:szCs w:val="24"/>
        </w:rPr>
      </w:pPr>
    </w:p>
    <w:p w14:paraId="732FC924" w14:textId="77777777" w:rsidR="00A04983" w:rsidRPr="001F6DCE" w:rsidRDefault="00A04983" w:rsidP="00A04983">
      <w:pPr>
        <w:jc w:val="center"/>
        <w:rPr>
          <w:b/>
          <w:szCs w:val="24"/>
        </w:rPr>
      </w:pPr>
    </w:p>
    <w:p w14:paraId="0B445F6B" w14:textId="77777777" w:rsidR="00A04983" w:rsidRPr="001F6DCE" w:rsidRDefault="00A04983" w:rsidP="00A04983">
      <w:pPr>
        <w:jc w:val="center"/>
        <w:rPr>
          <w:b/>
          <w:szCs w:val="24"/>
        </w:rPr>
      </w:pPr>
    </w:p>
    <w:p w14:paraId="590D50BB" w14:textId="77777777" w:rsidR="00A04983" w:rsidRPr="001F6DCE" w:rsidRDefault="00A04983" w:rsidP="00A04983">
      <w:pPr>
        <w:jc w:val="center"/>
        <w:rPr>
          <w:b/>
          <w:szCs w:val="24"/>
        </w:rPr>
      </w:pPr>
    </w:p>
    <w:p w14:paraId="6EDEECFF" w14:textId="77777777" w:rsidR="00A04983" w:rsidRPr="001F6DCE" w:rsidRDefault="00A04983" w:rsidP="00A04983">
      <w:pPr>
        <w:jc w:val="center"/>
        <w:rPr>
          <w:b/>
          <w:szCs w:val="24"/>
        </w:rPr>
      </w:pPr>
    </w:p>
    <w:p w14:paraId="7936F562" w14:textId="77777777" w:rsidR="00A04983" w:rsidRPr="001F6DCE" w:rsidRDefault="00A04983" w:rsidP="00A04983">
      <w:pPr>
        <w:jc w:val="center"/>
        <w:rPr>
          <w:b/>
          <w:szCs w:val="24"/>
        </w:rPr>
      </w:pPr>
    </w:p>
    <w:p w14:paraId="4C70AF74" w14:textId="77777777" w:rsidR="00A04983" w:rsidRPr="001F6DCE" w:rsidRDefault="00A04983" w:rsidP="00A04983">
      <w:pPr>
        <w:jc w:val="center"/>
        <w:rPr>
          <w:b/>
          <w:szCs w:val="24"/>
        </w:rPr>
      </w:pPr>
    </w:p>
    <w:p w14:paraId="1A07E2EA" w14:textId="77777777" w:rsidR="00A04983" w:rsidRPr="001F6DCE" w:rsidRDefault="00A04983" w:rsidP="00A04983">
      <w:pPr>
        <w:jc w:val="center"/>
        <w:rPr>
          <w:b/>
          <w:szCs w:val="24"/>
        </w:rPr>
      </w:pPr>
    </w:p>
    <w:p w14:paraId="3B98E275" w14:textId="77777777" w:rsidR="00A04983" w:rsidRPr="001F6DCE" w:rsidRDefault="00A04983" w:rsidP="00A04983">
      <w:pPr>
        <w:jc w:val="center"/>
        <w:rPr>
          <w:b/>
          <w:szCs w:val="24"/>
        </w:rPr>
      </w:pPr>
    </w:p>
    <w:p w14:paraId="733465DD" w14:textId="77777777" w:rsidR="00A04983" w:rsidRPr="001F6DCE" w:rsidRDefault="00A04983" w:rsidP="00A04983">
      <w:pPr>
        <w:jc w:val="center"/>
        <w:rPr>
          <w:b/>
          <w:szCs w:val="24"/>
        </w:rPr>
      </w:pPr>
    </w:p>
    <w:p w14:paraId="3C34B470" w14:textId="77777777" w:rsidR="00A04983" w:rsidRPr="001F6DCE" w:rsidRDefault="00A04983" w:rsidP="00A04983">
      <w:pPr>
        <w:jc w:val="center"/>
        <w:rPr>
          <w:b/>
          <w:szCs w:val="24"/>
        </w:rPr>
      </w:pPr>
    </w:p>
    <w:p w14:paraId="4CFB0EEB" w14:textId="77777777" w:rsidR="00A04983" w:rsidRPr="001F6DCE" w:rsidRDefault="00A04983" w:rsidP="00A04983">
      <w:pPr>
        <w:jc w:val="center"/>
        <w:rPr>
          <w:b/>
          <w:szCs w:val="24"/>
        </w:rPr>
      </w:pPr>
    </w:p>
    <w:p w14:paraId="56782C3B" w14:textId="77777777" w:rsidR="00A04983" w:rsidRPr="001F6DCE" w:rsidRDefault="00A04983" w:rsidP="00A04983">
      <w:pPr>
        <w:jc w:val="center"/>
        <w:rPr>
          <w:b/>
          <w:szCs w:val="24"/>
        </w:rPr>
      </w:pPr>
    </w:p>
    <w:p w14:paraId="5B45AB9F" w14:textId="4FBC9834" w:rsidR="00A04983" w:rsidRPr="001F6DCE" w:rsidRDefault="00086208" w:rsidP="00A04983">
      <w:pPr>
        <w:jc w:val="center"/>
        <w:rPr>
          <w:b/>
          <w:szCs w:val="24"/>
        </w:rPr>
      </w:pPr>
      <w:r w:rsidRPr="001F6DCE">
        <w:rPr>
          <w:b/>
          <w:szCs w:val="24"/>
        </w:rPr>
        <w:t xml:space="preserve">Chisinau, </w:t>
      </w:r>
      <w:r w:rsidR="00023EE6" w:rsidRPr="001F6DCE">
        <w:rPr>
          <w:b/>
          <w:szCs w:val="24"/>
        </w:rPr>
        <w:t xml:space="preserve">February 20, </w:t>
      </w:r>
      <w:r w:rsidR="00A04983" w:rsidRPr="001F6DCE">
        <w:rPr>
          <w:b/>
          <w:szCs w:val="24"/>
        </w:rPr>
        <w:t>201</w:t>
      </w:r>
      <w:r w:rsidR="00023EE6" w:rsidRPr="001F6DCE">
        <w:rPr>
          <w:b/>
          <w:szCs w:val="24"/>
        </w:rPr>
        <w:t>8</w:t>
      </w:r>
    </w:p>
    <w:p w14:paraId="1AD5EAF3" w14:textId="77777777" w:rsidR="00A52671" w:rsidRPr="001F6DCE" w:rsidRDefault="00A52671" w:rsidP="00A04983">
      <w:pPr>
        <w:jc w:val="center"/>
        <w:rPr>
          <w:b/>
          <w:szCs w:val="24"/>
        </w:rPr>
        <w:sectPr w:rsidR="00A52671" w:rsidRPr="001F6DCE" w:rsidSect="00A52671">
          <w:footerReference w:type="default" r:id="rId9"/>
          <w:footerReference w:type="first" r:id="rId10"/>
          <w:pgSz w:w="12240" w:h="15840"/>
          <w:pgMar w:top="1440" w:right="1440" w:bottom="1440" w:left="1440" w:header="706" w:footer="706" w:gutter="0"/>
          <w:pgNumType w:fmt="lowerRoman" w:start="2"/>
          <w:cols w:space="720"/>
          <w:titlePg/>
          <w:docGrid w:linePitch="360"/>
        </w:sectPr>
      </w:pPr>
    </w:p>
    <w:p w14:paraId="1BA32D3E" w14:textId="77777777" w:rsidR="00A04983" w:rsidRPr="001F6DCE" w:rsidRDefault="00A04983" w:rsidP="00A04983">
      <w:pPr>
        <w:jc w:val="center"/>
        <w:rPr>
          <w:b/>
          <w:szCs w:val="24"/>
        </w:rPr>
      </w:pPr>
    </w:p>
    <w:p w14:paraId="5E0B6981" w14:textId="77777777" w:rsidR="00C94A37" w:rsidRPr="001F6DCE" w:rsidRDefault="00C94A37" w:rsidP="00A04983">
      <w:pPr>
        <w:jc w:val="center"/>
        <w:rPr>
          <w:b/>
          <w:szCs w:val="24"/>
        </w:rPr>
      </w:pPr>
    </w:p>
    <w:p w14:paraId="76DB6CBA" w14:textId="77777777" w:rsidR="00C94A37" w:rsidRPr="001F6DCE" w:rsidRDefault="00C94A37" w:rsidP="00A04983">
      <w:pPr>
        <w:jc w:val="center"/>
        <w:rPr>
          <w:b/>
          <w:szCs w:val="24"/>
        </w:rPr>
      </w:pPr>
    </w:p>
    <w:p w14:paraId="5AE706DE" w14:textId="77777777" w:rsidR="00C94A37" w:rsidRPr="001F6DCE" w:rsidRDefault="00C94A37" w:rsidP="00A04983">
      <w:pPr>
        <w:jc w:val="center"/>
        <w:rPr>
          <w:b/>
          <w:szCs w:val="24"/>
        </w:rPr>
      </w:pPr>
      <w:r w:rsidRPr="001F6DCE">
        <w:rPr>
          <w:b/>
          <w:szCs w:val="24"/>
        </w:rPr>
        <w:t>ABBREVIATION AND ACRONYM</w:t>
      </w:r>
    </w:p>
    <w:p w14:paraId="6BFF50AE" w14:textId="77777777" w:rsidR="00C94A37" w:rsidRPr="001F6DCE" w:rsidRDefault="00C94A37" w:rsidP="00A04983">
      <w:pPr>
        <w:jc w:val="center"/>
        <w:rPr>
          <w:b/>
          <w:szCs w:val="24"/>
        </w:rPr>
      </w:pPr>
    </w:p>
    <w:p w14:paraId="3CC721D7" w14:textId="77777777" w:rsidR="00C94A37" w:rsidRPr="001F6DCE" w:rsidRDefault="00C94A37" w:rsidP="00A04983">
      <w:pPr>
        <w:jc w:val="center"/>
        <w:rPr>
          <w:szCs w:val="24"/>
        </w:rPr>
      </w:pPr>
    </w:p>
    <w:p w14:paraId="5C872802" w14:textId="6D6844E7" w:rsidR="00F3182B" w:rsidRPr="001F6DCE" w:rsidRDefault="00F3182B" w:rsidP="008505C8">
      <w:r w:rsidRPr="001F6DCE">
        <w:t>CPPH</w:t>
      </w:r>
      <w:r w:rsidRPr="001F6DCE">
        <w:tab/>
      </w:r>
      <w:r w:rsidRPr="001F6DCE">
        <w:tab/>
        <w:t xml:space="preserve">Centre for Public Procurement in Health </w:t>
      </w:r>
    </w:p>
    <w:p w14:paraId="3E6A0E0C" w14:textId="1127EC9E" w:rsidR="008505C8" w:rsidRPr="001F6DCE" w:rsidRDefault="008505C8" w:rsidP="008505C8">
      <w:r w:rsidRPr="001F6DCE">
        <w:t>CNAM</w:t>
      </w:r>
      <w:r w:rsidRPr="001F6DCE">
        <w:tab/>
        <w:t xml:space="preserve">National Health Insurance </w:t>
      </w:r>
      <w:r w:rsidR="008C6805" w:rsidRPr="001F6DCE">
        <w:t xml:space="preserve">Fund </w:t>
      </w:r>
    </w:p>
    <w:p w14:paraId="05A9AD24" w14:textId="77777777" w:rsidR="00147721" w:rsidRPr="001F6DCE" w:rsidRDefault="00147721" w:rsidP="00147721">
      <w:r w:rsidRPr="001F6DCE">
        <w:t>CSO</w:t>
      </w:r>
      <w:r w:rsidRPr="001F6DCE">
        <w:tab/>
      </w:r>
      <w:r w:rsidRPr="001F6DCE">
        <w:tab/>
        <w:t>Civil Society Organization</w:t>
      </w:r>
    </w:p>
    <w:p w14:paraId="5963FC31" w14:textId="79F04D10" w:rsidR="008505C8" w:rsidRPr="001F6DCE" w:rsidRDefault="00037DEB" w:rsidP="008505C8">
      <w:r w:rsidRPr="001F6DCE">
        <w:rPr>
          <w:color w:val="000000"/>
          <w:szCs w:val="24"/>
        </w:rPr>
        <w:t>DLI</w:t>
      </w:r>
      <w:r w:rsidRPr="001F6DCE">
        <w:rPr>
          <w:color w:val="000000"/>
          <w:szCs w:val="24"/>
        </w:rPr>
        <w:tab/>
      </w:r>
      <w:r w:rsidRPr="001F6DCE">
        <w:rPr>
          <w:color w:val="000000"/>
          <w:szCs w:val="24"/>
        </w:rPr>
        <w:tab/>
      </w:r>
      <w:r w:rsidR="008505C8" w:rsidRPr="001F6DCE">
        <w:rPr>
          <w:color w:val="000000"/>
          <w:szCs w:val="24"/>
        </w:rPr>
        <w:t>Disbursement</w:t>
      </w:r>
      <w:r w:rsidR="008505C8" w:rsidRPr="001F6DCE">
        <w:t>-linked Indicators</w:t>
      </w:r>
    </w:p>
    <w:p w14:paraId="6BCED3E4" w14:textId="77777777" w:rsidR="008505C8" w:rsidRPr="001F6DCE" w:rsidRDefault="008505C8" w:rsidP="008505C8">
      <w:r w:rsidRPr="001F6DCE">
        <w:t>ESSA</w:t>
      </w:r>
      <w:r w:rsidRPr="001F6DCE">
        <w:tab/>
      </w:r>
      <w:r w:rsidRPr="001F6DCE">
        <w:tab/>
        <w:t>Environmental and Social System Assessment</w:t>
      </w:r>
    </w:p>
    <w:p w14:paraId="78A3C7D6" w14:textId="77777777" w:rsidR="00C94A37" w:rsidRPr="001F6DCE" w:rsidRDefault="008505C8" w:rsidP="00C94A37">
      <w:pPr>
        <w:rPr>
          <w:szCs w:val="24"/>
        </w:rPr>
      </w:pPr>
      <w:r w:rsidRPr="001F6DCE">
        <w:rPr>
          <w:szCs w:val="24"/>
        </w:rPr>
        <w:t>EU</w:t>
      </w:r>
      <w:r w:rsidRPr="001F6DCE">
        <w:rPr>
          <w:szCs w:val="24"/>
        </w:rPr>
        <w:tab/>
      </w:r>
      <w:r w:rsidRPr="001F6DCE">
        <w:rPr>
          <w:szCs w:val="24"/>
        </w:rPr>
        <w:tab/>
        <w:t>European Union</w:t>
      </w:r>
    </w:p>
    <w:p w14:paraId="3E36603E" w14:textId="77777777" w:rsidR="0053282E" w:rsidRPr="001F6DCE" w:rsidRDefault="0053282E" w:rsidP="00C94A37">
      <w:pPr>
        <w:rPr>
          <w:szCs w:val="24"/>
        </w:rPr>
      </w:pPr>
      <w:r w:rsidRPr="001F6DCE">
        <w:rPr>
          <w:szCs w:val="24"/>
        </w:rPr>
        <w:t>GDP</w:t>
      </w:r>
      <w:r w:rsidRPr="001F6DCE">
        <w:rPr>
          <w:szCs w:val="24"/>
        </w:rPr>
        <w:tab/>
      </w:r>
      <w:r w:rsidRPr="001F6DCE">
        <w:rPr>
          <w:szCs w:val="24"/>
        </w:rPr>
        <w:tab/>
        <w:t>Gross Domestic Product</w:t>
      </w:r>
    </w:p>
    <w:p w14:paraId="4716FBF8" w14:textId="77777777" w:rsidR="00147721" w:rsidRPr="001F6DCE" w:rsidRDefault="00147721" w:rsidP="00147721">
      <w:r w:rsidRPr="001F6DCE">
        <w:t>GPSA</w:t>
      </w:r>
      <w:r w:rsidRPr="001F6DCE">
        <w:tab/>
      </w:r>
      <w:r w:rsidRPr="001F6DCE">
        <w:tab/>
        <w:t>Global Partnership for Social Accountability</w:t>
      </w:r>
    </w:p>
    <w:p w14:paraId="57CD43F1" w14:textId="77777777" w:rsidR="00037DEB" w:rsidRPr="001F6DCE" w:rsidRDefault="00AB062A" w:rsidP="00C94A37">
      <w:pPr>
        <w:rPr>
          <w:szCs w:val="24"/>
        </w:rPr>
      </w:pPr>
      <w:r w:rsidRPr="001F6DCE">
        <w:rPr>
          <w:szCs w:val="24"/>
        </w:rPr>
        <w:t>GOM</w:t>
      </w:r>
      <w:r w:rsidR="00037DEB" w:rsidRPr="001F6DCE">
        <w:rPr>
          <w:szCs w:val="24"/>
        </w:rPr>
        <w:tab/>
      </w:r>
      <w:r w:rsidR="00037DEB" w:rsidRPr="001F6DCE">
        <w:rPr>
          <w:szCs w:val="24"/>
        </w:rPr>
        <w:tab/>
        <w:t>Government of Moldova</w:t>
      </w:r>
    </w:p>
    <w:p w14:paraId="78B44F23" w14:textId="43AD2830" w:rsidR="0053282E" w:rsidRPr="001F6DCE" w:rsidRDefault="0053282E" w:rsidP="00C94A37">
      <w:pPr>
        <w:rPr>
          <w:szCs w:val="24"/>
        </w:rPr>
      </w:pPr>
      <w:r w:rsidRPr="001F6DCE">
        <w:rPr>
          <w:lang w:eastAsia="hr-HR"/>
        </w:rPr>
        <w:t>HBS</w:t>
      </w:r>
      <w:r w:rsidRPr="001F6DCE">
        <w:rPr>
          <w:lang w:eastAsia="hr-HR"/>
        </w:rPr>
        <w:tab/>
      </w:r>
      <w:r w:rsidRPr="001F6DCE">
        <w:rPr>
          <w:lang w:eastAsia="hr-HR"/>
        </w:rPr>
        <w:tab/>
        <w:t>Household Budget Survey</w:t>
      </w:r>
    </w:p>
    <w:p w14:paraId="384CE2B5" w14:textId="77777777" w:rsidR="0053282E" w:rsidRPr="001F6DCE" w:rsidRDefault="0053282E" w:rsidP="0053282E">
      <w:r w:rsidRPr="001F6DCE">
        <w:rPr>
          <w:szCs w:val="24"/>
        </w:rPr>
        <w:t>HCF</w:t>
      </w:r>
      <w:r w:rsidRPr="001F6DCE">
        <w:rPr>
          <w:szCs w:val="24"/>
        </w:rPr>
        <w:tab/>
      </w:r>
      <w:r w:rsidRPr="001F6DCE">
        <w:rPr>
          <w:szCs w:val="24"/>
        </w:rPr>
        <w:tab/>
      </w:r>
      <w:r w:rsidRPr="001F6DCE">
        <w:t>Healthcare Facility</w:t>
      </w:r>
    </w:p>
    <w:p w14:paraId="78A2104B" w14:textId="77777777" w:rsidR="00037DEB" w:rsidRPr="001F6DCE" w:rsidRDefault="00037DEB" w:rsidP="00C94A37">
      <w:pPr>
        <w:rPr>
          <w:szCs w:val="24"/>
        </w:rPr>
      </w:pPr>
      <w:r w:rsidRPr="001F6DCE">
        <w:t>HCW</w:t>
      </w:r>
      <w:r w:rsidRPr="001F6DCE">
        <w:tab/>
      </w:r>
      <w:r w:rsidRPr="001F6DCE">
        <w:tab/>
        <w:t>Health Care Waste</w:t>
      </w:r>
    </w:p>
    <w:p w14:paraId="7C580594" w14:textId="77777777" w:rsidR="00037DEB" w:rsidRPr="001F6DCE" w:rsidRDefault="00037DEB" w:rsidP="00037DEB">
      <w:r w:rsidRPr="001F6DCE">
        <w:t>HCWM</w:t>
      </w:r>
      <w:r w:rsidRPr="001F6DCE">
        <w:tab/>
        <w:t xml:space="preserve">Health Care Waste Management </w:t>
      </w:r>
    </w:p>
    <w:p w14:paraId="57DAF42D" w14:textId="77777777" w:rsidR="00C94A37" w:rsidRPr="001F6DCE" w:rsidRDefault="00C94A37" w:rsidP="00C94A37">
      <w:pPr>
        <w:rPr>
          <w:szCs w:val="24"/>
        </w:rPr>
      </w:pPr>
      <w:r w:rsidRPr="001F6DCE">
        <w:rPr>
          <w:szCs w:val="24"/>
        </w:rPr>
        <w:t>IDA</w:t>
      </w:r>
      <w:r w:rsidRPr="001F6DCE">
        <w:rPr>
          <w:szCs w:val="24"/>
        </w:rPr>
        <w:tab/>
      </w:r>
      <w:r w:rsidRPr="001F6DCE">
        <w:rPr>
          <w:szCs w:val="24"/>
        </w:rPr>
        <w:tab/>
        <w:t>International Development Association</w:t>
      </w:r>
    </w:p>
    <w:p w14:paraId="05D65478" w14:textId="77777777" w:rsidR="00C94A37" w:rsidRPr="001F6DCE" w:rsidRDefault="00C94A37" w:rsidP="00C94A37">
      <w:pPr>
        <w:rPr>
          <w:rStyle w:val="CharacterStyle1"/>
          <w:spacing w:val="-1"/>
          <w:sz w:val="24"/>
          <w:szCs w:val="24"/>
        </w:rPr>
      </w:pPr>
      <w:r w:rsidRPr="001F6DCE">
        <w:rPr>
          <w:rStyle w:val="CharacterStyle1"/>
          <w:spacing w:val="-1"/>
          <w:sz w:val="24"/>
          <w:szCs w:val="24"/>
        </w:rPr>
        <w:t>IPF</w:t>
      </w:r>
      <w:r w:rsidRPr="001F6DCE">
        <w:rPr>
          <w:rStyle w:val="CharacterStyle1"/>
          <w:spacing w:val="-1"/>
          <w:sz w:val="24"/>
          <w:szCs w:val="24"/>
        </w:rPr>
        <w:tab/>
      </w:r>
      <w:r w:rsidRPr="001F6DCE">
        <w:rPr>
          <w:rStyle w:val="CharacterStyle1"/>
          <w:spacing w:val="-1"/>
          <w:sz w:val="24"/>
          <w:szCs w:val="24"/>
        </w:rPr>
        <w:tab/>
        <w:t>Investment Project Financing</w:t>
      </w:r>
    </w:p>
    <w:p w14:paraId="0A732536" w14:textId="77777777" w:rsidR="00037DEB" w:rsidRPr="001F6DCE" w:rsidRDefault="00037DEB" w:rsidP="00C94A37">
      <w:pPr>
        <w:rPr>
          <w:rStyle w:val="CharacterStyle1"/>
          <w:spacing w:val="-1"/>
          <w:sz w:val="24"/>
          <w:szCs w:val="24"/>
        </w:rPr>
      </w:pPr>
      <w:r w:rsidRPr="001F6DCE">
        <w:t>JICA</w:t>
      </w:r>
      <w:r w:rsidRPr="001F6DCE">
        <w:tab/>
      </w:r>
      <w:r w:rsidRPr="001F6DCE">
        <w:tab/>
        <w:t>Japan International Cooperation Agency</w:t>
      </w:r>
    </w:p>
    <w:p w14:paraId="7E674322" w14:textId="77777777" w:rsidR="00C94A37" w:rsidRPr="001F6DCE" w:rsidRDefault="00C94A37" w:rsidP="00C94A37">
      <w:r w:rsidRPr="001F6DCE">
        <w:rPr>
          <w:rStyle w:val="CharacterStyle1"/>
          <w:spacing w:val="-1"/>
          <w:sz w:val="24"/>
          <w:szCs w:val="24"/>
        </w:rPr>
        <w:t>MBTF</w:t>
      </w:r>
      <w:r w:rsidRPr="001F6DCE">
        <w:rPr>
          <w:rStyle w:val="CharacterStyle1"/>
          <w:spacing w:val="-1"/>
          <w:sz w:val="24"/>
          <w:szCs w:val="24"/>
        </w:rPr>
        <w:tab/>
      </w:r>
      <w:r w:rsidRPr="001F6DCE">
        <w:rPr>
          <w:rStyle w:val="CharacterStyle1"/>
          <w:spacing w:val="-1"/>
          <w:sz w:val="24"/>
          <w:szCs w:val="24"/>
        </w:rPr>
        <w:tab/>
      </w:r>
      <w:r w:rsidRPr="001F6DCE">
        <w:t>Medium-Term Budgetary Framework</w:t>
      </w:r>
    </w:p>
    <w:p w14:paraId="5A876A3C" w14:textId="77777777" w:rsidR="0053282E" w:rsidRPr="001F6DCE" w:rsidRDefault="0053282E" w:rsidP="0053282E">
      <w:r w:rsidRPr="001F6DCE">
        <w:t>MHI</w:t>
      </w:r>
      <w:r w:rsidRPr="001F6DCE">
        <w:tab/>
      </w:r>
      <w:r w:rsidRPr="001F6DCE">
        <w:tab/>
        <w:t>Mandatory Health Insurance</w:t>
      </w:r>
    </w:p>
    <w:p w14:paraId="18035571" w14:textId="3DBA0E3D" w:rsidR="008505C8" w:rsidRPr="001F6DCE" w:rsidRDefault="00AB062A" w:rsidP="00C94A37">
      <w:proofErr w:type="spellStart"/>
      <w:r w:rsidRPr="001F6DCE">
        <w:t>M</w:t>
      </w:r>
      <w:r w:rsidR="00C3693E" w:rsidRPr="001F6DCE">
        <w:t>oHLSP</w:t>
      </w:r>
      <w:proofErr w:type="spellEnd"/>
      <w:r w:rsidR="008505C8" w:rsidRPr="001F6DCE">
        <w:tab/>
        <w:t>Ministry of Health</w:t>
      </w:r>
      <w:r w:rsidR="00C3693E" w:rsidRPr="001F6DCE">
        <w:t>, Labour and Social Protection</w:t>
      </w:r>
    </w:p>
    <w:p w14:paraId="52F19B21" w14:textId="77777777" w:rsidR="0053282E" w:rsidRPr="001F6DCE" w:rsidRDefault="0053282E" w:rsidP="0053282E">
      <w:pPr>
        <w:rPr>
          <w:rFonts w:eastAsia="Calibri"/>
          <w:color w:val="000000"/>
        </w:rPr>
      </w:pPr>
      <w:r w:rsidRPr="001F6DCE">
        <w:rPr>
          <w:rFonts w:eastAsia="Calibri"/>
        </w:rPr>
        <w:t>NADME</w:t>
      </w:r>
      <w:r w:rsidRPr="001F6DCE">
        <w:rPr>
          <w:rFonts w:eastAsia="Calibri"/>
        </w:rPr>
        <w:tab/>
        <w:t xml:space="preserve">National Agency </w:t>
      </w:r>
      <w:r w:rsidRPr="001F6DCE">
        <w:rPr>
          <w:rFonts w:eastAsia="Calibri"/>
          <w:color w:val="000000"/>
        </w:rPr>
        <w:t>for Drugs and Medical Equipment</w:t>
      </w:r>
    </w:p>
    <w:p w14:paraId="19D91AFB" w14:textId="77777777" w:rsidR="00C94A37" w:rsidRPr="001F6DCE" w:rsidRDefault="00C94A37" w:rsidP="00C94A37">
      <w:r w:rsidRPr="001F6DCE">
        <w:rPr>
          <w:szCs w:val="24"/>
        </w:rPr>
        <w:t>NCD</w:t>
      </w:r>
      <w:r w:rsidRPr="001F6DCE">
        <w:rPr>
          <w:szCs w:val="24"/>
        </w:rPr>
        <w:tab/>
      </w:r>
      <w:r w:rsidRPr="001F6DCE">
        <w:rPr>
          <w:b/>
          <w:szCs w:val="24"/>
        </w:rPr>
        <w:tab/>
        <w:t>N</w:t>
      </w:r>
      <w:r w:rsidRPr="001F6DCE">
        <w:t>on-communicable diseases</w:t>
      </w:r>
    </w:p>
    <w:p w14:paraId="6ED1F51B" w14:textId="0538E2AA" w:rsidR="00037DEB" w:rsidRPr="001F6DCE" w:rsidRDefault="00037DEB" w:rsidP="00037DEB">
      <w:pPr>
        <w:jc w:val="both"/>
      </w:pPr>
      <w:r w:rsidRPr="001F6DCE">
        <w:t>NPH</w:t>
      </w:r>
      <w:r w:rsidR="00B12288" w:rsidRPr="001F6DCE">
        <w:t>A</w:t>
      </w:r>
      <w:r w:rsidRPr="001F6DCE">
        <w:tab/>
      </w:r>
      <w:r w:rsidRPr="001F6DCE">
        <w:tab/>
        <w:t>National</w:t>
      </w:r>
      <w:r w:rsidR="00C3693E" w:rsidRPr="001F6DCE">
        <w:t xml:space="preserve"> </w:t>
      </w:r>
      <w:r w:rsidR="008C6805" w:rsidRPr="001F6DCE">
        <w:t xml:space="preserve">Public </w:t>
      </w:r>
      <w:r w:rsidRPr="001F6DCE">
        <w:t>Health</w:t>
      </w:r>
      <w:r w:rsidR="00B12288" w:rsidRPr="001F6DCE">
        <w:t xml:space="preserve"> Agency</w:t>
      </w:r>
    </w:p>
    <w:p w14:paraId="07B50226" w14:textId="77777777" w:rsidR="008505C8" w:rsidRPr="001F6DCE" w:rsidRDefault="008505C8" w:rsidP="00C94A37">
      <w:pPr>
        <w:rPr>
          <w:szCs w:val="24"/>
        </w:rPr>
      </w:pPr>
      <w:r w:rsidRPr="001F6DCE">
        <w:t>NTCP</w:t>
      </w:r>
      <w:r w:rsidRPr="001F6DCE">
        <w:tab/>
      </w:r>
      <w:r w:rsidRPr="001F6DCE">
        <w:tab/>
      </w:r>
      <w:r w:rsidRPr="001F6DCE">
        <w:rPr>
          <w:szCs w:val="24"/>
        </w:rPr>
        <w:t>National Tobacco Control Programme</w:t>
      </w:r>
    </w:p>
    <w:p w14:paraId="462030AA" w14:textId="77777777" w:rsidR="0053282E" w:rsidRPr="001F6DCE" w:rsidRDefault="0053282E" w:rsidP="0053282E">
      <w:r w:rsidRPr="001F6DCE">
        <w:t>OOP</w:t>
      </w:r>
      <w:r w:rsidRPr="001F6DCE">
        <w:tab/>
      </w:r>
      <w:r w:rsidRPr="001F6DCE">
        <w:tab/>
        <w:t>Out-of-Pocket Payment</w:t>
      </w:r>
    </w:p>
    <w:p w14:paraId="5BF7C0D3" w14:textId="77777777" w:rsidR="00C94A37" w:rsidRPr="001F6DCE" w:rsidRDefault="00C94A37" w:rsidP="00C94A37">
      <w:pPr>
        <w:rPr>
          <w:rStyle w:val="CharacterStyle1"/>
          <w:spacing w:val="-1"/>
          <w:sz w:val="24"/>
          <w:szCs w:val="24"/>
        </w:rPr>
      </w:pPr>
      <w:proofErr w:type="spellStart"/>
      <w:r w:rsidRPr="001F6DCE">
        <w:t>PforR</w:t>
      </w:r>
      <w:proofErr w:type="spellEnd"/>
      <w:r w:rsidRPr="001F6DCE">
        <w:tab/>
      </w:r>
      <w:r w:rsidRPr="001F6DCE">
        <w:tab/>
      </w:r>
      <w:r w:rsidRPr="001F6DCE">
        <w:rPr>
          <w:rStyle w:val="CharacterStyle1"/>
          <w:spacing w:val="-1"/>
          <w:sz w:val="24"/>
          <w:szCs w:val="24"/>
        </w:rPr>
        <w:t>Program-for-Results</w:t>
      </w:r>
    </w:p>
    <w:p w14:paraId="4AAD3B0A" w14:textId="77777777" w:rsidR="00037DEB" w:rsidRPr="001F6DCE" w:rsidRDefault="00037DEB" w:rsidP="00C94A37">
      <w:proofErr w:type="spellStart"/>
      <w:r w:rsidRPr="001F6DCE">
        <w:t>PhW</w:t>
      </w:r>
      <w:proofErr w:type="spellEnd"/>
      <w:r w:rsidRPr="001F6DCE">
        <w:tab/>
      </w:r>
      <w:r w:rsidRPr="001F6DCE">
        <w:tab/>
        <w:t>Pharmaceutical wastes</w:t>
      </w:r>
    </w:p>
    <w:p w14:paraId="72BEC70C" w14:textId="77777777" w:rsidR="0053282E" w:rsidRPr="001F6DCE" w:rsidRDefault="0053282E" w:rsidP="0053282E">
      <w:pPr>
        <w:jc w:val="both"/>
        <w:rPr>
          <w:rStyle w:val="CharacterStyle1"/>
          <w:spacing w:val="-1"/>
          <w:sz w:val="24"/>
          <w:szCs w:val="24"/>
        </w:rPr>
      </w:pPr>
      <w:proofErr w:type="spellStart"/>
      <w:r w:rsidRPr="001F6DCE">
        <w:t>PhWM</w:t>
      </w:r>
      <w:proofErr w:type="spellEnd"/>
      <w:r w:rsidRPr="001F6DCE">
        <w:tab/>
      </w:r>
      <w:r w:rsidRPr="001F6DCE">
        <w:tab/>
        <w:t>Pharmaceutical</w:t>
      </w:r>
      <w:r w:rsidRPr="001F6DCE">
        <w:rPr>
          <w:rFonts w:eastAsia="Calibri"/>
          <w:bCs/>
          <w:lang w:val="en-US"/>
        </w:rPr>
        <w:t xml:space="preserve"> wastes management</w:t>
      </w:r>
    </w:p>
    <w:p w14:paraId="07AE6D09" w14:textId="6BEB0289" w:rsidR="00037DEB" w:rsidRPr="001F6DCE" w:rsidRDefault="00037DEB" w:rsidP="00C94A37">
      <w:r w:rsidRPr="001F6DCE">
        <w:t>SDC</w:t>
      </w:r>
      <w:r w:rsidRPr="001F6DCE">
        <w:tab/>
      </w:r>
      <w:r w:rsidRPr="001F6DCE">
        <w:tab/>
        <w:t xml:space="preserve">Swiss </w:t>
      </w:r>
      <w:r w:rsidR="00DF1028" w:rsidRPr="001F6DCE">
        <w:t xml:space="preserve">Agency for Cooperation and </w:t>
      </w:r>
      <w:r w:rsidRPr="001F6DCE">
        <w:t xml:space="preserve">Development </w:t>
      </w:r>
    </w:p>
    <w:p w14:paraId="499999FB" w14:textId="77777777" w:rsidR="0053282E" w:rsidRPr="001F6DCE" w:rsidRDefault="0053282E" w:rsidP="00C94A37">
      <w:pPr>
        <w:rPr>
          <w:rStyle w:val="CharacterStyle1"/>
          <w:spacing w:val="-1"/>
          <w:sz w:val="24"/>
          <w:szCs w:val="24"/>
        </w:rPr>
      </w:pPr>
      <w:r w:rsidRPr="001F6DCE">
        <w:t>UNDP</w:t>
      </w:r>
      <w:r w:rsidRPr="001F6DCE">
        <w:tab/>
      </w:r>
      <w:r w:rsidRPr="001F6DCE">
        <w:tab/>
        <w:t>United Nations Development Programme</w:t>
      </w:r>
    </w:p>
    <w:p w14:paraId="24B5165D" w14:textId="77777777" w:rsidR="00C94A37" w:rsidRPr="001F6DCE" w:rsidRDefault="00C94A37" w:rsidP="00C94A37">
      <w:pPr>
        <w:rPr>
          <w:rStyle w:val="CharacterStyle1"/>
          <w:spacing w:val="-1"/>
          <w:sz w:val="24"/>
          <w:szCs w:val="24"/>
        </w:rPr>
      </w:pPr>
      <w:r w:rsidRPr="001F6DCE">
        <w:rPr>
          <w:rStyle w:val="CharacterStyle1"/>
          <w:spacing w:val="-1"/>
          <w:sz w:val="24"/>
          <w:szCs w:val="24"/>
        </w:rPr>
        <w:t>TA</w:t>
      </w:r>
      <w:r w:rsidRPr="001F6DCE">
        <w:rPr>
          <w:rStyle w:val="CharacterStyle1"/>
          <w:spacing w:val="-1"/>
          <w:sz w:val="24"/>
          <w:szCs w:val="24"/>
        </w:rPr>
        <w:tab/>
      </w:r>
      <w:r w:rsidRPr="001F6DCE">
        <w:rPr>
          <w:rStyle w:val="CharacterStyle1"/>
          <w:spacing w:val="-1"/>
          <w:sz w:val="24"/>
          <w:szCs w:val="24"/>
        </w:rPr>
        <w:tab/>
        <w:t xml:space="preserve">Technical assistance </w:t>
      </w:r>
    </w:p>
    <w:p w14:paraId="5227C201" w14:textId="77777777" w:rsidR="00037DEB" w:rsidRPr="001F6DCE" w:rsidRDefault="00037DEB" w:rsidP="00C94A37">
      <w:pPr>
        <w:rPr>
          <w:rStyle w:val="CharacterStyle1"/>
          <w:spacing w:val="-1"/>
          <w:sz w:val="24"/>
          <w:szCs w:val="24"/>
        </w:rPr>
      </w:pPr>
      <w:r w:rsidRPr="001F6DCE">
        <w:rPr>
          <w:rStyle w:val="CharacterStyle1"/>
          <w:spacing w:val="-1"/>
          <w:sz w:val="24"/>
          <w:szCs w:val="24"/>
        </w:rPr>
        <w:t>TB</w:t>
      </w:r>
      <w:r w:rsidRPr="001F6DCE">
        <w:rPr>
          <w:rStyle w:val="CharacterStyle1"/>
          <w:spacing w:val="-1"/>
          <w:sz w:val="24"/>
          <w:szCs w:val="24"/>
        </w:rPr>
        <w:tab/>
      </w:r>
      <w:r w:rsidRPr="001F6DCE">
        <w:rPr>
          <w:rStyle w:val="CharacterStyle1"/>
          <w:spacing w:val="-1"/>
          <w:sz w:val="24"/>
          <w:szCs w:val="24"/>
        </w:rPr>
        <w:tab/>
        <w:t>Tuberculosis</w:t>
      </w:r>
    </w:p>
    <w:p w14:paraId="5A4A807F" w14:textId="77777777" w:rsidR="00C94A37" w:rsidRPr="001F6DCE" w:rsidRDefault="00C94A37" w:rsidP="00C94A37">
      <w:pPr>
        <w:rPr>
          <w:rStyle w:val="CharacterStyle1"/>
          <w:spacing w:val="-1"/>
          <w:sz w:val="24"/>
          <w:szCs w:val="24"/>
        </w:rPr>
      </w:pPr>
      <w:proofErr w:type="gramStart"/>
      <w:r w:rsidRPr="001F6DCE">
        <w:rPr>
          <w:rStyle w:val="CharacterStyle1"/>
          <w:spacing w:val="-1"/>
          <w:sz w:val="24"/>
          <w:szCs w:val="24"/>
        </w:rPr>
        <w:t>WHO</w:t>
      </w:r>
      <w:proofErr w:type="gramEnd"/>
      <w:r w:rsidRPr="001F6DCE">
        <w:rPr>
          <w:rStyle w:val="CharacterStyle1"/>
          <w:spacing w:val="-1"/>
          <w:sz w:val="24"/>
          <w:szCs w:val="24"/>
        </w:rPr>
        <w:tab/>
      </w:r>
      <w:r w:rsidRPr="001F6DCE">
        <w:rPr>
          <w:rStyle w:val="CharacterStyle1"/>
          <w:spacing w:val="-1"/>
          <w:sz w:val="24"/>
          <w:szCs w:val="24"/>
        </w:rPr>
        <w:tab/>
        <w:t>World Health Organization</w:t>
      </w:r>
    </w:p>
    <w:p w14:paraId="773063B2" w14:textId="77777777" w:rsidR="00C94A37" w:rsidRPr="001F6DCE" w:rsidRDefault="00C94A37" w:rsidP="00C94A37">
      <w:pPr>
        <w:rPr>
          <w:rStyle w:val="CharacterStyle1"/>
          <w:spacing w:val="-1"/>
          <w:szCs w:val="24"/>
        </w:rPr>
      </w:pPr>
      <w:r w:rsidRPr="001F6DCE">
        <w:rPr>
          <w:rStyle w:val="CharacterStyle1"/>
          <w:i/>
          <w:spacing w:val="-1"/>
          <w:szCs w:val="24"/>
        </w:rPr>
        <w:t xml:space="preserve">  </w:t>
      </w:r>
    </w:p>
    <w:p w14:paraId="166DA285" w14:textId="77777777" w:rsidR="00C94A37" w:rsidRPr="001F6DCE" w:rsidRDefault="00C94A37" w:rsidP="00C94A37"/>
    <w:p w14:paraId="07008FBA" w14:textId="77777777" w:rsidR="00A52671" w:rsidRPr="001F6DCE" w:rsidRDefault="00A52671">
      <w:pPr>
        <w:rPr>
          <w:b/>
          <w:szCs w:val="24"/>
        </w:rPr>
        <w:sectPr w:rsidR="00A52671" w:rsidRPr="001F6DCE" w:rsidSect="00A52671">
          <w:footerReference w:type="first" r:id="rId11"/>
          <w:pgSz w:w="12240" w:h="15840"/>
          <w:pgMar w:top="1440" w:right="1440" w:bottom="1440" w:left="1440" w:header="706" w:footer="706" w:gutter="0"/>
          <w:pgNumType w:fmt="lowerRoman" w:start="2"/>
          <w:cols w:space="720"/>
          <w:titlePg/>
          <w:docGrid w:linePitch="360"/>
        </w:sectPr>
      </w:pPr>
    </w:p>
    <w:p w14:paraId="3B968A05" w14:textId="77777777" w:rsidR="00844480" w:rsidRPr="001F6DCE" w:rsidRDefault="0071027D" w:rsidP="00007274">
      <w:pPr>
        <w:pStyle w:val="ListParagraph"/>
        <w:numPr>
          <w:ilvl w:val="0"/>
          <w:numId w:val="13"/>
        </w:numPr>
        <w:jc w:val="both"/>
        <w:rPr>
          <w:rFonts w:ascii="Century Gothic" w:hAnsi="Century Gothic"/>
          <w:b/>
          <w:sz w:val="22"/>
          <w:szCs w:val="22"/>
        </w:rPr>
      </w:pPr>
      <w:r w:rsidRPr="001F6DCE">
        <w:rPr>
          <w:b/>
          <w:szCs w:val="24"/>
        </w:rPr>
        <w:lastRenderedPageBreak/>
        <w:t>SECTOR CONTEXT AND PROGRAMME DESCRIPTION</w:t>
      </w:r>
    </w:p>
    <w:p w14:paraId="1939A52E" w14:textId="77777777" w:rsidR="00A04983" w:rsidRPr="001F6DCE" w:rsidRDefault="00A04983" w:rsidP="00A04983">
      <w:pPr>
        <w:jc w:val="both"/>
        <w:rPr>
          <w:szCs w:val="24"/>
        </w:rPr>
      </w:pPr>
    </w:p>
    <w:p w14:paraId="53829480" w14:textId="378CDA4A" w:rsidR="006C6232" w:rsidRPr="001F6DCE" w:rsidRDefault="00844480" w:rsidP="00C94A37">
      <w:pPr>
        <w:pStyle w:val="ListParagraph"/>
        <w:numPr>
          <w:ilvl w:val="0"/>
          <w:numId w:val="16"/>
        </w:numPr>
        <w:ind w:left="0" w:firstLine="0"/>
        <w:jc w:val="both"/>
        <w:rPr>
          <w:rStyle w:val="CharacterStyle1"/>
          <w:spacing w:val="-1"/>
          <w:sz w:val="24"/>
          <w:szCs w:val="24"/>
        </w:rPr>
      </w:pPr>
      <w:r w:rsidRPr="001F6DCE">
        <w:rPr>
          <w:szCs w:val="24"/>
        </w:rPr>
        <w:t xml:space="preserve">The Government of Moldova and the World Bank are </w:t>
      </w:r>
      <w:r w:rsidR="00C3693E" w:rsidRPr="001F6DCE">
        <w:rPr>
          <w:szCs w:val="24"/>
        </w:rPr>
        <w:t xml:space="preserve">implementing </w:t>
      </w:r>
      <w:r w:rsidR="006C6232" w:rsidRPr="001F6DCE">
        <w:rPr>
          <w:szCs w:val="24"/>
        </w:rPr>
        <w:t xml:space="preserve">health </w:t>
      </w:r>
      <w:r w:rsidR="006A5C49" w:rsidRPr="001F6DCE">
        <w:rPr>
          <w:rStyle w:val="CharacterStyle1"/>
          <w:spacing w:val="-1"/>
          <w:sz w:val="24"/>
          <w:szCs w:val="24"/>
        </w:rPr>
        <w:t xml:space="preserve">project </w:t>
      </w:r>
      <w:r w:rsidRPr="001F6DCE">
        <w:rPr>
          <w:rStyle w:val="CharacterStyle1"/>
          <w:spacing w:val="-1"/>
          <w:sz w:val="24"/>
          <w:szCs w:val="24"/>
        </w:rPr>
        <w:t>named</w:t>
      </w:r>
      <w:r w:rsidRPr="001F6DCE">
        <w:rPr>
          <w:rStyle w:val="CharacterStyle1"/>
          <w:i/>
          <w:spacing w:val="-1"/>
          <w:sz w:val="24"/>
          <w:szCs w:val="24"/>
        </w:rPr>
        <w:t xml:space="preserve"> “Health Transformation </w:t>
      </w:r>
      <w:r w:rsidR="006A5C49" w:rsidRPr="001F6DCE">
        <w:rPr>
          <w:rStyle w:val="CharacterStyle1"/>
          <w:i/>
          <w:spacing w:val="-1"/>
          <w:sz w:val="24"/>
          <w:szCs w:val="24"/>
        </w:rPr>
        <w:t>Operation</w:t>
      </w:r>
      <w:proofErr w:type="gramStart"/>
      <w:r w:rsidRPr="001F6DCE">
        <w:rPr>
          <w:rStyle w:val="CharacterStyle1"/>
          <w:i/>
          <w:spacing w:val="-1"/>
          <w:sz w:val="24"/>
          <w:szCs w:val="24"/>
        </w:rPr>
        <w:t>”</w:t>
      </w:r>
      <w:r w:rsidR="006A5C49" w:rsidRPr="001F6DCE">
        <w:rPr>
          <w:rStyle w:val="CharacterStyle1"/>
          <w:spacing w:val="-1"/>
          <w:sz w:val="24"/>
          <w:szCs w:val="24"/>
        </w:rPr>
        <w:t xml:space="preserve">  financed</w:t>
      </w:r>
      <w:proofErr w:type="gramEnd"/>
      <w:r w:rsidR="006A5C49" w:rsidRPr="001F6DCE">
        <w:rPr>
          <w:rStyle w:val="CharacterStyle1"/>
          <w:spacing w:val="-1"/>
          <w:sz w:val="24"/>
          <w:szCs w:val="24"/>
        </w:rPr>
        <w:t xml:space="preserve"> by an IDA credit of </w:t>
      </w:r>
      <w:r w:rsidR="00C3693E" w:rsidRPr="001F6DCE">
        <w:rPr>
          <w:rStyle w:val="CharacterStyle1"/>
          <w:spacing w:val="-1"/>
          <w:sz w:val="24"/>
          <w:szCs w:val="24"/>
        </w:rPr>
        <w:t>SDR18.6</w:t>
      </w:r>
      <w:r w:rsidR="006A5C49" w:rsidRPr="001F6DCE">
        <w:rPr>
          <w:rStyle w:val="CharacterStyle1"/>
          <w:spacing w:val="-1"/>
          <w:sz w:val="24"/>
          <w:szCs w:val="24"/>
        </w:rPr>
        <w:t>million.</w:t>
      </w:r>
      <w:r w:rsidR="006C6232" w:rsidRPr="001F6DCE">
        <w:rPr>
          <w:rStyle w:val="CharacterStyle1"/>
          <w:spacing w:val="-1"/>
          <w:sz w:val="24"/>
          <w:szCs w:val="24"/>
        </w:rPr>
        <w:t xml:space="preserve"> The project </w:t>
      </w:r>
      <w:r w:rsidR="00C3693E" w:rsidRPr="001F6DCE">
        <w:rPr>
          <w:rStyle w:val="CharacterStyle1"/>
          <w:spacing w:val="-1"/>
          <w:sz w:val="24"/>
          <w:szCs w:val="24"/>
        </w:rPr>
        <w:t xml:space="preserve">has </w:t>
      </w:r>
      <w:r w:rsidR="006C6232" w:rsidRPr="001F6DCE">
        <w:rPr>
          <w:rStyle w:val="CharacterStyle1"/>
          <w:spacing w:val="-1"/>
          <w:sz w:val="24"/>
          <w:szCs w:val="24"/>
        </w:rPr>
        <w:t xml:space="preserve">two parts: </w:t>
      </w:r>
    </w:p>
    <w:p w14:paraId="5387D495" w14:textId="77777777" w:rsidR="006C6232" w:rsidRPr="001F6DCE" w:rsidRDefault="006C6232" w:rsidP="00A04983">
      <w:pPr>
        <w:jc w:val="both"/>
        <w:rPr>
          <w:rStyle w:val="CharacterStyle1"/>
          <w:spacing w:val="-1"/>
          <w:sz w:val="24"/>
          <w:szCs w:val="24"/>
        </w:rPr>
      </w:pPr>
      <w:r w:rsidRPr="001F6DCE">
        <w:rPr>
          <w:rStyle w:val="CharacterStyle1"/>
          <w:spacing w:val="-1"/>
          <w:sz w:val="24"/>
          <w:szCs w:val="24"/>
        </w:rPr>
        <w:t xml:space="preserve"> </w:t>
      </w:r>
    </w:p>
    <w:p w14:paraId="1CF3290E" w14:textId="77777777" w:rsidR="00C94A37" w:rsidRPr="001F6DCE" w:rsidRDefault="006C6232" w:rsidP="00C94A37">
      <w:pPr>
        <w:pStyle w:val="ListParagraph"/>
        <w:numPr>
          <w:ilvl w:val="0"/>
          <w:numId w:val="14"/>
        </w:numPr>
        <w:ind w:firstLine="0"/>
        <w:jc w:val="both"/>
        <w:rPr>
          <w:rStyle w:val="CharacterStyle1"/>
          <w:spacing w:val="-1"/>
          <w:szCs w:val="24"/>
        </w:rPr>
      </w:pPr>
      <w:r w:rsidRPr="001F6DCE">
        <w:rPr>
          <w:rStyle w:val="CharacterStyle1"/>
          <w:spacing w:val="-1"/>
          <w:sz w:val="24"/>
          <w:szCs w:val="24"/>
        </w:rPr>
        <w:t>A US$ 28 million component using the Program-for-Results (</w:t>
      </w:r>
      <w:proofErr w:type="spellStart"/>
      <w:r w:rsidRPr="001F6DCE">
        <w:rPr>
          <w:rStyle w:val="CharacterStyle1"/>
          <w:spacing w:val="-1"/>
          <w:sz w:val="24"/>
          <w:szCs w:val="24"/>
        </w:rPr>
        <w:t>PforR</w:t>
      </w:r>
      <w:proofErr w:type="spellEnd"/>
      <w:r w:rsidRPr="001F6DCE">
        <w:rPr>
          <w:rStyle w:val="CharacterStyle1"/>
          <w:spacing w:val="-1"/>
          <w:sz w:val="24"/>
          <w:szCs w:val="24"/>
        </w:rPr>
        <w:t xml:space="preserve">) instrument; </w:t>
      </w:r>
    </w:p>
    <w:p w14:paraId="377AB828" w14:textId="77777777" w:rsidR="006A5C49" w:rsidRPr="001F6DCE" w:rsidRDefault="006C6232" w:rsidP="00C94A37">
      <w:pPr>
        <w:pStyle w:val="ListParagraph"/>
        <w:numPr>
          <w:ilvl w:val="0"/>
          <w:numId w:val="14"/>
        </w:numPr>
        <w:ind w:left="1440" w:hanging="720"/>
        <w:jc w:val="both"/>
        <w:rPr>
          <w:rStyle w:val="CharacterStyle1"/>
          <w:spacing w:val="-1"/>
          <w:szCs w:val="24"/>
        </w:rPr>
      </w:pPr>
      <w:r w:rsidRPr="001F6DCE">
        <w:rPr>
          <w:rStyle w:val="CharacterStyle1"/>
          <w:spacing w:val="-1"/>
          <w:sz w:val="24"/>
          <w:szCs w:val="24"/>
        </w:rPr>
        <w:t xml:space="preserve">A US$ 2 million component for technical assistance (TA) using Investment Project Financing (IPF) instrument. </w:t>
      </w:r>
      <w:r w:rsidR="00A04983" w:rsidRPr="001F6DCE">
        <w:rPr>
          <w:rStyle w:val="CharacterStyle1"/>
          <w:i/>
          <w:spacing w:val="-1"/>
          <w:szCs w:val="24"/>
        </w:rPr>
        <w:t xml:space="preserve"> </w:t>
      </w:r>
    </w:p>
    <w:p w14:paraId="79F7A79A" w14:textId="77777777" w:rsidR="006A5C49" w:rsidRPr="001F6DCE" w:rsidRDefault="006A5C49" w:rsidP="00A04983">
      <w:pPr>
        <w:jc w:val="both"/>
        <w:rPr>
          <w:rStyle w:val="CharacterStyle1"/>
          <w:i/>
          <w:spacing w:val="-1"/>
          <w:szCs w:val="24"/>
        </w:rPr>
      </w:pPr>
    </w:p>
    <w:p w14:paraId="2CE5AD51" w14:textId="302E3F73" w:rsidR="006C6232" w:rsidRPr="001F6DCE" w:rsidRDefault="006C6232" w:rsidP="00C94A37">
      <w:pPr>
        <w:pStyle w:val="ListParagraph"/>
        <w:numPr>
          <w:ilvl w:val="0"/>
          <w:numId w:val="16"/>
        </w:numPr>
        <w:ind w:left="0" w:firstLine="0"/>
        <w:jc w:val="both"/>
        <w:rPr>
          <w:rStyle w:val="CharacterStyle1"/>
          <w:spacing w:val="-1"/>
          <w:sz w:val="24"/>
          <w:szCs w:val="24"/>
        </w:rPr>
      </w:pPr>
      <w:r w:rsidRPr="001F6DCE">
        <w:t>The</w:t>
      </w:r>
      <w:r w:rsidRPr="001F6DCE">
        <w:rPr>
          <w:b/>
        </w:rPr>
        <w:t xml:space="preserve"> </w:t>
      </w:r>
      <w:r w:rsidRPr="001F6DCE">
        <w:rPr>
          <w:rStyle w:val="CharacterStyle1"/>
          <w:spacing w:val="-1"/>
          <w:sz w:val="24"/>
          <w:szCs w:val="24"/>
        </w:rPr>
        <w:t>Development Objective of this project is to contribute to reducing key risks for non-communicable diseases</w:t>
      </w:r>
      <w:r w:rsidR="00873646" w:rsidRPr="001F6DCE">
        <w:rPr>
          <w:rStyle w:val="CharacterStyle1"/>
          <w:spacing w:val="-1"/>
          <w:sz w:val="24"/>
          <w:szCs w:val="24"/>
        </w:rPr>
        <w:t xml:space="preserve"> (NCD</w:t>
      </w:r>
      <w:r w:rsidR="00F3182B" w:rsidRPr="001F6DCE">
        <w:rPr>
          <w:rStyle w:val="CharacterStyle1"/>
          <w:spacing w:val="-1"/>
          <w:sz w:val="24"/>
          <w:szCs w:val="24"/>
        </w:rPr>
        <w:t>s</w:t>
      </w:r>
      <w:r w:rsidR="00873646" w:rsidRPr="001F6DCE">
        <w:rPr>
          <w:rStyle w:val="CharacterStyle1"/>
          <w:spacing w:val="-1"/>
          <w:sz w:val="24"/>
          <w:szCs w:val="24"/>
        </w:rPr>
        <w:t>)</w:t>
      </w:r>
      <w:r w:rsidRPr="001F6DCE">
        <w:rPr>
          <w:rStyle w:val="CharacterStyle1"/>
          <w:spacing w:val="-1"/>
          <w:sz w:val="24"/>
          <w:szCs w:val="24"/>
        </w:rPr>
        <w:t xml:space="preserve"> and enhancing efficiency of health services in Moldova.</w:t>
      </w:r>
      <w:r w:rsidR="00873646" w:rsidRPr="001F6DCE">
        <w:rPr>
          <w:rStyle w:val="CharacterStyle1"/>
          <w:spacing w:val="-1"/>
          <w:sz w:val="24"/>
          <w:szCs w:val="24"/>
        </w:rPr>
        <w:t xml:space="preserve"> </w:t>
      </w:r>
    </w:p>
    <w:p w14:paraId="0236C556" w14:textId="77777777" w:rsidR="006C6232" w:rsidRPr="001F6DCE" w:rsidRDefault="006C6232" w:rsidP="00C94A37">
      <w:pPr>
        <w:pStyle w:val="ListParagraph"/>
        <w:ind w:left="0"/>
        <w:jc w:val="both"/>
        <w:rPr>
          <w:rStyle w:val="CharacterStyle1"/>
          <w:spacing w:val="-1"/>
          <w:sz w:val="24"/>
          <w:szCs w:val="24"/>
        </w:rPr>
      </w:pPr>
    </w:p>
    <w:p w14:paraId="0A3D1D9B" w14:textId="11C2C497" w:rsidR="00873646" w:rsidRPr="001F6DCE" w:rsidRDefault="00873646" w:rsidP="00C94A37">
      <w:pPr>
        <w:pStyle w:val="ListParagraph"/>
        <w:numPr>
          <w:ilvl w:val="0"/>
          <w:numId w:val="16"/>
        </w:numPr>
        <w:ind w:left="0" w:firstLine="0"/>
        <w:jc w:val="both"/>
        <w:rPr>
          <w:rStyle w:val="CharacterStyle1"/>
          <w:spacing w:val="-1"/>
          <w:sz w:val="24"/>
          <w:szCs w:val="24"/>
        </w:rPr>
      </w:pPr>
      <w:r w:rsidRPr="001F6DCE">
        <w:rPr>
          <w:rStyle w:val="CharacterStyle1"/>
          <w:spacing w:val="-1"/>
          <w:sz w:val="24"/>
          <w:szCs w:val="24"/>
        </w:rPr>
        <w:t xml:space="preserve">The Health Care System Development Strategy 2008-2017 </w:t>
      </w:r>
      <w:r w:rsidR="0012421E" w:rsidRPr="001F6DCE">
        <w:rPr>
          <w:rStyle w:val="CharacterStyle1"/>
          <w:spacing w:val="-1"/>
          <w:sz w:val="24"/>
          <w:szCs w:val="24"/>
        </w:rPr>
        <w:t>wa</w:t>
      </w:r>
      <w:r w:rsidRPr="001F6DCE">
        <w:rPr>
          <w:rStyle w:val="CharacterStyle1"/>
          <w:spacing w:val="-1"/>
          <w:sz w:val="24"/>
          <w:szCs w:val="24"/>
        </w:rPr>
        <w:t>s the cornerstone of the Government program</w:t>
      </w:r>
      <w:r w:rsidR="0012421E" w:rsidRPr="001F6DCE">
        <w:rPr>
          <w:rStyle w:val="CharacterStyle1"/>
          <w:spacing w:val="-1"/>
          <w:sz w:val="24"/>
          <w:szCs w:val="24"/>
        </w:rPr>
        <w:t xml:space="preserve"> at the time of project preparation. Early during the project </w:t>
      </w:r>
      <w:r w:rsidR="000C0D9B" w:rsidRPr="001F6DCE">
        <w:rPr>
          <w:rStyle w:val="CharacterStyle1"/>
          <w:spacing w:val="-1"/>
          <w:sz w:val="24"/>
          <w:szCs w:val="24"/>
        </w:rPr>
        <w:t>lifetime,</w:t>
      </w:r>
      <w:r w:rsidR="0012421E" w:rsidRPr="001F6DCE">
        <w:rPr>
          <w:rStyle w:val="CharacterStyle1"/>
          <w:spacing w:val="-1"/>
          <w:sz w:val="24"/>
          <w:szCs w:val="24"/>
        </w:rPr>
        <w:t xml:space="preserve"> the strategy was upgraded and extended till 2018 with the aim to conduct monitoring and evaluation of its implementation and elaborate new strategy paper encompassing key health sector reforms in the medium term</w:t>
      </w:r>
      <w:r w:rsidRPr="001F6DCE">
        <w:rPr>
          <w:rStyle w:val="CharacterStyle1"/>
          <w:spacing w:val="-1"/>
          <w:sz w:val="24"/>
          <w:szCs w:val="24"/>
        </w:rPr>
        <w:t xml:space="preserve">.  This comprehensive strategy follows the WHO’s health system framework (as defined in the World Health Report 2000) and is accompanied by an action plan and a monitoring framework. </w:t>
      </w:r>
      <w:r w:rsidR="00D752B2" w:rsidRPr="001F6DCE">
        <w:rPr>
          <w:rStyle w:val="CharacterStyle1"/>
          <w:spacing w:val="-1"/>
          <w:sz w:val="24"/>
          <w:szCs w:val="24"/>
        </w:rPr>
        <w:t xml:space="preserve">The financial coverage of the Government program is stipulated in the 3-year medium-term expenditure framework which is upgraded annually. </w:t>
      </w:r>
      <w:r w:rsidRPr="001F6DCE">
        <w:rPr>
          <w:rStyle w:val="CharacterStyle1"/>
          <w:spacing w:val="-1"/>
          <w:sz w:val="24"/>
          <w:szCs w:val="24"/>
        </w:rPr>
        <w:t xml:space="preserve">The government program </w:t>
      </w:r>
      <w:proofErr w:type="gramStart"/>
      <w:r w:rsidR="00D415E5" w:rsidRPr="001F6DCE">
        <w:rPr>
          <w:rStyle w:val="CharacterStyle1"/>
          <w:spacing w:val="-1"/>
          <w:sz w:val="24"/>
          <w:szCs w:val="24"/>
        </w:rPr>
        <w:t xml:space="preserve">maintained </w:t>
      </w:r>
      <w:r w:rsidRPr="001F6DCE">
        <w:rPr>
          <w:rStyle w:val="CharacterStyle1"/>
          <w:spacing w:val="-1"/>
          <w:sz w:val="24"/>
          <w:szCs w:val="24"/>
        </w:rPr>
        <w:t xml:space="preserve"> strong</w:t>
      </w:r>
      <w:proofErr w:type="gramEnd"/>
      <w:r w:rsidRPr="001F6DCE">
        <w:rPr>
          <w:rStyle w:val="CharacterStyle1"/>
          <w:spacing w:val="-1"/>
          <w:sz w:val="24"/>
          <w:szCs w:val="24"/>
        </w:rPr>
        <w:t xml:space="preserve"> focus on efficiency and quality of health services</w:t>
      </w:r>
      <w:r w:rsidR="003C5242" w:rsidRPr="001F6DCE">
        <w:rPr>
          <w:rStyle w:val="CharacterStyle1"/>
          <w:spacing w:val="-1"/>
          <w:sz w:val="24"/>
          <w:szCs w:val="24"/>
        </w:rPr>
        <w:t xml:space="preserve"> in the recent years</w:t>
      </w:r>
      <w:r w:rsidRPr="001F6DCE">
        <w:rPr>
          <w:rStyle w:val="CharacterStyle1"/>
          <w:spacing w:val="-1"/>
          <w:sz w:val="24"/>
          <w:szCs w:val="24"/>
        </w:rPr>
        <w:t>. The proposed Program represents a focused slice of the government’s comprehensive program, which aims to address some of the most critical challenges in the health sector.</w:t>
      </w:r>
    </w:p>
    <w:p w14:paraId="65A580FA" w14:textId="77777777" w:rsidR="006A5C49" w:rsidRPr="001F6DCE" w:rsidRDefault="006A5C49" w:rsidP="00C94A37">
      <w:pPr>
        <w:pStyle w:val="ListParagraph"/>
        <w:ind w:left="0"/>
        <w:jc w:val="both"/>
        <w:rPr>
          <w:rStyle w:val="CharacterStyle1"/>
          <w:spacing w:val="-1"/>
          <w:sz w:val="24"/>
          <w:szCs w:val="24"/>
        </w:rPr>
      </w:pPr>
    </w:p>
    <w:p w14:paraId="1951D419" w14:textId="77777777" w:rsidR="00844480" w:rsidRPr="001F6DCE" w:rsidRDefault="00844480" w:rsidP="00C94A37">
      <w:pPr>
        <w:pStyle w:val="ListParagraph"/>
        <w:numPr>
          <w:ilvl w:val="0"/>
          <w:numId w:val="16"/>
        </w:numPr>
        <w:ind w:left="0" w:firstLine="0"/>
        <w:jc w:val="both"/>
        <w:rPr>
          <w:rStyle w:val="CharacterStyle1"/>
          <w:spacing w:val="-1"/>
          <w:sz w:val="24"/>
          <w:szCs w:val="24"/>
        </w:rPr>
      </w:pPr>
      <w:r w:rsidRPr="001F6DCE">
        <w:rPr>
          <w:rStyle w:val="CharacterStyle1"/>
          <w:spacing w:val="-1"/>
          <w:sz w:val="24"/>
          <w:szCs w:val="24"/>
        </w:rPr>
        <w:t xml:space="preserve">A </w:t>
      </w:r>
      <w:r w:rsidR="003C5242" w:rsidRPr="001F6DCE">
        <w:rPr>
          <w:rStyle w:val="CharacterStyle1"/>
          <w:spacing w:val="-1"/>
          <w:sz w:val="24"/>
          <w:szCs w:val="24"/>
        </w:rPr>
        <w:t xml:space="preserve">three-year </w:t>
      </w:r>
      <w:r w:rsidRPr="001F6DCE">
        <w:rPr>
          <w:rStyle w:val="CharacterStyle1"/>
          <w:spacing w:val="-1"/>
          <w:sz w:val="24"/>
          <w:szCs w:val="24"/>
        </w:rPr>
        <w:t xml:space="preserve">Medium-Term Budgetary Framework (MTBF) is prepared by the Government on a rolling basis to finance the implementation of </w:t>
      </w:r>
      <w:r w:rsidR="00752C1E" w:rsidRPr="001F6DCE">
        <w:rPr>
          <w:rStyle w:val="CharacterStyle1"/>
          <w:spacing w:val="-1"/>
          <w:sz w:val="24"/>
          <w:szCs w:val="24"/>
        </w:rPr>
        <w:t xml:space="preserve">all </w:t>
      </w:r>
      <w:r w:rsidRPr="001F6DCE">
        <w:rPr>
          <w:rStyle w:val="CharacterStyle1"/>
          <w:spacing w:val="-1"/>
          <w:sz w:val="24"/>
          <w:szCs w:val="24"/>
        </w:rPr>
        <w:t>the Strateg</w:t>
      </w:r>
      <w:r w:rsidR="00752C1E" w:rsidRPr="001F6DCE">
        <w:rPr>
          <w:rStyle w:val="CharacterStyle1"/>
          <w:spacing w:val="-1"/>
          <w:sz w:val="24"/>
          <w:szCs w:val="24"/>
        </w:rPr>
        <w:t>ies and programmes in the healthcare sector</w:t>
      </w:r>
      <w:r w:rsidRPr="001F6DCE">
        <w:rPr>
          <w:rStyle w:val="CharacterStyle1"/>
          <w:spacing w:val="-1"/>
          <w:sz w:val="24"/>
          <w:szCs w:val="24"/>
        </w:rPr>
        <w:t>.</w:t>
      </w:r>
    </w:p>
    <w:p w14:paraId="7342931A" w14:textId="77777777" w:rsidR="00844480" w:rsidRPr="001F6DCE" w:rsidRDefault="00844480" w:rsidP="00C94A37">
      <w:pPr>
        <w:pStyle w:val="ListParagraph"/>
        <w:ind w:left="0"/>
        <w:jc w:val="both"/>
        <w:rPr>
          <w:rStyle w:val="CharacterStyle1"/>
          <w:spacing w:val="-1"/>
          <w:sz w:val="24"/>
          <w:szCs w:val="24"/>
        </w:rPr>
      </w:pPr>
    </w:p>
    <w:p w14:paraId="5C124C59" w14:textId="2E7CDCC0" w:rsidR="001A612C" w:rsidRPr="001F6DCE" w:rsidRDefault="001A612C" w:rsidP="00C94A37">
      <w:pPr>
        <w:pStyle w:val="ListParagraph"/>
        <w:numPr>
          <w:ilvl w:val="0"/>
          <w:numId w:val="16"/>
        </w:numPr>
        <w:ind w:left="0" w:firstLine="0"/>
        <w:jc w:val="both"/>
        <w:rPr>
          <w:szCs w:val="24"/>
        </w:rPr>
      </w:pPr>
      <w:r w:rsidRPr="001F6DCE">
        <w:rPr>
          <w:rStyle w:val="CharacterStyle1"/>
          <w:spacing w:val="-1"/>
          <w:sz w:val="24"/>
        </w:rPr>
        <w:t xml:space="preserve">Among the sectoral priority issues, the </w:t>
      </w:r>
      <w:r w:rsidR="00873646" w:rsidRPr="001F6DCE">
        <w:rPr>
          <w:rStyle w:val="CharacterStyle1"/>
          <w:spacing w:val="-1"/>
          <w:sz w:val="24"/>
        </w:rPr>
        <w:t xml:space="preserve">Health Transformation Operation </w:t>
      </w:r>
      <w:r w:rsidRPr="001F6DCE">
        <w:rPr>
          <w:rStyle w:val="CharacterStyle1"/>
          <w:spacing w:val="-1"/>
          <w:sz w:val="24"/>
        </w:rPr>
        <w:t>will focus on addressing</w:t>
      </w:r>
      <w:r w:rsidRPr="001F6DCE">
        <w:rPr>
          <w:szCs w:val="24"/>
        </w:rPr>
        <w:t xml:space="preserve"> NCD risks and health system inefficiencies. This choice was based on the following criteria: (</w:t>
      </w:r>
      <w:proofErr w:type="spellStart"/>
      <w:r w:rsidRPr="001F6DCE">
        <w:rPr>
          <w:szCs w:val="24"/>
        </w:rPr>
        <w:t>i</w:t>
      </w:r>
      <w:proofErr w:type="spellEnd"/>
      <w:r w:rsidRPr="001F6DCE">
        <w:rPr>
          <w:szCs w:val="24"/>
        </w:rPr>
        <w:t xml:space="preserve">) strategic importance of the issues, (ii) level of World Bank’s past engagement and added value, and (iii) the need for a focused Program. </w:t>
      </w:r>
      <w:r w:rsidR="00873646" w:rsidRPr="001F6DCE">
        <w:rPr>
          <w:szCs w:val="24"/>
        </w:rPr>
        <w:t>In this regard, while</w:t>
      </w:r>
      <w:r w:rsidRPr="001F6DCE">
        <w:rPr>
          <w:szCs w:val="24"/>
        </w:rPr>
        <w:t xml:space="preserve"> the Program does not explicitly focus on financial protection or informal payments, it will contribute to improvement in these important sectoral issues as part of its broader objectives.</w:t>
      </w:r>
    </w:p>
    <w:p w14:paraId="4507CE92" w14:textId="77777777" w:rsidR="00333F84" w:rsidRPr="001F6DCE" w:rsidRDefault="00333F84" w:rsidP="00333F84">
      <w:pPr>
        <w:pStyle w:val="ListParagraph"/>
        <w:rPr>
          <w:szCs w:val="24"/>
        </w:rPr>
      </w:pPr>
    </w:p>
    <w:p w14:paraId="578C8184" w14:textId="77777777" w:rsidR="00333F84" w:rsidRPr="001F6DCE" w:rsidRDefault="00333F84" w:rsidP="00C94A37">
      <w:pPr>
        <w:pStyle w:val="ListParagraph"/>
        <w:numPr>
          <w:ilvl w:val="0"/>
          <w:numId w:val="16"/>
        </w:numPr>
        <w:ind w:left="0" w:firstLine="0"/>
        <w:jc w:val="both"/>
        <w:rPr>
          <w:szCs w:val="24"/>
        </w:rPr>
      </w:pPr>
      <w:r w:rsidRPr="001F6DCE">
        <w:rPr>
          <w:szCs w:val="24"/>
        </w:rPr>
        <w:t xml:space="preserve">In the course of Program lifetime, the Government was restructured which affected all key counterparts in health sector and under the current Operation, except the National Health Insurance Fund (CNAM). </w:t>
      </w:r>
    </w:p>
    <w:p w14:paraId="445193EC" w14:textId="77777777" w:rsidR="001A612C" w:rsidRPr="001F6DCE" w:rsidRDefault="001A612C" w:rsidP="001A612C">
      <w:pPr>
        <w:pStyle w:val="NoSpacing"/>
        <w:jc w:val="both"/>
        <w:rPr>
          <w:rFonts w:ascii="Times New Roman" w:hAnsi="Times New Roman" w:cs="Times New Roman"/>
          <w:sz w:val="24"/>
          <w:szCs w:val="24"/>
        </w:rPr>
      </w:pPr>
    </w:p>
    <w:p w14:paraId="08A49EF4" w14:textId="77777777" w:rsidR="001A612C" w:rsidRPr="001F6DCE" w:rsidRDefault="007A7D0C" w:rsidP="00C94A37">
      <w:pPr>
        <w:pStyle w:val="ListParagraph"/>
        <w:numPr>
          <w:ilvl w:val="0"/>
          <w:numId w:val="16"/>
        </w:numPr>
        <w:ind w:left="0" w:firstLine="0"/>
        <w:jc w:val="both"/>
        <w:rPr>
          <w:szCs w:val="24"/>
        </w:rPr>
      </w:pPr>
      <w:r w:rsidRPr="001F6DCE">
        <w:rPr>
          <w:szCs w:val="24"/>
        </w:rPr>
        <w:t>The Program for Results</w:t>
      </w:r>
      <w:r w:rsidR="001A612C" w:rsidRPr="001F6DCE">
        <w:rPr>
          <w:szCs w:val="24"/>
        </w:rPr>
        <w:t xml:space="preserve"> is based on the government program and corresponds to 5 of 1</w:t>
      </w:r>
      <w:r w:rsidR="00873646" w:rsidRPr="001F6DCE">
        <w:rPr>
          <w:szCs w:val="24"/>
        </w:rPr>
        <w:t>7</w:t>
      </w:r>
      <w:r w:rsidR="001A612C" w:rsidRPr="001F6DCE">
        <w:rPr>
          <w:szCs w:val="24"/>
        </w:rPr>
        <w:t xml:space="preserve"> sub-programs of the MTBF, namely:</w:t>
      </w:r>
    </w:p>
    <w:p w14:paraId="2E729E6E" w14:textId="77777777" w:rsidR="001A612C" w:rsidRPr="001F6DCE" w:rsidRDefault="001A612C" w:rsidP="001A612C">
      <w:pPr>
        <w:pStyle w:val="NoSpacing"/>
        <w:ind w:left="1004"/>
        <w:jc w:val="both"/>
        <w:rPr>
          <w:rFonts w:ascii="Times New Roman" w:hAnsi="Times New Roman" w:cs="Times New Roman"/>
          <w:sz w:val="24"/>
          <w:szCs w:val="24"/>
        </w:rPr>
      </w:pPr>
    </w:p>
    <w:p w14:paraId="7E34A6BE" w14:textId="072D8A65" w:rsidR="001A612C" w:rsidRPr="001F6DCE" w:rsidRDefault="001A612C" w:rsidP="00C94A37">
      <w:pPr>
        <w:pStyle w:val="NoSpacing"/>
        <w:numPr>
          <w:ilvl w:val="0"/>
          <w:numId w:val="3"/>
        </w:numPr>
        <w:ind w:left="1440" w:hanging="720"/>
        <w:jc w:val="both"/>
        <w:rPr>
          <w:rFonts w:ascii="Times New Roman" w:hAnsi="Times New Roman" w:cs="Times New Roman"/>
          <w:sz w:val="24"/>
          <w:szCs w:val="24"/>
        </w:rPr>
      </w:pPr>
      <w:r w:rsidRPr="001F6DCE">
        <w:rPr>
          <w:rFonts w:ascii="Times New Roman" w:hAnsi="Times New Roman" w:cs="Times New Roman"/>
          <w:i/>
          <w:sz w:val="24"/>
          <w:szCs w:val="24"/>
        </w:rPr>
        <w:t xml:space="preserve">Sub-program I - </w:t>
      </w:r>
      <w:r w:rsidRPr="001F6DCE">
        <w:rPr>
          <w:rFonts w:ascii="Times New Roman" w:hAnsi="Times New Roman" w:cs="Times New Roman"/>
          <w:sz w:val="24"/>
          <w:szCs w:val="24"/>
        </w:rPr>
        <w:t>“</w:t>
      </w:r>
      <w:r w:rsidRPr="001F6DCE">
        <w:rPr>
          <w:rFonts w:ascii="Times New Roman" w:hAnsi="Times New Roman" w:cs="Times New Roman"/>
          <w:i/>
          <w:sz w:val="24"/>
          <w:szCs w:val="24"/>
        </w:rPr>
        <w:t>Policies and management in health care”</w:t>
      </w:r>
      <w:r w:rsidRPr="001F6DCE">
        <w:rPr>
          <w:rFonts w:ascii="Times New Roman" w:hAnsi="Times New Roman" w:cs="Times New Roman"/>
          <w:sz w:val="24"/>
          <w:szCs w:val="24"/>
        </w:rPr>
        <w:t xml:space="preserve"> (Implementing agency: </w:t>
      </w:r>
      <w:r w:rsidR="00333F84" w:rsidRPr="001F6DCE">
        <w:rPr>
          <w:rFonts w:ascii="Times New Roman" w:hAnsi="Times New Roman" w:cs="Times New Roman"/>
          <w:sz w:val="24"/>
          <w:szCs w:val="24"/>
        </w:rPr>
        <w:t xml:space="preserve">initially </w:t>
      </w:r>
      <w:r w:rsidRPr="001F6DCE">
        <w:rPr>
          <w:rFonts w:ascii="Times New Roman" w:hAnsi="Times New Roman" w:cs="Times New Roman"/>
          <w:sz w:val="24"/>
          <w:szCs w:val="24"/>
        </w:rPr>
        <w:t xml:space="preserve">the </w:t>
      </w:r>
      <w:r w:rsidR="00AB062A" w:rsidRPr="001F6DCE">
        <w:rPr>
          <w:rFonts w:ascii="Times New Roman" w:hAnsi="Times New Roman" w:cs="Times New Roman"/>
          <w:sz w:val="24"/>
          <w:szCs w:val="24"/>
        </w:rPr>
        <w:t>MOH</w:t>
      </w:r>
      <w:r w:rsidR="00333F84" w:rsidRPr="001F6DCE">
        <w:rPr>
          <w:rFonts w:ascii="Times New Roman" w:hAnsi="Times New Roman" w:cs="Times New Roman"/>
          <w:sz w:val="24"/>
          <w:szCs w:val="24"/>
        </w:rPr>
        <w:t xml:space="preserve">, but since 2017 - </w:t>
      </w:r>
      <w:proofErr w:type="spellStart"/>
      <w:r w:rsidR="00333F84" w:rsidRPr="001F6DCE">
        <w:rPr>
          <w:rFonts w:ascii="Times New Roman" w:hAnsi="Times New Roman" w:cs="Times New Roman"/>
          <w:sz w:val="24"/>
          <w:szCs w:val="24"/>
        </w:rPr>
        <w:t>MoHLSP</w:t>
      </w:r>
      <w:proofErr w:type="spellEnd"/>
      <w:r w:rsidRPr="001F6DCE">
        <w:rPr>
          <w:rFonts w:ascii="Times New Roman" w:hAnsi="Times New Roman" w:cs="Times New Roman"/>
          <w:sz w:val="24"/>
          <w:szCs w:val="24"/>
        </w:rPr>
        <w:t xml:space="preserve">). This sub-program represents the operating budget for the </w:t>
      </w:r>
      <w:r w:rsidR="00AB062A" w:rsidRPr="001F6DCE">
        <w:rPr>
          <w:rFonts w:ascii="Times New Roman" w:hAnsi="Times New Roman" w:cs="Times New Roman"/>
          <w:sz w:val="24"/>
          <w:szCs w:val="24"/>
        </w:rPr>
        <w:t>MOH</w:t>
      </w:r>
      <w:r w:rsidR="00333F84" w:rsidRPr="001F6DCE">
        <w:rPr>
          <w:rFonts w:ascii="Times New Roman" w:hAnsi="Times New Roman" w:cs="Times New Roman"/>
          <w:sz w:val="24"/>
          <w:szCs w:val="24"/>
        </w:rPr>
        <w:t>/</w:t>
      </w:r>
      <w:proofErr w:type="spellStart"/>
      <w:r w:rsidR="00333F84" w:rsidRPr="001F6DCE">
        <w:rPr>
          <w:rFonts w:ascii="Times New Roman" w:hAnsi="Times New Roman" w:cs="Times New Roman"/>
          <w:sz w:val="24"/>
          <w:szCs w:val="24"/>
        </w:rPr>
        <w:t>MoHLSP</w:t>
      </w:r>
      <w:proofErr w:type="spellEnd"/>
      <w:r w:rsidRPr="001F6DCE">
        <w:rPr>
          <w:rFonts w:ascii="Times New Roman" w:hAnsi="Times New Roman" w:cs="Times New Roman"/>
          <w:sz w:val="24"/>
          <w:szCs w:val="24"/>
        </w:rPr>
        <w:t xml:space="preserve"> to carry out its functions which include: (</w:t>
      </w:r>
      <w:r w:rsidRPr="001F6DCE">
        <w:rPr>
          <w:rFonts w:ascii="Times New Roman" w:eastAsia="Times New Roman" w:hAnsi="Times New Roman" w:cs="Times New Roman"/>
          <w:color w:val="333333"/>
          <w:sz w:val="24"/>
          <w:szCs w:val="24"/>
        </w:rPr>
        <w:t xml:space="preserve">a) health policy and strategy formulation; (b) coordination, </w:t>
      </w:r>
      <w:r w:rsidRPr="001F6DCE">
        <w:rPr>
          <w:rFonts w:ascii="Times New Roman" w:eastAsia="Times New Roman" w:hAnsi="Times New Roman" w:cs="Times New Roman"/>
          <w:color w:val="333333"/>
          <w:sz w:val="24"/>
          <w:szCs w:val="24"/>
        </w:rPr>
        <w:lastRenderedPageBreak/>
        <w:t xml:space="preserve">regulation and quality assurance for all health providers; (c) planning of health resources; (d) management of national health programs; and (e) coordination of multi-sectoral collaboration in health. </w:t>
      </w:r>
    </w:p>
    <w:p w14:paraId="44EDBD7C" w14:textId="77777777" w:rsidR="00C94A37" w:rsidRPr="001F6DCE" w:rsidRDefault="00C94A37" w:rsidP="00C94A37">
      <w:pPr>
        <w:pStyle w:val="NoSpacing"/>
        <w:ind w:left="1440"/>
        <w:jc w:val="both"/>
        <w:rPr>
          <w:rFonts w:ascii="Times New Roman" w:hAnsi="Times New Roman" w:cs="Times New Roman"/>
          <w:sz w:val="24"/>
          <w:szCs w:val="24"/>
        </w:rPr>
      </w:pPr>
    </w:p>
    <w:p w14:paraId="6F8B1EA0" w14:textId="77777777" w:rsidR="001A612C" w:rsidRPr="001F6DCE" w:rsidRDefault="001A612C" w:rsidP="00C94A37">
      <w:pPr>
        <w:pStyle w:val="NoSpacing"/>
        <w:numPr>
          <w:ilvl w:val="0"/>
          <w:numId w:val="3"/>
        </w:numPr>
        <w:ind w:left="1440" w:hanging="720"/>
        <w:jc w:val="both"/>
        <w:rPr>
          <w:rFonts w:ascii="Times New Roman" w:hAnsi="Times New Roman" w:cs="Times New Roman"/>
          <w:sz w:val="24"/>
          <w:szCs w:val="24"/>
        </w:rPr>
      </w:pPr>
      <w:r w:rsidRPr="001F6DCE">
        <w:rPr>
          <w:rFonts w:ascii="Times New Roman" w:hAnsi="Times New Roman" w:cs="Times New Roman"/>
          <w:i/>
          <w:sz w:val="24"/>
          <w:szCs w:val="24"/>
        </w:rPr>
        <w:t xml:space="preserve">Sub-program II - </w:t>
      </w:r>
      <w:r w:rsidRPr="001F6DCE">
        <w:rPr>
          <w:rFonts w:ascii="Times New Roman" w:hAnsi="Times New Roman" w:cs="Times New Roman"/>
          <w:sz w:val="24"/>
          <w:szCs w:val="24"/>
        </w:rPr>
        <w:t>“</w:t>
      </w:r>
      <w:r w:rsidRPr="001F6DCE">
        <w:rPr>
          <w:rFonts w:ascii="Times New Roman" w:hAnsi="Times New Roman" w:cs="Times New Roman"/>
          <w:i/>
          <w:sz w:val="24"/>
          <w:szCs w:val="24"/>
        </w:rPr>
        <w:t>Administration of mandatory health insurance fund</w:t>
      </w:r>
      <w:r w:rsidRPr="001F6DCE">
        <w:rPr>
          <w:rFonts w:ascii="Times New Roman" w:hAnsi="Times New Roman" w:cs="Times New Roman"/>
          <w:sz w:val="24"/>
          <w:szCs w:val="24"/>
        </w:rPr>
        <w:t xml:space="preserve">” (Implementing agency: CNAM). This sub-program represents the operating budget for CNAM central and regional offices to carry out its functions which include:  (a) managing the health insurance fund; (b) contracting health providers for the provision of services; and (c) verifying the provision of services by providers to be in line with the contracts.  </w:t>
      </w:r>
    </w:p>
    <w:p w14:paraId="4722E57F" w14:textId="77777777" w:rsidR="00C94A37" w:rsidRPr="001F6DCE" w:rsidRDefault="00C94A37" w:rsidP="00C94A37">
      <w:pPr>
        <w:pStyle w:val="NoSpacing"/>
        <w:jc w:val="both"/>
        <w:rPr>
          <w:rFonts w:ascii="Times New Roman" w:hAnsi="Times New Roman" w:cs="Times New Roman"/>
          <w:sz w:val="24"/>
          <w:szCs w:val="24"/>
        </w:rPr>
      </w:pPr>
    </w:p>
    <w:p w14:paraId="20CB1F44" w14:textId="4CE8032E" w:rsidR="001A612C" w:rsidRPr="001F6DCE" w:rsidRDefault="001A612C" w:rsidP="00C94A37">
      <w:pPr>
        <w:pStyle w:val="NoSpacing"/>
        <w:numPr>
          <w:ilvl w:val="0"/>
          <w:numId w:val="3"/>
        </w:numPr>
        <w:ind w:left="1440" w:hanging="720"/>
        <w:jc w:val="both"/>
        <w:rPr>
          <w:rFonts w:ascii="Times New Roman" w:hAnsi="Times New Roman" w:cs="Times New Roman"/>
          <w:sz w:val="24"/>
          <w:szCs w:val="24"/>
        </w:rPr>
      </w:pPr>
      <w:r w:rsidRPr="001F6DCE">
        <w:rPr>
          <w:rFonts w:ascii="Times New Roman" w:hAnsi="Times New Roman" w:cs="Times New Roman"/>
          <w:i/>
          <w:sz w:val="24"/>
          <w:szCs w:val="24"/>
        </w:rPr>
        <w:t>Sub-program V -</w:t>
      </w:r>
      <w:r w:rsidRPr="001F6DCE">
        <w:rPr>
          <w:rFonts w:ascii="Times New Roman" w:hAnsi="Times New Roman" w:cs="Times New Roman"/>
          <w:sz w:val="24"/>
          <w:szCs w:val="24"/>
        </w:rPr>
        <w:t xml:space="preserve"> “</w:t>
      </w:r>
      <w:r w:rsidRPr="001F6DCE">
        <w:rPr>
          <w:rFonts w:ascii="Times New Roman" w:hAnsi="Times New Roman" w:cs="Times New Roman"/>
          <w:i/>
          <w:sz w:val="24"/>
          <w:szCs w:val="24"/>
        </w:rPr>
        <w:t>Primary Care Services</w:t>
      </w:r>
      <w:r w:rsidRPr="001F6DCE">
        <w:rPr>
          <w:rFonts w:ascii="Times New Roman" w:hAnsi="Times New Roman" w:cs="Times New Roman"/>
          <w:sz w:val="24"/>
          <w:szCs w:val="24"/>
        </w:rPr>
        <w:t>” (Implementing agency: CNAM). This sub-program</w:t>
      </w:r>
      <w:r w:rsidRPr="001F6DCE">
        <w:rPr>
          <w:rFonts w:ascii="Times New Roman" w:hAnsi="Times New Roman" w:cs="Times New Roman"/>
          <w:i/>
          <w:sz w:val="24"/>
          <w:szCs w:val="24"/>
        </w:rPr>
        <w:t xml:space="preserve"> </w:t>
      </w:r>
      <w:r w:rsidRPr="001F6DCE">
        <w:rPr>
          <w:rFonts w:ascii="Times New Roman" w:hAnsi="Times New Roman" w:cs="Times New Roman"/>
          <w:sz w:val="24"/>
          <w:szCs w:val="24"/>
        </w:rPr>
        <w:t xml:space="preserve">includes the following </w:t>
      </w:r>
      <w:r w:rsidR="00873646" w:rsidRPr="001F6DCE">
        <w:rPr>
          <w:rFonts w:ascii="Times New Roman" w:hAnsi="Times New Roman" w:cs="Times New Roman"/>
          <w:sz w:val="24"/>
          <w:szCs w:val="24"/>
        </w:rPr>
        <w:t xml:space="preserve">CNAM </w:t>
      </w:r>
      <w:r w:rsidRPr="001F6DCE">
        <w:rPr>
          <w:rFonts w:ascii="Times New Roman" w:hAnsi="Times New Roman" w:cs="Times New Roman"/>
          <w:sz w:val="24"/>
          <w:szCs w:val="24"/>
        </w:rPr>
        <w:t>activities: (a) contracting family medicine providers to deliver primary care services; and (b) reimbursing pharmacies for the out-patient drug benefit package.</w:t>
      </w:r>
      <w:r w:rsidRPr="001F6DCE">
        <w:rPr>
          <w:rStyle w:val="FootnoteReference"/>
          <w:rFonts w:ascii="Times New Roman" w:hAnsi="Times New Roman"/>
          <w:sz w:val="24"/>
          <w:szCs w:val="24"/>
        </w:rPr>
        <w:footnoteReference w:id="1"/>
      </w:r>
      <w:r w:rsidRPr="001F6DCE">
        <w:rPr>
          <w:rFonts w:ascii="Times New Roman" w:hAnsi="Times New Roman" w:cs="Times New Roman"/>
          <w:sz w:val="24"/>
          <w:szCs w:val="24"/>
        </w:rPr>
        <w:t xml:space="preserve">  The Program is limited to two categories under this sub-program: (a) performance-based incentives for Family Medicine providers under CNAM contracts; and (b) CNAM reimbursement of hypertensive drugs in the outpatient drug benefit package. For performance-based incentives in family medicine, the Program will provide incentives on top of the capitation-based payment for primary care providers. The amount of incentive payment will correspond to each provider’s achievement of a set of revised payment indicators related to the coverage and quality of selected family medicine services, including those for NCDs.  With regard to the out-patient drug benefit package, the Program increase</w:t>
      </w:r>
      <w:r w:rsidR="00333F84" w:rsidRPr="001F6DCE">
        <w:rPr>
          <w:rFonts w:ascii="Times New Roman" w:hAnsi="Times New Roman" w:cs="Times New Roman"/>
          <w:sz w:val="24"/>
          <w:szCs w:val="24"/>
        </w:rPr>
        <w:t>d</w:t>
      </w:r>
      <w:r w:rsidRPr="001F6DCE">
        <w:rPr>
          <w:rFonts w:ascii="Times New Roman" w:hAnsi="Times New Roman" w:cs="Times New Roman"/>
          <w:sz w:val="24"/>
          <w:szCs w:val="24"/>
        </w:rPr>
        <w:t xml:space="preserve"> the reimbursement rates for selected anti-hypertensive drugs in the </w:t>
      </w:r>
      <w:r w:rsidR="00515880" w:rsidRPr="001F6DCE">
        <w:rPr>
          <w:rFonts w:ascii="Times New Roman" w:hAnsi="Times New Roman" w:cs="Times New Roman"/>
          <w:sz w:val="24"/>
          <w:szCs w:val="24"/>
        </w:rPr>
        <w:t xml:space="preserve">benefit </w:t>
      </w:r>
      <w:r w:rsidRPr="001F6DCE">
        <w:rPr>
          <w:rFonts w:ascii="Times New Roman" w:hAnsi="Times New Roman" w:cs="Times New Roman"/>
          <w:sz w:val="24"/>
          <w:szCs w:val="24"/>
        </w:rPr>
        <w:t xml:space="preserve">package with the aim to improve patient’s compliance with hypertension drug therapy. </w:t>
      </w:r>
    </w:p>
    <w:p w14:paraId="2B7B3D49" w14:textId="77777777" w:rsidR="00C94A37" w:rsidRPr="001F6DCE" w:rsidRDefault="00C94A37" w:rsidP="00C94A37">
      <w:pPr>
        <w:pStyle w:val="NoSpacing"/>
        <w:ind w:left="1440"/>
        <w:jc w:val="both"/>
        <w:rPr>
          <w:rFonts w:ascii="Times New Roman" w:hAnsi="Times New Roman" w:cs="Times New Roman"/>
          <w:sz w:val="24"/>
          <w:szCs w:val="24"/>
        </w:rPr>
      </w:pPr>
    </w:p>
    <w:p w14:paraId="31EADB3C" w14:textId="7BCEEA60" w:rsidR="001A612C" w:rsidRPr="001F6DCE" w:rsidRDefault="001A612C" w:rsidP="00C94A37">
      <w:pPr>
        <w:pStyle w:val="NoSpacing"/>
        <w:numPr>
          <w:ilvl w:val="0"/>
          <w:numId w:val="3"/>
        </w:numPr>
        <w:ind w:left="1440" w:hanging="720"/>
        <w:jc w:val="both"/>
        <w:rPr>
          <w:rFonts w:ascii="Times New Roman" w:hAnsi="Times New Roman" w:cs="Times New Roman"/>
          <w:sz w:val="24"/>
          <w:szCs w:val="24"/>
        </w:rPr>
      </w:pPr>
      <w:r w:rsidRPr="001F6DCE">
        <w:rPr>
          <w:rFonts w:ascii="Times New Roman" w:hAnsi="Times New Roman" w:cs="Times New Roman"/>
          <w:i/>
          <w:sz w:val="24"/>
          <w:szCs w:val="24"/>
        </w:rPr>
        <w:t>Sub-program IX: “In-patient Care”</w:t>
      </w:r>
      <w:r w:rsidRPr="001F6DCE">
        <w:rPr>
          <w:rFonts w:ascii="Times New Roman" w:hAnsi="Times New Roman" w:cs="Times New Roman"/>
          <w:sz w:val="24"/>
          <w:szCs w:val="24"/>
        </w:rPr>
        <w:t xml:space="preserve"> (Implementing agency: CNAM).</w:t>
      </w:r>
      <w:r w:rsidRPr="001F6DCE">
        <w:rPr>
          <w:rFonts w:ascii="Times New Roman" w:hAnsi="Times New Roman" w:cs="Times New Roman"/>
          <w:i/>
          <w:sz w:val="24"/>
          <w:szCs w:val="24"/>
        </w:rPr>
        <w:t xml:space="preserve"> </w:t>
      </w:r>
      <w:r w:rsidRPr="001F6DCE">
        <w:rPr>
          <w:rFonts w:ascii="Times New Roman" w:hAnsi="Times New Roman" w:cs="Times New Roman"/>
          <w:sz w:val="24"/>
          <w:szCs w:val="24"/>
        </w:rPr>
        <w:t>This sub-program</w:t>
      </w:r>
      <w:r w:rsidRPr="001F6DCE">
        <w:rPr>
          <w:rFonts w:ascii="Times New Roman" w:hAnsi="Times New Roman" w:cs="Times New Roman"/>
          <w:i/>
          <w:sz w:val="24"/>
          <w:szCs w:val="24"/>
        </w:rPr>
        <w:t xml:space="preserve"> </w:t>
      </w:r>
      <w:r w:rsidRPr="001F6DCE">
        <w:rPr>
          <w:rFonts w:ascii="Times New Roman" w:hAnsi="Times New Roman" w:cs="Times New Roman"/>
          <w:sz w:val="24"/>
          <w:szCs w:val="24"/>
        </w:rPr>
        <w:t>includes the contracting of hospitals to deliver in-patient care by CNAM.  The Program is limited to one cat</w:t>
      </w:r>
      <w:r w:rsidR="008505C8" w:rsidRPr="001F6DCE">
        <w:rPr>
          <w:rFonts w:ascii="Times New Roman" w:hAnsi="Times New Roman" w:cs="Times New Roman"/>
          <w:sz w:val="24"/>
          <w:szCs w:val="24"/>
        </w:rPr>
        <w:t xml:space="preserve">egory under this sub-program - </w:t>
      </w:r>
      <w:r w:rsidRPr="001F6DCE">
        <w:rPr>
          <w:rFonts w:ascii="Times New Roman" w:hAnsi="Times New Roman" w:cs="Times New Roman"/>
          <w:sz w:val="24"/>
          <w:szCs w:val="24"/>
        </w:rPr>
        <w:t xml:space="preserve">performance-based incentives for hospitals. It will provide incentives on top of the DRG payment mechanism for hospitals. The amount of incentive payment will correspond to each hospital’s achievement of a set of performance indicators related to quality and efficiency of selected hospital services. </w:t>
      </w:r>
    </w:p>
    <w:p w14:paraId="19E94BBD" w14:textId="77777777" w:rsidR="00C94A37" w:rsidRPr="001F6DCE" w:rsidRDefault="00C94A37" w:rsidP="00C94A37">
      <w:pPr>
        <w:pStyle w:val="NoSpacing"/>
        <w:jc w:val="both"/>
        <w:rPr>
          <w:rFonts w:ascii="Times New Roman" w:hAnsi="Times New Roman" w:cs="Times New Roman"/>
          <w:sz w:val="24"/>
          <w:szCs w:val="24"/>
        </w:rPr>
      </w:pPr>
    </w:p>
    <w:p w14:paraId="260B5B51" w14:textId="4EE64264" w:rsidR="001A612C" w:rsidRPr="001F6DCE" w:rsidRDefault="001A612C" w:rsidP="00C94A37">
      <w:pPr>
        <w:pStyle w:val="NoSpacing"/>
        <w:numPr>
          <w:ilvl w:val="0"/>
          <w:numId w:val="3"/>
        </w:numPr>
        <w:ind w:left="1440" w:hanging="720"/>
        <w:jc w:val="both"/>
        <w:rPr>
          <w:rFonts w:ascii="Times New Roman" w:hAnsi="Times New Roman" w:cs="Times New Roman"/>
          <w:sz w:val="24"/>
          <w:szCs w:val="24"/>
        </w:rPr>
      </w:pPr>
      <w:r w:rsidRPr="001F6DCE">
        <w:rPr>
          <w:rFonts w:ascii="Times New Roman" w:hAnsi="Times New Roman" w:cs="Times New Roman"/>
          <w:sz w:val="24"/>
          <w:szCs w:val="24"/>
        </w:rPr>
        <w:t xml:space="preserve">Sub-program XIX: “National special health programs” (Implementing agency: </w:t>
      </w:r>
      <w:r w:rsidR="00515880" w:rsidRPr="001F6DCE">
        <w:rPr>
          <w:rFonts w:ascii="Times New Roman" w:hAnsi="Times New Roman" w:cs="Times New Roman"/>
          <w:sz w:val="24"/>
          <w:szCs w:val="24"/>
        </w:rPr>
        <w:t xml:space="preserve">initially </w:t>
      </w:r>
      <w:r w:rsidRPr="001F6DCE">
        <w:rPr>
          <w:rFonts w:ascii="Times New Roman" w:hAnsi="Times New Roman" w:cs="Times New Roman"/>
          <w:sz w:val="24"/>
          <w:szCs w:val="24"/>
        </w:rPr>
        <w:t xml:space="preserve">the </w:t>
      </w:r>
      <w:r w:rsidR="00AB062A" w:rsidRPr="001F6DCE">
        <w:rPr>
          <w:rFonts w:ascii="Times New Roman" w:hAnsi="Times New Roman" w:cs="Times New Roman"/>
          <w:sz w:val="24"/>
          <w:szCs w:val="24"/>
        </w:rPr>
        <w:t>MOH</w:t>
      </w:r>
      <w:r w:rsidR="00515880" w:rsidRPr="001F6DCE">
        <w:rPr>
          <w:rFonts w:ascii="Times New Roman" w:hAnsi="Times New Roman" w:cs="Times New Roman"/>
          <w:sz w:val="24"/>
          <w:szCs w:val="24"/>
        </w:rPr>
        <w:t xml:space="preserve">, but since 2017 - </w:t>
      </w:r>
      <w:proofErr w:type="spellStart"/>
      <w:r w:rsidR="00515880" w:rsidRPr="001F6DCE">
        <w:rPr>
          <w:rFonts w:ascii="Times New Roman" w:hAnsi="Times New Roman" w:cs="Times New Roman"/>
          <w:sz w:val="24"/>
          <w:szCs w:val="24"/>
        </w:rPr>
        <w:t>MoHLSP</w:t>
      </w:r>
      <w:proofErr w:type="spellEnd"/>
      <w:r w:rsidRPr="001F6DCE">
        <w:rPr>
          <w:rFonts w:ascii="Times New Roman" w:hAnsi="Times New Roman" w:cs="Times New Roman"/>
          <w:sz w:val="24"/>
          <w:szCs w:val="24"/>
        </w:rPr>
        <w:t xml:space="preserve">). Under this sub-program, the Program is limited to National Tobacco Control </w:t>
      </w:r>
      <w:proofErr w:type="spellStart"/>
      <w:r w:rsidRPr="001F6DCE">
        <w:rPr>
          <w:rFonts w:ascii="Times New Roman" w:hAnsi="Times New Roman" w:cs="Times New Roman"/>
          <w:sz w:val="24"/>
          <w:szCs w:val="24"/>
        </w:rPr>
        <w:t>Programme</w:t>
      </w:r>
      <w:proofErr w:type="spellEnd"/>
      <w:r w:rsidRPr="001F6DCE">
        <w:rPr>
          <w:rFonts w:ascii="Times New Roman" w:hAnsi="Times New Roman" w:cs="Times New Roman"/>
          <w:sz w:val="24"/>
          <w:szCs w:val="24"/>
        </w:rPr>
        <w:t xml:space="preserve"> (NTCP</w:t>
      </w:r>
      <w:r w:rsidRPr="001F6DCE">
        <w:rPr>
          <w:rFonts w:ascii="Times New Roman" w:hAnsi="Times New Roman" w:cs="Times New Roman"/>
          <w:iCs/>
          <w:sz w:val="24"/>
          <w:szCs w:val="24"/>
        </w:rPr>
        <w:t xml:space="preserve">) which is Moldova’s comprehensive tobacco control work plan. NTCP was developed in line with the Framework Convention on Tobacco Control (FCTC) of the World Health Organization (WHO) and approved by the </w:t>
      </w:r>
      <w:r w:rsidR="00AB062A" w:rsidRPr="001F6DCE">
        <w:rPr>
          <w:rFonts w:ascii="Times New Roman" w:hAnsi="Times New Roman" w:cs="Times New Roman"/>
          <w:iCs/>
          <w:sz w:val="24"/>
          <w:szCs w:val="24"/>
        </w:rPr>
        <w:t>GOM</w:t>
      </w:r>
      <w:r w:rsidRPr="001F6DCE">
        <w:rPr>
          <w:rFonts w:ascii="Times New Roman" w:hAnsi="Times New Roman" w:cs="Times New Roman"/>
          <w:iCs/>
          <w:sz w:val="24"/>
          <w:szCs w:val="24"/>
        </w:rPr>
        <w:t xml:space="preserve"> in 2012.</w:t>
      </w:r>
      <w:r w:rsidR="007733F0" w:rsidRPr="001F6DCE">
        <w:rPr>
          <w:rFonts w:ascii="Times New Roman" w:hAnsi="Times New Roman" w:cs="Times New Roman"/>
          <w:iCs/>
          <w:sz w:val="24"/>
          <w:szCs w:val="24"/>
        </w:rPr>
        <w:t xml:space="preserve"> In 2017 the NTCP was updated to </w:t>
      </w:r>
      <w:r w:rsidR="008020AE" w:rsidRPr="001F6DCE">
        <w:rPr>
          <w:rFonts w:ascii="Times New Roman" w:hAnsi="Times New Roman" w:cs="Times New Roman"/>
          <w:iCs/>
          <w:sz w:val="24"/>
          <w:szCs w:val="24"/>
        </w:rPr>
        <w:t>support</w:t>
      </w:r>
      <w:r w:rsidR="007733F0" w:rsidRPr="001F6DCE">
        <w:rPr>
          <w:rFonts w:ascii="Times New Roman" w:hAnsi="Times New Roman" w:cs="Times New Roman"/>
          <w:iCs/>
          <w:sz w:val="24"/>
          <w:szCs w:val="24"/>
        </w:rPr>
        <w:t xml:space="preserve"> implementation of </w:t>
      </w:r>
      <w:r w:rsidR="008020AE" w:rsidRPr="001F6DCE">
        <w:rPr>
          <w:rFonts w:ascii="Times New Roman" w:hAnsi="Times New Roman" w:cs="Times New Roman"/>
          <w:iCs/>
          <w:sz w:val="24"/>
          <w:szCs w:val="24"/>
        </w:rPr>
        <w:t>anti-tobacco legislation and to improve monitoring of its enforcement.</w:t>
      </w:r>
      <w:r w:rsidRPr="001F6DCE">
        <w:rPr>
          <w:rFonts w:ascii="Times New Roman" w:hAnsi="Times New Roman" w:cs="Times New Roman"/>
          <w:iCs/>
          <w:sz w:val="24"/>
          <w:szCs w:val="24"/>
        </w:rPr>
        <w:t xml:space="preserve"> I</w:t>
      </w:r>
      <w:r w:rsidR="008020AE" w:rsidRPr="001F6DCE">
        <w:rPr>
          <w:rFonts w:ascii="Times New Roman" w:hAnsi="Times New Roman" w:cs="Times New Roman"/>
          <w:iCs/>
          <w:sz w:val="24"/>
          <w:szCs w:val="24"/>
        </w:rPr>
        <w:t xml:space="preserve">nter alia, its </w:t>
      </w:r>
      <w:r w:rsidRPr="001F6DCE">
        <w:rPr>
          <w:rFonts w:ascii="Times New Roman" w:hAnsi="Times New Roman" w:cs="Times New Roman"/>
          <w:iCs/>
          <w:sz w:val="24"/>
          <w:szCs w:val="24"/>
        </w:rPr>
        <w:t>activities include demand-</w:t>
      </w:r>
      <w:r w:rsidRPr="001F6DCE">
        <w:rPr>
          <w:rFonts w:ascii="Times New Roman" w:hAnsi="Times New Roman" w:cs="Times New Roman"/>
          <w:iCs/>
          <w:sz w:val="24"/>
          <w:szCs w:val="24"/>
        </w:rPr>
        <w:lastRenderedPageBreak/>
        <w:t>side and supply-side activities to control tobacco use</w:t>
      </w:r>
      <w:r w:rsidR="008020AE" w:rsidRPr="001F6DCE">
        <w:rPr>
          <w:rFonts w:ascii="Times New Roman" w:hAnsi="Times New Roman" w:cs="Times New Roman"/>
          <w:iCs/>
          <w:sz w:val="24"/>
          <w:szCs w:val="24"/>
        </w:rPr>
        <w:t xml:space="preserve"> such as tracking of cigarettes to prevent illicit trade, implementation of warning labelling and increase in tobacco excise, etc</w:t>
      </w:r>
      <w:r w:rsidRPr="001F6DCE">
        <w:rPr>
          <w:rFonts w:ascii="Times New Roman" w:hAnsi="Times New Roman" w:cs="Times New Roman"/>
          <w:iCs/>
          <w:sz w:val="24"/>
          <w:szCs w:val="24"/>
        </w:rPr>
        <w:t xml:space="preserve">.   </w:t>
      </w:r>
    </w:p>
    <w:p w14:paraId="1CBAFB1C" w14:textId="77777777" w:rsidR="00C94A37" w:rsidRPr="001F6DCE" w:rsidRDefault="00C94A37" w:rsidP="001A612C">
      <w:pPr>
        <w:tabs>
          <w:tab w:val="left" w:pos="0"/>
        </w:tabs>
        <w:jc w:val="both"/>
        <w:rPr>
          <w:color w:val="000000"/>
          <w:szCs w:val="24"/>
        </w:rPr>
      </w:pPr>
    </w:p>
    <w:p w14:paraId="4C401BFD" w14:textId="728DDC87" w:rsidR="00BA54CD" w:rsidRPr="001F6DCE" w:rsidRDefault="007A7D0C" w:rsidP="00C94A37">
      <w:pPr>
        <w:pStyle w:val="ListParagraph"/>
        <w:numPr>
          <w:ilvl w:val="0"/>
          <w:numId w:val="16"/>
        </w:numPr>
        <w:ind w:left="0" w:firstLine="0"/>
        <w:jc w:val="both"/>
      </w:pPr>
      <w:r w:rsidRPr="001F6DCE">
        <w:rPr>
          <w:color w:val="000000"/>
          <w:szCs w:val="24"/>
        </w:rPr>
        <w:t xml:space="preserve">The above sub-programs constitute the Health Transformation Program (or Program) to be supported by the project. </w:t>
      </w:r>
      <w:r w:rsidR="001A612C" w:rsidRPr="001F6DCE">
        <w:rPr>
          <w:color w:val="000000"/>
          <w:szCs w:val="24"/>
        </w:rPr>
        <w:t xml:space="preserve">The scope of the proposed Program excludes high-risk activities, defined as those that: (a) are judged to be likely to have significant adverse impacts that are sensitive, diverse, or </w:t>
      </w:r>
      <w:r w:rsidR="001A612C" w:rsidRPr="001F6DCE">
        <w:rPr>
          <w:szCs w:val="24"/>
        </w:rPr>
        <w:t>unprecedented</w:t>
      </w:r>
      <w:r w:rsidR="001A612C" w:rsidRPr="001F6DCE">
        <w:rPr>
          <w:color w:val="000000"/>
          <w:szCs w:val="24"/>
        </w:rPr>
        <w:t xml:space="preserve"> on the environment and/or affected the population; or (b) involve procurement of goods, works, and services under high-value contracts.</w:t>
      </w:r>
    </w:p>
    <w:p w14:paraId="527EA94D" w14:textId="77777777" w:rsidR="001A612C" w:rsidRPr="001F6DCE" w:rsidRDefault="001A612C" w:rsidP="00A04983">
      <w:pPr>
        <w:tabs>
          <w:tab w:val="left" w:pos="0"/>
        </w:tabs>
        <w:jc w:val="both"/>
      </w:pPr>
    </w:p>
    <w:p w14:paraId="6031DA7E" w14:textId="77777777" w:rsidR="00C723A8" w:rsidRPr="001F6DCE" w:rsidRDefault="00844480" w:rsidP="00633F4F">
      <w:pPr>
        <w:pStyle w:val="ListParagraph"/>
        <w:numPr>
          <w:ilvl w:val="0"/>
          <w:numId w:val="16"/>
        </w:numPr>
        <w:ind w:left="0" w:firstLine="0"/>
        <w:jc w:val="both"/>
      </w:pPr>
      <w:r w:rsidRPr="001F6DCE">
        <w:t xml:space="preserve">A set of </w:t>
      </w:r>
      <w:r w:rsidRPr="001F6DCE">
        <w:rPr>
          <w:color w:val="000000"/>
          <w:szCs w:val="24"/>
        </w:rPr>
        <w:t>Disbursement</w:t>
      </w:r>
      <w:r w:rsidRPr="001F6DCE">
        <w:t>-linked Indicators (DLIs) which corresponds with the sub-programs is developed to form the basis of disbursement.</w:t>
      </w:r>
    </w:p>
    <w:p w14:paraId="739806B6" w14:textId="77777777" w:rsidR="008020AE" w:rsidRPr="001F6DCE" w:rsidRDefault="008020AE" w:rsidP="008020AE">
      <w:pPr>
        <w:pStyle w:val="ListParagraph"/>
      </w:pPr>
    </w:p>
    <w:p w14:paraId="2A466662" w14:textId="77777777" w:rsidR="008020AE" w:rsidRPr="001F6DCE" w:rsidRDefault="008020AE" w:rsidP="00633F4F">
      <w:pPr>
        <w:pStyle w:val="ListParagraph"/>
        <w:numPr>
          <w:ilvl w:val="0"/>
          <w:numId w:val="16"/>
        </w:numPr>
        <w:ind w:left="0" w:firstLine="0"/>
        <w:jc w:val="both"/>
      </w:pPr>
    </w:p>
    <w:p w14:paraId="69D29797" w14:textId="77777777" w:rsidR="00540E6B" w:rsidRPr="001F6DCE" w:rsidRDefault="0071027D" w:rsidP="00633F4F">
      <w:pPr>
        <w:pStyle w:val="ListParagraph"/>
        <w:numPr>
          <w:ilvl w:val="0"/>
          <w:numId w:val="5"/>
        </w:numPr>
        <w:tabs>
          <w:tab w:val="left" w:pos="0"/>
        </w:tabs>
        <w:jc w:val="center"/>
        <w:rPr>
          <w:b/>
        </w:rPr>
      </w:pPr>
      <w:r w:rsidRPr="001F6DCE">
        <w:rPr>
          <w:b/>
        </w:rPr>
        <w:t>ENVIRONMENTAL AND SOCIAL SYSTEM</w:t>
      </w:r>
      <w:r w:rsidR="00A04983" w:rsidRPr="001F6DCE">
        <w:rPr>
          <w:b/>
        </w:rPr>
        <w:t xml:space="preserve"> ASSESSMENT</w:t>
      </w:r>
    </w:p>
    <w:p w14:paraId="4F0E5B77" w14:textId="77777777" w:rsidR="00540E6B" w:rsidRPr="001F6DCE" w:rsidRDefault="00540E6B" w:rsidP="00A04983">
      <w:pPr>
        <w:tabs>
          <w:tab w:val="left" w:pos="0"/>
        </w:tabs>
        <w:jc w:val="both"/>
        <w:rPr>
          <w:b/>
        </w:rPr>
      </w:pPr>
    </w:p>
    <w:p w14:paraId="74D7B560" w14:textId="77777777" w:rsidR="00540E6B" w:rsidRPr="001F6DCE" w:rsidRDefault="00540E6B" w:rsidP="00633F4F">
      <w:pPr>
        <w:pStyle w:val="ListParagraph"/>
        <w:numPr>
          <w:ilvl w:val="0"/>
          <w:numId w:val="16"/>
        </w:numPr>
        <w:ind w:left="0" w:firstLine="0"/>
        <w:jc w:val="both"/>
      </w:pPr>
      <w:r w:rsidRPr="001F6DCE">
        <w:t xml:space="preserve">To inform preparation of the </w:t>
      </w:r>
      <w:proofErr w:type="spellStart"/>
      <w:r w:rsidRPr="001F6DCE">
        <w:t>PforR</w:t>
      </w:r>
      <w:proofErr w:type="spellEnd"/>
      <w:r w:rsidRPr="001F6DCE">
        <w:t xml:space="preserve"> operation, the World Bank conducted a comprehensive Environmental and Social System Assessment (ESSA) of the existing country environmental and social management systems.</w:t>
      </w:r>
    </w:p>
    <w:p w14:paraId="12561937" w14:textId="77777777" w:rsidR="00540E6B" w:rsidRPr="001F6DCE" w:rsidRDefault="00540E6B" w:rsidP="00633F4F">
      <w:pPr>
        <w:pStyle w:val="ListParagraph"/>
        <w:ind w:left="0"/>
        <w:jc w:val="both"/>
      </w:pPr>
    </w:p>
    <w:p w14:paraId="0C1217D8" w14:textId="77777777" w:rsidR="00540E6B" w:rsidRPr="001F6DCE" w:rsidRDefault="00540E6B" w:rsidP="00633F4F">
      <w:pPr>
        <w:pStyle w:val="ListParagraph"/>
        <w:numPr>
          <w:ilvl w:val="0"/>
          <w:numId w:val="16"/>
        </w:numPr>
        <w:ind w:left="0" w:firstLine="0"/>
        <w:jc w:val="both"/>
      </w:pPr>
      <w:r w:rsidRPr="001F6DCE">
        <w:t>This report presents the findings and recommendations of the ESSA exercise.  The report is organized in seven sections, as follows:</w:t>
      </w:r>
    </w:p>
    <w:p w14:paraId="2D296A2C" w14:textId="77777777" w:rsidR="00540E6B" w:rsidRPr="001F6DCE" w:rsidRDefault="00540E6B" w:rsidP="00A04983">
      <w:pPr>
        <w:jc w:val="both"/>
      </w:pPr>
    </w:p>
    <w:p w14:paraId="28DAF65F" w14:textId="77777777" w:rsidR="00BD7EE6" w:rsidRPr="001F6DCE" w:rsidRDefault="0071027D" w:rsidP="00633F4F">
      <w:pPr>
        <w:pStyle w:val="ListParagraph"/>
        <w:numPr>
          <w:ilvl w:val="0"/>
          <w:numId w:val="15"/>
        </w:numPr>
        <w:ind w:left="1440" w:hanging="720"/>
        <w:jc w:val="both"/>
      </w:pPr>
      <w:r w:rsidRPr="001F6DCE">
        <w:rPr>
          <w:b/>
        </w:rPr>
        <w:t xml:space="preserve">Section </w:t>
      </w:r>
      <w:r w:rsidR="00BE3D78" w:rsidRPr="001F6DCE">
        <w:rPr>
          <w:b/>
        </w:rPr>
        <w:t>I</w:t>
      </w:r>
      <w:r w:rsidR="00BE3D78" w:rsidRPr="001F6DCE">
        <w:t xml:space="preserve"> </w:t>
      </w:r>
      <w:proofErr w:type="gramStart"/>
      <w:r w:rsidR="00BD7EE6" w:rsidRPr="001F6DCE">
        <w:t>presents</w:t>
      </w:r>
      <w:proofErr w:type="gramEnd"/>
      <w:r w:rsidR="00BD7EE6" w:rsidRPr="001F6DCE">
        <w:t xml:space="preserve"> the general background to the Program and the ESSA exercise as well as provides a description of the proposed Program for Results Operation. </w:t>
      </w:r>
    </w:p>
    <w:p w14:paraId="732A72ED" w14:textId="77777777" w:rsidR="00540E6B" w:rsidRPr="001F6DCE" w:rsidRDefault="00540E6B" w:rsidP="00633F4F">
      <w:pPr>
        <w:pStyle w:val="ListParagraph"/>
        <w:numPr>
          <w:ilvl w:val="0"/>
          <w:numId w:val="15"/>
        </w:numPr>
        <w:ind w:left="1440" w:hanging="720"/>
        <w:jc w:val="both"/>
      </w:pPr>
      <w:r w:rsidRPr="001F6DCE">
        <w:rPr>
          <w:b/>
        </w:rPr>
        <w:t xml:space="preserve">Section </w:t>
      </w:r>
      <w:r w:rsidR="00BE3D78" w:rsidRPr="001F6DCE">
        <w:rPr>
          <w:b/>
        </w:rPr>
        <w:t>II</w:t>
      </w:r>
      <w:r w:rsidR="00BE3D78" w:rsidRPr="001F6DCE">
        <w:t xml:space="preserve"> </w:t>
      </w:r>
      <w:r w:rsidR="00BD7EE6" w:rsidRPr="001F6DCE">
        <w:t>describes the scope and methodology of the Environmental and Social Systems Assessment process conducted to inform design and preparation of the Program for Results Operation.</w:t>
      </w:r>
    </w:p>
    <w:p w14:paraId="3E87D4D3" w14:textId="47521DF4" w:rsidR="00540E6B" w:rsidRPr="001F6DCE" w:rsidRDefault="00540E6B" w:rsidP="00633F4F">
      <w:pPr>
        <w:pStyle w:val="ListParagraph"/>
        <w:numPr>
          <w:ilvl w:val="0"/>
          <w:numId w:val="15"/>
        </w:numPr>
        <w:ind w:left="1440" w:hanging="720"/>
        <w:jc w:val="both"/>
      </w:pPr>
      <w:r w:rsidRPr="001F6DCE">
        <w:rPr>
          <w:b/>
        </w:rPr>
        <w:t xml:space="preserve">Section </w:t>
      </w:r>
      <w:r w:rsidR="00BE3D78" w:rsidRPr="001F6DCE">
        <w:rPr>
          <w:b/>
        </w:rPr>
        <w:t xml:space="preserve">III </w:t>
      </w:r>
      <w:r w:rsidR="00697B20" w:rsidRPr="001F6DCE">
        <w:t>provides</w:t>
      </w:r>
      <w:r w:rsidR="00697B20" w:rsidRPr="001F6DCE">
        <w:rPr>
          <w:b/>
        </w:rPr>
        <w:t xml:space="preserve"> </w:t>
      </w:r>
      <w:r w:rsidR="00BD7EE6" w:rsidRPr="001F6DCE">
        <w:t>a brief introduction to the key elements of the health sector in Moldova and the roles of the key stakeholders Program</w:t>
      </w:r>
    </w:p>
    <w:p w14:paraId="7BFC7DB0" w14:textId="77777777" w:rsidR="00697B20" w:rsidRPr="001F6DCE" w:rsidRDefault="002A07A0" w:rsidP="00633F4F">
      <w:pPr>
        <w:pStyle w:val="ListParagraph"/>
        <w:numPr>
          <w:ilvl w:val="0"/>
          <w:numId w:val="15"/>
        </w:numPr>
        <w:ind w:left="1440" w:hanging="720"/>
        <w:jc w:val="both"/>
      </w:pPr>
      <w:r w:rsidRPr="001F6DCE">
        <w:rPr>
          <w:b/>
        </w:rPr>
        <w:t>Section</w:t>
      </w:r>
      <w:r w:rsidR="00BE3D78" w:rsidRPr="001F6DCE">
        <w:rPr>
          <w:b/>
        </w:rPr>
        <w:t xml:space="preserve"> IV</w:t>
      </w:r>
      <w:r w:rsidR="00BE3D78" w:rsidRPr="001F6DCE">
        <w:t xml:space="preserve"> </w:t>
      </w:r>
      <w:r w:rsidR="00925CB8" w:rsidRPr="001F6DCE">
        <w:t>examines the potential environmental risks of the proposed Program.</w:t>
      </w:r>
      <w:r w:rsidR="00540E6B" w:rsidRPr="001F6DCE">
        <w:br/>
      </w:r>
      <w:r w:rsidR="00540E6B" w:rsidRPr="001F6DCE">
        <w:rPr>
          <w:b/>
        </w:rPr>
        <w:t xml:space="preserve">Section </w:t>
      </w:r>
      <w:r w:rsidR="00BE3D78" w:rsidRPr="001F6DCE">
        <w:rPr>
          <w:b/>
        </w:rPr>
        <w:t>V</w:t>
      </w:r>
      <w:r w:rsidR="00BE3D78" w:rsidRPr="001F6DCE">
        <w:t xml:space="preserve"> </w:t>
      </w:r>
      <w:r w:rsidR="00540E6B" w:rsidRPr="001F6DCE">
        <w:t>examines the potential social effects of the proposed Program</w:t>
      </w:r>
      <w:r w:rsidR="00697B20" w:rsidRPr="001F6DCE">
        <w:t>.</w:t>
      </w:r>
    </w:p>
    <w:p w14:paraId="206EBD61" w14:textId="77777777" w:rsidR="00540E6B" w:rsidRPr="001F6DCE" w:rsidRDefault="00540E6B" w:rsidP="00633F4F">
      <w:pPr>
        <w:pStyle w:val="ListParagraph"/>
        <w:numPr>
          <w:ilvl w:val="0"/>
          <w:numId w:val="15"/>
        </w:numPr>
        <w:ind w:left="1440" w:hanging="720"/>
        <w:jc w:val="both"/>
      </w:pPr>
      <w:r w:rsidRPr="001F6DCE">
        <w:rPr>
          <w:b/>
        </w:rPr>
        <w:t xml:space="preserve">Section </w:t>
      </w:r>
      <w:r w:rsidR="00BE3D78" w:rsidRPr="001F6DCE">
        <w:rPr>
          <w:b/>
        </w:rPr>
        <w:t>VI</w:t>
      </w:r>
      <w:r w:rsidR="00BE3D78" w:rsidRPr="001F6DCE">
        <w:t xml:space="preserve"> </w:t>
      </w:r>
      <w:r w:rsidRPr="001F6DCE">
        <w:t xml:space="preserve">describes existing environmental and social systems currently in use in the health sector to address the environmental and social effects of the </w:t>
      </w:r>
      <w:r w:rsidR="00925CB8" w:rsidRPr="001F6DCE">
        <w:t>proposed Programme for Results</w:t>
      </w:r>
      <w:r w:rsidRPr="001F6DCE">
        <w:t>.</w:t>
      </w:r>
    </w:p>
    <w:p w14:paraId="5363F034" w14:textId="77777777" w:rsidR="00633F4F" w:rsidRPr="001F6DCE" w:rsidRDefault="0014599A" w:rsidP="00633F4F">
      <w:pPr>
        <w:pStyle w:val="ListParagraph"/>
        <w:numPr>
          <w:ilvl w:val="0"/>
          <w:numId w:val="15"/>
        </w:numPr>
        <w:ind w:left="1440" w:hanging="720"/>
        <w:jc w:val="both"/>
      </w:pPr>
      <w:r w:rsidRPr="001F6DCE">
        <w:rPr>
          <w:b/>
        </w:rPr>
        <w:t>Section</w:t>
      </w:r>
      <w:r w:rsidR="00BE3D78" w:rsidRPr="001F6DCE">
        <w:rPr>
          <w:b/>
        </w:rPr>
        <w:t xml:space="preserve"> VII</w:t>
      </w:r>
      <w:r w:rsidR="00BE3D78" w:rsidRPr="001F6DCE">
        <w:t xml:space="preserve"> </w:t>
      </w:r>
      <w:r w:rsidR="00925CB8" w:rsidRPr="001F6DCE">
        <w:t>presents the ESSA actions proposed for inclusion in the overall Program Action Plan</w:t>
      </w:r>
      <w:r w:rsidR="00540E6B" w:rsidRPr="001F6DCE">
        <w:t>.</w:t>
      </w:r>
    </w:p>
    <w:p w14:paraId="3C02DD0C" w14:textId="77777777" w:rsidR="00540E6B" w:rsidRPr="001F6DCE" w:rsidRDefault="00540E6B" w:rsidP="00633F4F">
      <w:pPr>
        <w:pStyle w:val="ListParagraph"/>
        <w:ind w:left="1440"/>
        <w:jc w:val="both"/>
      </w:pPr>
    </w:p>
    <w:p w14:paraId="54E6ED40" w14:textId="77777777" w:rsidR="00540E6B" w:rsidRPr="001F6DCE" w:rsidRDefault="00540E6B" w:rsidP="00633F4F">
      <w:pPr>
        <w:pStyle w:val="Heading2"/>
        <w:numPr>
          <w:ilvl w:val="0"/>
          <w:numId w:val="6"/>
        </w:numPr>
        <w:spacing w:before="0"/>
        <w:ind w:hanging="720"/>
        <w:jc w:val="both"/>
        <w:rPr>
          <w:rFonts w:ascii="Times New Roman" w:hAnsi="Times New Roman" w:cs="Times New Roman"/>
          <w:color w:val="auto"/>
          <w:sz w:val="24"/>
          <w:szCs w:val="24"/>
        </w:rPr>
      </w:pPr>
      <w:bookmarkStart w:id="0" w:name="_Toc336245946"/>
      <w:r w:rsidRPr="001F6DCE">
        <w:rPr>
          <w:rFonts w:ascii="Times New Roman" w:hAnsi="Times New Roman" w:cs="Times New Roman"/>
          <w:color w:val="auto"/>
          <w:sz w:val="24"/>
          <w:szCs w:val="24"/>
        </w:rPr>
        <w:t>Scope</w:t>
      </w:r>
      <w:bookmarkEnd w:id="0"/>
    </w:p>
    <w:p w14:paraId="3A288C90" w14:textId="77777777" w:rsidR="00540E6B" w:rsidRPr="001F6DCE" w:rsidRDefault="00540E6B" w:rsidP="00A04983">
      <w:pPr>
        <w:jc w:val="both"/>
      </w:pPr>
    </w:p>
    <w:p w14:paraId="40A541C3" w14:textId="77777777" w:rsidR="00540E6B" w:rsidRPr="001F6DCE" w:rsidRDefault="00540E6B" w:rsidP="00633F4F">
      <w:pPr>
        <w:pStyle w:val="ListParagraph"/>
        <w:numPr>
          <w:ilvl w:val="0"/>
          <w:numId w:val="16"/>
        </w:numPr>
        <w:ind w:left="0" w:firstLine="0"/>
        <w:jc w:val="both"/>
      </w:pPr>
      <w:r w:rsidRPr="001F6DCE">
        <w:t xml:space="preserve">The Program for Results financing instrument is a new form of World Bank financing that aims to help countries design and deliver their own development programs.  To do this, </w:t>
      </w:r>
      <w:proofErr w:type="spellStart"/>
      <w:r w:rsidRPr="001F6DCE">
        <w:t>PforR</w:t>
      </w:r>
      <w:proofErr w:type="spellEnd"/>
      <w:r w:rsidRPr="001F6DCE">
        <w:t xml:space="preserve"> links disbursement to verified achievement of results.   </w:t>
      </w:r>
    </w:p>
    <w:p w14:paraId="1ED89A54" w14:textId="77777777" w:rsidR="00540E6B" w:rsidRPr="001F6DCE" w:rsidRDefault="00540E6B" w:rsidP="00633F4F">
      <w:pPr>
        <w:pStyle w:val="ListParagraph"/>
        <w:ind w:left="0"/>
        <w:jc w:val="both"/>
      </w:pPr>
    </w:p>
    <w:p w14:paraId="76A53CBD" w14:textId="3453FDAC" w:rsidR="00540E6B" w:rsidRPr="001F6DCE" w:rsidRDefault="00540E6B" w:rsidP="00633F4F">
      <w:pPr>
        <w:pStyle w:val="ListParagraph"/>
        <w:numPr>
          <w:ilvl w:val="0"/>
          <w:numId w:val="16"/>
        </w:numPr>
        <w:ind w:left="0" w:firstLine="0"/>
        <w:jc w:val="both"/>
      </w:pPr>
      <w:r w:rsidRPr="001F6DCE">
        <w:t xml:space="preserve">Associated with the </w:t>
      </w:r>
      <w:proofErr w:type="spellStart"/>
      <w:r w:rsidRPr="001F6DCE">
        <w:t>PforR</w:t>
      </w:r>
      <w:proofErr w:type="spellEnd"/>
      <w:r w:rsidRPr="001F6DCE">
        <w:t xml:space="preserve"> financing modality is a different approach to assessing and addressing environmental and social effects related to the Program. With standard Bank </w:t>
      </w:r>
      <w:r w:rsidRPr="001F6DCE">
        <w:lastRenderedPageBreak/>
        <w:t xml:space="preserve">investment lending operations, the Borrower is required to comply with the set of World Bank Safeguard Policies applicable to the project or program and prepare the relevant safeguard instruments to avoid, mitigate and manage the environmental and social impacts of a project or program. </w:t>
      </w:r>
    </w:p>
    <w:p w14:paraId="3C180FA7" w14:textId="77777777" w:rsidR="00540E6B" w:rsidRPr="001F6DCE" w:rsidRDefault="00540E6B" w:rsidP="00633F4F">
      <w:pPr>
        <w:pStyle w:val="ListParagraph"/>
        <w:ind w:left="0"/>
        <w:jc w:val="both"/>
      </w:pPr>
    </w:p>
    <w:p w14:paraId="021D5037" w14:textId="77777777" w:rsidR="00540E6B" w:rsidRPr="001F6DCE" w:rsidRDefault="00540E6B" w:rsidP="00633F4F">
      <w:pPr>
        <w:pStyle w:val="ListParagraph"/>
        <w:numPr>
          <w:ilvl w:val="0"/>
          <w:numId w:val="16"/>
        </w:numPr>
        <w:ind w:left="0" w:firstLine="0"/>
        <w:jc w:val="both"/>
      </w:pPr>
      <w:r w:rsidRPr="001F6DCE">
        <w:t xml:space="preserve">For </w:t>
      </w:r>
      <w:proofErr w:type="spellStart"/>
      <w:r w:rsidRPr="001F6DCE">
        <w:t>PforR</w:t>
      </w:r>
      <w:proofErr w:type="spellEnd"/>
      <w:r w:rsidRPr="001F6DCE">
        <w:t xml:space="preserve"> operations, rather than having the Borrower apply the standard set of Bank environmental and social safeguard policies, early in Program preparation, the Bank task team is responsible for conducting a comprehensive assessment of the country systems in place for managing environmental and social effects (defined as benefits, impacts and risks) associated with the proposed set of Program related investments. This assessment, called the Environmental and Social System Assessment (ESSA), also assesses government’s institutional capacity to plan, monitor and report on environmental and social management measures. The findings of the ESSA inform preparation of the Program Action Plan that government will use to bridge any significant gaps in the existing environmental and social management system with respect to the sustainability principles of the </w:t>
      </w:r>
      <w:proofErr w:type="spellStart"/>
      <w:r w:rsidRPr="001F6DCE">
        <w:t>PforR</w:t>
      </w:r>
      <w:proofErr w:type="spellEnd"/>
      <w:r w:rsidRPr="001F6DCE">
        <w:t xml:space="preserve"> Operating Policy (OP/BP 9.00)</w:t>
      </w:r>
      <w:r w:rsidR="00AF630A" w:rsidRPr="001F6DCE">
        <w:rPr>
          <w:rStyle w:val="FootnoteReference"/>
        </w:rPr>
        <w:footnoteReference w:id="2"/>
      </w:r>
      <w:r w:rsidRPr="001F6DCE">
        <w:t>. The Bank provides implementation support as warranted for the implementation of agreed program action plan.</w:t>
      </w:r>
    </w:p>
    <w:p w14:paraId="399AF997" w14:textId="77777777" w:rsidR="00540E6B" w:rsidRPr="001F6DCE" w:rsidRDefault="00540E6B" w:rsidP="00A04983">
      <w:pPr>
        <w:jc w:val="both"/>
      </w:pPr>
    </w:p>
    <w:p w14:paraId="0965E4C3" w14:textId="77777777" w:rsidR="00540E6B" w:rsidRPr="001F6DCE" w:rsidRDefault="00540E6B" w:rsidP="00633F4F">
      <w:pPr>
        <w:pStyle w:val="ListParagraph"/>
        <w:numPr>
          <w:ilvl w:val="0"/>
          <w:numId w:val="16"/>
        </w:numPr>
        <w:ind w:left="0" w:firstLine="0"/>
        <w:jc w:val="both"/>
      </w:pPr>
      <w:r w:rsidRPr="001F6DCE">
        <w:t xml:space="preserve">Specifically, the ESSA exercise is designed to consider the consistency of the existing country systems with the proposed </w:t>
      </w:r>
      <w:proofErr w:type="spellStart"/>
      <w:r w:rsidRPr="001F6DCE">
        <w:t>PforR</w:t>
      </w:r>
      <w:proofErr w:type="spellEnd"/>
      <w:r w:rsidRPr="001F6DCE">
        <w:t xml:space="preserve"> operation along two dimensions: (1) systems as defined in the legal and regulatory framework of the country; and, (2) capacity of the Program institutions to effectively apply the environmental and social management systems associated with the Program’s environmental and social effects as well as the proposed set of actions in the Program Action Plan that attend to the major gaps in the system as identified in the ESSA with respect to the six core principles of OP/BP 9.00. </w:t>
      </w:r>
    </w:p>
    <w:p w14:paraId="2505BB39" w14:textId="77777777" w:rsidR="00540E6B" w:rsidRPr="001F6DCE" w:rsidRDefault="00540E6B" w:rsidP="00633F4F">
      <w:pPr>
        <w:pStyle w:val="ListParagraph"/>
        <w:ind w:left="0"/>
        <w:jc w:val="both"/>
      </w:pPr>
    </w:p>
    <w:p w14:paraId="67EC3DE4" w14:textId="77777777" w:rsidR="00540E6B" w:rsidRPr="001F6DCE" w:rsidRDefault="00540E6B" w:rsidP="00633F4F">
      <w:pPr>
        <w:pStyle w:val="ListParagraph"/>
        <w:numPr>
          <w:ilvl w:val="0"/>
          <w:numId w:val="16"/>
        </w:numPr>
        <w:ind w:left="0" w:firstLine="0"/>
        <w:jc w:val="both"/>
      </w:pPr>
      <w:r w:rsidRPr="001F6DCE">
        <w:t>The six core principles that guide the ESSA analysis are presented in the Program-for-Results financing guidelines (OP/BP 9.00) and include:</w:t>
      </w:r>
    </w:p>
    <w:p w14:paraId="6D0F38E7" w14:textId="77777777" w:rsidR="00540E6B" w:rsidRPr="001F6DCE" w:rsidRDefault="00540E6B" w:rsidP="00633F4F">
      <w:pPr>
        <w:pStyle w:val="ListParagraph"/>
        <w:ind w:left="0"/>
        <w:jc w:val="both"/>
      </w:pPr>
    </w:p>
    <w:p w14:paraId="7C06F764" w14:textId="77777777" w:rsidR="00540E6B" w:rsidRPr="001F6DCE" w:rsidRDefault="00540E6B" w:rsidP="00633F4F">
      <w:pPr>
        <w:pStyle w:val="ListParagraph"/>
        <w:numPr>
          <w:ilvl w:val="0"/>
          <w:numId w:val="17"/>
        </w:numPr>
        <w:ind w:left="1440" w:hanging="720"/>
        <w:jc w:val="both"/>
      </w:pPr>
      <w:r w:rsidRPr="001F6DCE">
        <w:rPr>
          <w:b/>
        </w:rPr>
        <w:t xml:space="preserve">Core Principle 1: </w:t>
      </w:r>
      <w:r w:rsidRPr="001F6DCE">
        <w:t>General Principle of Environmental and Social Management.  This core principle aims to promote environmental and social sustainability in Program design; avoid, minimize, or mitigate adverse impacts, and promote informed decision-making relating to the Program’s environmental and social impacts.</w:t>
      </w:r>
    </w:p>
    <w:p w14:paraId="324DB2BC" w14:textId="77777777" w:rsidR="00633F4F" w:rsidRPr="001F6DCE" w:rsidRDefault="00633F4F" w:rsidP="00633F4F">
      <w:pPr>
        <w:pStyle w:val="ListParagraph"/>
        <w:ind w:left="0"/>
        <w:jc w:val="both"/>
      </w:pPr>
    </w:p>
    <w:p w14:paraId="69CEB66D" w14:textId="153775C5" w:rsidR="00633F4F" w:rsidRPr="001F6DCE" w:rsidRDefault="00540E6B" w:rsidP="00633F4F">
      <w:pPr>
        <w:pStyle w:val="ListParagraph"/>
        <w:numPr>
          <w:ilvl w:val="0"/>
          <w:numId w:val="17"/>
        </w:numPr>
        <w:ind w:left="1440" w:hanging="720"/>
        <w:jc w:val="both"/>
      </w:pPr>
      <w:r w:rsidRPr="001F6DCE">
        <w:rPr>
          <w:b/>
        </w:rPr>
        <w:t>Core Principle 2:</w:t>
      </w:r>
      <w:r w:rsidRPr="001F6DCE">
        <w:t xml:space="preserve"> Natural Habitats and Physical Cultural Resources. This core principle aims to avoid, minimize, or mitigate adverse impacts on natural habitats and physical cultural resources resulting from the Program.</w:t>
      </w:r>
    </w:p>
    <w:p w14:paraId="3A397586" w14:textId="77777777" w:rsidR="00633F4F" w:rsidRPr="001F6DCE" w:rsidRDefault="00633F4F" w:rsidP="00633F4F">
      <w:pPr>
        <w:jc w:val="both"/>
      </w:pPr>
    </w:p>
    <w:p w14:paraId="495E6E2B" w14:textId="77777777" w:rsidR="00540E6B" w:rsidRPr="001F6DCE" w:rsidRDefault="00540E6B" w:rsidP="00633F4F">
      <w:pPr>
        <w:pStyle w:val="ListParagraph"/>
        <w:numPr>
          <w:ilvl w:val="0"/>
          <w:numId w:val="17"/>
        </w:numPr>
        <w:ind w:left="1440" w:hanging="720"/>
        <w:jc w:val="both"/>
      </w:pPr>
      <w:r w:rsidRPr="001F6DCE">
        <w:rPr>
          <w:b/>
        </w:rPr>
        <w:t>Core Principle 3:</w:t>
      </w:r>
      <w:r w:rsidRPr="001F6DCE">
        <w:t xml:space="preserve"> Public and Worker Safety. This core principles aims to protect public and worker safety against the potential risks associated with: (</w:t>
      </w:r>
      <w:proofErr w:type="spellStart"/>
      <w:r w:rsidRPr="001F6DCE">
        <w:t>i</w:t>
      </w:r>
      <w:proofErr w:type="spellEnd"/>
      <w:r w:rsidRPr="001F6DCE">
        <w:t xml:space="preserve">) construction and/or operation of facilities or other operational practices under the Program; (ii) exposure to toxic chemicals, hazardous wastes, and other dangerous </w:t>
      </w:r>
      <w:r w:rsidRPr="001F6DCE">
        <w:lastRenderedPageBreak/>
        <w:t>materials under the Program; and (iii) reconstruction or rehabilitation of infrastructure located in areas prone to natural hazards.</w:t>
      </w:r>
    </w:p>
    <w:p w14:paraId="46B55551" w14:textId="77777777" w:rsidR="00633F4F" w:rsidRPr="001F6DCE" w:rsidRDefault="00633F4F" w:rsidP="00633F4F">
      <w:pPr>
        <w:jc w:val="both"/>
      </w:pPr>
    </w:p>
    <w:p w14:paraId="3596DB45" w14:textId="77777777" w:rsidR="00540E6B" w:rsidRPr="001F6DCE" w:rsidRDefault="00540E6B" w:rsidP="00633F4F">
      <w:pPr>
        <w:pStyle w:val="ListParagraph"/>
        <w:numPr>
          <w:ilvl w:val="0"/>
          <w:numId w:val="17"/>
        </w:numPr>
        <w:ind w:left="1440" w:hanging="720"/>
        <w:jc w:val="both"/>
      </w:pPr>
      <w:r w:rsidRPr="001F6DCE">
        <w:rPr>
          <w:b/>
        </w:rPr>
        <w:t>Core Principle 4:</w:t>
      </w:r>
      <w:r w:rsidRPr="001F6DCE">
        <w:t xml:space="preserve"> Land Acquisition. This core principle aims to manage land acquisition and loss of access to natural resources in a way that avoids or minimizes displacement, and assist affected people in improving, or at the minimum restoring, their livelihoods and living standards.</w:t>
      </w:r>
    </w:p>
    <w:p w14:paraId="7766AD8C" w14:textId="77777777" w:rsidR="00633F4F" w:rsidRPr="001F6DCE" w:rsidRDefault="00633F4F" w:rsidP="00633F4F">
      <w:pPr>
        <w:jc w:val="both"/>
      </w:pPr>
    </w:p>
    <w:p w14:paraId="391CB8A4" w14:textId="77777777" w:rsidR="00540E6B" w:rsidRPr="001F6DCE" w:rsidRDefault="00540E6B" w:rsidP="00633F4F">
      <w:pPr>
        <w:pStyle w:val="ListParagraph"/>
        <w:numPr>
          <w:ilvl w:val="0"/>
          <w:numId w:val="17"/>
        </w:numPr>
        <w:ind w:left="1440" w:hanging="720"/>
        <w:jc w:val="both"/>
      </w:pPr>
      <w:r w:rsidRPr="001F6DCE">
        <w:rPr>
          <w:b/>
        </w:rPr>
        <w:t>Core Principle 5:</w:t>
      </w:r>
      <w:r w:rsidRPr="001F6DCE">
        <w:t xml:space="preserve"> Indigenous Peoples and Vulnerable Groups. This core principle aims to give due consideration to the cultural appropriateness of, and equitable access to, Program benefits, giving special attention to the rights and interests of the Indigenous Peoples and to the needs or concerns of vulnerable groups.</w:t>
      </w:r>
    </w:p>
    <w:p w14:paraId="1DE42AE5" w14:textId="77777777" w:rsidR="00633F4F" w:rsidRPr="001F6DCE" w:rsidRDefault="00633F4F" w:rsidP="00633F4F">
      <w:pPr>
        <w:jc w:val="both"/>
      </w:pPr>
    </w:p>
    <w:p w14:paraId="554E5953" w14:textId="77777777" w:rsidR="00540E6B" w:rsidRPr="001F6DCE" w:rsidRDefault="00540E6B" w:rsidP="00633F4F">
      <w:pPr>
        <w:pStyle w:val="ListParagraph"/>
        <w:numPr>
          <w:ilvl w:val="0"/>
          <w:numId w:val="17"/>
        </w:numPr>
        <w:ind w:left="1440" w:hanging="720"/>
        <w:jc w:val="both"/>
      </w:pPr>
      <w:r w:rsidRPr="001F6DCE">
        <w:rPr>
          <w:b/>
        </w:rPr>
        <w:t>Core Principle 6:</w:t>
      </w:r>
      <w:r w:rsidRPr="001F6DCE">
        <w:t xml:space="preserve"> Social Conflict. This core principle aims to avoid exacerbating social conflict, especially in fragile states, post-conflict areas, or areas subject to territorial disputes.</w:t>
      </w:r>
    </w:p>
    <w:p w14:paraId="39C59F97" w14:textId="77777777" w:rsidR="00540E6B" w:rsidRPr="001F6DCE" w:rsidRDefault="00540E6B" w:rsidP="00A04983">
      <w:pPr>
        <w:jc w:val="both"/>
      </w:pPr>
    </w:p>
    <w:p w14:paraId="6D8846E9" w14:textId="0BADC895" w:rsidR="00540E6B" w:rsidRPr="001F6DCE" w:rsidRDefault="00540E6B" w:rsidP="00633F4F">
      <w:pPr>
        <w:pStyle w:val="ListParagraph"/>
        <w:numPr>
          <w:ilvl w:val="0"/>
          <w:numId w:val="16"/>
        </w:numPr>
        <w:ind w:left="0" w:firstLine="0"/>
        <w:jc w:val="both"/>
      </w:pPr>
      <w:r w:rsidRPr="001F6DCE">
        <w:t xml:space="preserve">In </w:t>
      </w:r>
      <w:r w:rsidR="00F0036A" w:rsidRPr="001F6DCE">
        <w:t>analysing</w:t>
      </w:r>
      <w:r w:rsidRPr="001F6DCE">
        <w:t xml:space="preserve"> a program for consistency with the sustainability principles of </w:t>
      </w:r>
      <w:r w:rsidR="0094063C" w:rsidRPr="001F6DCE">
        <w:rPr>
          <w:rStyle w:val="CharacterStyle1"/>
          <w:spacing w:val="-1"/>
          <w:sz w:val="24"/>
          <w:szCs w:val="24"/>
        </w:rPr>
        <w:t>OP/BP 9.00</w:t>
      </w:r>
      <w:r w:rsidRPr="001F6DCE">
        <w:t xml:space="preserve">, the ESSA is intended to ensure that programs supported by </w:t>
      </w:r>
      <w:proofErr w:type="spellStart"/>
      <w:r w:rsidRPr="001F6DCE">
        <w:t>PforR</w:t>
      </w:r>
      <w:proofErr w:type="spellEnd"/>
      <w:r w:rsidRPr="001F6DCE">
        <w:t xml:space="preserve"> financing are implemented in a manner that maximizes potential environmental and social benefits and avoids, minimizes or mitigates any and all adverse environmental and social impacts and risks. Essentially, the ESSA process seeks to improve institutional performance related to the program’s development objectives.  </w:t>
      </w:r>
      <w:bookmarkStart w:id="1" w:name="_Toc193513737"/>
      <w:bookmarkStart w:id="2" w:name="_Toc194224906"/>
      <w:bookmarkStart w:id="3" w:name="_Toc207292433"/>
    </w:p>
    <w:bookmarkEnd w:id="1"/>
    <w:bookmarkEnd w:id="2"/>
    <w:bookmarkEnd w:id="3"/>
    <w:p w14:paraId="2015376E" w14:textId="77777777" w:rsidR="00540E6B" w:rsidRPr="001F6DCE" w:rsidRDefault="00540E6B" w:rsidP="00633F4F">
      <w:pPr>
        <w:pStyle w:val="ListParagraph"/>
        <w:ind w:left="0"/>
        <w:jc w:val="both"/>
      </w:pPr>
    </w:p>
    <w:p w14:paraId="68FC4842" w14:textId="24D03D27" w:rsidR="00540E6B" w:rsidRPr="001F6DCE" w:rsidRDefault="00540E6B" w:rsidP="00633F4F">
      <w:pPr>
        <w:pStyle w:val="ListParagraph"/>
        <w:numPr>
          <w:ilvl w:val="0"/>
          <w:numId w:val="16"/>
        </w:numPr>
        <w:ind w:left="0" w:firstLine="0"/>
        <w:jc w:val="both"/>
      </w:pPr>
      <w:r w:rsidRPr="001F6DCE">
        <w:t xml:space="preserve">For this </w:t>
      </w:r>
      <w:proofErr w:type="spellStart"/>
      <w:r w:rsidRPr="001F6DCE">
        <w:t>PforR</w:t>
      </w:r>
      <w:proofErr w:type="spellEnd"/>
      <w:r w:rsidRPr="001F6DCE">
        <w:t xml:space="preserve"> operation, the ESSA examines </w:t>
      </w:r>
      <w:r w:rsidR="006D6E1F" w:rsidRPr="001F6DCE">
        <w:t>Moldova</w:t>
      </w:r>
      <w:r w:rsidRPr="001F6DCE">
        <w:t xml:space="preserve">’s existing environmental and social management systems as applicable to the heath sector and, in particular to the set of activities supported by the </w:t>
      </w:r>
      <w:r w:rsidR="006D6E1F" w:rsidRPr="001F6DCE">
        <w:t xml:space="preserve">Health </w:t>
      </w:r>
      <w:r w:rsidR="008020AE" w:rsidRPr="001F6DCE">
        <w:t>T</w:t>
      </w:r>
      <w:r w:rsidR="006D6E1F" w:rsidRPr="001F6DCE">
        <w:t xml:space="preserve">ransformation </w:t>
      </w:r>
      <w:proofErr w:type="spellStart"/>
      <w:r w:rsidR="006D6E1F" w:rsidRPr="001F6DCE">
        <w:t>PforR</w:t>
      </w:r>
      <w:proofErr w:type="spellEnd"/>
      <w:r w:rsidRPr="001F6DCE">
        <w:t xml:space="preserve">. </w:t>
      </w:r>
    </w:p>
    <w:p w14:paraId="316CE8E4" w14:textId="77777777" w:rsidR="00540E6B" w:rsidRPr="001F6DCE" w:rsidRDefault="00540E6B" w:rsidP="00633F4F">
      <w:pPr>
        <w:pStyle w:val="ListParagraph"/>
        <w:ind w:left="0"/>
        <w:jc w:val="both"/>
      </w:pPr>
    </w:p>
    <w:p w14:paraId="3A2F2F4C" w14:textId="63C6D443" w:rsidR="00540E6B" w:rsidRPr="001F6DCE" w:rsidRDefault="00540E6B" w:rsidP="00633F4F">
      <w:pPr>
        <w:pStyle w:val="ListParagraph"/>
        <w:numPr>
          <w:ilvl w:val="0"/>
          <w:numId w:val="16"/>
        </w:numPr>
        <w:ind w:left="0" w:firstLine="0"/>
        <w:jc w:val="both"/>
      </w:pPr>
      <w:r w:rsidRPr="001F6DCE">
        <w:t xml:space="preserve">The ESSA describes the potential environmental and social effects associated with the </w:t>
      </w:r>
      <w:proofErr w:type="spellStart"/>
      <w:r w:rsidR="006D6E1F" w:rsidRPr="001F6DCE">
        <w:t>PforR</w:t>
      </w:r>
      <w:proofErr w:type="spellEnd"/>
      <w:r w:rsidRPr="001F6DCE">
        <w:t xml:space="preserve"> supported activities. The ESSA also assesses institutional roles and responsibilities</w:t>
      </w:r>
      <w:r w:rsidR="00697B20" w:rsidRPr="001F6DCE">
        <w:t xml:space="preserve"> as</w:t>
      </w:r>
      <w:r w:rsidRPr="001F6DCE">
        <w:t xml:space="preserve"> related to </w:t>
      </w:r>
      <w:r w:rsidR="006D6E1F" w:rsidRPr="001F6DCE">
        <w:t xml:space="preserve">Health Transformation </w:t>
      </w:r>
      <w:proofErr w:type="spellStart"/>
      <w:r w:rsidR="006D6E1F" w:rsidRPr="001F6DCE">
        <w:t>PforR</w:t>
      </w:r>
      <w:proofErr w:type="spellEnd"/>
      <w:r w:rsidRPr="001F6DCE">
        <w:t xml:space="preserve"> implementation and describes current capacity and performance to carry out those roles and responsibilities. The ESSA also considers public participation, social inclusion, and grievance redress mechanisms in place and as applied in </w:t>
      </w:r>
      <w:proofErr w:type="spellStart"/>
      <w:r w:rsidR="006D6E1F" w:rsidRPr="001F6DCE">
        <w:t>PforR</w:t>
      </w:r>
      <w:proofErr w:type="spellEnd"/>
      <w:r w:rsidRPr="001F6DCE">
        <w:t xml:space="preserve"> activities.</w:t>
      </w:r>
    </w:p>
    <w:p w14:paraId="3F36407D" w14:textId="77777777" w:rsidR="00540E6B" w:rsidRPr="001F6DCE" w:rsidRDefault="00540E6B" w:rsidP="00633F4F">
      <w:pPr>
        <w:pStyle w:val="ListParagraph"/>
        <w:ind w:left="0"/>
        <w:jc w:val="both"/>
      </w:pPr>
      <w:bookmarkStart w:id="4" w:name="_Toc193513738"/>
      <w:bookmarkStart w:id="5" w:name="_Toc194224907"/>
    </w:p>
    <w:bookmarkEnd w:id="4"/>
    <w:bookmarkEnd w:id="5"/>
    <w:p w14:paraId="1F54D8FF" w14:textId="5DC9F909" w:rsidR="00540E6B" w:rsidRPr="001F6DCE" w:rsidRDefault="00540E6B" w:rsidP="00633F4F">
      <w:pPr>
        <w:pStyle w:val="ListParagraph"/>
        <w:numPr>
          <w:ilvl w:val="0"/>
          <w:numId w:val="16"/>
        </w:numPr>
        <w:ind w:left="0" w:firstLine="0"/>
        <w:jc w:val="both"/>
      </w:pPr>
      <w:r w:rsidRPr="001F6DCE">
        <w:t xml:space="preserve">It is important to note that the ESSA </w:t>
      </w:r>
      <w:r w:rsidR="004E7790" w:rsidRPr="001F6DCE">
        <w:t>is</w:t>
      </w:r>
      <w:r w:rsidRPr="001F6DCE">
        <w:t xml:space="preserve"> updated based on the feedback received from stakeholders and implementation experiences of the Program for Results operation. The following sections present the steps undertaken in the ESSA preparation process to date and what the forthcoming steps include (e.g., Stakeholder consultations).</w:t>
      </w:r>
    </w:p>
    <w:p w14:paraId="15158375" w14:textId="77777777" w:rsidR="007A7D0C" w:rsidRPr="001F6DCE" w:rsidRDefault="007A7D0C" w:rsidP="00A04983">
      <w:pPr>
        <w:jc w:val="both"/>
      </w:pPr>
    </w:p>
    <w:p w14:paraId="7560EAA7" w14:textId="77777777" w:rsidR="00540E6B" w:rsidRPr="001F6DCE" w:rsidRDefault="00540E6B" w:rsidP="00633F4F">
      <w:pPr>
        <w:pStyle w:val="Heading2"/>
        <w:numPr>
          <w:ilvl w:val="0"/>
          <w:numId w:val="6"/>
        </w:numPr>
        <w:spacing w:before="0"/>
        <w:ind w:hanging="720"/>
        <w:jc w:val="both"/>
        <w:rPr>
          <w:rFonts w:ascii="Times New Roman" w:hAnsi="Times New Roman" w:cs="Times New Roman"/>
          <w:color w:val="auto"/>
          <w:sz w:val="24"/>
          <w:szCs w:val="24"/>
        </w:rPr>
      </w:pPr>
      <w:bookmarkStart w:id="6" w:name="_Toc336245947"/>
      <w:r w:rsidRPr="001F6DCE">
        <w:rPr>
          <w:rFonts w:ascii="Times New Roman" w:hAnsi="Times New Roman" w:cs="Times New Roman"/>
          <w:color w:val="auto"/>
          <w:sz w:val="24"/>
          <w:szCs w:val="24"/>
        </w:rPr>
        <w:t>Methodology</w:t>
      </w:r>
      <w:bookmarkEnd w:id="6"/>
    </w:p>
    <w:p w14:paraId="22170FFE" w14:textId="77777777" w:rsidR="00540E6B" w:rsidRPr="001F6DCE" w:rsidRDefault="00540E6B" w:rsidP="00A04983">
      <w:pPr>
        <w:jc w:val="both"/>
      </w:pPr>
    </w:p>
    <w:p w14:paraId="69CD388C" w14:textId="547F321F" w:rsidR="00540E6B" w:rsidRPr="001F6DCE" w:rsidRDefault="00540E6B" w:rsidP="00633F4F">
      <w:pPr>
        <w:pStyle w:val="ListParagraph"/>
        <w:numPr>
          <w:ilvl w:val="0"/>
          <w:numId w:val="16"/>
        </w:numPr>
        <w:ind w:left="0" w:firstLine="0"/>
        <w:jc w:val="both"/>
      </w:pPr>
      <w:r w:rsidRPr="001F6DCE">
        <w:t>In order to assess the existing systems</w:t>
      </w:r>
      <w:r w:rsidR="00037DEB" w:rsidRPr="001F6DCE">
        <w:t>,</w:t>
      </w:r>
      <w:r w:rsidRPr="001F6DCE">
        <w:t xml:space="preserve"> as well as </w:t>
      </w:r>
      <w:r w:rsidR="00697B20" w:rsidRPr="001F6DCE">
        <w:t xml:space="preserve">to </w:t>
      </w:r>
      <w:r w:rsidR="00023EE6" w:rsidRPr="001F6DCE">
        <w:t>analyse</w:t>
      </w:r>
      <w:r w:rsidRPr="001F6DCE">
        <w:t xml:space="preserve"> how these systems are applied in practice, the process of preparing the ESSA has drawn on a wide range of data</w:t>
      </w:r>
      <w:r w:rsidR="004E7790" w:rsidRPr="001F6DCE">
        <w:t xml:space="preserve">. The </w:t>
      </w:r>
      <w:r w:rsidR="004E7790" w:rsidRPr="001F6DCE">
        <w:lastRenderedPageBreak/>
        <w:t>ESSA was updated during the mid-term review of the Operation</w:t>
      </w:r>
      <w:r w:rsidR="007F2313" w:rsidRPr="001F6DCE">
        <w:t xml:space="preserve"> to reflect the latest changes in the country and sector context</w:t>
      </w:r>
      <w:r w:rsidRPr="001F6DCE">
        <w:t xml:space="preserve">.  </w:t>
      </w:r>
    </w:p>
    <w:p w14:paraId="00FF3252" w14:textId="77777777" w:rsidR="00540E6B" w:rsidRPr="001F6DCE" w:rsidRDefault="00540E6B" w:rsidP="00633F4F">
      <w:pPr>
        <w:pStyle w:val="ListParagraph"/>
        <w:ind w:left="0"/>
        <w:jc w:val="both"/>
      </w:pPr>
    </w:p>
    <w:p w14:paraId="593A3700" w14:textId="2EB2A847" w:rsidR="00540E6B" w:rsidRPr="001F6DCE" w:rsidRDefault="00540E6B" w:rsidP="00633F4F">
      <w:pPr>
        <w:pStyle w:val="ListParagraph"/>
        <w:numPr>
          <w:ilvl w:val="0"/>
          <w:numId w:val="16"/>
        </w:numPr>
        <w:ind w:left="0" w:firstLine="0"/>
        <w:jc w:val="both"/>
      </w:pPr>
      <w:r w:rsidRPr="001F6DCE">
        <w:t xml:space="preserve">Inputs </w:t>
      </w:r>
      <w:r w:rsidR="00023EE6" w:rsidRPr="001F6DCE">
        <w:t>analysed</w:t>
      </w:r>
      <w:r w:rsidRPr="001F6DCE">
        <w:t xml:space="preserve"> for this ESSA have included the following elements: </w:t>
      </w:r>
    </w:p>
    <w:p w14:paraId="295CD238" w14:textId="77777777" w:rsidR="00F0036A" w:rsidRPr="001F6DCE" w:rsidRDefault="00F0036A" w:rsidP="00A04983">
      <w:pPr>
        <w:jc w:val="both"/>
        <w:rPr>
          <w:b/>
          <w:i/>
        </w:rPr>
      </w:pPr>
    </w:p>
    <w:p w14:paraId="68F97DC4" w14:textId="5652F77D" w:rsidR="00540E6B" w:rsidRPr="001F6DCE" w:rsidRDefault="00540E6B" w:rsidP="00633F4F">
      <w:pPr>
        <w:pStyle w:val="ListParagraph"/>
        <w:numPr>
          <w:ilvl w:val="0"/>
          <w:numId w:val="18"/>
        </w:numPr>
        <w:ind w:left="1440" w:hanging="720"/>
        <w:jc w:val="both"/>
      </w:pPr>
      <w:r w:rsidRPr="001F6DCE">
        <w:rPr>
          <w:b/>
          <w:i/>
        </w:rPr>
        <w:t>Desk Review of policies, legal framework and program documents</w:t>
      </w:r>
      <w:r w:rsidRPr="001F6DCE">
        <w:rPr>
          <w:i/>
        </w:rPr>
        <w:t xml:space="preserve">: </w:t>
      </w:r>
      <w:r w:rsidRPr="001F6DCE">
        <w:t xml:space="preserve">The review examined the set of national policy and legal requirements related to environment and social management in the health sector. The review also included supervision documents from previous and ongoing World Bank project and programs in the health sector, namely the </w:t>
      </w:r>
      <w:r w:rsidR="00697B20" w:rsidRPr="001F6DCE">
        <w:t xml:space="preserve">Health </w:t>
      </w:r>
      <w:r w:rsidR="00AF630A" w:rsidRPr="001F6DCE">
        <w:t>S</w:t>
      </w:r>
      <w:r w:rsidR="00697B20" w:rsidRPr="001F6DCE">
        <w:t>ervices and Social Assistance Project</w:t>
      </w:r>
      <w:r w:rsidR="00023EE6" w:rsidRPr="001F6DCE">
        <w:t xml:space="preserve">, as well as other donor-funded relevant project outcomes. </w:t>
      </w:r>
    </w:p>
    <w:p w14:paraId="465AB6B9" w14:textId="77777777" w:rsidR="00540E6B" w:rsidRPr="001F6DCE" w:rsidRDefault="00540E6B" w:rsidP="00A04983">
      <w:pPr>
        <w:jc w:val="both"/>
      </w:pPr>
    </w:p>
    <w:p w14:paraId="2120ADFA" w14:textId="77777777" w:rsidR="00540E6B" w:rsidRPr="001F6DCE" w:rsidRDefault="00540E6B" w:rsidP="00633F4F">
      <w:pPr>
        <w:pStyle w:val="ListParagraph"/>
        <w:numPr>
          <w:ilvl w:val="0"/>
          <w:numId w:val="18"/>
        </w:numPr>
        <w:ind w:left="1440" w:hanging="720"/>
        <w:jc w:val="both"/>
      </w:pPr>
      <w:r w:rsidRPr="001F6DCE">
        <w:rPr>
          <w:b/>
          <w:i/>
        </w:rPr>
        <w:t>Institutional Analysis</w:t>
      </w:r>
      <w:r w:rsidRPr="001F6DCE">
        <w:t xml:space="preserve">: An institutional analysis was carried out to identify the roles, responsibilities and structure of the relevant institutions responsible for implementing the </w:t>
      </w:r>
      <w:proofErr w:type="spellStart"/>
      <w:r w:rsidR="0043316B" w:rsidRPr="001F6DCE">
        <w:t>PforR</w:t>
      </w:r>
      <w:proofErr w:type="spellEnd"/>
      <w:r w:rsidRPr="001F6DCE">
        <w:t xml:space="preserve"> funded activities, including coordination between different entities at the national, </w:t>
      </w:r>
      <w:r w:rsidR="0043316B" w:rsidRPr="001F6DCE">
        <w:t>regional</w:t>
      </w:r>
      <w:r w:rsidRPr="001F6DCE">
        <w:t xml:space="preserve"> and </w:t>
      </w:r>
      <w:r w:rsidR="0043316B" w:rsidRPr="001F6DCE">
        <w:t>local</w:t>
      </w:r>
      <w:r w:rsidRPr="001F6DCE">
        <w:t xml:space="preserve"> levels. Sources included: existing assessments of key institutions focusing on environmental and social assessment and management processes. Available literature and document</w:t>
      </w:r>
      <w:r w:rsidR="00633F4F" w:rsidRPr="001F6DCE">
        <w:t>s were also consulted to assess</w:t>
      </w:r>
      <w:r w:rsidRPr="001F6DCE">
        <w:t xml:space="preserve"> health care waste management system’s capacity and performance</w:t>
      </w:r>
      <w:r w:rsidR="00AB4BD9" w:rsidRPr="001F6DCE">
        <w:t xml:space="preserve"> and access to health care services</w:t>
      </w:r>
      <w:r w:rsidRPr="001F6DCE">
        <w:t xml:space="preserve">.    </w:t>
      </w:r>
    </w:p>
    <w:p w14:paraId="7DBF1055" w14:textId="77777777" w:rsidR="00540E6B" w:rsidRPr="001F6DCE" w:rsidRDefault="00540E6B" w:rsidP="00A04983">
      <w:pPr>
        <w:jc w:val="both"/>
      </w:pPr>
    </w:p>
    <w:p w14:paraId="25E275C8" w14:textId="4E1D8441" w:rsidR="00FA447C" w:rsidRPr="001F6DCE" w:rsidRDefault="00540E6B" w:rsidP="00633F4F">
      <w:pPr>
        <w:pStyle w:val="ListParagraph"/>
        <w:numPr>
          <w:ilvl w:val="0"/>
          <w:numId w:val="18"/>
        </w:numPr>
        <w:ind w:left="1440" w:hanging="720"/>
        <w:jc w:val="both"/>
      </w:pPr>
      <w:r w:rsidRPr="001F6DCE">
        <w:rPr>
          <w:b/>
          <w:i/>
        </w:rPr>
        <w:t>Interviews</w:t>
      </w:r>
      <w:r w:rsidRPr="001F6DCE">
        <w:rPr>
          <w:i/>
        </w:rPr>
        <w:t>:</w:t>
      </w:r>
      <w:r w:rsidRPr="001F6DCE">
        <w:t xml:space="preserve"> Interviews were held with various </w:t>
      </w:r>
      <w:proofErr w:type="spellStart"/>
      <w:r w:rsidR="00AB062A" w:rsidRPr="001F6DCE">
        <w:t>G</w:t>
      </w:r>
      <w:r w:rsidR="00023EE6" w:rsidRPr="001F6DCE">
        <w:t>o</w:t>
      </w:r>
      <w:r w:rsidR="00AB062A" w:rsidRPr="001F6DCE">
        <w:t>M</w:t>
      </w:r>
      <w:proofErr w:type="spellEnd"/>
      <w:r w:rsidRPr="001F6DCE">
        <w:t xml:space="preserve"> ministries and authorities, including those at the national</w:t>
      </w:r>
      <w:r w:rsidR="0043316B" w:rsidRPr="001F6DCE">
        <w:t xml:space="preserve"> and</w:t>
      </w:r>
      <w:r w:rsidRPr="001F6DCE">
        <w:t xml:space="preserve"> regional</w:t>
      </w:r>
      <w:r w:rsidR="0043316B" w:rsidRPr="001F6DCE">
        <w:t xml:space="preserve"> level</w:t>
      </w:r>
      <w:r w:rsidRPr="001F6DCE">
        <w:t>, as well as technical experts involved with environmental and social impact assessment and management in the health sector. Specifically, formal i</w:t>
      </w:r>
      <w:r w:rsidRPr="001F6DCE">
        <w:rPr>
          <w:rFonts w:eastAsia="Calibri"/>
        </w:rPr>
        <w:t xml:space="preserve">nterviews were conducted with relevant personnel in the </w:t>
      </w:r>
      <w:proofErr w:type="spellStart"/>
      <w:r w:rsidR="007F2313" w:rsidRPr="001F6DCE">
        <w:rPr>
          <w:rFonts w:eastAsia="Calibri"/>
        </w:rPr>
        <w:t>MoHLSP</w:t>
      </w:r>
      <w:proofErr w:type="spellEnd"/>
      <w:r w:rsidRPr="001F6DCE">
        <w:rPr>
          <w:rFonts w:eastAsia="Calibri"/>
        </w:rPr>
        <w:t xml:space="preserve">, </w:t>
      </w:r>
      <w:r w:rsidR="0043316B" w:rsidRPr="001F6DCE">
        <w:rPr>
          <w:rFonts w:eastAsia="Calibri"/>
        </w:rPr>
        <w:t xml:space="preserve">CNAM, </w:t>
      </w:r>
      <w:r w:rsidRPr="001F6DCE">
        <w:rPr>
          <w:rFonts w:eastAsia="Calibri"/>
        </w:rPr>
        <w:t xml:space="preserve">and key staff in the </w:t>
      </w:r>
      <w:r w:rsidR="0043316B" w:rsidRPr="001F6DCE">
        <w:rPr>
          <w:rFonts w:eastAsia="Calibri"/>
        </w:rPr>
        <w:t xml:space="preserve">Ministry of </w:t>
      </w:r>
      <w:r w:rsidR="000E279C" w:rsidRPr="001F6DCE">
        <w:rPr>
          <w:rFonts w:eastAsia="Calibri"/>
        </w:rPr>
        <w:t xml:space="preserve">Agriculture, Regional Development and </w:t>
      </w:r>
      <w:r w:rsidR="0043316B" w:rsidRPr="001F6DCE">
        <w:rPr>
          <w:rFonts w:eastAsia="Calibri"/>
        </w:rPr>
        <w:t>Environment</w:t>
      </w:r>
      <w:r w:rsidRPr="001F6DCE">
        <w:rPr>
          <w:rFonts w:eastAsia="Calibri"/>
        </w:rPr>
        <w:t>,</w:t>
      </w:r>
      <w:r w:rsidR="0043316B" w:rsidRPr="001F6DCE">
        <w:rPr>
          <w:rFonts w:eastAsia="Calibri"/>
        </w:rPr>
        <w:t xml:space="preserve"> </w:t>
      </w:r>
      <w:r w:rsidRPr="001F6DCE">
        <w:rPr>
          <w:rFonts w:eastAsia="Calibri"/>
        </w:rPr>
        <w:t xml:space="preserve">experts in the </w:t>
      </w:r>
      <w:r w:rsidR="000E279C" w:rsidRPr="001F6DCE">
        <w:rPr>
          <w:rFonts w:eastAsia="Calibri"/>
        </w:rPr>
        <w:t xml:space="preserve">NPHA </w:t>
      </w:r>
      <w:r w:rsidR="007F2313" w:rsidRPr="001F6DCE">
        <w:rPr>
          <w:rFonts w:eastAsia="Calibri"/>
        </w:rPr>
        <w:t>etc</w:t>
      </w:r>
      <w:r w:rsidR="0043316B" w:rsidRPr="001F6DCE">
        <w:rPr>
          <w:rFonts w:eastAsia="Calibri"/>
        </w:rPr>
        <w:t>.</w:t>
      </w:r>
      <w:r w:rsidRPr="001F6DCE">
        <w:rPr>
          <w:rFonts w:eastAsia="Calibri"/>
        </w:rPr>
        <w:t xml:space="preserve"> </w:t>
      </w:r>
      <w:r w:rsidRPr="001F6DCE">
        <w:t xml:space="preserve">In addition, interviews were held in </w:t>
      </w:r>
      <w:r w:rsidR="0094063C" w:rsidRPr="001F6DCE">
        <w:t xml:space="preserve">primary </w:t>
      </w:r>
      <w:r w:rsidRPr="001F6DCE">
        <w:t xml:space="preserve">health care facilities to assess strengths and gaps in effectively managing environmental effects in the sector at the regional and local level. </w:t>
      </w:r>
    </w:p>
    <w:p w14:paraId="7BCD3885" w14:textId="77777777" w:rsidR="00540E6B" w:rsidRPr="001F6DCE" w:rsidRDefault="00540E6B" w:rsidP="00A04983">
      <w:pPr>
        <w:autoSpaceDE w:val="0"/>
        <w:autoSpaceDN w:val="0"/>
        <w:adjustRightInd w:val="0"/>
        <w:jc w:val="both"/>
      </w:pPr>
      <w:r w:rsidRPr="001F6DCE">
        <w:t xml:space="preserve"> </w:t>
      </w:r>
    </w:p>
    <w:p w14:paraId="0AFE2F5F" w14:textId="77777777" w:rsidR="00540E6B" w:rsidRPr="001F6DCE" w:rsidRDefault="00540E6B" w:rsidP="00633F4F">
      <w:pPr>
        <w:pStyle w:val="ListParagraph"/>
        <w:numPr>
          <w:ilvl w:val="0"/>
          <w:numId w:val="6"/>
        </w:numPr>
        <w:spacing w:line="360" w:lineRule="auto"/>
        <w:ind w:hanging="720"/>
        <w:jc w:val="both"/>
        <w:rPr>
          <w:b/>
          <w:bCs/>
        </w:rPr>
      </w:pPr>
      <w:bookmarkStart w:id="7" w:name="_Toc207292435"/>
      <w:r w:rsidRPr="001F6DCE">
        <w:rPr>
          <w:b/>
          <w:bCs/>
        </w:rPr>
        <w:t>Stakeholder Consultation Process</w:t>
      </w:r>
      <w:bookmarkEnd w:id="7"/>
    </w:p>
    <w:p w14:paraId="546BF619" w14:textId="6F4A58CD" w:rsidR="00633F4F" w:rsidRPr="001F6DCE" w:rsidRDefault="00540E6B" w:rsidP="00633F4F">
      <w:pPr>
        <w:pStyle w:val="ListParagraph"/>
        <w:numPr>
          <w:ilvl w:val="0"/>
          <w:numId w:val="16"/>
        </w:numPr>
        <w:ind w:left="0" w:firstLine="0"/>
        <w:jc w:val="both"/>
      </w:pPr>
      <w:r w:rsidRPr="001F6DCE">
        <w:t>The ESSA process includes stakeholder consultations and disclosure of the ESSA Report following the World Bank’s Access to Information Policy</w:t>
      </w:r>
      <w:r w:rsidR="00633F4F" w:rsidRPr="001F6DCE">
        <w:t>.</w:t>
      </w:r>
      <w:r w:rsidR="00AF630A" w:rsidRPr="001F6DCE">
        <w:rPr>
          <w:rStyle w:val="FootnoteReference"/>
        </w:rPr>
        <w:footnoteReference w:id="3"/>
      </w:r>
      <w:r w:rsidRPr="001F6DCE">
        <w:t xml:space="preserve"> </w:t>
      </w:r>
      <w:r w:rsidR="00633F4F" w:rsidRPr="001F6DCE">
        <w:t xml:space="preserve"> The</w:t>
      </w:r>
      <w:r w:rsidRPr="001F6DCE">
        <w:t xml:space="preserve"> </w:t>
      </w:r>
      <w:r w:rsidR="001A612C" w:rsidRPr="001F6DCE">
        <w:t>p</w:t>
      </w:r>
      <w:r w:rsidRPr="001F6DCE">
        <w:t xml:space="preserve">rogram team </w:t>
      </w:r>
      <w:r w:rsidR="001A612C" w:rsidRPr="001F6DCE">
        <w:t>has</w:t>
      </w:r>
      <w:r w:rsidRPr="001F6DCE">
        <w:t xml:space="preserve"> develop</w:t>
      </w:r>
      <w:r w:rsidR="001A612C" w:rsidRPr="001F6DCE">
        <w:t>ed</w:t>
      </w:r>
      <w:r w:rsidRPr="001F6DCE">
        <w:t xml:space="preserve"> a consultation process for the ESSA report. </w:t>
      </w:r>
      <w:r w:rsidR="00756EB6" w:rsidRPr="001F6DCE">
        <w:t xml:space="preserve">Main </w:t>
      </w:r>
      <w:r w:rsidRPr="001F6DCE">
        <w:t xml:space="preserve">aspects of such a process include </w:t>
      </w:r>
      <w:proofErr w:type="gramStart"/>
      <w:r w:rsidRPr="001F6DCE">
        <w:t xml:space="preserve">a stakeholder </w:t>
      </w:r>
      <w:r w:rsidR="000E279C" w:rsidRPr="001F6DCE">
        <w:t>consultations</w:t>
      </w:r>
      <w:proofErr w:type="gramEnd"/>
      <w:r w:rsidR="000E279C" w:rsidRPr="001F6DCE">
        <w:t xml:space="preserve"> </w:t>
      </w:r>
      <w:r w:rsidRPr="001F6DCE">
        <w:t>wi</w:t>
      </w:r>
      <w:r w:rsidR="00756EB6" w:rsidRPr="001F6DCE">
        <w:t>t</w:t>
      </w:r>
      <w:r w:rsidRPr="001F6DCE">
        <w:t xml:space="preserve">h participants drawn from civil society, </w:t>
      </w:r>
      <w:r w:rsidR="00AF630A" w:rsidRPr="001F6DCE">
        <w:t xml:space="preserve">program implementers at different levels and </w:t>
      </w:r>
      <w:r w:rsidRPr="001F6DCE">
        <w:t>development partners supporting health sector</w:t>
      </w:r>
      <w:r w:rsidR="00756EB6" w:rsidRPr="001F6DCE">
        <w:t xml:space="preserve"> and disclosure of the document in the web-site of the </w:t>
      </w:r>
      <w:proofErr w:type="spellStart"/>
      <w:r w:rsidR="007F2313" w:rsidRPr="001F6DCE">
        <w:t>MoHLSP</w:t>
      </w:r>
      <w:proofErr w:type="spellEnd"/>
      <w:r w:rsidR="00756EB6" w:rsidRPr="001F6DCE">
        <w:t xml:space="preserve"> for the ongoing provision of the comments and suggestions from stakeholders</w:t>
      </w:r>
      <w:r w:rsidRPr="001F6DCE">
        <w:t>.</w:t>
      </w:r>
    </w:p>
    <w:p w14:paraId="4CCD0BD3" w14:textId="77777777" w:rsidR="00633F4F" w:rsidRPr="001F6DCE" w:rsidRDefault="00633F4F" w:rsidP="00633F4F">
      <w:pPr>
        <w:jc w:val="both"/>
      </w:pPr>
    </w:p>
    <w:p w14:paraId="714B8952" w14:textId="77777777" w:rsidR="00DC4F5A" w:rsidRPr="001F6DCE" w:rsidRDefault="004D5B6C" w:rsidP="00633F4F">
      <w:pPr>
        <w:pStyle w:val="ListParagraph"/>
        <w:numPr>
          <w:ilvl w:val="0"/>
          <w:numId w:val="5"/>
        </w:numPr>
        <w:tabs>
          <w:tab w:val="left" w:pos="0"/>
        </w:tabs>
        <w:jc w:val="center"/>
        <w:rPr>
          <w:b/>
          <w:szCs w:val="24"/>
        </w:rPr>
      </w:pPr>
      <w:r w:rsidRPr="001F6DCE">
        <w:rPr>
          <w:b/>
          <w:szCs w:val="24"/>
        </w:rPr>
        <w:t>KEY STAKEHOLDERS MAPPING</w:t>
      </w:r>
    </w:p>
    <w:p w14:paraId="79E00FAA" w14:textId="77777777" w:rsidR="0071027D" w:rsidRPr="001F6DCE" w:rsidRDefault="0071027D" w:rsidP="00A04983">
      <w:pPr>
        <w:pStyle w:val="ListParagraph"/>
        <w:ind w:left="0"/>
        <w:jc w:val="both"/>
        <w:rPr>
          <w:b/>
        </w:rPr>
      </w:pPr>
    </w:p>
    <w:p w14:paraId="23C5D6C9" w14:textId="0F8349F2" w:rsidR="001275A5" w:rsidRPr="001F6DCE" w:rsidRDefault="001275A5" w:rsidP="00633F4F">
      <w:pPr>
        <w:pStyle w:val="ListParagraph"/>
        <w:numPr>
          <w:ilvl w:val="0"/>
          <w:numId w:val="19"/>
        </w:numPr>
        <w:ind w:hanging="720"/>
        <w:jc w:val="both"/>
        <w:rPr>
          <w:b/>
        </w:rPr>
      </w:pPr>
      <w:r w:rsidRPr="001F6DCE">
        <w:rPr>
          <w:b/>
        </w:rPr>
        <w:lastRenderedPageBreak/>
        <w:t xml:space="preserve">The lead partner and main coordinator of the </w:t>
      </w:r>
      <w:proofErr w:type="spellStart"/>
      <w:r w:rsidRPr="001F6DCE">
        <w:rPr>
          <w:b/>
        </w:rPr>
        <w:t>P</w:t>
      </w:r>
      <w:r w:rsidR="001A1151" w:rsidRPr="001F6DCE">
        <w:rPr>
          <w:b/>
        </w:rPr>
        <w:t>forR</w:t>
      </w:r>
      <w:proofErr w:type="spellEnd"/>
      <w:r w:rsidRPr="001F6DCE">
        <w:rPr>
          <w:b/>
        </w:rPr>
        <w:t xml:space="preserve"> implementation</w:t>
      </w:r>
      <w:r w:rsidR="001A1151" w:rsidRPr="001F6DCE">
        <w:rPr>
          <w:b/>
        </w:rPr>
        <w:t xml:space="preserve"> is</w:t>
      </w:r>
      <w:r w:rsidRPr="001F6DCE">
        <w:rPr>
          <w:b/>
        </w:rPr>
        <w:t xml:space="preserve"> Ministry of Health</w:t>
      </w:r>
      <w:r w:rsidR="005D1B32" w:rsidRPr="001F6DCE">
        <w:rPr>
          <w:b/>
        </w:rPr>
        <w:t>, Labour and Social Protection</w:t>
      </w:r>
    </w:p>
    <w:p w14:paraId="77CD9164" w14:textId="77777777" w:rsidR="001275A5" w:rsidRPr="001F6DCE" w:rsidRDefault="001275A5" w:rsidP="00A04983">
      <w:pPr>
        <w:jc w:val="both"/>
      </w:pPr>
    </w:p>
    <w:p w14:paraId="244FA842" w14:textId="3FE43CCC" w:rsidR="00834B91" w:rsidRPr="001F6DCE" w:rsidRDefault="00CA4E60" w:rsidP="00171C0A">
      <w:pPr>
        <w:pStyle w:val="ListParagraph"/>
        <w:numPr>
          <w:ilvl w:val="0"/>
          <w:numId w:val="16"/>
        </w:numPr>
        <w:ind w:left="0" w:firstLine="0"/>
        <w:jc w:val="both"/>
      </w:pPr>
      <w:r w:rsidRPr="001F6DCE">
        <w:t xml:space="preserve">The measures under the </w:t>
      </w:r>
      <w:proofErr w:type="spellStart"/>
      <w:r w:rsidRPr="001F6DCE">
        <w:t>PforR</w:t>
      </w:r>
      <w:proofErr w:type="spellEnd"/>
      <w:r w:rsidRPr="001F6DCE">
        <w:t xml:space="preserve"> operation are to be implemented </w:t>
      </w:r>
      <w:proofErr w:type="gramStart"/>
      <w:r w:rsidRPr="001F6DCE">
        <w:t>by both,</w:t>
      </w:r>
      <w:proofErr w:type="gramEnd"/>
      <w:r w:rsidRPr="001F6DCE">
        <w:t xml:space="preserve"> the Ministry of Health</w:t>
      </w:r>
      <w:r w:rsidR="000E279C" w:rsidRPr="001F6DCE">
        <w:t xml:space="preserve">, Labour and Social Protection (until 2017, the </w:t>
      </w:r>
      <w:proofErr w:type="spellStart"/>
      <w:r w:rsidR="000E279C" w:rsidRPr="001F6DCE">
        <w:t>MoH</w:t>
      </w:r>
      <w:proofErr w:type="spellEnd"/>
      <w:r w:rsidR="000E279C" w:rsidRPr="001F6DCE">
        <w:t>)</w:t>
      </w:r>
      <w:r w:rsidRPr="001F6DCE">
        <w:t xml:space="preserve"> and the National Health Insurance Company (CNAM) </w:t>
      </w:r>
      <w:r w:rsidR="00DA211E" w:rsidRPr="001F6DCE">
        <w:t>who are</w:t>
      </w:r>
      <w:r w:rsidRPr="001F6DCE">
        <w:t xml:space="preserve"> equally important project partners. </w:t>
      </w:r>
      <w:r w:rsidR="007F2313" w:rsidRPr="001F6DCE">
        <w:t xml:space="preserve">In 2017 the Government has been restructured and downsized </w:t>
      </w:r>
      <w:r w:rsidR="000E279C" w:rsidRPr="001F6DCE">
        <w:t>from</w:t>
      </w:r>
      <w:r w:rsidR="007F2313" w:rsidRPr="001F6DCE">
        <w:t xml:space="preserve">16 to 9 ministries. </w:t>
      </w:r>
      <w:r w:rsidR="000E279C" w:rsidRPr="001F6DCE">
        <w:t>The</w:t>
      </w:r>
      <w:r w:rsidR="007F2313" w:rsidRPr="001F6DCE">
        <w:t xml:space="preserve"> Ministry of Health </w:t>
      </w:r>
      <w:r w:rsidR="00131E43" w:rsidRPr="001F6DCE">
        <w:t>was merged with the Ministry of Labour, Social Protection and Family</w:t>
      </w:r>
      <w:r w:rsidR="00171C0A" w:rsidRPr="001F6DCE">
        <w:t xml:space="preserve"> and </w:t>
      </w:r>
      <w:r w:rsidR="000E279C" w:rsidRPr="001F6DCE">
        <w:t xml:space="preserve">almost half of </w:t>
      </w:r>
      <w:proofErr w:type="gramStart"/>
      <w:r w:rsidR="000E279C" w:rsidRPr="001F6DCE">
        <w:t>its</w:t>
      </w:r>
      <w:proofErr w:type="gramEnd"/>
      <w:r w:rsidR="000E279C" w:rsidRPr="001F6DCE">
        <w:t xml:space="preserve"> staff has been</w:t>
      </w:r>
      <w:r w:rsidR="00171C0A" w:rsidRPr="001F6DCE">
        <w:t xml:space="preserve"> reduced. </w:t>
      </w:r>
      <w:r w:rsidR="001E592C" w:rsidRPr="001F6DCE">
        <w:t>S</w:t>
      </w:r>
      <w:r w:rsidR="00B838AA" w:rsidRPr="001F6DCE">
        <w:t>uch</w:t>
      </w:r>
      <w:r w:rsidR="00171C0A" w:rsidRPr="001F6DCE">
        <w:t xml:space="preserve"> </w:t>
      </w:r>
      <w:r w:rsidR="00131E43" w:rsidRPr="001F6DCE">
        <w:t xml:space="preserve">structure is not </w:t>
      </w:r>
      <w:r w:rsidR="000E279C" w:rsidRPr="001F6DCE">
        <w:t>a novel</w:t>
      </w:r>
      <w:r w:rsidR="00E27B21" w:rsidRPr="001F6DCE">
        <w:t>ty</w:t>
      </w:r>
      <w:r w:rsidR="000E279C" w:rsidRPr="001F6DCE">
        <w:t>,</w:t>
      </w:r>
      <w:r w:rsidR="00131E43" w:rsidRPr="001F6DCE">
        <w:t xml:space="preserve"> as the health </w:t>
      </w:r>
      <w:r w:rsidR="00F04FB8" w:rsidRPr="001F6DCE">
        <w:t>a</w:t>
      </w:r>
      <w:r w:rsidR="00131E43" w:rsidRPr="001F6DCE">
        <w:t>nd social sector</w:t>
      </w:r>
      <w:r w:rsidR="000E279C" w:rsidRPr="001F6DCE">
        <w:t>s</w:t>
      </w:r>
      <w:r w:rsidR="00131E43" w:rsidRPr="001F6DCE">
        <w:t xml:space="preserve"> were also managed by a single ministry</w:t>
      </w:r>
      <w:r w:rsidR="000E279C" w:rsidRPr="001F6DCE">
        <w:t xml:space="preserve"> up to 2008</w:t>
      </w:r>
      <w:r w:rsidR="00131E43" w:rsidRPr="001F6DCE">
        <w:t xml:space="preserve">. </w:t>
      </w:r>
      <w:r w:rsidR="00CD68D3" w:rsidRPr="001F6DCE">
        <w:t>T</w:t>
      </w:r>
      <w:r w:rsidR="00131E43" w:rsidRPr="001F6DCE">
        <w:t xml:space="preserve">he established Ministry of Health, </w:t>
      </w:r>
      <w:r w:rsidR="00455B2C" w:rsidRPr="001F6DCE">
        <w:t>Labour and Social P</w:t>
      </w:r>
      <w:r w:rsidR="00131E43" w:rsidRPr="001F6DCE">
        <w:t xml:space="preserve">rotection </w:t>
      </w:r>
      <w:r w:rsidR="001E592C" w:rsidRPr="001F6DCE">
        <w:t xml:space="preserve">will </w:t>
      </w:r>
      <w:r w:rsidR="00CD68D3" w:rsidRPr="001F6DCE">
        <w:t>strengthen</w:t>
      </w:r>
      <w:r w:rsidR="00E27B21" w:rsidRPr="001F6DCE">
        <w:t xml:space="preserve"> and consolidate</w:t>
      </w:r>
      <w:r w:rsidR="00CD68D3" w:rsidRPr="001F6DCE">
        <w:t xml:space="preserve"> its</w:t>
      </w:r>
      <w:r w:rsidR="00DA4A95" w:rsidRPr="001F6DCE">
        <w:t xml:space="preserve"> </w:t>
      </w:r>
      <w:r w:rsidR="002B3A66" w:rsidRPr="001F6DCE">
        <w:t xml:space="preserve">policy-making </w:t>
      </w:r>
      <w:r w:rsidR="00CD68D3" w:rsidRPr="001F6DCE">
        <w:t>function</w:t>
      </w:r>
      <w:r w:rsidR="002B3A66" w:rsidRPr="001F6DCE">
        <w:t>,</w:t>
      </w:r>
      <w:r w:rsidR="00DA4A95" w:rsidRPr="001F6DCE">
        <w:t xml:space="preserve"> while </w:t>
      </w:r>
      <w:r w:rsidR="00CD68D3" w:rsidRPr="001F6DCE">
        <w:t>all implementation responsibilities</w:t>
      </w:r>
      <w:r w:rsidR="00DA4A95" w:rsidRPr="001F6DCE">
        <w:t xml:space="preserve"> will be </w:t>
      </w:r>
      <w:r w:rsidR="00CD68D3" w:rsidRPr="001F6DCE">
        <w:t>transferred</w:t>
      </w:r>
      <w:r w:rsidR="00DA4A95" w:rsidRPr="001F6DCE">
        <w:t xml:space="preserve"> </w:t>
      </w:r>
      <w:r w:rsidR="00CD68D3" w:rsidRPr="001F6DCE">
        <w:t>to the</w:t>
      </w:r>
      <w:r w:rsidR="00DA4A95" w:rsidRPr="001F6DCE">
        <w:t xml:space="preserve"> newly established National </w:t>
      </w:r>
      <w:r w:rsidR="00CD68D3" w:rsidRPr="001F6DCE">
        <w:t>Public Health Agency (NPHA)</w:t>
      </w:r>
      <w:r w:rsidR="00DA4A95" w:rsidRPr="001F6DCE">
        <w:t xml:space="preserve">, </w:t>
      </w:r>
      <w:r w:rsidR="002B3A66" w:rsidRPr="001F6DCE">
        <w:t xml:space="preserve">the </w:t>
      </w:r>
      <w:r w:rsidR="00DA4A95" w:rsidRPr="001F6DCE">
        <w:t>CNAM and National Agency for Drugs and Medical Equipment (NADME)</w:t>
      </w:r>
      <w:r w:rsidR="00131E43" w:rsidRPr="001F6DCE">
        <w:t xml:space="preserve">. </w:t>
      </w:r>
      <w:r w:rsidR="00F3182B" w:rsidRPr="001F6DCE">
        <w:t xml:space="preserve">In addition, in 2016 </w:t>
      </w:r>
      <w:r w:rsidR="00A805B7" w:rsidRPr="001F6DCE">
        <w:t>there was</w:t>
      </w:r>
      <w:r w:rsidR="00F3182B" w:rsidRPr="001F6DCE">
        <w:t xml:space="preserve"> created </w:t>
      </w:r>
      <w:r w:rsidR="00090F22" w:rsidRPr="001F6DCE">
        <w:t>C</w:t>
      </w:r>
      <w:r w:rsidR="00F3182B" w:rsidRPr="001F6DCE">
        <w:t xml:space="preserve">entre for </w:t>
      </w:r>
      <w:r w:rsidR="00090F22" w:rsidRPr="001F6DCE">
        <w:t>P</w:t>
      </w:r>
      <w:r w:rsidR="00F3182B" w:rsidRPr="001F6DCE">
        <w:t xml:space="preserve">ublic </w:t>
      </w:r>
      <w:r w:rsidR="00090F22" w:rsidRPr="001F6DCE">
        <w:t>P</w:t>
      </w:r>
      <w:r w:rsidR="00F3182B" w:rsidRPr="001F6DCE">
        <w:t xml:space="preserve">rocurement in </w:t>
      </w:r>
      <w:r w:rsidR="00090F22" w:rsidRPr="001F6DCE">
        <w:t>H</w:t>
      </w:r>
      <w:r w:rsidR="00F3182B" w:rsidRPr="001F6DCE">
        <w:t>ealth</w:t>
      </w:r>
      <w:r w:rsidR="00090F22" w:rsidRPr="001F6DCE">
        <w:t xml:space="preserve"> (CPPH)</w:t>
      </w:r>
      <w:r w:rsidR="00F3182B" w:rsidRPr="001F6DCE">
        <w:t xml:space="preserve"> with the purpose to centralise</w:t>
      </w:r>
      <w:r w:rsidR="00B838AA" w:rsidRPr="001F6DCE">
        <w:t xml:space="preserve"> and optimise</w:t>
      </w:r>
      <w:r w:rsidR="00F3182B" w:rsidRPr="001F6DCE">
        <w:t xml:space="preserve"> all procurement </w:t>
      </w:r>
      <w:r w:rsidR="00E27B21" w:rsidRPr="001F6DCE">
        <w:t>of drugs,</w:t>
      </w:r>
      <w:r w:rsidR="00090F22" w:rsidRPr="001F6DCE">
        <w:t xml:space="preserve"> </w:t>
      </w:r>
      <w:r w:rsidR="00897740" w:rsidRPr="001F6DCE">
        <w:t>consumable</w:t>
      </w:r>
      <w:r w:rsidR="00090F22" w:rsidRPr="001F6DCE">
        <w:t xml:space="preserve">s </w:t>
      </w:r>
      <w:r w:rsidR="00E27B21" w:rsidRPr="001F6DCE">
        <w:t xml:space="preserve">and medical equipment </w:t>
      </w:r>
      <w:r w:rsidR="00D2755C" w:rsidRPr="001F6DCE">
        <w:t>for medical institutions, as well as those</w:t>
      </w:r>
      <w:r w:rsidR="00897740" w:rsidRPr="001F6DCE">
        <w:t xml:space="preserve"> medications provided </w:t>
      </w:r>
      <w:r w:rsidR="00D2755C" w:rsidRPr="001F6DCE">
        <w:t xml:space="preserve">to population </w:t>
      </w:r>
      <w:r w:rsidR="00897740" w:rsidRPr="001F6DCE">
        <w:t xml:space="preserve">under </w:t>
      </w:r>
      <w:r w:rsidR="00D2755C" w:rsidRPr="001F6DCE">
        <w:t xml:space="preserve">the </w:t>
      </w:r>
      <w:r w:rsidR="00897740" w:rsidRPr="001F6DCE">
        <w:t>national programmes</w:t>
      </w:r>
      <w:r w:rsidR="00573C7C" w:rsidRPr="001F6DCE">
        <w:rPr>
          <w:rStyle w:val="FootnoteReference"/>
        </w:rPr>
        <w:footnoteReference w:id="4"/>
      </w:r>
      <w:r w:rsidR="00573C7C" w:rsidRPr="001F6DCE">
        <w:t>.</w:t>
      </w:r>
    </w:p>
    <w:p w14:paraId="1EF6BA6E" w14:textId="77777777" w:rsidR="00CA4E60" w:rsidRPr="001F6DCE" w:rsidRDefault="00CA4E60" w:rsidP="00633F4F">
      <w:pPr>
        <w:pStyle w:val="ListParagraph"/>
        <w:ind w:left="0"/>
        <w:jc w:val="both"/>
      </w:pPr>
    </w:p>
    <w:p w14:paraId="7A5AC840" w14:textId="26B96AC6" w:rsidR="006F27B2" w:rsidRPr="001F6DCE" w:rsidRDefault="002B3A66" w:rsidP="00633F4F">
      <w:pPr>
        <w:pStyle w:val="ListParagraph"/>
        <w:numPr>
          <w:ilvl w:val="0"/>
          <w:numId w:val="16"/>
        </w:numPr>
        <w:ind w:left="0" w:firstLine="0"/>
        <w:jc w:val="both"/>
      </w:pPr>
      <w:r w:rsidRPr="001F6DCE">
        <w:t>Upon Government reorganisation, t</w:t>
      </w:r>
      <w:r w:rsidR="001275A5" w:rsidRPr="001F6DCE">
        <w:t>he Ministry of Health</w:t>
      </w:r>
      <w:r w:rsidRPr="001F6DCE">
        <w:t>, Labour and Social Protection</w:t>
      </w:r>
      <w:r w:rsidR="001275A5" w:rsidRPr="001F6DCE">
        <w:t xml:space="preserve"> </w:t>
      </w:r>
      <w:r w:rsidRPr="001F6DCE">
        <w:t xml:space="preserve">in addition to </w:t>
      </w:r>
      <w:r w:rsidR="001275A5" w:rsidRPr="001F6DCE">
        <w:t xml:space="preserve">health policy and the development of legislation </w:t>
      </w:r>
      <w:r w:rsidR="00B96560" w:rsidRPr="001F6DCE">
        <w:t xml:space="preserve">on </w:t>
      </w:r>
      <w:r w:rsidR="001275A5" w:rsidRPr="001F6DCE">
        <w:t xml:space="preserve">the organization and provision of health </w:t>
      </w:r>
      <w:r w:rsidR="00B96560" w:rsidRPr="001F6DCE">
        <w:t>care</w:t>
      </w:r>
      <w:r w:rsidR="009D073B" w:rsidRPr="001F6DCE">
        <w:t>,</w:t>
      </w:r>
      <w:r w:rsidRPr="001F6DCE">
        <w:t xml:space="preserve"> </w:t>
      </w:r>
      <w:r w:rsidR="00B96560" w:rsidRPr="001F6DCE">
        <w:t>is also in charge of</w:t>
      </w:r>
      <w:r w:rsidRPr="001F6DCE">
        <w:t xml:space="preserve"> social</w:t>
      </w:r>
      <w:r w:rsidR="00E261EA" w:rsidRPr="001F6DCE">
        <w:t>, labour and demography</w:t>
      </w:r>
      <w:r w:rsidR="00020614" w:rsidRPr="001F6DCE">
        <w:t xml:space="preserve"> policy</w:t>
      </w:r>
      <w:r w:rsidRPr="001F6DCE">
        <w:t xml:space="preserve"> </w:t>
      </w:r>
      <w:r w:rsidR="00020614" w:rsidRPr="001F6DCE">
        <w:t>development (</w:t>
      </w:r>
      <w:r w:rsidR="009D073B" w:rsidRPr="001F6DCE">
        <w:t xml:space="preserve">including </w:t>
      </w:r>
      <w:r w:rsidR="00020614" w:rsidRPr="001F6DCE">
        <w:t>social insurance and social protection)</w:t>
      </w:r>
      <w:r w:rsidR="001275A5" w:rsidRPr="001F6DCE">
        <w:t>. I</w:t>
      </w:r>
      <w:r w:rsidR="00A56AFB" w:rsidRPr="001F6DCE">
        <w:t>n terms of health care, it</w:t>
      </w:r>
      <w:r w:rsidR="001275A5" w:rsidRPr="001F6DCE">
        <w:t xml:space="preserve"> is also responsible for</w:t>
      </w:r>
      <w:r w:rsidR="00633F4F" w:rsidRPr="001F6DCE">
        <w:t>:</w:t>
      </w:r>
      <w:r w:rsidR="001275A5" w:rsidRPr="001F6DCE">
        <w:t xml:space="preserve"> </w:t>
      </w:r>
      <w:r w:rsidR="006F27B2" w:rsidRPr="001F6DCE">
        <w:t>(</w:t>
      </w:r>
      <w:proofErr w:type="spellStart"/>
      <w:r w:rsidR="006F27B2" w:rsidRPr="001F6DCE">
        <w:t>i</w:t>
      </w:r>
      <w:proofErr w:type="spellEnd"/>
      <w:r w:rsidR="006F27B2" w:rsidRPr="001F6DCE">
        <w:t xml:space="preserve">) </w:t>
      </w:r>
      <w:r w:rsidR="001275A5" w:rsidRPr="001F6DCE">
        <w:t>quality assurance and establishment of minimum quality criteria</w:t>
      </w:r>
      <w:r w:rsidR="00B96560" w:rsidRPr="001F6DCE">
        <w:t xml:space="preserve"> for healthcare and social services</w:t>
      </w:r>
      <w:r w:rsidR="00633F4F" w:rsidRPr="001F6DCE">
        <w:t>;</w:t>
      </w:r>
      <w:r w:rsidR="001275A5" w:rsidRPr="001F6DCE">
        <w:t xml:space="preserve"> </w:t>
      </w:r>
      <w:r w:rsidR="006F27B2" w:rsidRPr="001F6DCE">
        <w:t xml:space="preserve">(ii) </w:t>
      </w:r>
      <w:r w:rsidR="001275A5" w:rsidRPr="001F6DCE">
        <w:t>the de</w:t>
      </w:r>
      <w:r w:rsidR="00633F4F" w:rsidRPr="001F6DCE">
        <w:t>finition of the benefit package</w:t>
      </w:r>
      <w:r w:rsidR="00F81A61" w:rsidRPr="001F6DCE">
        <w:t xml:space="preserve"> (jointly with CNAM)</w:t>
      </w:r>
      <w:r w:rsidR="00633F4F" w:rsidRPr="001F6DCE">
        <w:t>;</w:t>
      </w:r>
      <w:r w:rsidR="001275A5" w:rsidRPr="001F6DCE">
        <w:t xml:space="preserve"> </w:t>
      </w:r>
      <w:r w:rsidR="006F27B2" w:rsidRPr="001F6DCE">
        <w:t xml:space="preserve">(iii) </w:t>
      </w:r>
      <w:r w:rsidR="001275A5" w:rsidRPr="001F6DCE">
        <w:t>resource planning and the use of capital investments</w:t>
      </w:r>
      <w:r w:rsidR="008838B6" w:rsidRPr="001F6DCE">
        <w:t xml:space="preserve"> (jointly with CNAM)</w:t>
      </w:r>
      <w:r w:rsidR="001275A5" w:rsidRPr="001F6DCE">
        <w:t xml:space="preserve">, </w:t>
      </w:r>
      <w:r w:rsidR="006F27B2" w:rsidRPr="001F6DCE">
        <w:t xml:space="preserve">(iv) </w:t>
      </w:r>
      <w:r w:rsidR="001275A5" w:rsidRPr="001F6DCE">
        <w:t>surveillance of population health</w:t>
      </w:r>
      <w:r w:rsidR="00633F4F" w:rsidRPr="001F6DCE">
        <w:t>;</w:t>
      </w:r>
      <w:r w:rsidR="001275A5" w:rsidRPr="001F6DCE">
        <w:t xml:space="preserve"> </w:t>
      </w:r>
      <w:r w:rsidR="006F27B2" w:rsidRPr="001F6DCE">
        <w:t xml:space="preserve">(v) </w:t>
      </w:r>
      <w:r w:rsidR="001275A5" w:rsidRPr="001F6DCE">
        <w:t>setting public health priorities</w:t>
      </w:r>
      <w:r w:rsidR="00633F4F" w:rsidRPr="001F6DCE">
        <w:t>;</w:t>
      </w:r>
      <w:r w:rsidR="001275A5" w:rsidRPr="001F6DCE">
        <w:t xml:space="preserve"> </w:t>
      </w:r>
      <w:r w:rsidR="006F27B2" w:rsidRPr="001F6DCE">
        <w:t>(vi)</w:t>
      </w:r>
      <w:r w:rsidR="001275A5" w:rsidRPr="001F6DCE">
        <w:t xml:space="preserve"> manag</w:t>
      </w:r>
      <w:r w:rsidR="006F27B2" w:rsidRPr="001F6DCE">
        <w:t>ing</w:t>
      </w:r>
      <w:r w:rsidR="001275A5" w:rsidRPr="001F6DCE">
        <w:t xml:space="preserve"> of </w:t>
      </w:r>
      <w:r w:rsidR="00B96560" w:rsidRPr="001F6DCE">
        <w:t xml:space="preserve">all </w:t>
      </w:r>
      <w:r w:rsidR="001275A5" w:rsidRPr="001F6DCE">
        <w:t xml:space="preserve">national health programmes (including </w:t>
      </w:r>
      <w:r w:rsidR="008832D6" w:rsidRPr="001F6DCE">
        <w:t xml:space="preserve">medical </w:t>
      </w:r>
      <w:r w:rsidR="001275A5" w:rsidRPr="001F6DCE">
        <w:t>education)</w:t>
      </w:r>
      <w:r w:rsidR="00633F4F" w:rsidRPr="001F6DCE">
        <w:t xml:space="preserve">; </w:t>
      </w:r>
      <w:r w:rsidR="001275A5" w:rsidRPr="001F6DCE">
        <w:t xml:space="preserve">as well as </w:t>
      </w:r>
      <w:r w:rsidR="006F27B2" w:rsidRPr="001F6DCE">
        <w:t xml:space="preserve">(vii) </w:t>
      </w:r>
      <w:r w:rsidR="001275A5" w:rsidRPr="001F6DCE">
        <w:t>promotin</w:t>
      </w:r>
      <w:r w:rsidR="006F27B2" w:rsidRPr="001F6DCE">
        <w:t>g</w:t>
      </w:r>
      <w:r w:rsidR="001275A5" w:rsidRPr="001F6DCE">
        <w:t xml:space="preserve"> Health</w:t>
      </w:r>
      <w:r w:rsidR="00B96560" w:rsidRPr="001F6DCE">
        <w:t>-</w:t>
      </w:r>
      <w:r w:rsidR="001275A5" w:rsidRPr="001F6DCE">
        <w:t>in</w:t>
      </w:r>
      <w:r w:rsidR="00B96560" w:rsidRPr="001F6DCE">
        <w:t>-</w:t>
      </w:r>
      <w:r w:rsidR="001275A5" w:rsidRPr="001F6DCE">
        <w:t xml:space="preserve">All Policies. </w:t>
      </w:r>
    </w:p>
    <w:p w14:paraId="07C14B98" w14:textId="77777777" w:rsidR="00AA20FA" w:rsidRPr="001F6DCE" w:rsidRDefault="00AA20FA" w:rsidP="00633F4F">
      <w:pPr>
        <w:pStyle w:val="ListParagraph"/>
        <w:ind w:left="0"/>
        <w:jc w:val="both"/>
      </w:pPr>
    </w:p>
    <w:p w14:paraId="1D7DC1F0" w14:textId="3241E5C1" w:rsidR="006F27B2" w:rsidRPr="001F6DCE" w:rsidRDefault="001275A5" w:rsidP="00633F4F">
      <w:pPr>
        <w:pStyle w:val="ListParagraph"/>
        <w:numPr>
          <w:ilvl w:val="0"/>
          <w:numId w:val="16"/>
        </w:numPr>
        <w:ind w:left="0" w:firstLine="0"/>
        <w:jc w:val="both"/>
      </w:pPr>
      <w:r w:rsidRPr="001F6DCE">
        <w:t xml:space="preserve">A series of basic </w:t>
      </w:r>
      <w:r w:rsidR="00972551" w:rsidRPr="001F6DCE">
        <w:t xml:space="preserve">healthcare </w:t>
      </w:r>
      <w:r w:rsidRPr="001F6DCE">
        <w:t>functions of the Ministry of Health</w:t>
      </w:r>
      <w:r w:rsidR="008838B6" w:rsidRPr="001F6DCE">
        <w:t>,</w:t>
      </w:r>
      <w:r w:rsidRPr="001F6DCE">
        <w:t xml:space="preserve"> </w:t>
      </w:r>
      <w:r w:rsidR="008838B6" w:rsidRPr="001F6DCE">
        <w:t xml:space="preserve">Labour and Social Protection </w:t>
      </w:r>
      <w:r w:rsidRPr="001F6DCE">
        <w:t>relate to ensuring the preparedness of the health system for efficient response to public health emergencies, to implementing international health regulations and to collaborating with international organizations and structures in the field of health</w:t>
      </w:r>
      <w:r w:rsidR="008838B6" w:rsidRPr="001F6DCE">
        <w:t xml:space="preserve"> care</w:t>
      </w:r>
      <w:r w:rsidRPr="001F6DCE">
        <w:t xml:space="preserve">. </w:t>
      </w:r>
    </w:p>
    <w:p w14:paraId="7C85E51B" w14:textId="77777777" w:rsidR="00AA20FA" w:rsidRPr="001F6DCE" w:rsidRDefault="00AA20FA" w:rsidP="00A04983">
      <w:pPr>
        <w:jc w:val="both"/>
      </w:pPr>
    </w:p>
    <w:p w14:paraId="37B3439B" w14:textId="2517DCF4" w:rsidR="001275A5" w:rsidRPr="001F6DCE" w:rsidRDefault="001275A5" w:rsidP="00633F4F">
      <w:pPr>
        <w:pStyle w:val="ListParagraph"/>
        <w:numPr>
          <w:ilvl w:val="0"/>
          <w:numId w:val="16"/>
        </w:numPr>
        <w:ind w:left="0" w:firstLine="0"/>
        <w:jc w:val="both"/>
      </w:pPr>
      <w:r w:rsidRPr="001F6DCE">
        <w:t>The Ministry of Health</w:t>
      </w:r>
      <w:r w:rsidR="008838B6" w:rsidRPr="001F6DCE">
        <w:t>, Labour and Social Protection</w:t>
      </w:r>
      <w:r w:rsidRPr="001F6DCE">
        <w:t xml:space="preserve"> is also tasked with ensuring transparency and responsibility in the health system in order to achieve measurable results; with executing the </w:t>
      </w:r>
      <w:proofErr w:type="spellStart"/>
      <w:r w:rsidR="008838B6" w:rsidRPr="001F6DCE">
        <w:t>MoHLSP</w:t>
      </w:r>
      <w:proofErr w:type="spellEnd"/>
      <w:r w:rsidRPr="001F6DCE">
        <w:t xml:space="preserve"> budget and the budgets of the subordinated institutions, including providing systematic and published information on budget execution and performance; and with improving the management of public finances in the field of health. For this purpose, from 2009, the Ministry of Health has had its Internal Audit Service, which conducts audit activities in subordinated institutions.</w:t>
      </w:r>
      <w:r w:rsidR="008838B6" w:rsidRPr="001F6DCE">
        <w:t xml:space="preserve"> In addition, the Court of Accounts is conducting financial and performance audit of all public agencies in the field of healthcare on annual basis</w:t>
      </w:r>
      <w:r w:rsidR="00AD6DBE" w:rsidRPr="001F6DCE">
        <w:t xml:space="preserve"> which is presented and approved by the Parliament</w:t>
      </w:r>
      <w:r w:rsidR="008838B6" w:rsidRPr="001F6DCE">
        <w:t>.</w:t>
      </w:r>
      <w:r w:rsidR="00E40331" w:rsidRPr="001F6DCE">
        <w:t xml:space="preserve"> </w:t>
      </w:r>
    </w:p>
    <w:p w14:paraId="73356274" w14:textId="77777777" w:rsidR="00834B91" w:rsidRPr="001F6DCE" w:rsidRDefault="00834B91" w:rsidP="00A04983">
      <w:pPr>
        <w:jc w:val="both"/>
      </w:pPr>
    </w:p>
    <w:p w14:paraId="620EF17A" w14:textId="77777777" w:rsidR="00E8359F" w:rsidRPr="001F6DCE" w:rsidRDefault="00E8359F" w:rsidP="00633F4F">
      <w:pPr>
        <w:pStyle w:val="ListParagraph"/>
        <w:numPr>
          <w:ilvl w:val="0"/>
          <w:numId w:val="19"/>
        </w:numPr>
        <w:ind w:hanging="720"/>
        <w:jc w:val="both"/>
        <w:rPr>
          <w:b/>
        </w:rPr>
      </w:pPr>
      <w:r w:rsidRPr="001F6DCE">
        <w:rPr>
          <w:b/>
        </w:rPr>
        <w:t xml:space="preserve">National </w:t>
      </w:r>
      <w:r w:rsidR="00834B91" w:rsidRPr="001F6DCE">
        <w:rPr>
          <w:b/>
        </w:rPr>
        <w:t>Health</w:t>
      </w:r>
      <w:r w:rsidRPr="001F6DCE">
        <w:rPr>
          <w:b/>
        </w:rPr>
        <w:t xml:space="preserve"> Insurance Company (</w:t>
      </w:r>
      <w:r w:rsidR="00834B91" w:rsidRPr="001F6DCE">
        <w:rPr>
          <w:b/>
        </w:rPr>
        <w:t>CNAM</w:t>
      </w:r>
      <w:r w:rsidRPr="001F6DCE">
        <w:rPr>
          <w:b/>
        </w:rPr>
        <w:t xml:space="preserve">) </w:t>
      </w:r>
    </w:p>
    <w:p w14:paraId="7252C08A" w14:textId="77777777" w:rsidR="00E8359F" w:rsidRPr="001F6DCE" w:rsidRDefault="00E8359F" w:rsidP="00A04983">
      <w:pPr>
        <w:jc w:val="both"/>
      </w:pPr>
    </w:p>
    <w:p w14:paraId="6BB16B8F" w14:textId="49BD2ADC" w:rsidR="00E8359F" w:rsidRPr="001F6DCE" w:rsidRDefault="00E8359F" w:rsidP="00633F4F">
      <w:pPr>
        <w:pStyle w:val="ListParagraph"/>
        <w:numPr>
          <w:ilvl w:val="0"/>
          <w:numId w:val="16"/>
        </w:numPr>
        <w:ind w:left="0" w:firstLine="0"/>
        <w:jc w:val="both"/>
      </w:pPr>
      <w:r w:rsidRPr="001F6DCE">
        <w:lastRenderedPageBreak/>
        <w:t xml:space="preserve">The </w:t>
      </w:r>
      <w:r w:rsidR="00AC2E8B" w:rsidRPr="001F6DCE">
        <w:t xml:space="preserve">CNAM </w:t>
      </w:r>
      <w:r w:rsidRPr="001F6DCE">
        <w:t xml:space="preserve">is a state </w:t>
      </w:r>
      <w:r w:rsidR="00834B91" w:rsidRPr="001F6DCE">
        <w:t>not-for-profit</w:t>
      </w:r>
      <w:r w:rsidRPr="001F6DCE">
        <w:t xml:space="preserve"> </w:t>
      </w:r>
      <w:r w:rsidR="008838B6" w:rsidRPr="001F6DCE">
        <w:t xml:space="preserve">public agency </w:t>
      </w:r>
      <w:r w:rsidRPr="001F6DCE">
        <w:t xml:space="preserve">with financial autonomy that was created by the </w:t>
      </w:r>
      <w:r w:rsidR="00E40331" w:rsidRPr="001F6DCE">
        <w:t>G</w:t>
      </w:r>
      <w:r w:rsidRPr="001F6DCE">
        <w:t>overnment in 200</w:t>
      </w:r>
      <w:r w:rsidR="00AC2E8B" w:rsidRPr="001F6DCE">
        <w:t>1</w:t>
      </w:r>
      <w:r w:rsidRPr="001F6DCE">
        <w:t>. Its main responsibility include (</w:t>
      </w:r>
      <w:proofErr w:type="spellStart"/>
      <w:r w:rsidRPr="001F6DCE">
        <w:t>i</w:t>
      </w:r>
      <w:proofErr w:type="spellEnd"/>
      <w:r w:rsidRPr="001F6DCE">
        <w:t xml:space="preserve">) Mandatory Health Insurance (MHI) </w:t>
      </w:r>
      <w:r w:rsidR="008832D6" w:rsidRPr="001F6DCE">
        <w:t>of</w:t>
      </w:r>
      <w:r w:rsidRPr="001F6DCE">
        <w:t xml:space="preserve"> the population; (ii) contracting health service providers for the provision of services to insured people; (iii) verifying that the provisions of the contracts correspond </w:t>
      </w:r>
      <w:r w:rsidR="00834B91" w:rsidRPr="001F6DCE">
        <w:t>to</w:t>
      </w:r>
      <w:r w:rsidRPr="001F6DCE">
        <w:t xml:space="preserve"> the</w:t>
      </w:r>
      <w:r w:rsidR="00834B91" w:rsidRPr="001F6DCE">
        <w:t xml:space="preserve"> actual</w:t>
      </w:r>
      <w:r w:rsidRPr="001F6DCE">
        <w:t xml:space="preserve"> volume, terms, quality and costs of health care provided, as well as managing MHI resources within the limits of the contracted services; (iv) protecting the interests of insured individuals; (v) </w:t>
      </w:r>
      <w:r w:rsidR="00693785" w:rsidRPr="001F6DCE">
        <w:t xml:space="preserve">treated </w:t>
      </w:r>
      <w:r w:rsidRPr="001F6DCE">
        <w:t>case</w:t>
      </w:r>
      <w:r w:rsidR="00693785" w:rsidRPr="001F6DCE">
        <w:t>s</w:t>
      </w:r>
      <w:r w:rsidRPr="001F6DCE">
        <w:t xml:space="preserve"> validation; and (vi) concluding re-insurance contracts. </w:t>
      </w:r>
    </w:p>
    <w:p w14:paraId="10784FDA" w14:textId="77777777" w:rsidR="00834B91" w:rsidRPr="001F6DCE" w:rsidRDefault="00834B91" w:rsidP="00633F4F">
      <w:pPr>
        <w:pStyle w:val="ListParagraph"/>
        <w:ind w:left="0"/>
        <w:jc w:val="both"/>
      </w:pPr>
    </w:p>
    <w:p w14:paraId="729C1E42" w14:textId="07F3632E" w:rsidR="00E8359F" w:rsidRPr="001F6DCE" w:rsidRDefault="00E8359F" w:rsidP="00633F4F">
      <w:pPr>
        <w:pStyle w:val="ListParagraph"/>
        <w:numPr>
          <w:ilvl w:val="0"/>
          <w:numId w:val="16"/>
        </w:numPr>
        <w:ind w:left="0" w:firstLine="0"/>
        <w:jc w:val="both"/>
      </w:pPr>
      <w:r w:rsidRPr="001F6DCE">
        <w:t xml:space="preserve">The </w:t>
      </w:r>
      <w:r w:rsidR="00834B91" w:rsidRPr="001F6DCE">
        <w:t>CNAM</w:t>
      </w:r>
      <w:r w:rsidRPr="001F6DCE">
        <w:t xml:space="preserve"> pools payroll and </w:t>
      </w:r>
      <w:r w:rsidR="00834B91" w:rsidRPr="001F6DCE">
        <w:t xml:space="preserve">state </w:t>
      </w:r>
      <w:r w:rsidRPr="001F6DCE">
        <w:t>budget contributions</w:t>
      </w:r>
      <w:r w:rsidR="00BE2AF3" w:rsidRPr="001F6DCE">
        <w:t>, as well as collects health insurance premium from individuals</w:t>
      </w:r>
      <w:r w:rsidRPr="001F6DCE">
        <w:t xml:space="preserve"> </w:t>
      </w:r>
      <w:r w:rsidR="008832D6" w:rsidRPr="001F6DCE">
        <w:t xml:space="preserve">into a single pot </w:t>
      </w:r>
      <w:r w:rsidRPr="001F6DCE">
        <w:t>for the reimbursement of health services</w:t>
      </w:r>
      <w:r w:rsidR="00834B91" w:rsidRPr="001F6DCE">
        <w:t xml:space="preserve"> provision</w:t>
      </w:r>
      <w:r w:rsidRPr="001F6DCE">
        <w:t xml:space="preserve">. </w:t>
      </w:r>
      <w:r w:rsidR="00834B91" w:rsidRPr="001F6DCE">
        <w:t>CNAM</w:t>
      </w:r>
      <w:r w:rsidR="008832D6" w:rsidRPr="001F6DCE">
        <w:t xml:space="preserve">’s </w:t>
      </w:r>
      <w:r w:rsidR="00834B91" w:rsidRPr="001F6DCE">
        <w:t>resources are distributed between</w:t>
      </w:r>
      <w:r w:rsidRPr="001F6DCE">
        <w:t xml:space="preserve"> five funds: </w:t>
      </w:r>
    </w:p>
    <w:p w14:paraId="6A41AF6D" w14:textId="77777777" w:rsidR="00633F4F" w:rsidRPr="001F6DCE" w:rsidRDefault="00633F4F" w:rsidP="00633F4F">
      <w:pPr>
        <w:pStyle w:val="ListParagraph"/>
        <w:ind w:left="0"/>
        <w:jc w:val="both"/>
      </w:pPr>
    </w:p>
    <w:p w14:paraId="74F3E6B3" w14:textId="77777777" w:rsidR="00E8359F" w:rsidRPr="001F6DCE" w:rsidRDefault="00E8359F" w:rsidP="00633F4F">
      <w:pPr>
        <w:pStyle w:val="ListParagraph"/>
        <w:numPr>
          <w:ilvl w:val="0"/>
          <w:numId w:val="8"/>
        </w:numPr>
        <w:ind w:firstLine="0"/>
        <w:jc w:val="both"/>
      </w:pPr>
      <w:r w:rsidRPr="001F6DCE">
        <w:t xml:space="preserve">The </w:t>
      </w:r>
      <w:r w:rsidR="00834B91" w:rsidRPr="001F6DCE">
        <w:t xml:space="preserve">Main </w:t>
      </w:r>
      <w:r w:rsidRPr="001F6DCE">
        <w:t>Fund for Reimbursement of Health Services</w:t>
      </w:r>
    </w:p>
    <w:p w14:paraId="4BE655C4" w14:textId="77777777" w:rsidR="00E8359F" w:rsidRPr="001F6DCE" w:rsidRDefault="00E8359F" w:rsidP="00633F4F">
      <w:pPr>
        <w:pStyle w:val="ListParagraph"/>
        <w:numPr>
          <w:ilvl w:val="0"/>
          <w:numId w:val="8"/>
        </w:numPr>
        <w:ind w:firstLine="0"/>
        <w:jc w:val="both"/>
      </w:pPr>
      <w:r w:rsidRPr="001F6DCE">
        <w:t>The Reserve Fund</w:t>
      </w:r>
    </w:p>
    <w:p w14:paraId="5E751A0A" w14:textId="7922145B" w:rsidR="00E8359F" w:rsidRPr="001F6DCE" w:rsidRDefault="00E8359F" w:rsidP="00633F4F">
      <w:pPr>
        <w:pStyle w:val="ListParagraph"/>
        <w:numPr>
          <w:ilvl w:val="0"/>
          <w:numId w:val="8"/>
        </w:numPr>
        <w:ind w:firstLine="0"/>
        <w:jc w:val="both"/>
      </w:pPr>
      <w:r w:rsidRPr="001F6DCE">
        <w:t xml:space="preserve">The </w:t>
      </w:r>
      <w:r w:rsidR="00462CC0" w:rsidRPr="001F6DCE">
        <w:t xml:space="preserve">Prevention </w:t>
      </w:r>
      <w:r w:rsidRPr="001F6DCE">
        <w:t xml:space="preserve">Fund </w:t>
      </w:r>
    </w:p>
    <w:p w14:paraId="4D74E9AB" w14:textId="77777777" w:rsidR="00E8359F" w:rsidRPr="001F6DCE" w:rsidRDefault="00E8359F" w:rsidP="00633F4F">
      <w:pPr>
        <w:pStyle w:val="ListParagraph"/>
        <w:numPr>
          <w:ilvl w:val="0"/>
          <w:numId w:val="8"/>
        </w:numPr>
        <w:ind w:left="1440" w:hanging="720"/>
        <w:jc w:val="both"/>
      </w:pPr>
      <w:r w:rsidRPr="001F6DCE">
        <w:t>The Fund for the Development and Modernization of Public Health Service Providers</w:t>
      </w:r>
    </w:p>
    <w:p w14:paraId="19351E83" w14:textId="77777777" w:rsidR="00E8359F" w:rsidRPr="001F6DCE" w:rsidRDefault="00E8359F" w:rsidP="00633F4F">
      <w:pPr>
        <w:pStyle w:val="ListParagraph"/>
        <w:numPr>
          <w:ilvl w:val="0"/>
          <w:numId w:val="8"/>
        </w:numPr>
        <w:ind w:left="1440" w:hanging="720"/>
        <w:jc w:val="both"/>
      </w:pPr>
      <w:r w:rsidRPr="001F6DCE">
        <w:t xml:space="preserve">The Administrative Fund for the MHI system. </w:t>
      </w:r>
    </w:p>
    <w:p w14:paraId="25E055D1" w14:textId="77777777" w:rsidR="00E8359F" w:rsidRPr="001F6DCE" w:rsidRDefault="00E8359F" w:rsidP="00A04983">
      <w:pPr>
        <w:jc w:val="both"/>
      </w:pPr>
    </w:p>
    <w:p w14:paraId="2A48FEAE" w14:textId="6E8D74A1" w:rsidR="00E8359F" w:rsidRPr="001F6DCE" w:rsidRDefault="00E8359F" w:rsidP="00633F4F">
      <w:pPr>
        <w:pStyle w:val="ListParagraph"/>
        <w:numPr>
          <w:ilvl w:val="0"/>
          <w:numId w:val="16"/>
        </w:numPr>
        <w:ind w:left="0" w:firstLine="0"/>
        <w:jc w:val="both"/>
      </w:pPr>
      <w:r w:rsidRPr="001F6DCE">
        <w:t xml:space="preserve">The </w:t>
      </w:r>
      <w:r w:rsidR="00834B91" w:rsidRPr="001F6DCE">
        <w:t>CNAM</w:t>
      </w:r>
      <w:r w:rsidRPr="001F6DCE">
        <w:t xml:space="preserve"> as a</w:t>
      </w:r>
      <w:r w:rsidR="00CA4E60" w:rsidRPr="001F6DCE">
        <w:t>n independent</w:t>
      </w:r>
      <w:r w:rsidRPr="001F6DCE">
        <w:t xml:space="preserve"> state agency has an Administrative Council, Executive Department. The composition of the Administrative Council is approved by the government and includes 15 members: one representative from </w:t>
      </w:r>
      <w:r w:rsidR="00986DE9" w:rsidRPr="001F6DCE">
        <w:t>P</w:t>
      </w:r>
      <w:r w:rsidRPr="001F6DCE">
        <w:t xml:space="preserve">arliament, one representative from the President’s Office, five representatives from the government (including </w:t>
      </w:r>
      <w:r w:rsidR="005B1411" w:rsidRPr="001F6DCE">
        <w:t xml:space="preserve">two representatives from the Ministry of Health, Labour and Social Protection and </w:t>
      </w:r>
      <w:r w:rsidRPr="001F6DCE">
        <w:t>one each from the Ministry of Finance, the Ministry of Economy</w:t>
      </w:r>
      <w:r w:rsidR="007F2197" w:rsidRPr="001F6DCE">
        <w:t xml:space="preserve"> and Infrastructure</w:t>
      </w:r>
      <w:r w:rsidR="005B1411" w:rsidRPr="001F6DCE">
        <w:t xml:space="preserve"> and the</w:t>
      </w:r>
      <w:r w:rsidR="00986DE9" w:rsidRPr="001F6DCE">
        <w:t xml:space="preserve"> State Chancellery</w:t>
      </w:r>
      <w:r w:rsidRPr="001F6DCE">
        <w:t xml:space="preserve">), three representatives from the National Confederation of Employers, three representatives from the National Confederation of Trade Unions, one representative from the health workers’ professional organization and one representative from a patient rights organization. The activities of the Administrative Council are led by its chair, who is usually a government representative. </w:t>
      </w:r>
    </w:p>
    <w:p w14:paraId="4D5F2530" w14:textId="77777777" w:rsidR="007D7454" w:rsidRPr="001F6DCE" w:rsidRDefault="007D7454" w:rsidP="00633F4F">
      <w:pPr>
        <w:pStyle w:val="ListParagraph"/>
        <w:ind w:left="0"/>
        <w:jc w:val="both"/>
      </w:pPr>
    </w:p>
    <w:p w14:paraId="56228352" w14:textId="43C02C30" w:rsidR="00E8359F" w:rsidRPr="001F6DCE" w:rsidRDefault="00E8359F" w:rsidP="00633F4F">
      <w:pPr>
        <w:pStyle w:val="ListParagraph"/>
        <w:numPr>
          <w:ilvl w:val="0"/>
          <w:numId w:val="16"/>
        </w:numPr>
        <w:ind w:left="0" w:firstLine="0"/>
        <w:jc w:val="both"/>
      </w:pPr>
      <w:r w:rsidRPr="001F6DCE">
        <w:t xml:space="preserve">The Executive Department is responsible for the </w:t>
      </w:r>
      <w:r w:rsidR="00CA4E60" w:rsidRPr="001F6DCE">
        <w:t>CNAM</w:t>
      </w:r>
      <w:r w:rsidRPr="001F6DCE">
        <w:t xml:space="preserve">’s operational and ongoing administration within the limits of competencies given to it by the Administrative Council and by the Regulations of the </w:t>
      </w:r>
      <w:r w:rsidR="00CA4E60" w:rsidRPr="001F6DCE">
        <w:t>CNAM</w:t>
      </w:r>
      <w:r w:rsidRPr="001F6DCE">
        <w:t xml:space="preserve">, which are approved by government. The activity of the Executive Department is led by the Director General, who is appointed for a five-year period by government decree on the recommendation of the Administrative Council, which selects him </w:t>
      </w:r>
      <w:r w:rsidR="00CA4E60" w:rsidRPr="001F6DCE">
        <w:t>(</w:t>
      </w:r>
      <w:r w:rsidRPr="001F6DCE">
        <w:t>or her</w:t>
      </w:r>
      <w:r w:rsidR="00CA4E60" w:rsidRPr="001F6DCE">
        <w:t>)</w:t>
      </w:r>
      <w:r w:rsidRPr="001F6DCE">
        <w:t xml:space="preserve"> on a competitive basis. The </w:t>
      </w:r>
      <w:r w:rsidR="00CA4E60" w:rsidRPr="001F6DCE">
        <w:t>CNAM</w:t>
      </w:r>
      <w:r w:rsidRPr="001F6DCE">
        <w:t xml:space="preserve"> covers the whole territory of the Republic of Moldova through </w:t>
      </w:r>
      <w:r w:rsidR="00986DE9" w:rsidRPr="001F6DCE">
        <w:t xml:space="preserve">5 </w:t>
      </w:r>
      <w:r w:rsidRPr="001F6DCE">
        <w:t>territorial agencies, coordinating and supervising their activity within the existing legal framework.</w:t>
      </w:r>
    </w:p>
    <w:p w14:paraId="0514B550" w14:textId="77777777" w:rsidR="00731CAC" w:rsidRPr="001F6DCE" w:rsidRDefault="00731CAC" w:rsidP="00A04983">
      <w:pPr>
        <w:tabs>
          <w:tab w:val="left" w:pos="0"/>
        </w:tabs>
        <w:jc w:val="both"/>
      </w:pPr>
    </w:p>
    <w:p w14:paraId="067C6D59" w14:textId="77777777" w:rsidR="001275A5" w:rsidRPr="001F6DCE" w:rsidRDefault="001275A5" w:rsidP="00633F4F">
      <w:pPr>
        <w:pStyle w:val="ListParagraph"/>
        <w:numPr>
          <w:ilvl w:val="0"/>
          <w:numId w:val="19"/>
        </w:numPr>
        <w:ind w:hanging="720"/>
        <w:jc w:val="both"/>
        <w:rPr>
          <w:b/>
        </w:rPr>
      </w:pPr>
      <w:r w:rsidRPr="001F6DCE">
        <w:rPr>
          <w:b/>
        </w:rPr>
        <w:t xml:space="preserve">Other </w:t>
      </w:r>
      <w:r w:rsidR="006D0D10" w:rsidRPr="001F6DCE">
        <w:rPr>
          <w:b/>
        </w:rPr>
        <w:t xml:space="preserve">relevant </w:t>
      </w:r>
      <w:r w:rsidRPr="001F6DCE">
        <w:rPr>
          <w:b/>
        </w:rPr>
        <w:t>stakeholders in the reform process</w:t>
      </w:r>
    </w:p>
    <w:p w14:paraId="6E7B940B" w14:textId="77777777" w:rsidR="00F7697D" w:rsidRPr="001F6DCE" w:rsidRDefault="00F7697D" w:rsidP="00A04983">
      <w:pPr>
        <w:jc w:val="both"/>
      </w:pPr>
    </w:p>
    <w:p w14:paraId="15EB6A5A" w14:textId="77777777" w:rsidR="00844480" w:rsidRPr="001F6DCE" w:rsidRDefault="00F7697D" w:rsidP="00A04983">
      <w:pPr>
        <w:jc w:val="both"/>
        <w:rPr>
          <w:b/>
          <w:i/>
        </w:rPr>
      </w:pPr>
      <w:r w:rsidRPr="001F6DCE">
        <w:rPr>
          <w:b/>
          <w:i/>
        </w:rPr>
        <w:t>P</w:t>
      </w:r>
      <w:r w:rsidR="00844480" w:rsidRPr="001F6DCE">
        <w:rPr>
          <w:b/>
          <w:i/>
        </w:rPr>
        <w:t xml:space="preserve">arliament </w:t>
      </w:r>
      <w:r w:rsidR="00372C26" w:rsidRPr="001F6DCE">
        <w:rPr>
          <w:b/>
          <w:i/>
        </w:rPr>
        <w:t>of the Republic of Moldova</w:t>
      </w:r>
    </w:p>
    <w:p w14:paraId="035BB805" w14:textId="77777777" w:rsidR="00372C26" w:rsidRPr="001F6DCE" w:rsidRDefault="00372C26" w:rsidP="00A04983">
      <w:pPr>
        <w:jc w:val="both"/>
        <w:rPr>
          <w:b/>
        </w:rPr>
      </w:pPr>
    </w:p>
    <w:p w14:paraId="70AF4991" w14:textId="539EE699" w:rsidR="00844480" w:rsidRPr="001F6DCE" w:rsidRDefault="00844480" w:rsidP="00633F4F">
      <w:pPr>
        <w:pStyle w:val="ListParagraph"/>
        <w:numPr>
          <w:ilvl w:val="0"/>
          <w:numId w:val="16"/>
        </w:numPr>
        <w:ind w:left="0" w:firstLine="0"/>
        <w:jc w:val="both"/>
      </w:pPr>
      <w:r w:rsidRPr="001F6DCE">
        <w:t xml:space="preserve">According to the Constitution of the Republic of Moldova (1994), </w:t>
      </w:r>
      <w:r w:rsidR="007F2197" w:rsidRPr="001F6DCE">
        <w:t>the P</w:t>
      </w:r>
      <w:r w:rsidRPr="001F6DCE">
        <w:t xml:space="preserve">arliament </w:t>
      </w:r>
      <w:r w:rsidR="00F7697D" w:rsidRPr="001F6DCE">
        <w:t>establishes the structu</w:t>
      </w:r>
      <w:r w:rsidRPr="001F6DCE">
        <w:t xml:space="preserve">re of the national health system and the means for </w:t>
      </w:r>
      <w:r w:rsidR="00F7697D" w:rsidRPr="001F6DCE">
        <w:t>protecting the physical and mental health of individuals. Th</w:t>
      </w:r>
      <w:r w:rsidRPr="001F6DCE">
        <w:t xml:space="preserve">rough legal acts, </w:t>
      </w:r>
      <w:r w:rsidR="007F2197" w:rsidRPr="001F6DCE">
        <w:t>P</w:t>
      </w:r>
      <w:r w:rsidRPr="001F6DCE">
        <w:t xml:space="preserve">arliament has the power to reorganize the </w:t>
      </w:r>
      <w:r w:rsidRPr="001F6DCE">
        <w:lastRenderedPageBreak/>
        <w:t>national health system and pharmaceutical activity as per the Law on Health Protection (No. 411-XIII, 28 March 19</w:t>
      </w:r>
      <w:r w:rsidR="00F7697D" w:rsidRPr="001F6DCE">
        <w:t>95). Parliament approves the an</w:t>
      </w:r>
      <w:r w:rsidR="00372C26" w:rsidRPr="001F6DCE">
        <w:t>nual Law on St</w:t>
      </w:r>
      <w:r w:rsidRPr="001F6DCE">
        <w:t>ate Budget (which includes the budget of the Ministry of Health</w:t>
      </w:r>
      <w:r w:rsidR="00986DE9" w:rsidRPr="001F6DCE">
        <w:t>, Labour and Social Protection</w:t>
      </w:r>
      <w:r w:rsidRPr="001F6DCE">
        <w:t>) and the annual Law on Mandatory Health Insurance Funds.</w:t>
      </w:r>
      <w:r w:rsidR="00C35E6D" w:rsidRPr="001F6DCE">
        <w:t xml:space="preserve"> </w:t>
      </w:r>
      <w:r w:rsidRPr="001F6DCE">
        <w:t xml:space="preserve">The </w:t>
      </w:r>
      <w:r w:rsidRPr="001F6DCE">
        <w:rPr>
          <w:i/>
        </w:rPr>
        <w:t>Parliamentary Commission on Social Protection, Health and Family</w:t>
      </w:r>
      <w:r w:rsidRPr="001F6DCE">
        <w:t xml:space="preserve"> examines draft laws and proposals </w:t>
      </w:r>
      <w:r w:rsidR="00BE3D78" w:rsidRPr="001F6DCE">
        <w:t xml:space="preserve">as </w:t>
      </w:r>
      <w:r w:rsidRPr="001F6DCE">
        <w:t>relat</w:t>
      </w:r>
      <w:r w:rsidR="00027E22" w:rsidRPr="001F6DCE">
        <w:t>ed</w:t>
      </w:r>
      <w:r w:rsidRPr="001F6DCE">
        <w:t xml:space="preserve"> to the health sector, develops reports or commentaries, conducts parliamentary investigations and debates, and takes decisions on </w:t>
      </w:r>
      <w:r w:rsidR="00372C26" w:rsidRPr="001F6DCE">
        <w:t>cros</w:t>
      </w:r>
      <w:r w:rsidR="00037DEB" w:rsidRPr="001F6DCE">
        <w:t>s</w:t>
      </w:r>
      <w:r w:rsidR="0043316B" w:rsidRPr="001F6DCE">
        <w:t>-</w:t>
      </w:r>
      <w:r w:rsidRPr="001F6DCE">
        <w:t xml:space="preserve">sectoral health issues. </w:t>
      </w:r>
    </w:p>
    <w:p w14:paraId="0FA630E5" w14:textId="77777777" w:rsidR="007A7D44" w:rsidRPr="001F6DCE" w:rsidRDefault="007A7D44" w:rsidP="00A04983">
      <w:pPr>
        <w:jc w:val="both"/>
      </w:pPr>
    </w:p>
    <w:p w14:paraId="75AE8659" w14:textId="77777777" w:rsidR="00844480" w:rsidRPr="001F6DCE" w:rsidRDefault="00027E22" w:rsidP="00A04983">
      <w:pPr>
        <w:pStyle w:val="ListParagraph"/>
        <w:ind w:left="0"/>
        <w:jc w:val="both"/>
        <w:rPr>
          <w:b/>
          <w:i/>
        </w:rPr>
      </w:pPr>
      <w:r w:rsidRPr="001F6DCE">
        <w:rPr>
          <w:b/>
          <w:i/>
        </w:rPr>
        <w:t xml:space="preserve">The </w:t>
      </w:r>
      <w:r w:rsidR="00844480" w:rsidRPr="001F6DCE">
        <w:rPr>
          <w:b/>
          <w:i/>
        </w:rPr>
        <w:t xml:space="preserve">Government </w:t>
      </w:r>
    </w:p>
    <w:p w14:paraId="4364F746" w14:textId="77777777" w:rsidR="00372C26" w:rsidRPr="001F6DCE" w:rsidRDefault="00372C26" w:rsidP="00A04983">
      <w:pPr>
        <w:jc w:val="both"/>
        <w:rPr>
          <w:b/>
        </w:rPr>
      </w:pPr>
    </w:p>
    <w:p w14:paraId="136F047C" w14:textId="77777777" w:rsidR="00372C26" w:rsidRPr="001F6DCE" w:rsidRDefault="00844480" w:rsidP="00633F4F">
      <w:pPr>
        <w:pStyle w:val="ListParagraph"/>
        <w:numPr>
          <w:ilvl w:val="0"/>
          <w:numId w:val="16"/>
        </w:numPr>
        <w:ind w:left="0" w:firstLine="0"/>
        <w:jc w:val="both"/>
      </w:pPr>
      <w:r w:rsidRPr="001F6DCE">
        <w:t xml:space="preserve">The Government </w:t>
      </w:r>
      <w:r w:rsidR="00372C26" w:rsidRPr="001F6DCE">
        <w:t xml:space="preserve">of the Republic of Moldova </w:t>
      </w:r>
      <w:r w:rsidRPr="001F6DCE">
        <w:t>promotes state policy for population</w:t>
      </w:r>
      <w:r w:rsidR="00372C26" w:rsidRPr="001F6DCE">
        <w:t>’s</w:t>
      </w:r>
      <w:r w:rsidRPr="001F6DCE">
        <w:t xml:space="preserve"> health, secures socioeconomic conditions and creates the technical and material basis as well as special funds for the development of health care. </w:t>
      </w:r>
    </w:p>
    <w:p w14:paraId="250BCA89" w14:textId="77777777" w:rsidR="00207909" w:rsidRPr="001F6DCE" w:rsidRDefault="00207909" w:rsidP="00633F4F">
      <w:pPr>
        <w:pStyle w:val="ListParagraph"/>
        <w:ind w:left="0"/>
        <w:jc w:val="both"/>
      </w:pPr>
    </w:p>
    <w:p w14:paraId="5065BA2B" w14:textId="120168C1" w:rsidR="00844480" w:rsidRPr="001F6DCE" w:rsidRDefault="00844480" w:rsidP="00633F4F">
      <w:pPr>
        <w:pStyle w:val="ListParagraph"/>
        <w:numPr>
          <w:ilvl w:val="0"/>
          <w:numId w:val="16"/>
        </w:numPr>
        <w:ind w:left="0" w:firstLine="0"/>
        <w:jc w:val="both"/>
      </w:pPr>
      <w:r w:rsidRPr="001F6DCE">
        <w:t xml:space="preserve">The </w:t>
      </w:r>
      <w:r w:rsidR="00372C26" w:rsidRPr="001F6DCE">
        <w:t>G</w:t>
      </w:r>
      <w:r w:rsidRPr="001F6DCE">
        <w:t xml:space="preserve">overnment also manages, coordinates and approves regulations and regulates the activities of the Ministry of Health, </w:t>
      </w:r>
      <w:r w:rsidR="00986DE9" w:rsidRPr="001F6DCE">
        <w:t xml:space="preserve">Labour and Social Protection, </w:t>
      </w:r>
      <w:r w:rsidRPr="001F6DCE">
        <w:t xml:space="preserve">the </w:t>
      </w:r>
      <w:r w:rsidR="00F7697D" w:rsidRPr="001F6DCE">
        <w:t xml:space="preserve">National </w:t>
      </w:r>
      <w:r w:rsidR="00731CAC" w:rsidRPr="001F6DCE">
        <w:t>H</w:t>
      </w:r>
      <w:r w:rsidR="00F7697D" w:rsidRPr="001F6DCE">
        <w:t xml:space="preserve">ealth Insurance </w:t>
      </w:r>
      <w:r w:rsidR="005D4EF2" w:rsidRPr="001F6DCE">
        <w:t xml:space="preserve">Fund </w:t>
      </w:r>
      <w:r w:rsidR="00F7697D" w:rsidRPr="001F6DCE">
        <w:t>(</w:t>
      </w:r>
      <w:r w:rsidR="00731CAC" w:rsidRPr="001F6DCE">
        <w:t>CNAM</w:t>
      </w:r>
      <w:r w:rsidR="00F7697D" w:rsidRPr="001F6DCE">
        <w:t>)</w:t>
      </w:r>
      <w:r w:rsidR="00986DE9" w:rsidRPr="001F6DCE">
        <w:t>, National Public Health Agency</w:t>
      </w:r>
      <w:r w:rsidRPr="001F6DCE">
        <w:t xml:space="preserve"> and any other government structures that have their own parallel health networks</w:t>
      </w:r>
      <w:r w:rsidR="00037DEB" w:rsidRPr="001F6DCE">
        <w:t>.</w:t>
      </w:r>
      <w:r w:rsidR="00027E22" w:rsidRPr="001F6DCE">
        <w:rPr>
          <w:rStyle w:val="FootnoteReference"/>
        </w:rPr>
        <w:footnoteReference w:id="5"/>
      </w:r>
    </w:p>
    <w:p w14:paraId="2DE566FD" w14:textId="77777777" w:rsidR="008316D1" w:rsidRPr="001F6DCE" w:rsidRDefault="008316D1" w:rsidP="00165C16">
      <w:pPr>
        <w:pStyle w:val="ListParagraph"/>
      </w:pPr>
    </w:p>
    <w:p w14:paraId="1B1DA853" w14:textId="3D713963" w:rsidR="00171C0A" w:rsidRPr="001F6DCE" w:rsidRDefault="008316D1" w:rsidP="00633F4F">
      <w:pPr>
        <w:pStyle w:val="ListParagraph"/>
        <w:numPr>
          <w:ilvl w:val="0"/>
          <w:numId w:val="16"/>
        </w:numPr>
        <w:ind w:left="0" w:firstLine="0"/>
        <w:jc w:val="both"/>
      </w:pPr>
      <w:r w:rsidRPr="001F6DCE">
        <w:t xml:space="preserve">In 2017 the </w:t>
      </w:r>
      <w:r w:rsidR="00E512E0" w:rsidRPr="001F6DCE">
        <w:t xml:space="preserve">whole </w:t>
      </w:r>
      <w:r w:rsidRPr="001F6DCE">
        <w:t xml:space="preserve">Government was restructured </w:t>
      </w:r>
      <w:r w:rsidR="00A8797D" w:rsidRPr="001F6DCE">
        <w:t>and optimised</w:t>
      </w:r>
      <w:r w:rsidRPr="001F6DCE">
        <w:t xml:space="preserve">. </w:t>
      </w:r>
      <w:r w:rsidR="00472C57" w:rsidRPr="001F6DCE">
        <w:t>T</w:t>
      </w:r>
      <w:r w:rsidRPr="001F6DCE">
        <w:t>he Ministry of Health was merged with the Ministry of Labour, Social Protection and Famil</w:t>
      </w:r>
      <w:r w:rsidR="00472C57" w:rsidRPr="001F6DCE">
        <w:t>y. According to the Government D</w:t>
      </w:r>
      <w:r w:rsidRPr="001F6DCE">
        <w:t xml:space="preserve">ecision no 694 </w:t>
      </w:r>
      <w:proofErr w:type="spellStart"/>
      <w:r w:rsidRPr="001F6DCE">
        <w:t>dd</w:t>
      </w:r>
      <w:proofErr w:type="spellEnd"/>
      <w:r w:rsidRPr="001F6DCE">
        <w:t xml:space="preserve"> 30.08.2017 the new Ministr</w:t>
      </w:r>
      <w:r w:rsidR="00171C0A" w:rsidRPr="001F6DCE">
        <w:t>y of Health, Labour and Social P</w:t>
      </w:r>
      <w:r w:rsidRPr="001F6DCE">
        <w:t xml:space="preserve">rotection </w:t>
      </w:r>
      <w:r w:rsidR="00472C57" w:rsidRPr="001F6DCE">
        <w:t xml:space="preserve">will develop policies in the field of health, labour, social protection and demography. </w:t>
      </w:r>
      <w:r w:rsidR="00171C0A" w:rsidRPr="001F6DCE">
        <w:t xml:space="preserve">While the policy-making function is retained by the </w:t>
      </w:r>
      <w:proofErr w:type="spellStart"/>
      <w:r w:rsidR="00171C0A" w:rsidRPr="001F6DCE">
        <w:t>MoHLSP</w:t>
      </w:r>
      <w:proofErr w:type="spellEnd"/>
      <w:r w:rsidR="00171C0A" w:rsidRPr="001F6DCE">
        <w:t xml:space="preserve">, the implementing and control functions are delegated to the newly established National </w:t>
      </w:r>
      <w:r w:rsidR="005D4EF2" w:rsidRPr="001F6DCE">
        <w:t>Public Health Agency</w:t>
      </w:r>
      <w:r w:rsidR="00171C0A" w:rsidRPr="001F6DCE">
        <w:t xml:space="preserve">, CNAM and National Agency for Drugs and Medical Equipment. </w:t>
      </w:r>
    </w:p>
    <w:p w14:paraId="0818CA69" w14:textId="77777777" w:rsidR="00171C0A" w:rsidRPr="001F6DCE" w:rsidRDefault="00171C0A" w:rsidP="00171C0A">
      <w:pPr>
        <w:pStyle w:val="ListParagraph"/>
      </w:pPr>
    </w:p>
    <w:p w14:paraId="7073DA91" w14:textId="744062F5" w:rsidR="00171C0A" w:rsidRPr="001F6DCE" w:rsidRDefault="00171C0A" w:rsidP="00171C0A">
      <w:pPr>
        <w:pStyle w:val="ListParagraph"/>
        <w:ind w:left="0"/>
        <w:jc w:val="both"/>
      </w:pPr>
      <w:r w:rsidRPr="001F6DCE">
        <w:t xml:space="preserve">The new organigram of the Ministry of Health, Labour and Social Protection is presented </w:t>
      </w:r>
      <w:r w:rsidR="007F2197" w:rsidRPr="001F6DCE">
        <w:t>in this document</w:t>
      </w:r>
      <w:r w:rsidRPr="001F6DCE">
        <w:t xml:space="preserve">. The main change in the new structure refers to the abolishment of deputy ministry functions and installing position of General State Secretary and </w:t>
      </w:r>
      <w:r w:rsidR="0098389D" w:rsidRPr="001F6DCE">
        <w:t xml:space="preserve">5 </w:t>
      </w:r>
      <w:r w:rsidRPr="001F6DCE">
        <w:t>under-secretaries</w:t>
      </w:r>
      <w:r w:rsidR="0098389D" w:rsidRPr="001F6DCE">
        <w:t xml:space="preserve"> responsible each responsible for specific priority area</w:t>
      </w:r>
      <w:r w:rsidRPr="001F6DCE">
        <w:t>. This approach is meant to separate political function</w:t>
      </w:r>
      <w:r w:rsidR="00D8570A" w:rsidRPr="001F6DCE">
        <w:t>s</w:t>
      </w:r>
      <w:r w:rsidRPr="001F6DCE">
        <w:t xml:space="preserve"> of the Minister from rather technical functions of </w:t>
      </w:r>
      <w:r w:rsidR="00D8570A" w:rsidRPr="001F6DCE">
        <w:t xml:space="preserve">the </w:t>
      </w:r>
      <w:r w:rsidR="0098389D" w:rsidRPr="001F6DCE">
        <w:t>Ministry’s State S</w:t>
      </w:r>
      <w:r w:rsidRPr="001F6DCE">
        <w:t>ecretaries. T</w:t>
      </w:r>
      <w:r w:rsidR="0098389D" w:rsidRPr="001F6DCE">
        <w:t xml:space="preserve">he new structure embodies all key </w:t>
      </w:r>
      <w:r w:rsidR="00D8570A" w:rsidRPr="001F6DCE">
        <w:t xml:space="preserve">healthcare areas </w:t>
      </w:r>
      <w:r w:rsidR="0098389D" w:rsidRPr="001F6DCE">
        <w:t xml:space="preserve">such as public health, </w:t>
      </w:r>
      <w:r w:rsidR="006049BB" w:rsidRPr="001F6DCE">
        <w:t xml:space="preserve">hospital, primary emergency and community healthcare, </w:t>
      </w:r>
      <w:r w:rsidR="00FB78B9" w:rsidRPr="001F6DCE">
        <w:t xml:space="preserve">drugs and medical equipment as well as </w:t>
      </w:r>
      <w:r w:rsidR="006049BB" w:rsidRPr="001F6DCE">
        <w:t xml:space="preserve">health </w:t>
      </w:r>
      <w:r w:rsidR="00FB78B9" w:rsidRPr="001F6DCE">
        <w:t xml:space="preserve">insurance policy-making. Two out of five state secretaries are </w:t>
      </w:r>
      <w:r w:rsidR="007F2197" w:rsidRPr="001F6DCE">
        <w:t>responsible for</w:t>
      </w:r>
      <w:r w:rsidR="00FB78B9" w:rsidRPr="001F6DCE">
        <w:t xml:space="preserve"> healthcare sector (public health and healthcare service delivery) and one </w:t>
      </w:r>
      <w:r w:rsidR="00D8570A" w:rsidRPr="001F6DCE">
        <w:t>state secretary</w:t>
      </w:r>
      <w:r w:rsidR="00FB78B9" w:rsidRPr="001F6DCE">
        <w:t xml:space="preserve"> cover</w:t>
      </w:r>
      <w:r w:rsidR="00D8570A" w:rsidRPr="001F6DCE">
        <w:t>s</w:t>
      </w:r>
      <w:r w:rsidR="00FB78B9" w:rsidRPr="001F6DCE">
        <w:t xml:space="preserve"> cross-sectoral social and healthcare insurance.  </w:t>
      </w:r>
      <w:r w:rsidR="006049BB" w:rsidRPr="001F6DCE">
        <w:t xml:space="preserve"> </w:t>
      </w:r>
    </w:p>
    <w:p w14:paraId="1F8545C0" w14:textId="77777777" w:rsidR="00171C0A" w:rsidRPr="001F6DCE" w:rsidRDefault="00171C0A" w:rsidP="00171C0A">
      <w:pPr>
        <w:pStyle w:val="ListParagraph"/>
      </w:pPr>
    </w:p>
    <w:p w14:paraId="172AE66E" w14:textId="77777777" w:rsidR="004A5D0E" w:rsidRPr="001F6DCE" w:rsidRDefault="004A5D0E" w:rsidP="004A5D0E">
      <w:pPr>
        <w:jc w:val="both"/>
        <w:rPr>
          <w:b/>
          <w:i/>
        </w:rPr>
      </w:pPr>
      <w:r w:rsidRPr="001F6DCE">
        <w:rPr>
          <w:b/>
          <w:i/>
        </w:rPr>
        <w:t>National Public Health Agency (NPHA)</w:t>
      </w:r>
    </w:p>
    <w:p w14:paraId="35163355" w14:textId="77777777" w:rsidR="00165C16" w:rsidRPr="001F6DCE" w:rsidRDefault="00165C16" w:rsidP="00165C16">
      <w:pPr>
        <w:pStyle w:val="ListParagraph"/>
      </w:pPr>
    </w:p>
    <w:p w14:paraId="47E7E301" w14:textId="672D3DD3" w:rsidR="00BA56F4" w:rsidRPr="001F6DCE" w:rsidRDefault="00BA56F4" w:rsidP="00BA56F4">
      <w:pPr>
        <w:pStyle w:val="ListParagraph"/>
        <w:numPr>
          <w:ilvl w:val="0"/>
          <w:numId w:val="16"/>
        </w:numPr>
        <w:ind w:left="0" w:firstLine="0"/>
        <w:jc w:val="both"/>
      </w:pPr>
      <w:r w:rsidRPr="001F6DCE">
        <w:t xml:space="preserve">In recent years, the health system in Moldova moved away from old-style sanitary-epidemiological system focusing on communicable disease control and sanitary inspection to a </w:t>
      </w:r>
      <w:r w:rsidRPr="001F6DCE">
        <w:lastRenderedPageBreak/>
        <w:t xml:space="preserve">more modern approach for public health, with more emphasis on non-communicable disease control, health promotion and disease prevention. </w:t>
      </w:r>
      <w:r w:rsidR="007F2197" w:rsidRPr="001F6DCE">
        <w:t>Despite</w:t>
      </w:r>
      <w:r w:rsidRPr="001F6DCE">
        <w:t xml:space="preserve"> this, the public health surveillance system in the last few years preserved excessive infrastructure absorbing most of funds which resulted in suboptimal financing of health </w:t>
      </w:r>
      <w:r w:rsidR="00526858" w:rsidRPr="001F6DCE">
        <w:t xml:space="preserve">prevention and </w:t>
      </w:r>
      <w:r w:rsidRPr="001F6DCE">
        <w:t>pr</w:t>
      </w:r>
      <w:r w:rsidR="00526858" w:rsidRPr="001F6DCE">
        <w:t>omotion</w:t>
      </w:r>
      <w:r w:rsidRPr="001F6DCE">
        <w:t xml:space="preserve"> measures. I</w:t>
      </w:r>
      <w:r w:rsidR="00526858" w:rsidRPr="001F6DCE">
        <w:t>n the</w:t>
      </w:r>
      <w:r w:rsidRPr="001F6DCE">
        <w:t xml:space="preserve"> context</w:t>
      </w:r>
      <w:r w:rsidR="00526858" w:rsidRPr="001F6DCE">
        <w:t xml:space="preserve"> of whole</w:t>
      </w:r>
      <w:r w:rsidRPr="001F6DCE">
        <w:t xml:space="preserve"> </w:t>
      </w:r>
      <w:proofErr w:type="spellStart"/>
      <w:r w:rsidRPr="001F6DCE">
        <w:t>GoM</w:t>
      </w:r>
      <w:proofErr w:type="spellEnd"/>
      <w:r w:rsidRPr="001F6DCE">
        <w:t xml:space="preserve"> </w:t>
      </w:r>
      <w:r w:rsidR="00526858" w:rsidRPr="001F6DCE">
        <w:t xml:space="preserve">restructuring, the public health surveillance system was reformed and downsized. </w:t>
      </w:r>
    </w:p>
    <w:p w14:paraId="578CA339" w14:textId="77777777" w:rsidR="00BA56F4" w:rsidRPr="001F6DCE" w:rsidRDefault="00BA56F4" w:rsidP="00B41C82">
      <w:pPr>
        <w:pStyle w:val="ListParagraph"/>
        <w:ind w:left="0"/>
        <w:jc w:val="both"/>
      </w:pPr>
    </w:p>
    <w:p w14:paraId="58AE7A46" w14:textId="77777777" w:rsidR="003617B4" w:rsidRPr="001F6DCE" w:rsidRDefault="00D07BF0" w:rsidP="00B41C82">
      <w:pPr>
        <w:pStyle w:val="ListParagraph"/>
        <w:numPr>
          <w:ilvl w:val="0"/>
          <w:numId w:val="16"/>
        </w:numPr>
        <w:ind w:left="0" w:firstLine="0"/>
        <w:jc w:val="both"/>
      </w:pPr>
      <w:r w:rsidRPr="001F6DCE">
        <w:t>As a result of the whole</w:t>
      </w:r>
      <w:r w:rsidR="00301A31" w:rsidRPr="001F6DCE">
        <w:t xml:space="preserve"> </w:t>
      </w:r>
      <w:r w:rsidRPr="001F6DCE">
        <w:t>Government</w:t>
      </w:r>
      <w:r w:rsidR="004A5D0E" w:rsidRPr="001F6DCE">
        <w:t xml:space="preserve"> reorganisation, the new National </w:t>
      </w:r>
      <w:r w:rsidR="00B12288" w:rsidRPr="001F6DCE">
        <w:t xml:space="preserve">Public Health </w:t>
      </w:r>
      <w:r w:rsidR="004A5D0E" w:rsidRPr="001F6DCE">
        <w:t>Agency was created</w:t>
      </w:r>
      <w:r w:rsidR="00301A31" w:rsidRPr="001F6DCE">
        <w:t xml:space="preserve"> as a result of merger of few public health agencies and other healthcare institutions</w:t>
      </w:r>
      <w:r w:rsidRPr="001F6DCE">
        <w:rPr>
          <w:rStyle w:val="FootnoteReference"/>
        </w:rPr>
        <w:footnoteReference w:id="6"/>
      </w:r>
      <w:r w:rsidR="004A5D0E" w:rsidRPr="001F6DCE">
        <w:t>.</w:t>
      </w:r>
      <w:r w:rsidR="00B12288" w:rsidRPr="001F6DCE">
        <w:t xml:space="preserve"> The NPHA is implementing policies in the following areas: (</w:t>
      </w:r>
      <w:proofErr w:type="spellStart"/>
      <w:r w:rsidR="00B12288" w:rsidRPr="001F6DCE">
        <w:t>i</w:t>
      </w:r>
      <w:proofErr w:type="spellEnd"/>
      <w:r w:rsidR="00B12288" w:rsidRPr="001F6DCE">
        <w:t>) state surveillance, promotion and protection of public health; (ii) exercises state control (inspection) in health; (iii)</w:t>
      </w:r>
      <w:r w:rsidR="006A7D94" w:rsidRPr="001F6DCE">
        <w:t xml:space="preserve"> conducts monitoring and evaluation of population’ health; (iv) provides accreditation of healthcare and pharmaceutical institutions; (v) monitors occupational safety. </w:t>
      </w:r>
      <w:r w:rsidR="00526858" w:rsidRPr="001F6DCE">
        <w:t xml:space="preserve">Its basic function remained coordination of technical and methodological activities in the health sector directed at the implementation of strategies for health protection and promotion, prevention and control of communicable and non-communicable diseases, as well as implementation of specific public health policies at the national level. The territorial centres of public health have similar responsibilities at the local level, but also include public health laboratory network. </w:t>
      </w:r>
    </w:p>
    <w:p w14:paraId="7A1276D9" w14:textId="77777777" w:rsidR="003617B4" w:rsidRPr="001F6DCE" w:rsidRDefault="003617B4" w:rsidP="00A23190">
      <w:pPr>
        <w:pStyle w:val="ListParagraph"/>
      </w:pPr>
    </w:p>
    <w:p w14:paraId="4BC8928F" w14:textId="77777777" w:rsidR="003617B4" w:rsidRPr="001F6DCE" w:rsidRDefault="00526858" w:rsidP="00B41C82">
      <w:pPr>
        <w:pStyle w:val="ListParagraph"/>
        <w:numPr>
          <w:ilvl w:val="0"/>
          <w:numId w:val="16"/>
        </w:numPr>
        <w:ind w:left="0" w:firstLine="0"/>
        <w:jc w:val="both"/>
      </w:pPr>
      <w:r w:rsidRPr="001F6DCE">
        <w:t>In addition, t</w:t>
      </w:r>
      <w:r w:rsidR="006A7D94" w:rsidRPr="001F6DCE">
        <w:t>he new NPHA</w:t>
      </w:r>
      <w:r w:rsidR="004A5D0E" w:rsidRPr="001F6DCE">
        <w:t xml:space="preserve"> absorbed the following </w:t>
      </w:r>
      <w:r w:rsidR="005C3FD0" w:rsidRPr="001F6DCE">
        <w:t>bodies</w:t>
      </w:r>
      <w:r w:rsidR="004A5D0E" w:rsidRPr="001F6DCE">
        <w:t>: National Centre for Health Management, National Council for Evaluation and Accreditation in Healthcare</w:t>
      </w:r>
      <w:r w:rsidR="000F6DB0" w:rsidRPr="001F6DCE">
        <w:t xml:space="preserve"> and</w:t>
      </w:r>
      <w:r w:rsidR="004A5D0E" w:rsidRPr="001F6DCE">
        <w:t xml:space="preserve"> </w:t>
      </w:r>
      <w:r w:rsidR="000F6DB0" w:rsidRPr="001F6DCE">
        <w:t xml:space="preserve">all the </w:t>
      </w:r>
      <w:r w:rsidR="00B21217" w:rsidRPr="001F6DCE">
        <w:t>agencie</w:t>
      </w:r>
      <w:r w:rsidR="000F6DB0" w:rsidRPr="001F6DCE">
        <w:t>s forming the State Surveillance Service for Public Health</w:t>
      </w:r>
      <w:r w:rsidR="004A5D0E" w:rsidRPr="001F6DCE">
        <w:t xml:space="preserve"> </w:t>
      </w:r>
      <w:r w:rsidR="00B21217" w:rsidRPr="001F6DCE">
        <w:t xml:space="preserve">(the </w:t>
      </w:r>
      <w:r w:rsidR="000F6DB0" w:rsidRPr="001F6DCE">
        <w:t xml:space="preserve">National </w:t>
      </w:r>
      <w:r w:rsidR="004A5D0E" w:rsidRPr="001F6DCE">
        <w:t>Centre for Public Health a</w:t>
      </w:r>
      <w:r w:rsidR="00066F40" w:rsidRPr="001F6DCE">
        <w:t xml:space="preserve">nd </w:t>
      </w:r>
      <w:r w:rsidR="00B21217" w:rsidRPr="001F6DCE">
        <w:t>its territorial</w:t>
      </w:r>
      <w:r w:rsidR="004A5D0E" w:rsidRPr="001F6DCE">
        <w:t xml:space="preserve"> agencies</w:t>
      </w:r>
      <w:r w:rsidR="00B21217" w:rsidRPr="001F6DCE">
        <w:t>)</w:t>
      </w:r>
      <w:r w:rsidR="004A5D0E" w:rsidRPr="001F6DCE">
        <w:t xml:space="preserve">. </w:t>
      </w:r>
      <w:r w:rsidR="00F25E39" w:rsidRPr="001F6DCE">
        <w:t>The</w:t>
      </w:r>
      <w:r w:rsidR="006A7D94" w:rsidRPr="001F6DCE">
        <w:t xml:space="preserve"> reform </w:t>
      </w:r>
      <w:r w:rsidRPr="001F6DCE">
        <w:t>implied optimisation of</w:t>
      </w:r>
      <w:r w:rsidR="00430582" w:rsidRPr="001F6DCE">
        <w:t xml:space="preserve"> </w:t>
      </w:r>
      <w:r w:rsidR="00090268" w:rsidRPr="001F6DCE">
        <w:t xml:space="preserve">healthcare </w:t>
      </w:r>
      <w:r w:rsidR="00430582" w:rsidRPr="001F6DCE">
        <w:t>administrative structure</w:t>
      </w:r>
      <w:r w:rsidR="00090268" w:rsidRPr="001F6DCE">
        <w:t>s</w:t>
      </w:r>
      <w:r w:rsidR="00430582" w:rsidRPr="001F6DCE">
        <w:t xml:space="preserve"> and</w:t>
      </w:r>
      <w:r w:rsidR="00066F40" w:rsidRPr="001F6DCE">
        <w:t xml:space="preserve"> </w:t>
      </w:r>
      <w:r w:rsidRPr="001F6DCE">
        <w:t>reduction of</w:t>
      </w:r>
      <w:r w:rsidR="006A7D94" w:rsidRPr="001F6DCE">
        <w:t xml:space="preserve"> </w:t>
      </w:r>
      <w:r w:rsidR="00066F40" w:rsidRPr="001F6DCE">
        <w:t xml:space="preserve">the number of territorial </w:t>
      </w:r>
      <w:r w:rsidR="006A7D94" w:rsidRPr="001F6DCE">
        <w:t xml:space="preserve">public health </w:t>
      </w:r>
      <w:r w:rsidR="00066F40" w:rsidRPr="001F6DCE">
        <w:t xml:space="preserve">agencies from 35 </w:t>
      </w:r>
      <w:proofErr w:type="spellStart"/>
      <w:r w:rsidR="005C3FD0" w:rsidRPr="001F6DCE">
        <w:t>raion’s</w:t>
      </w:r>
      <w:proofErr w:type="spellEnd"/>
      <w:r w:rsidR="005C3FD0" w:rsidRPr="001F6DCE">
        <w:t xml:space="preserve"> </w:t>
      </w:r>
      <w:r w:rsidR="00430582" w:rsidRPr="001F6DCE">
        <w:t xml:space="preserve">centres </w:t>
      </w:r>
      <w:r w:rsidR="00066F40" w:rsidRPr="001F6DCE">
        <w:t xml:space="preserve">to 10 </w:t>
      </w:r>
      <w:r w:rsidR="005C3FD0" w:rsidRPr="001F6DCE">
        <w:t>hub public health centres</w:t>
      </w:r>
      <w:r w:rsidR="00430582" w:rsidRPr="001F6DCE">
        <w:t xml:space="preserve">. </w:t>
      </w:r>
      <w:r w:rsidR="005C3FD0" w:rsidRPr="001F6DCE">
        <w:t xml:space="preserve">Within the framework of </w:t>
      </w:r>
      <w:r w:rsidR="00430582" w:rsidRPr="001F6DCE">
        <w:t xml:space="preserve">the new legislation aimed at reducing number of controls in business, the National Public Health Agency consolidated </w:t>
      </w:r>
      <w:r w:rsidR="00090268" w:rsidRPr="001F6DCE">
        <w:t xml:space="preserve">under </w:t>
      </w:r>
      <w:r w:rsidR="00B21217" w:rsidRPr="001F6DCE">
        <w:t xml:space="preserve">a </w:t>
      </w:r>
      <w:r w:rsidR="00090268" w:rsidRPr="001F6DCE">
        <w:t xml:space="preserve">single umbrella </w:t>
      </w:r>
      <w:r w:rsidR="000C3C74" w:rsidRPr="001F6DCE">
        <w:t xml:space="preserve">all </w:t>
      </w:r>
      <w:r w:rsidR="00B21217" w:rsidRPr="001F6DCE">
        <w:t>control</w:t>
      </w:r>
      <w:r w:rsidR="000C3C74" w:rsidRPr="001F6DCE">
        <w:t xml:space="preserve"> </w:t>
      </w:r>
      <w:r w:rsidR="00090268" w:rsidRPr="001F6DCE">
        <w:t xml:space="preserve">functions </w:t>
      </w:r>
      <w:r w:rsidR="00301A31" w:rsidRPr="001F6DCE">
        <w:t xml:space="preserve">which in the past were </w:t>
      </w:r>
      <w:r w:rsidR="00090268" w:rsidRPr="001F6DCE">
        <w:t>spread thinly across too many healthcare and non-healthcare institutions.</w:t>
      </w:r>
      <w:r w:rsidR="006B0CC8" w:rsidRPr="001F6DCE">
        <w:t xml:space="preserve"> </w:t>
      </w:r>
      <w:r w:rsidR="00065538" w:rsidRPr="001F6DCE">
        <w:rPr>
          <w:i/>
        </w:rPr>
        <w:t>Inter alia</w:t>
      </w:r>
      <w:r w:rsidR="00065538" w:rsidRPr="001F6DCE">
        <w:t xml:space="preserve">, the NPHA is empowered to conduct verification </w:t>
      </w:r>
      <w:r w:rsidR="00247D8F" w:rsidRPr="001F6DCE">
        <w:t>of medical</w:t>
      </w:r>
      <w:r w:rsidR="00F870D5" w:rsidRPr="001F6DCE">
        <w:t xml:space="preserve"> equipment, healthcare services delivery, as well as to monitor circulation of </w:t>
      </w:r>
      <w:r w:rsidR="004104A5" w:rsidRPr="001F6DCE">
        <w:t xml:space="preserve">psychotropic </w:t>
      </w:r>
      <w:r w:rsidR="00F870D5" w:rsidRPr="001F6DCE">
        <w:t>drugs and substances, transplantation of human organs and occupational safety</w:t>
      </w:r>
      <w:r w:rsidR="00BF6566" w:rsidRPr="001F6DCE">
        <w:t xml:space="preserve"> compliance</w:t>
      </w:r>
      <w:r w:rsidR="00F870D5" w:rsidRPr="001F6DCE">
        <w:t xml:space="preserve">. </w:t>
      </w:r>
    </w:p>
    <w:p w14:paraId="0E80D176" w14:textId="77777777" w:rsidR="003617B4" w:rsidRPr="001F6DCE" w:rsidRDefault="003617B4" w:rsidP="00A23190">
      <w:pPr>
        <w:pStyle w:val="ListParagraph"/>
      </w:pPr>
    </w:p>
    <w:p w14:paraId="0053DD4B" w14:textId="282C6FC5" w:rsidR="00247D8F" w:rsidRPr="001F6DCE" w:rsidRDefault="00B21217" w:rsidP="00B41C82">
      <w:pPr>
        <w:pStyle w:val="ListParagraph"/>
        <w:numPr>
          <w:ilvl w:val="0"/>
          <w:numId w:val="16"/>
        </w:numPr>
        <w:ind w:left="0" w:firstLine="0"/>
        <w:jc w:val="both"/>
      </w:pPr>
      <w:r w:rsidRPr="001F6DCE">
        <w:t>The</w:t>
      </w:r>
      <w:r w:rsidR="00D73601" w:rsidRPr="001F6DCE">
        <w:t xml:space="preserve"> ministerial</w:t>
      </w:r>
      <w:r w:rsidRPr="001F6DCE">
        <w:t xml:space="preserve"> position of the Chief Sanitary Doctor is abolished, but most of its verification</w:t>
      </w:r>
      <w:r w:rsidR="00BA56F4" w:rsidRPr="001F6DCE">
        <w:t xml:space="preserve"> and control</w:t>
      </w:r>
      <w:r w:rsidRPr="001F6DCE">
        <w:t xml:space="preserve"> functions </w:t>
      </w:r>
      <w:r w:rsidR="00D73601" w:rsidRPr="001F6DCE">
        <w:t>are transferred</w:t>
      </w:r>
      <w:r w:rsidRPr="001F6DCE">
        <w:t xml:space="preserve"> to the </w:t>
      </w:r>
      <w:r w:rsidR="004104A5" w:rsidRPr="001F6DCE">
        <w:t>deputy D</w:t>
      </w:r>
      <w:r w:rsidR="00D73601" w:rsidRPr="001F6DCE">
        <w:t xml:space="preserve">irector of NPHA who is also appointed as </w:t>
      </w:r>
      <w:r w:rsidR="00BA56F4" w:rsidRPr="001F6DCE">
        <w:t xml:space="preserve">the </w:t>
      </w:r>
      <w:r w:rsidRPr="001F6DCE">
        <w:t>Chief State Sanitary Inspe</w:t>
      </w:r>
      <w:r w:rsidR="00D73601" w:rsidRPr="001F6DCE">
        <w:t>ctor</w:t>
      </w:r>
      <w:r w:rsidRPr="001F6DCE">
        <w:t xml:space="preserve">. </w:t>
      </w:r>
      <w:r w:rsidR="00BA56F4" w:rsidRPr="001F6DCE">
        <w:t xml:space="preserve">Similarly, each territorial public health centre has </w:t>
      </w:r>
      <w:r w:rsidR="004104A5" w:rsidRPr="001F6DCE">
        <w:t>S</w:t>
      </w:r>
      <w:r w:rsidR="00BA56F4" w:rsidRPr="001F6DCE">
        <w:t xml:space="preserve">tate sanitary inspector empowered with mandate to oversee relevant legislation compliance at local level. </w:t>
      </w:r>
      <w:r w:rsidR="00B41C82" w:rsidRPr="001F6DCE">
        <w:t xml:space="preserve">Furthermore, the public health agencies are empowered to apply sanctions and fines </w:t>
      </w:r>
      <w:r w:rsidR="004104A5" w:rsidRPr="001F6DCE">
        <w:t>and</w:t>
      </w:r>
      <w:r w:rsidR="00B41C82" w:rsidRPr="001F6DCE">
        <w:t xml:space="preserve"> suspend or withdraw sanitary authorisations and undertake such other actions as regulated by the legislation</w:t>
      </w:r>
      <w:r w:rsidR="004104A5" w:rsidRPr="001F6DCE">
        <w:rPr>
          <w:rStyle w:val="FootnoteReference"/>
        </w:rPr>
        <w:footnoteReference w:id="7"/>
      </w:r>
      <w:r w:rsidR="00B41C82" w:rsidRPr="001F6DCE">
        <w:t xml:space="preserve">. </w:t>
      </w:r>
    </w:p>
    <w:p w14:paraId="5967A98B" w14:textId="77777777" w:rsidR="00BA56F4" w:rsidRPr="001F6DCE" w:rsidRDefault="00BA56F4" w:rsidP="00B41C82">
      <w:pPr>
        <w:pStyle w:val="ListParagraph"/>
        <w:ind w:left="0"/>
        <w:jc w:val="both"/>
      </w:pPr>
    </w:p>
    <w:p w14:paraId="1BF998B5" w14:textId="1969D3DD" w:rsidR="00693FD2" w:rsidRPr="001F6DCE" w:rsidRDefault="003617B4" w:rsidP="00693FD2">
      <w:pPr>
        <w:pStyle w:val="ListParagraph"/>
        <w:numPr>
          <w:ilvl w:val="0"/>
          <w:numId w:val="16"/>
        </w:numPr>
        <w:ind w:left="0" w:firstLine="0"/>
        <w:jc w:val="both"/>
      </w:pPr>
      <w:r w:rsidRPr="001F6DCE">
        <w:t xml:space="preserve">The </w:t>
      </w:r>
      <w:r w:rsidR="00693FD2" w:rsidRPr="001F6DCE">
        <w:t>NPHA took over the following functions</w:t>
      </w:r>
      <w:r w:rsidRPr="001F6DCE">
        <w:t xml:space="preserve"> of the National Centre for Health Management</w:t>
      </w:r>
      <w:r w:rsidR="00693FD2" w:rsidRPr="001F6DCE">
        <w:t>: (</w:t>
      </w:r>
      <w:proofErr w:type="spellStart"/>
      <w:r w:rsidR="00693FD2" w:rsidRPr="001F6DCE">
        <w:t>i</w:t>
      </w:r>
      <w:proofErr w:type="spellEnd"/>
      <w:r w:rsidR="00693FD2" w:rsidRPr="001F6DCE">
        <w:t xml:space="preserve">) collection, standardization and analysis of statistical information on public health; (ii) provision of the scientific strategy underpinning development of the health system; (iii) development of standards, norms and regulations for health care; (iv) monitoring of health </w:t>
      </w:r>
      <w:r w:rsidR="00693FD2" w:rsidRPr="001F6DCE">
        <w:lastRenderedPageBreak/>
        <w:t xml:space="preserve">service markets and the technical and material basis necessary for the provision of health services; and (v) creation of automated systems for the collection of operational information on the population’s health. </w:t>
      </w:r>
      <w:r w:rsidR="00B70B9B" w:rsidRPr="001F6DCE">
        <w:t xml:space="preserve">Consequently, NPHA becomes the primary source of statistical information on most of health system indicators in Moldova. </w:t>
      </w:r>
    </w:p>
    <w:p w14:paraId="778454C4" w14:textId="77777777" w:rsidR="00452C13" w:rsidRPr="001F6DCE" w:rsidRDefault="00452C13" w:rsidP="00A23190">
      <w:pPr>
        <w:pStyle w:val="ListParagraph"/>
      </w:pPr>
    </w:p>
    <w:p w14:paraId="0213F0D9" w14:textId="6EBB31C6" w:rsidR="00452C13" w:rsidRPr="001F6DCE" w:rsidRDefault="00B55B60" w:rsidP="00452C13">
      <w:pPr>
        <w:pStyle w:val="ListParagraph"/>
        <w:numPr>
          <w:ilvl w:val="0"/>
          <w:numId w:val="16"/>
        </w:numPr>
        <w:ind w:left="0" w:firstLine="0"/>
        <w:jc w:val="both"/>
      </w:pPr>
      <w:r w:rsidRPr="001F6DCE">
        <w:t xml:space="preserve">The NPHA also </w:t>
      </w:r>
      <w:r w:rsidR="004104A5" w:rsidRPr="001F6DCE">
        <w:t>took over</w:t>
      </w:r>
      <w:r w:rsidRPr="001F6DCE">
        <w:t xml:space="preserve"> </w:t>
      </w:r>
      <w:r w:rsidR="004104A5" w:rsidRPr="001F6DCE">
        <w:t>key</w:t>
      </w:r>
      <w:r w:rsidRPr="001F6DCE">
        <w:t xml:space="preserve"> </w:t>
      </w:r>
      <w:r w:rsidR="004104A5" w:rsidRPr="001F6DCE">
        <w:t xml:space="preserve">responsibilities of the </w:t>
      </w:r>
      <w:r w:rsidR="00452C13" w:rsidRPr="001F6DCE">
        <w:t>National Council for Evaluation and Accreditation in Health</w:t>
      </w:r>
      <w:r w:rsidR="004104A5" w:rsidRPr="001F6DCE">
        <w:t xml:space="preserve"> which include the following: (</w:t>
      </w:r>
      <w:proofErr w:type="spellStart"/>
      <w:r w:rsidR="004104A5" w:rsidRPr="001F6DCE">
        <w:t>i</w:t>
      </w:r>
      <w:proofErr w:type="spellEnd"/>
      <w:r w:rsidR="004104A5" w:rsidRPr="001F6DCE">
        <w:t>) evaluation of</w:t>
      </w:r>
      <w:r w:rsidR="00452C13" w:rsidRPr="001F6DCE">
        <w:t xml:space="preserve"> compliance of health and pharmaceutical institutions and the activity of enterprises with the relevant standards and, (ii) official recognition </w:t>
      </w:r>
      <w:r w:rsidR="004104A5" w:rsidRPr="001F6DCE">
        <w:t>of</w:t>
      </w:r>
      <w:r w:rsidR="00452C13" w:rsidRPr="001F6DCE">
        <w:t xml:space="preserve"> </w:t>
      </w:r>
      <w:r w:rsidR="004104A5" w:rsidRPr="001F6DCE">
        <w:t xml:space="preserve">expertise of the </w:t>
      </w:r>
      <w:r w:rsidR="00452C13" w:rsidRPr="001F6DCE">
        <w:t>health and pharmaceutical unit and its personnel to conduct activities specific to its profile, in accordance with the standards and legal provisions in the field of medicine and pharmacy</w:t>
      </w:r>
      <w:r w:rsidR="003772C6" w:rsidRPr="001F6DCE">
        <w:t xml:space="preserve"> (iii) draft regulatory by-laws regarding evaluation and accreditation in healthcare</w:t>
      </w:r>
      <w:r w:rsidR="00452C13" w:rsidRPr="001F6DCE">
        <w:t>.</w:t>
      </w:r>
    </w:p>
    <w:p w14:paraId="5E73C0F7" w14:textId="77777777" w:rsidR="003772C6" w:rsidRPr="001F6DCE" w:rsidRDefault="003772C6" w:rsidP="00A23190">
      <w:pPr>
        <w:pStyle w:val="ListParagraph"/>
      </w:pPr>
    </w:p>
    <w:p w14:paraId="10442099" w14:textId="77777777" w:rsidR="003617B4" w:rsidRPr="001F6DCE" w:rsidRDefault="003617B4" w:rsidP="003617B4">
      <w:pPr>
        <w:pStyle w:val="ListParagraph"/>
        <w:numPr>
          <w:ilvl w:val="0"/>
          <w:numId w:val="16"/>
        </w:numPr>
        <w:ind w:left="0" w:firstLine="0"/>
        <w:jc w:val="both"/>
      </w:pPr>
      <w:r w:rsidRPr="001F6DCE">
        <w:t xml:space="preserve">The NPHA maintains a special registry of occupational diseases. The NPHA produces an annual report on workers’ health in relation to risk factors at their workplaces, which is published in the journal Labour Security and Hygiene and on the NPHA web site. </w:t>
      </w:r>
    </w:p>
    <w:p w14:paraId="20A33AC4" w14:textId="77777777" w:rsidR="003617B4" w:rsidRPr="001F6DCE" w:rsidRDefault="003617B4" w:rsidP="003617B4">
      <w:pPr>
        <w:pStyle w:val="ListParagraph"/>
      </w:pPr>
    </w:p>
    <w:p w14:paraId="7EF242F9" w14:textId="74CB7D2A" w:rsidR="00354422" w:rsidRPr="001F6DCE" w:rsidRDefault="00354422" w:rsidP="00354422">
      <w:pPr>
        <w:pStyle w:val="ListParagraph"/>
        <w:numPr>
          <w:ilvl w:val="0"/>
          <w:numId w:val="16"/>
        </w:numPr>
        <w:ind w:left="0" w:firstLine="0"/>
        <w:jc w:val="both"/>
      </w:pPr>
      <w:r w:rsidRPr="001F6DCE">
        <w:t xml:space="preserve">The NPHA has a special unit responsible for environment and health issues and the surveillance of environmental factors influencing health (i.e. </w:t>
      </w:r>
      <w:r w:rsidRPr="001F6DCE">
        <w:rPr>
          <w:lang w:val="en-US"/>
        </w:rPr>
        <w:t>Department for Prevention and Control of Communicable Diseases)</w:t>
      </w:r>
      <w:r w:rsidRPr="001F6DCE">
        <w:t>. Data collection on environmental factors is carried out as part of “socio-hygienic monitoring”. The NPHA leads the preparation of an annual report on environment and health.</w:t>
      </w:r>
    </w:p>
    <w:p w14:paraId="5FDC0BE1" w14:textId="77777777" w:rsidR="00354422" w:rsidRPr="001F6DCE" w:rsidRDefault="00354422" w:rsidP="00A23190">
      <w:pPr>
        <w:pStyle w:val="ListParagraph"/>
      </w:pPr>
    </w:p>
    <w:p w14:paraId="311238FC" w14:textId="5C003E46" w:rsidR="003617B4" w:rsidRPr="001F6DCE" w:rsidRDefault="003617B4" w:rsidP="003617B4">
      <w:pPr>
        <w:pStyle w:val="ListParagraph"/>
        <w:numPr>
          <w:ilvl w:val="0"/>
          <w:numId w:val="16"/>
        </w:numPr>
        <w:ind w:left="0" w:firstLine="0"/>
        <w:jc w:val="both"/>
      </w:pPr>
      <w:r w:rsidRPr="001F6DCE">
        <w:t xml:space="preserve">In the process of governmental reorganisation it is not clear though whether the mandate for surveillance of environmental factors influencing people’s health will be retained by NPHA or transferred to the Environmental Inspectorate (successor of Ecologic Fund) and the Ministry of Agriculture, Regional Development and Environment (the latter merged with Ministry of Regional Development and Territorial Planning, Ministry of Environment and the Ministry of Agriculture and Food Industry). </w:t>
      </w:r>
    </w:p>
    <w:p w14:paraId="5CCC6891" w14:textId="77777777" w:rsidR="003617B4" w:rsidRPr="001F6DCE" w:rsidRDefault="003617B4" w:rsidP="00A23190">
      <w:pPr>
        <w:pStyle w:val="ListParagraph"/>
      </w:pPr>
    </w:p>
    <w:p w14:paraId="2088142E" w14:textId="04115F17" w:rsidR="005C3FD0" w:rsidRPr="001F6DCE" w:rsidRDefault="00247D8F" w:rsidP="00B41C82">
      <w:pPr>
        <w:pStyle w:val="ListParagraph"/>
        <w:numPr>
          <w:ilvl w:val="0"/>
          <w:numId w:val="16"/>
        </w:numPr>
        <w:ind w:left="0" w:firstLine="0"/>
        <w:jc w:val="both"/>
      </w:pPr>
      <w:r w:rsidRPr="001F6DCE">
        <w:t xml:space="preserve">The NPHA is subordinated to the Ministry of Health, Labour and Social Protection but oversight of its activity is exercised by Coordination Council and Dispute Resolution Council. </w:t>
      </w:r>
      <w:r w:rsidR="00BA56F4" w:rsidRPr="001F6DCE">
        <w:t xml:space="preserve">The Coordination Council </w:t>
      </w:r>
      <w:r w:rsidR="002E482C" w:rsidRPr="001F6DCE">
        <w:t xml:space="preserve">operates based on the regulations approved by the </w:t>
      </w:r>
      <w:proofErr w:type="spellStart"/>
      <w:r w:rsidR="002E482C" w:rsidRPr="001F6DCE">
        <w:t>MoHLSP</w:t>
      </w:r>
      <w:proofErr w:type="spellEnd"/>
      <w:r w:rsidR="002E482C" w:rsidRPr="001F6DCE">
        <w:t xml:space="preserve"> and consists of 7 members: Minister of Health, Labour and Social Protection (acting as the Council’s Chairperson), Chairperson of the Parliamentary committee on health and social protection, Prime-Minister’s Chief Adviser on Healthcare, State Secretary for Public Health</w:t>
      </w:r>
      <w:r w:rsidR="009B03C8" w:rsidRPr="001F6DCE">
        <w:t xml:space="preserve"> (</w:t>
      </w:r>
      <w:proofErr w:type="spellStart"/>
      <w:r w:rsidR="009B03C8" w:rsidRPr="001F6DCE">
        <w:t>MoHLSP</w:t>
      </w:r>
      <w:proofErr w:type="spellEnd"/>
      <w:r w:rsidR="009B03C8" w:rsidRPr="001F6DCE">
        <w:t>)</w:t>
      </w:r>
      <w:r w:rsidR="002E482C" w:rsidRPr="001F6DCE">
        <w:t xml:space="preserve">, </w:t>
      </w:r>
      <w:r w:rsidR="009B03C8" w:rsidRPr="001F6DCE">
        <w:t xml:space="preserve">State Secretary of the Ministry of Finance, and one representative from CNAM and </w:t>
      </w:r>
      <w:r w:rsidR="005F60FA" w:rsidRPr="001F6DCE">
        <w:t xml:space="preserve">the </w:t>
      </w:r>
      <w:r w:rsidR="009B03C8" w:rsidRPr="001F6DCE">
        <w:t xml:space="preserve">Medical University. In addition, a representative from World Health Organisation (and other stakeholders on as need basis) participates in the Coordination Council meetings as an observer.  </w:t>
      </w:r>
    </w:p>
    <w:p w14:paraId="4E021008" w14:textId="77777777" w:rsidR="00015709" w:rsidRPr="001F6DCE" w:rsidRDefault="00015709" w:rsidP="00A23190">
      <w:pPr>
        <w:pStyle w:val="ListParagraph"/>
      </w:pPr>
    </w:p>
    <w:p w14:paraId="498976DE" w14:textId="77777777" w:rsidR="005F60FA" w:rsidRPr="001F6DCE" w:rsidRDefault="005F60FA" w:rsidP="00A23190">
      <w:pPr>
        <w:pStyle w:val="ListParagraph"/>
      </w:pPr>
    </w:p>
    <w:p w14:paraId="35C19A7C" w14:textId="77777777" w:rsidR="005F60FA" w:rsidRPr="001F6DCE" w:rsidRDefault="005F60FA" w:rsidP="00A23190">
      <w:pPr>
        <w:jc w:val="both"/>
        <w:rPr>
          <w:b/>
          <w:i/>
        </w:rPr>
      </w:pPr>
      <w:r w:rsidRPr="001F6DCE">
        <w:rPr>
          <w:b/>
          <w:i/>
        </w:rPr>
        <w:t>Centre for Public Procurement in Health (CPPH)</w:t>
      </w:r>
    </w:p>
    <w:p w14:paraId="04585276" w14:textId="77777777" w:rsidR="005F60FA" w:rsidRPr="001F6DCE" w:rsidRDefault="005F60FA" w:rsidP="00A23190">
      <w:pPr>
        <w:pStyle w:val="ListParagraph"/>
      </w:pPr>
    </w:p>
    <w:p w14:paraId="4A11E20E" w14:textId="13E7CB21" w:rsidR="006F5607" w:rsidRPr="001F6DCE" w:rsidRDefault="00BF1FE3" w:rsidP="005C41CF">
      <w:pPr>
        <w:pStyle w:val="ListParagraph"/>
        <w:numPr>
          <w:ilvl w:val="0"/>
          <w:numId w:val="16"/>
        </w:numPr>
        <w:ind w:left="0" w:firstLine="0"/>
        <w:jc w:val="both"/>
      </w:pPr>
      <w:r w:rsidRPr="001F6DCE">
        <w:t xml:space="preserve">The </w:t>
      </w:r>
      <w:r w:rsidR="00DE4226" w:rsidRPr="001F6DCE">
        <w:t>Centre for Public Procurement in Health</w:t>
      </w:r>
      <w:r w:rsidRPr="001F6DCE">
        <w:t xml:space="preserve"> was established in 2016 with the purpose to se</w:t>
      </w:r>
      <w:r w:rsidR="00BD10BA" w:rsidRPr="001F6DCE">
        <w:t xml:space="preserve">parate procurement </w:t>
      </w:r>
      <w:r w:rsidR="00DE4226" w:rsidRPr="001F6DCE">
        <w:t xml:space="preserve">from registration and authorisation </w:t>
      </w:r>
      <w:r w:rsidR="00BD10BA" w:rsidRPr="001F6DCE">
        <w:t>functions</w:t>
      </w:r>
      <w:r w:rsidR="00DE4226" w:rsidRPr="001F6DCE">
        <w:t xml:space="preserve"> of the National Agency for Drugs and Medical </w:t>
      </w:r>
      <w:r w:rsidR="00D11277" w:rsidRPr="001F6DCE">
        <w:t>Equipment (NADME)</w:t>
      </w:r>
      <w:r w:rsidR="00DE4226" w:rsidRPr="001F6DCE">
        <w:t>. The CPPH is autonomous institution</w:t>
      </w:r>
      <w:r w:rsidR="00D32D45" w:rsidRPr="001F6DCE">
        <w:t xml:space="preserve"> </w:t>
      </w:r>
      <w:r w:rsidR="00DE4226" w:rsidRPr="001F6DCE">
        <w:t xml:space="preserve">subordinated to </w:t>
      </w:r>
      <w:r w:rsidR="00DE4226" w:rsidRPr="001F6DCE">
        <w:lastRenderedPageBreak/>
        <w:t xml:space="preserve">the </w:t>
      </w:r>
      <w:proofErr w:type="spellStart"/>
      <w:r w:rsidR="00DE4226" w:rsidRPr="001F6DCE">
        <w:t>MoHLSP</w:t>
      </w:r>
      <w:proofErr w:type="spellEnd"/>
      <w:r w:rsidR="00DE4226" w:rsidRPr="001F6DCE">
        <w:t xml:space="preserve"> and is acting as a single purchasing agent of pharmaceuticals and medical equipment for public hospitals. In addition, CPPH is also </w:t>
      </w:r>
      <w:r w:rsidR="00D11277" w:rsidRPr="001F6DCE">
        <w:t xml:space="preserve">empowered to procure goods and services under all national programmes on behalf of the </w:t>
      </w:r>
      <w:proofErr w:type="spellStart"/>
      <w:r w:rsidR="00D11277" w:rsidRPr="001F6DCE">
        <w:t>MoHLSP</w:t>
      </w:r>
      <w:proofErr w:type="spellEnd"/>
      <w:r w:rsidR="00D11277" w:rsidRPr="001F6DCE">
        <w:t xml:space="preserve">. </w:t>
      </w:r>
      <w:r w:rsidR="00D32D45" w:rsidRPr="001F6DCE">
        <w:t xml:space="preserve">The CPPH generates its resources </w:t>
      </w:r>
      <w:r w:rsidR="00D32D45" w:rsidRPr="001F6DCE">
        <w:rPr>
          <w:i/>
        </w:rPr>
        <w:t>inter alia</w:t>
      </w:r>
      <w:r w:rsidR="00D32D45" w:rsidRPr="001F6DCE">
        <w:t xml:space="preserve"> by collecting fees from healthcare institutions wishing to participate in joint tender procedure. </w:t>
      </w:r>
    </w:p>
    <w:p w14:paraId="3E687865" w14:textId="77777777" w:rsidR="006F5607" w:rsidRPr="001F6DCE" w:rsidRDefault="006F5607" w:rsidP="00A23190">
      <w:pPr>
        <w:pStyle w:val="ListParagraph"/>
        <w:ind w:left="0"/>
        <w:jc w:val="both"/>
      </w:pPr>
    </w:p>
    <w:p w14:paraId="6C6A6CC6" w14:textId="125E0B5C" w:rsidR="006F5607" w:rsidRPr="001F6DCE" w:rsidRDefault="006F5607" w:rsidP="005C41CF">
      <w:pPr>
        <w:pStyle w:val="ListParagraph"/>
        <w:numPr>
          <w:ilvl w:val="0"/>
          <w:numId w:val="16"/>
        </w:numPr>
        <w:ind w:left="0" w:firstLine="0"/>
        <w:jc w:val="both"/>
      </w:pPr>
      <w:r w:rsidRPr="001F6DCE">
        <w:rPr>
          <w:b/>
          <w:i/>
        </w:rPr>
        <w:t>Centre for implementation, monitoring and evaluation of healthcare projects (</w:t>
      </w:r>
      <w:proofErr w:type="spellStart"/>
      <w:r w:rsidRPr="001F6DCE">
        <w:rPr>
          <w:b/>
          <w:i/>
        </w:rPr>
        <w:t>Unitatea</w:t>
      </w:r>
      <w:proofErr w:type="spellEnd"/>
      <w:r w:rsidRPr="001F6DCE">
        <w:rPr>
          <w:b/>
          <w:i/>
        </w:rPr>
        <w:t xml:space="preserve"> de </w:t>
      </w:r>
      <w:proofErr w:type="spellStart"/>
      <w:r w:rsidRPr="001F6DCE">
        <w:rPr>
          <w:b/>
          <w:i/>
        </w:rPr>
        <w:t>Consolidata</w:t>
      </w:r>
      <w:proofErr w:type="spellEnd"/>
      <w:r w:rsidRPr="001F6DCE">
        <w:rPr>
          <w:b/>
          <w:i/>
        </w:rPr>
        <w:t xml:space="preserve"> de </w:t>
      </w:r>
      <w:proofErr w:type="spellStart"/>
      <w:r w:rsidRPr="001F6DCE">
        <w:rPr>
          <w:b/>
          <w:i/>
        </w:rPr>
        <w:t>Implementare</w:t>
      </w:r>
      <w:proofErr w:type="spellEnd"/>
      <w:r w:rsidRPr="001F6DCE">
        <w:rPr>
          <w:b/>
          <w:i/>
        </w:rPr>
        <w:t xml:space="preserve"> </w:t>
      </w:r>
      <w:proofErr w:type="spellStart"/>
      <w:r w:rsidRPr="001F6DCE">
        <w:rPr>
          <w:b/>
          <w:i/>
        </w:rPr>
        <w:t>si</w:t>
      </w:r>
      <w:proofErr w:type="spellEnd"/>
      <w:r w:rsidRPr="001F6DCE">
        <w:rPr>
          <w:b/>
          <w:i/>
        </w:rPr>
        <w:t xml:space="preserve"> </w:t>
      </w:r>
      <w:proofErr w:type="spellStart"/>
      <w:r w:rsidRPr="001F6DCE">
        <w:rPr>
          <w:b/>
          <w:i/>
        </w:rPr>
        <w:t>Monitorizare</w:t>
      </w:r>
      <w:proofErr w:type="spellEnd"/>
      <w:r w:rsidRPr="001F6DCE">
        <w:rPr>
          <w:b/>
          <w:i/>
        </w:rPr>
        <w:t xml:space="preserve"> a </w:t>
      </w:r>
      <w:proofErr w:type="spellStart"/>
      <w:r w:rsidRPr="001F6DCE">
        <w:rPr>
          <w:b/>
          <w:i/>
        </w:rPr>
        <w:t>proiectelor</w:t>
      </w:r>
      <w:proofErr w:type="spellEnd"/>
      <w:r w:rsidRPr="001F6DCE">
        <w:rPr>
          <w:b/>
          <w:i/>
        </w:rPr>
        <w:t xml:space="preserve"> in </w:t>
      </w:r>
      <w:proofErr w:type="spellStart"/>
      <w:r w:rsidRPr="001F6DCE">
        <w:rPr>
          <w:b/>
          <w:i/>
        </w:rPr>
        <w:t>sanatate</w:t>
      </w:r>
      <w:proofErr w:type="spellEnd"/>
      <w:r w:rsidRPr="001F6DCE">
        <w:rPr>
          <w:b/>
          <w:i/>
        </w:rPr>
        <w:t xml:space="preserve">, UCIMP) </w:t>
      </w:r>
      <w:r w:rsidRPr="001F6DCE">
        <w:t xml:space="preserve">is a not-for-profit organisation which was established by the </w:t>
      </w:r>
      <w:proofErr w:type="spellStart"/>
      <w:r w:rsidRPr="001F6DCE">
        <w:t>GoM</w:t>
      </w:r>
      <w:proofErr w:type="spellEnd"/>
      <w:r w:rsidRPr="001F6DCE">
        <w:t xml:space="preserve"> as </w:t>
      </w:r>
      <w:proofErr w:type="gramStart"/>
      <w:r w:rsidRPr="001F6DCE">
        <w:t>a</w:t>
      </w:r>
      <w:proofErr w:type="gramEnd"/>
      <w:r w:rsidRPr="001F6DCE">
        <w:t xml:space="preserve"> implementation unit for the World Bank Health Investment Fund project in 2000. Since project completion, the UCIMP was involved in the coordination of HIV&amp;TB prevention and control projects financed from the Global Fund. </w:t>
      </w:r>
    </w:p>
    <w:p w14:paraId="3EA250A1" w14:textId="77777777" w:rsidR="005F60FA" w:rsidRPr="001F6DCE" w:rsidRDefault="005F60FA" w:rsidP="00A23190">
      <w:pPr>
        <w:pStyle w:val="ListParagraph"/>
      </w:pPr>
    </w:p>
    <w:p w14:paraId="46CC8057" w14:textId="77777777" w:rsidR="009B03C8" w:rsidRPr="001F6DCE" w:rsidRDefault="009B03C8" w:rsidP="00B41C82">
      <w:pPr>
        <w:pStyle w:val="ListParagraph"/>
      </w:pPr>
    </w:p>
    <w:p w14:paraId="4DE13022" w14:textId="77777777" w:rsidR="00C74C59" w:rsidRPr="001F6DCE" w:rsidRDefault="00C74C59" w:rsidP="00C35E6D">
      <w:pPr>
        <w:jc w:val="both"/>
        <w:rPr>
          <w:b/>
          <w:i/>
        </w:rPr>
      </w:pPr>
      <w:r w:rsidRPr="001F6DCE">
        <w:rPr>
          <w:b/>
          <w:i/>
        </w:rPr>
        <w:t xml:space="preserve">Other ministries and government agencies </w:t>
      </w:r>
    </w:p>
    <w:p w14:paraId="53007419" w14:textId="77777777" w:rsidR="00372C26" w:rsidRPr="001F6DCE" w:rsidRDefault="00372C26" w:rsidP="00A04983">
      <w:pPr>
        <w:jc w:val="both"/>
        <w:rPr>
          <w:b/>
        </w:rPr>
      </w:pPr>
    </w:p>
    <w:p w14:paraId="5372C490" w14:textId="1C320A11" w:rsidR="00C74C59" w:rsidRPr="001F6DCE" w:rsidRDefault="00D51E07" w:rsidP="00633F4F">
      <w:pPr>
        <w:pStyle w:val="ListParagraph"/>
        <w:numPr>
          <w:ilvl w:val="0"/>
          <w:numId w:val="16"/>
        </w:numPr>
        <w:ind w:left="0" w:firstLine="0"/>
        <w:jc w:val="both"/>
      </w:pPr>
      <w:r w:rsidRPr="001F6DCE">
        <w:rPr>
          <w:i/>
        </w:rPr>
        <w:t>The Ministry of Finance</w:t>
      </w:r>
      <w:r w:rsidRPr="001F6DCE">
        <w:t xml:space="preserve"> has the key role to play in ensuring the </w:t>
      </w:r>
      <w:proofErr w:type="spellStart"/>
      <w:r w:rsidRPr="001F6DCE">
        <w:t>PforR</w:t>
      </w:r>
      <w:proofErr w:type="spellEnd"/>
      <w:r w:rsidRPr="001F6DCE">
        <w:t xml:space="preserve"> funding to the Health Sector.</w:t>
      </w:r>
      <w:r w:rsidRPr="001F6DCE">
        <w:rPr>
          <w:i/>
        </w:rPr>
        <w:t xml:space="preserve"> </w:t>
      </w:r>
      <w:r w:rsidR="00C74C59" w:rsidRPr="001F6DCE">
        <w:t>The Ministry of Finance has a strong influence on the process of developing the health system budget through departments that examine state budget proposals for health and forecasts for MHI indicators, which are identified, developed and submitted by the Ministry of Health</w:t>
      </w:r>
      <w:r w:rsidR="00986DE9" w:rsidRPr="001F6DCE">
        <w:t>, Labour and Social Protection</w:t>
      </w:r>
      <w:r w:rsidR="00C74C59" w:rsidRPr="001F6DCE">
        <w:t xml:space="preserve">. </w:t>
      </w:r>
      <w:r w:rsidR="00FA7C5B" w:rsidRPr="001F6DCE">
        <w:t xml:space="preserve">In addition, the </w:t>
      </w:r>
      <w:proofErr w:type="spellStart"/>
      <w:r w:rsidR="00FA7C5B" w:rsidRPr="001F6DCE">
        <w:t>MoF</w:t>
      </w:r>
      <w:proofErr w:type="spellEnd"/>
      <w:r w:rsidR="00FA7C5B" w:rsidRPr="001F6DCE">
        <w:t xml:space="preserve"> coordinates calculation of the share of the state budget contribution for the </w:t>
      </w:r>
      <w:r w:rsidR="00E63B91" w:rsidRPr="001F6DCE">
        <w:t>S</w:t>
      </w:r>
      <w:r w:rsidR="00FA7C5B" w:rsidRPr="001F6DCE">
        <w:t xml:space="preserve">tate-insured population. </w:t>
      </w:r>
      <w:r w:rsidR="003B22D6" w:rsidRPr="001F6DCE">
        <w:t>Worth mentioning that t</w:t>
      </w:r>
      <w:r w:rsidR="00E63B91" w:rsidRPr="001F6DCE">
        <w:t xml:space="preserve">he share of state budget contribution to the </w:t>
      </w:r>
      <w:r w:rsidR="003B22D6" w:rsidRPr="001F6DCE">
        <w:t>MHI pool</w:t>
      </w:r>
      <w:r w:rsidR="00B43F9E" w:rsidRPr="001F6DCE">
        <w:t xml:space="preserve"> </w:t>
      </w:r>
      <w:r w:rsidR="00D11277" w:rsidRPr="001F6DCE">
        <w:t>steadily declined from over 50% in 2012 to</w:t>
      </w:r>
      <w:r w:rsidR="00E63B91" w:rsidRPr="001F6DCE">
        <w:t xml:space="preserve"> </w:t>
      </w:r>
      <w:r w:rsidR="00455266" w:rsidRPr="001F6DCE">
        <w:t>about</w:t>
      </w:r>
      <w:r w:rsidR="00D11277" w:rsidRPr="001F6DCE">
        <w:t xml:space="preserve"> 40</w:t>
      </w:r>
      <w:r w:rsidR="00E63B91" w:rsidRPr="001F6DCE">
        <w:t xml:space="preserve">% in 2016. </w:t>
      </w:r>
    </w:p>
    <w:p w14:paraId="31EF40F8" w14:textId="77777777" w:rsidR="00372C26" w:rsidRPr="001F6DCE" w:rsidRDefault="00372C26" w:rsidP="00633F4F">
      <w:pPr>
        <w:pStyle w:val="ListParagraph"/>
        <w:ind w:left="0"/>
        <w:jc w:val="both"/>
      </w:pPr>
    </w:p>
    <w:p w14:paraId="225B380E" w14:textId="331431BC" w:rsidR="00FA7C5B" w:rsidRPr="001F6DCE" w:rsidRDefault="00C74C59" w:rsidP="00A23190">
      <w:pPr>
        <w:pStyle w:val="ListParagraph"/>
        <w:numPr>
          <w:ilvl w:val="0"/>
          <w:numId w:val="16"/>
        </w:numPr>
        <w:ind w:left="0" w:firstLine="0"/>
        <w:jc w:val="both"/>
      </w:pPr>
      <w:r w:rsidRPr="001F6DCE">
        <w:rPr>
          <w:i/>
        </w:rPr>
        <w:t>The Ministry of Education</w:t>
      </w:r>
      <w:r w:rsidR="008C6805" w:rsidRPr="001F6DCE">
        <w:rPr>
          <w:i/>
        </w:rPr>
        <w:t>, Culture and Research</w:t>
      </w:r>
      <w:r w:rsidRPr="001F6DCE">
        <w:t xml:space="preserve"> coordinates and monitors methodological and educational activity at higher, postgraduate and vocational training institutions in medicine and pharmacy. It approves overall curricula structure and ensures its compliance with general educational standards. The Ministry of Health</w:t>
      </w:r>
      <w:r w:rsidR="00FA7C5B" w:rsidRPr="001F6DCE">
        <w:t>, Labour and Social Protection</w:t>
      </w:r>
      <w:r w:rsidRPr="001F6DCE">
        <w:t xml:space="preserve"> approves the content. </w:t>
      </w:r>
    </w:p>
    <w:p w14:paraId="28C4CFC4" w14:textId="77777777" w:rsidR="001F4AD3" w:rsidRPr="001F6DCE" w:rsidRDefault="001F4AD3">
      <w:pPr>
        <w:pStyle w:val="ListParagraph"/>
        <w:ind w:left="0"/>
        <w:jc w:val="both"/>
      </w:pPr>
    </w:p>
    <w:p w14:paraId="7CBF3DD5" w14:textId="39E627F0" w:rsidR="00C74C59" w:rsidRPr="001F6DCE" w:rsidRDefault="00C74C59" w:rsidP="003F1B8A">
      <w:pPr>
        <w:pStyle w:val="ListParagraph"/>
        <w:numPr>
          <w:ilvl w:val="0"/>
          <w:numId w:val="16"/>
        </w:numPr>
        <w:ind w:left="0" w:firstLine="0"/>
        <w:jc w:val="both"/>
      </w:pPr>
      <w:r w:rsidRPr="001F6DCE">
        <w:t>The Ministry of Education</w:t>
      </w:r>
      <w:r w:rsidR="005120B8" w:rsidRPr="001F6DCE">
        <w:t>,</w:t>
      </w:r>
      <w:r w:rsidR="005120B8" w:rsidRPr="001F6DCE">
        <w:rPr>
          <w:i/>
        </w:rPr>
        <w:t xml:space="preserve"> </w:t>
      </w:r>
      <w:r w:rsidR="005120B8" w:rsidRPr="001F6DCE">
        <w:t>Culture and Research</w:t>
      </w:r>
      <w:r w:rsidRPr="001F6DCE">
        <w:t xml:space="preserve"> also promotes healthy lifestyles in statutory education institutions as a compulsory subject within the civic education curriculum and through “education for health” and “education for family life”, which are optional subjects in secondary schools.</w:t>
      </w:r>
    </w:p>
    <w:p w14:paraId="4FB41B40" w14:textId="77777777" w:rsidR="00DC4F5A" w:rsidRPr="001F6DCE" w:rsidRDefault="00DC4F5A" w:rsidP="003F1B8A">
      <w:pPr>
        <w:pStyle w:val="ListParagraph"/>
        <w:ind w:left="0"/>
        <w:jc w:val="both"/>
      </w:pPr>
    </w:p>
    <w:p w14:paraId="4B863E4A" w14:textId="6A9A5C3A" w:rsidR="00DC4F5A" w:rsidRPr="001F6DCE" w:rsidRDefault="00DC4F5A" w:rsidP="003F1B8A">
      <w:pPr>
        <w:pStyle w:val="ListParagraph"/>
        <w:numPr>
          <w:ilvl w:val="0"/>
          <w:numId w:val="16"/>
        </w:numPr>
        <w:ind w:left="0" w:firstLine="0"/>
        <w:jc w:val="both"/>
      </w:pPr>
      <w:r w:rsidRPr="001F6DCE">
        <w:t>At the current time, there are several key actors in health: Parliamentary committee on health and social protection (Mr</w:t>
      </w:r>
      <w:r w:rsidR="00FA7C5B" w:rsidRPr="001F6DCE">
        <w:t>s</w:t>
      </w:r>
      <w:r w:rsidRPr="001F6DCE">
        <w:t xml:space="preserve">. V. </w:t>
      </w:r>
      <w:proofErr w:type="spellStart"/>
      <w:r w:rsidR="00FA7C5B" w:rsidRPr="001F6DCE">
        <w:t>Buliga</w:t>
      </w:r>
      <w:proofErr w:type="spellEnd"/>
      <w:r w:rsidRPr="001F6DCE">
        <w:t>), Ministry of Health</w:t>
      </w:r>
      <w:r w:rsidR="00FA7C5B" w:rsidRPr="001F6DCE">
        <w:t>, Labour and Social Protection</w:t>
      </w:r>
      <w:r w:rsidRPr="001F6DCE">
        <w:t xml:space="preserve"> (Mr</w:t>
      </w:r>
      <w:r w:rsidR="00FA7C5B" w:rsidRPr="001F6DCE">
        <w:t>s</w:t>
      </w:r>
      <w:r w:rsidRPr="001F6DCE">
        <w:t xml:space="preserve">. </w:t>
      </w:r>
      <w:r w:rsidR="00FA7C5B" w:rsidRPr="001F6DCE">
        <w:t xml:space="preserve">S. </w:t>
      </w:r>
      <w:proofErr w:type="spellStart"/>
      <w:r w:rsidR="00FA7C5B" w:rsidRPr="001F6DCE">
        <w:t>Cebotari</w:t>
      </w:r>
      <w:proofErr w:type="spellEnd"/>
      <w:r w:rsidRPr="001F6DCE">
        <w:t xml:space="preserve">), </w:t>
      </w:r>
      <w:r w:rsidR="007D7454" w:rsidRPr="001F6DCE">
        <w:t xml:space="preserve">National </w:t>
      </w:r>
      <w:r w:rsidRPr="001F6DCE">
        <w:t xml:space="preserve">Health Insurance </w:t>
      </w:r>
      <w:r w:rsidR="005120B8" w:rsidRPr="001F6DCE">
        <w:t xml:space="preserve">Fund </w:t>
      </w:r>
      <w:r w:rsidRPr="001F6DCE">
        <w:t xml:space="preserve">(Mr. </w:t>
      </w:r>
      <w:r w:rsidR="00FA7C5B" w:rsidRPr="001F6DCE">
        <w:t xml:space="preserve"> D. </w:t>
      </w:r>
      <w:proofErr w:type="spellStart"/>
      <w:r w:rsidR="00FA7C5B" w:rsidRPr="001F6DCE">
        <w:t>Parfentiev</w:t>
      </w:r>
      <w:proofErr w:type="spellEnd"/>
      <w:r w:rsidRPr="001F6DCE">
        <w:t>)</w:t>
      </w:r>
      <w:r w:rsidR="00C3276A" w:rsidRPr="001F6DCE">
        <w:t xml:space="preserve">, National Public Health Agency (Mrs. E. </w:t>
      </w:r>
      <w:proofErr w:type="spellStart"/>
      <w:r w:rsidR="00C3276A" w:rsidRPr="001F6DCE">
        <w:t>Palanciuc</w:t>
      </w:r>
      <w:proofErr w:type="spellEnd"/>
      <w:r w:rsidR="00C3276A" w:rsidRPr="001F6DCE">
        <w:t>)</w:t>
      </w:r>
      <w:r w:rsidRPr="001F6DCE">
        <w:t xml:space="preserve"> and the Health Trade Union (Mr.</w:t>
      </w:r>
      <w:r w:rsidR="00F0036A" w:rsidRPr="001F6DCE">
        <w:t xml:space="preserve"> </w:t>
      </w:r>
      <w:r w:rsidR="00ED1125" w:rsidRPr="001F6DCE">
        <w:t xml:space="preserve">A. </w:t>
      </w:r>
      <w:proofErr w:type="spellStart"/>
      <w:r w:rsidR="00ED1125" w:rsidRPr="001F6DCE">
        <w:t>Popovici</w:t>
      </w:r>
      <w:proofErr w:type="spellEnd"/>
      <w:r w:rsidRPr="001F6DCE">
        <w:t>).</w:t>
      </w:r>
    </w:p>
    <w:p w14:paraId="78108721" w14:textId="77777777" w:rsidR="00C74C59" w:rsidRPr="001F6DCE" w:rsidRDefault="00C74C59" w:rsidP="00A04983">
      <w:pPr>
        <w:jc w:val="both"/>
      </w:pPr>
    </w:p>
    <w:p w14:paraId="2D1CEC8F" w14:textId="77777777" w:rsidR="00C74C59" w:rsidRPr="001F6DCE" w:rsidRDefault="00C74C59" w:rsidP="00C35E6D">
      <w:pPr>
        <w:jc w:val="both"/>
        <w:rPr>
          <w:b/>
          <w:i/>
        </w:rPr>
      </w:pPr>
      <w:r w:rsidRPr="001F6DCE">
        <w:rPr>
          <w:b/>
          <w:i/>
        </w:rPr>
        <w:t xml:space="preserve">Regional/local administrative units (or local health authorities) </w:t>
      </w:r>
    </w:p>
    <w:p w14:paraId="49ABEF42" w14:textId="77777777" w:rsidR="002F7A47" w:rsidRPr="001F6DCE" w:rsidRDefault="002F7A47" w:rsidP="00A04983">
      <w:pPr>
        <w:jc w:val="both"/>
        <w:rPr>
          <w:b/>
        </w:rPr>
      </w:pPr>
    </w:p>
    <w:p w14:paraId="6406917D" w14:textId="5DA7DCE0" w:rsidR="00034D01" w:rsidRPr="001F6DCE" w:rsidRDefault="00C74C59" w:rsidP="003F1B8A">
      <w:pPr>
        <w:pStyle w:val="ListParagraph"/>
        <w:numPr>
          <w:ilvl w:val="0"/>
          <w:numId w:val="16"/>
        </w:numPr>
        <w:ind w:left="0" w:firstLine="0"/>
        <w:jc w:val="both"/>
      </w:pPr>
      <w:r w:rsidRPr="001F6DCE">
        <w:t>Three of the thirty-five administrative authorities in the Republic of Moldova (Chisinau municipality, Balti municipality and Gagauz-</w:t>
      </w:r>
      <w:proofErr w:type="spellStart"/>
      <w:r w:rsidRPr="001F6DCE">
        <w:t>Yeri</w:t>
      </w:r>
      <w:proofErr w:type="spellEnd"/>
      <w:r w:rsidRPr="001F6DCE">
        <w:t xml:space="preserve">) have local health authorities responsible for local regulatory aspects, but they </w:t>
      </w:r>
      <w:r w:rsidR="00034D01" w:rsidRPr="001F6DCE">
        <w:t>are not empowered to procure</w:t>
      </w:r>
      <w:r w:rsidRPr="001F6DCE">
        <w:t xml:space="preserve"> health services </w:t>
      </w:r>
      <w:r w:rsidR="00034D01" w:rsidRPr="001F6DCE">
        <w:t xml:space="preserve">for local </w:t>
      </w:r>
      <w:r w:rsidR="00034D01" w:rsidRPr="001F6DCE">
        <w:lastRenderedPageBreak/>
        <w:t xml:space="preserve">population </w:t>
      </w:r>
      <w:r w:rsidRPr="001F6DCE">
        <w:t xml:space="preserve">and the service providers are not directly subordinated to them. </w:t>
      </w:r>
      <w:r w:rsidR="00034D01" w:rsidRPr="001F6DCE">
        <w:t xml:space="preserve">However, being the founders of healthcare institutions, the Municipalities are partly involved </w:t>
      </w:r>
      <w:r w:rsidR="00AF6332" w:rsidRPr="001F6DCE">
        <w:t xml:space="preserve">in </w:t>
      </w:r>
      <w:r w:rsidR="00034D01" w:rsidRPr="001F6DCE">
        <w:t>their governance</w:t>
      </w:r>
      <w:r w:rsidR="00AF6332" w:rsidRPr="001F6DCE">
        <w:t xml:space="preserve"> and contribute to their infrastructure rehabilitation</w:t>
      </w:r>
      <w:r w:rsidR="00034D01" w:rsidRPr="001F6DCE">
        <w:t xml:space="preserve">. </w:t>
      </w:r>
    </w:p>
    <w:p w14:paraId="6B08526E" w14:textId="77777777" w:rsidR="00216E8F" w:rsidRPr="001F6DCE" w:rsidRDefault="00216E8F" w:rsidP="003F1B8A">
      <w:pPr>
        <w:pStyle w:val="ListParagraph"/>
        <w:ind w:left="0"/>
        <w:jc w:val="both"/>
      </w:pPr>
    </w:p>
    <w:p w14:paraId="394F46FD" w14:textId="77777777" w:rsidR="00C74C59" w:rsidRPr="001F6DCE" w:rsidRDefault="00216E8F" w:rsidP="003F1B8A">
      <w:pPr>
        <w:pStyle w:val="ListParagraph"/>
        <w:numPr>
          <w:ilvl w:val="0"/>
          <w:numId w:val="16"/>
        </w:numPr>
        <w:ind w:left="0" w:firstLine="0"/>
        <w:jc w:val="both"/>
      </w:pPr>
      <w:r w:rsidRPr="001F6DCE">
        <w:t>Overall, t</w:t>
      </w:r>
      <w:r w:rsidR="00C74C59" w:rsidRPr="001F6DCE">
        <w:t>he legal framework regarding the competencies of local authorities in health is confusing and contradictory so the efficacy of health authorities in Chisinau, Balti and Gagauz-</w:t>
      </w:r>
      <w:proofErr w:type="spellStart"/>
      <w:r w:rsidR="00C74C59" w:rsidRPr="001F6DCE">
        <w:t>Yeri</w:t>
      </w:r>
      <w:proofErr w:type="spellEnd"/>
      <w:r w:rsidR="00C74C59" w:rsidRPr="001F6DCE">
        <w:t xml:space="preserve"> is not optimal. </w:t>
      </w:r>
    </w:p>
    <w:p w14:paraId="316329A8" w14:textId="77777777" w:rsidR="00207909" w:rsidRPr="001F6DCE" w:rsidRDefault="00207909" w:rsidP="00A04983">
      <w:pPr>
        <w:jc w:val="both"/>
      </w:pPr>
    </w:p>
    <w:p w14:paraId="4441F264" w14:textId="77777777" w:rsidR="00207909" w:rsidRPr="001F6DCE" w:rsidRDefault="00216E8F" w:rsidP="00C35E6D">
      <w:pPr>
        <w:jc w:val="both"/>
        <w:rPr>
          <w:b/>
          <w:i/>
        </w:rPr>
      </w:pPr>
      <w:r w:rsidRPr="001F6DCE">
        <w:rPr>
          <w:b/>
          <w:i/>
        </w:rPr>
        <w:t xml:space="preserve">The </w:t>
      </w:r>
      <w:r w:rsidR="00207909" w:rsidRPr="001F6DCE">
        <w:rPr>
          <w:b/>
          <w:i/>
        </w:rPr>
        <w:t xml:space="preserve">Health Department under the Mayor’s Office </w:t>
      </w:r>
    </w:p>
    <w:p w14:paraId="30FCB06F" w14:textId="77777777" w:rsidR="003F1B8A" w:rsidRPr="001F6DCE" w:rsidRDefault="003F1B8A" w:rsidP="00A04983">
      <w:pPr>
        <w:jc w:val="both"/>
      </w:pPr>
    </w:p>
    <w:p w14:paraId="69095E73" w14:textId="3ED11508" w:rsidR="00207909" w:rsidRPr="001F6DCE" w:rsidRDefault="00216E8F" w:rsidP="003F1B8A">
      <w:pPr>
        <w:pStyle w:val="ListParagraph"/>
        <w:numPr>
          <w:ilvl w:val="0"/>
          <w:numId w:val="16"/>
        </w:numPr>
        <w:ind w:left="0" w:firstLine="0"/>
        <w:jc w:val="both"/>
      </w:pPr>
      <w:r w:rsidRPr="001F6DCE">
        <w:t xml:space="preserve">The </w:t>
      </w:r>
      <w:r w:rsidR="00207909" w:rsidRPr="001F6DCE">
        <w:t>Health department under the Mayor’s office is a department of the Chisinau Municipality Council aimed at implementation of the following objectives:</w:t>
      </w:r>
      <w:r w:rsidR="00037DEB" w:rsidRPr="001F6DCE">
        <w:t xml:space="preserve"> </w:t>
      </w:r>
      <w:r w:rsidR="00207909" w:rsidRPr="001F6DCE">
        <w:t>(</w:t>
      </w:r>
      <w:proofErr w:type="spellStart"/>
      <w:r w:rsidR="00207909" w:rsidRPr="001F6DCE">
        <w:t>i</w:t>
      </w:r>
      <w:proofErr w:type="spellEnd"/>
      <w:r w:rsidR="00207909" w:rsidRPr="001F6DCE">
        <w:t xml:space="preserve">) </w:t>
      </w:r>
      <w:r w:rsidR="00AF6332" w:rsidRPr="001F6DCE">
        <w:t xml:space="preserve">contribute to </w:t>
      </w:r>
      <w:r w:rsidR="00034D01" w:rsidRPr="001F6DCE">
        <w:t xml:space="preserve">administration of the health system in Chisinau while </w:t>
      </w:r>
      <w:r w:rsidR="00207909" w:rsidRPr="001F6DCE">
        <w:t xml:space="preserve">promoting Government policy in the field of </w:t>
      </w:r>
      <w:r w:rsidR="00034D01" w:rsidRPr="001F6DCE">
        <w:t>e</w:t>
      </w:r>
      <w:r w:rsidR="00207909" w:rsidRPr="001F6DCE">
        <w:t>nsuring population with healthcare services, (ii) healthcare policy development and planning in Chisinau Municipality</w:t>
      </w:r>
      <w:r w:rsidR="00C3276A" w:rsidRPr="001F6DCE">
        <w:t>,</w:t>
      </w:r>
      <w:r w:rsidR="00207909" w:rsidRPr="001F6DCE">
        <w:t xml:space="preserve"> (iii) ensuring implementation of prevention activities and early identification of diseases by healthcare providers, (iv) co-ordination of the Municipal healthcare providers in case of natural disasters, epidemics, other accidents</w:t>
      </w:r>
      <w:r w:rsidR="00BE3D78" w:rsidRPr="001F6DCE">
        <w:t>,</w:t>
      </w:r>
      <w:r w:rsidR="00207909" w:rsidRPr="001F6DCE">
        <w:t xml:space="preserve"> etc. </w:t>
      </w:r>
    </w:p>
    <w:p w14:paraId="27795099" w14:textId="77777777" w:rsidR="00207909" w:rsidRPr="001F6DCE" w:rsidRDefault="00207909" w:rsidP="003F1B8A">
      <w:pPr>
        <w:pStyle w:val="ListParagraph"/>
        <w:ind w:left="0"/>
        <w:jc w:val="both"/>
      </w:pPr>
    </w:p>
    <w:p w14:paraId="7415C9DB" w14:textId="77777777" w:rsidR="00207909" w:rsidRPr="001F6DCE" w:rsidRDefault="00207909" w:rsidP="003F1B8A">
      <w:pPr>
        <w:pStyle w:val="ListParagraph"/>
        <w:numPr>
          <w:ilvl w:val="0"/>
          <w:numId w:val="16"/>
        </w:numPr>
        <w:ind w:left="0" w:firstLine="0"/>
        <w:jc w:val="both"/>
      </w:pPr>
      <w:r w:rsidRPr="001F6DCE">
        <w:t xml:space="preserve">Being the founder of some number of primary and secondary healthcare institutions in Chisinau Municipality, the day-to-day activity of the Healthcare Department rests with capital investment planning, co-ordination of health services provision by these medical institutions and implementation of decisions, orders and instructions of the Chisinau’ Mayor. In its activity, the healthcare department is guided by the existing Government strategies and programmers in the healthcare sector. </w:t>
      </w:r>
    </w:p>
    <w:p w14:paraId="02EDD351" w14:textId="77777777" w:rsidR="00C74C59" w:rsidRPr="001F6DCE" w:rsidRDefault="00C74C59" w:rsidP="00A04983">
      <w:pPr>
        <w:jc w:val="both"/>
      </w:pPr>
    </w:p>
    <w:p w14:paraId="73F8FBE1" w14:textId="77777777" w:rsidR="00760802" w:rsidRPr="001F6DCE" w:rsidRDefault="00760802" w:rsidP="00A04983">
      <w:pPr>
        <w:jc w:val="both"/>
        <w:rPr>
          <w:b/>
        </w:rPr>
      </w:pPr>
    </w:p>
    <w:p w14:paraId="301BF00D" w14:textId="77777777" w:rsidR="00DA0BD2" w:rsidRPr="001F6DCE" w:rsidRDefault="00DA0BD2" w:rsidP="00C35E6D">
      <w:pPr>
        <w:jc w:val="both"/>
        <w:rPr>
          <w:b/>
          <w:i/>
        </w:rPr>
      </w:pPr>
      <w:r w:rsidRPr="001F6DCE">
        <w:rPr>
          <w:b/>
          <w:i/>
        </w:rPr>
        <w:t xml:space="preserve">The State Medical University “N. </w:t>
      </w:r>
      <w:proofErr w:type="spellStart"/>
      <w:r w:rsidRPr="001F6DCE">
        <w:rPr>
          <w:b/>
          <w:i/>
        </w:rPr>
        <w:t>Testimiteanu</w:t>
      </w:r>
      <w:proofErr w:type="spellEnd"/>
      <w:r w:rsidRPr="001F6DCE">
        <w:rPr>
          <w:b/>
          <w:i/>
        </w:rPr>
        <w:t>”</w:t>
      </w:r>
    </w:p>
    <w:p w14:paraId="3AD4EB54" w14:textId="7AB29B72" w:rsidR="00DA0BD2" w:rsidRPr="001F6DCE" w:rsidRDefault="00367B86" w:rsidP="00367B86">
      <w:pPr>
        <w:tabs>
          <w:tab w:val="left" w:pos="1640"/>
        </w:tabs>
        <w:jc w:val="both"/>
      </w:pPr>
      <w:r w:rsidRPr="001F6DCE">
        <w:tab/>
      </w:r>
    </w:p>
    <w:p w14:paraId="1554CFBB" w14:textId="7B6A4D2F" w:rsidR="00760802" w:rsidRPr="001F6DCE" w:rsidRDefault="00DA0BD2" w:rsidP="003F1B8A">
      <w:pPr>
        <w:pStyle w:val="ListParagraph"/>
        <w:numPr>
          <w:ilvl w:val="0"/>
          <w:numId w:val="16"/>
        </w:numPr>
        <w:ind w:left="0" w:firstLine="0"/>
        <w:jc w:val="both"/>
      </w:pPr>
      <w:r w:rsidRPr="001F6DCE">
        <w:t xml:space="preserve">The </w:t>
      </w:r>
      <w:r w:rsidRPr="001F6DCE">
        <w:rPr>
          <w:i/>
        </w:rPr>
        <w:t>Medical University</w:t>
      </w:r>
      <w:r w:rsidRPr="001F6DCE">
        <w:t xml:space="preserve"> is the only one medical education institution that provides graduate and post</w:t>
      </w:r>
      <w:r w:rsidR="00C3276A" w:rsidRPr="001F6DCE">
        <w:t>-</w:t>
      </w:r>
      <w:r w:rsidRPr="001F6DCE">
        <w:t xml:space="preserve">graduate and further continuous professional training to healthcare professionals in Moldova. The University </w:t>
      </w:r>
      <w:r w:rsidR="00316808" w:rsidRPr="001F6DCE">
        <w:t>together with the Ministry of Health</w:t>
      </w:r>
      <w:r w:rsidR="0019029F" w:rsidRPr="001F6DCE">
        <w:t>, Labour and Social Protection</w:t>
      </w:r>
      <w:r w:rsidR="00316808" w:rsidRPr="001F6DCE">
        <w:t xml:space="preserve"> are the founders of the School for Public Health that provides continuous training for health workers. Most of professors and resident students of the Medical University exercise medical practice in the clinical and</w:t>
      </w:r>
      <w:r w:rsidRPr="001F6DCE">
        <w:t xml:space="preserve"> research </w:t>
      </w:r>
      <w:r w:rsidR="00316808" w:rsidRPr="001F6DCE">
        <w:t xml:space="preserve">departments established under tertiary </w:t>
      </w:r>
      <w:r w:rsidR="0019029F" w:rsidRPr="001F6DCE">
        <w:t xml:space="preserve">and secondary </w:t>
      </w:r>
      <w:r w:rsidR="00316808" w:rsidRPr="001F6DCE">
        <w:t xml:space="preserve">healthcare institutions </w:t>
      </w:r>
      <w:r w:rsidR="0019029F" w:rsidRPr="001F6DCE">
        <w:t xml:space="preserve">in Chisinau Municipality </w:t>
      </w:r>
      <w:r w:rsidR="00316808" w:rsidRPr="001F6DCE">
        <w:t xml:space="preserve">thus contributing to a stronger linkage between the network of health professionals and academic society. </w:t>
      </w:r>
      <w:r w:rsidR="00025B28" w:rsidRPr="001F6DCE">
        <w:t xml:space="preserve">Furthermore, </w:t>
      </w:r>
      <w:r w:rsidR="00316808" w:rsidRPr="001F6DCE">
        <w:t xml:space="preserve">University </w:t>
      </w:r>
      <w:r w:rsidR="00025B28" w:rsidRPr="001F6DCE">
        <w:t>professors are part of specialised expert committees established under the Ministry of Health</w:t>
      </w:r>
      <w:r w:rsidR="005120B8" w:rsidRPr="001F6DCE">
        <w:t>, Labour and Social Protection</w:t>
      </w:r>
      <w:r w:rsidR="00025B28" w:rsidRPr="001F6DCE">
        <w:t xml:space="preserve">.  </w:t>
      </w:r>
    </w:p>
    <w:p w14:paraId="664952E7" w14:textId="77777777" w:rsidR="00455266" w:rsidRPr="001F6DCE" w:rsidRDefault="00455266" w:rsidP="00A23190">
      <w:pPr>
        <w:pStyle w:val="ListParagraph"/>
        <w:ind w:left="0"/>
        <w:jc w:val="both"/>
      </w:pPr>
    </w:p>
    <w:p w14:paraId="6B45AE5A" w14:textId="382008EC" w:rsidR="00E47715" w:rsidRPr="001F6DCE" w:rsidRDefault="00E47715" w:rsidP="005C41CF">
      <w:pPr>
        <w:pStyle w:val="ListParagraph"/>
        <w:numPr>
          <w:ilvl w:val="0"/>
          <w:numId w:val="16"/>
        </w:numPr>
        <w:ind w:left="0" w:firstLine="0"/>
        <w:jc w:val="both"/>
      </w:pPr>
      <w:r w:rsidRPr="001F6DCE">
        <w:rPr>
          <w:i/>
        </w:rPr>
        <w:t xml:space="preserve">School for </w:t>
      </w:r>
      <w:r w:rsidR="00455266" w:rsidRPr="001F6DCE">
        <w:rPr>
          <w:i/>
        </w:rPr>
        <w:t>Public Health</w:t>
      </w:r>
      <w:r w:rsidR="00455266" w:rsidRPr="001F6DCE">
        <w:t xml:space="preserve"> </w:t>
      </w:r>
      <w:r w:rsidR="00164275" w:rsidRPr="001F6DCE">
        <w:rPr>
          <w:i/>
        </w:rPr>
        <w:t>Management</w:t>
      </w:r>
      <w:r w:rsidR="00164275" w:rsidRPr="001F6DCE">
        <w:t xml:space="preserve"> </w:t>
      </w:r>
      <w:r w:rsidRPr="001F6DCE">
        <w:t xml:space="preserve">is public institution under the Medical University co-founded by the </w:t>
      </w:r>
      <w:proofErr w:type="spellStart"/>
      <w:r w:rsidRPr="001F6DCE">
        <w:t>MoHLSP</w:t>
      </w:r>
      <w:proofErr w:type="spellEnd"/>
      <w:r w:rsidRPr="001F6DCE">
        <w:t xml:space="preserve"> which provides post-graduate training to healthcare professionals. Small part of its activities also </w:t>
      </w:r>
      <w:r w:rsidR="00164275" w:rsidRPr="001F6DCE">
        <w:t>pertains</w:t>
      </w:r>
      <w:r w:rsidRPr="001F6DCE">
        <w:t xml:space="preserve"> to </w:t>
      </w:r>
      <w:r w:rsidR="00164275" w:rsidRPr="001F6DCE">
        <w:t xml:space="preserve">conducting </w:t>
      </w:r>
      <w:r w:rsidRPr="001F6DCE">
        <w:t>research</w:t>
      </w:r>
      <w:r w:rsidR="00164275" w:rsidRPr="001F6DCE">
        <w:t>,</w:t>
      </w:r>
      <w:r w:rsidRPr="001F6DCE">
        <w:t xml:space="preserve"> </w:t>
      </w:r>
      <w:r w:rsidR="00164275" w:rsidRPr="001F6DCE">
        <w:t xml:space="preserve">epidemiology studies and sociology surveys in the field of public health. </w:t>
      </w:r>
    </w:p>
    <w:p w14:paraId="71B20715" w14:textId="1B23F578" w:rsidR="00760802" w:rsidRPr="001F6DCE" w:rsidRDefault="00760802" w:rsidP="00A23190">
      <w:pPr>
        <w:pStyle w:val="ListParagraph"/>
        <w:ind w:left="0"/>
        <w:jc w:val="both"/>
      </w:pPr>
    </w:p>
    <w:p w14:paraId="55C69BC6" w14:textId="77777777" w:rsidR="00760802" w:rsidRPr="001F6DCE" w:rsidRDefault="00760802" w:rsidP="00C35E6D">
      <w:pPr>
        <w:pStyle w:val="ListParagraph"/>
        <w:ind w:left="0"/>
        <w:jc w:val="both"/>
        <w:rPr>
          <w:b/>
          <w:i/>
        </w:rPr>
      </w:pPr>
      <w:r w:rsidRPr="001F6DCE">
        <w:rPr>
          <w:b/>
          <w:i/>
        </w:rPr>
        <w:t xml:space="preserve">Organizations representing patients/consumers </w:t>
      </w:r>
    </w:p>
    <w:p w14:paraId="3F52F18B" w14:textId="77777777" w:rsidR="00760802" w:rsidRPr="001F6DCE" w:rsidRDefault="00760802" w:rsidP="00A04983">
      <w:pPr>
        <w:jc w:val="both"/>
        <w:rPr>
          <w:b/>
        </w:rPr>
      </w:pPr>
    </w:p>
    <w:p w14:paraId="6C092993" w14:textId="65ECBB75" w:rsidR="003F1B8A" w:rsidRPr="001F6DCE" w:rsidRDefault="00760802" w:rsidP="003F1B8A">
      <w:pPr>
        <w:pStyle w:val="ListParagraph"/>
        <w:numPr>
          <w:ilvl w:val="0"/>
          <w:numId w:val="16"/>
        </w:numPr>
        <w:ind w:left="0" w:firstLine="0"/>
        <w:jc w:val="both"/>
      </w:pPr>
      <w:r w:rsidRPr="001F6DCE">
        <w:lastRenderedPageBreak/>
        <w:t xml:space="preserve">There are some organizations representing patients’ interests in the Republic of Moldova. Most are active in the field of chronic and rare diseases, such as </w:t>
      </w:r>
      <w:r w:rsidR="00E478DC" w:rsidRPr="001F6DCE">
        <w:t xml:space="preserve">blindness, </w:t>
      </w:r>
      <w:r w:rsidRPr="001F6DCE">
        <w:t xml:space="preserve">diabetes, arthritis, haemophilia, cystic fibrosis, phenylketonuria and others. </w:t>
      </w:r>
    </w:p>
    <w:p w14:paraId="368CE291" w14:textId="77777777" w:rsidR="003F1B8A" w:rsidRPr="001F6DCE" w:rsidRDefault="003F1B8A" w:rsidP="003F1B8A">
      <w:pPr>
        <w:pStyle w:val="ListParagraph"/>
        <w:ind w:left="0"/>
        <w:jc w:val="both"/>
      </w:pPr>
    </w:p>
    <w:p w14:paraId="4E461811" w14:textId="3D25E841" w:rsidR="00E478DC" w:rsidRPr="001F6DCE" w:rsidRDefault="00760802" w:rsidP="00367B86">
      <w:pPr>
        <w:pStyle w:val="ListParagraph"/>
        <w:numPr>
          <w:ilvl w:val="0"/>
          <w:numId w:val="16"/>
        </w:numPr>
        <w:ind w:left="0" w:firstLine="0"/>
        <w:jc w:val="both"/>
      </w:pPr>
      <w:r w:rsidRPr="001F6DCE">
        <w:t>There are also organizations promoting access to information and protecting the rights of patients and disabled people, but these are mostly oriented around services for people living with HIV, TB or mental illness. The focus and results of their activities depend heavily on the individuals leading them and on the financial resources available – most of which come from international partners.</w:t>
      </w:r>
      <w:r w:rsidR="00E478DC" w:rsidRPr="001F6DCE">
        <w:t xml:space="preserve"> In addition, the lack of regulatory framework and sound accountability mechanism of healthcare providers for medical </w:t>
      </w:r>
      <w:proofErr w:type="spellStart"/>
      <w:r w:rsidR="00E478DC" w:rsidRPr="001F6DCE">
        <w:t>malpraxis</w:t>
      </w:r>
      <w:proofErr w:type="spellEnd"/>
      <w:r w:rsidR="00E478DC" w:rsidRPr="001F6DCE">
        <w:t xml:space="preserve"> does not </w:t>
      </w:r>
      <w:proofErr w:type="gramStart"/>
      <w:r w:rsidR="00E478DC" w:rsidRPr="001F6DCE">
        <w:t>favours</w:t>
      </w:r>
      <w:proofErr w:type="gramEnd"/>
      <w:r w:rsidR="00E478DC" w:rsidRPr="001F6DCE">
        <w:t xml:space="preserve"> development of patient rights advocacy. </w:t>
      </w:r>
    </w:p>
    <w:p w14:paraId="0AF53419" w14:textId="77777777" w:rsidR="004D5B6C" w:rsidRPr="001F6DCE" w:rsidRDefault="004D5B6C" w:rsidP="00A04983">
      <w:pPr>
        <w:jc w:val="both"/>
        <w:rPr>
          <w:b/>
        </w:rPr>
      </w:pPr>
    </w:p>
    <w:p w14:paraId="7BDC6158" w14:textId="77777777" w:rsidR="00C74C59" w:rsidRPr="001F6DCE" w:rsidRDefault="00C74C59" w:rsidP="00C35E6D">
      <w:pPr>
        <w:pStyle w:val="ListParagraph"/>
        <w:ind w:left="0"/>
        <w:jc w:val="both"/>
        <w:rPr>
          <w:b/>
          <w:i/>
        </w:rPr>
      </w:pPr>
      <w:r w:rsidRPr="001F6DCE">
        <w:rPr>
          <w:b/>
          <w:i/>
        </w:rPr>
        <w:t xml:space="preserve">Professional and providers’ associations </w:t>
      </w:r>
    </w:p>
    <w:p w14:paraId="508F6AFF" w14:textId="77777777" w:rsidR="00CD6F97" w:rsidRPr="001F6DCE" w:rsidRDefault="00CD6F97" w:rsidP="00A04983">
      <w:pPr>
        <w:jc w:val="both"/>
        <w:rPr>
          <w:b/>
        </w:rPr>
      </w:pPr>
    </w:p>
    <w:p w14:paraId="2908A68F" w14:textId="77777777" w:rsidR="000430DC" w:rsidRPr="001F6DCE" w:rsidRDefault="00F7697D" w:rsidP="003F1B8A">
      <w:pPr>
        <w:pStyle w:val="ListParagraph"/>
        <w:numPr>
          <w:ilvl w:val="0"/>
          <w:numId w:val="16"/>
        </w:numPr>
        <w:ind w:left="0" w:firstLine="0"/>
        <w:jc w:val="both"/>
      </w:pPr>
      <w:r w:rsidRPr="001F6DCE">
        <w:t>T</w:t>
      </w:r>
      <w:r w:rsidR="00C74C59" w:rsidRPr="001F6DCE">
        <w:t xml:space="preserve">he </w:t>
      </w:r>
      <w:r w:rsidR="00C74C59" w:rsidRPr="001F6DCE">
        <w:rPr>
          <w:i/>
        </w:rPr>
        <w:t xml:space="preserve">Association of Nursing of the Republic of </w:t>
      </w:r>
      <w:proofErr w:type="gramStart"/>
      <w:r w:rsidR="00C74C59" w:rsidRPr="001F6DCE">
        <w:rPr>
          <w:i/>
        </w:rPr>
        <w:t>Moldova</w:t>
      </w:r>
      <w:r w:rsidR="00C74C59" w:rsidRPr="001F6DCE">
        <w:t>,</w:t>
      </w:r>
      <w:proofErr w:type="gramEnd"/>
      <w:r w:rsidR="00C74C59" w:rsidRPr="001F6DCE">
        <w:t xml:space="preserve"> </w:t>
      </w:r>
      <w:r w:rsidRPr="001F6DCE">
        <w:t xml:space="preserve">is the most active professional association </w:t>
      </w:r>
      <w:r w:rsidR="00C74C59" w:rsidRPr="001F6DCE">
        <w:t>which represents nurses from different fields: paediatric nursing, oncology, psychiatry, community nursing and others. The association was founded in 1994 and has 34 branches across the whole country. Since 1997, it has been a member of the WHO European Forum of Nursing</w:t>
      </w:r>
      <w:r w:rsidR="000430DC" w:rsidRPr="001F6DCE">
        <w:t xml:space="preserve"> Associations. </w:t>
      </w:r>
    </w:p>
    <w:p w14:paraId="4BEA8155" w14:textId="77777777" w:rsidR="00027E22" w:rsidRPr="001F6DCE" w:rsidRDefault="00027E22" w:rsidP="003F1B8A">
      <w:pPr>
        <w:pStyle w:val="ListParagraph"/>
        <w:ind w:left="0"/>
        <w:jc w:val="both"/>
      </w:pPr>
    </w:p>
    <w:p w14:paraId="7E707B5B" w14:textId="40032186" w:rsidR="00F7697D" w:rsidRPr="001F6DCE" w:rsidRDefault="000430DC" w:rsidP="003F1B8A">
      <w:pPr>
        <w:pStyle w:val="ListParagraph"/>
        <w:numPr>
          <w:ilvl w:val="0"/>
          <w:numId w:val="16"/>
        </w:numPr>
        <w:ind w:left="0" w:firstLine="0"/>
        <w:jc w:val="both"/>
      </w:pPr>
      <w:r w:rsidRPr="001F6DCE">
        <w:t xml:space="preserve">The </w:t>
      </w:r>
      <w:r w:rsidRPr="001F6DCE">
        <w:rPr>
          <w:i/>
        </w:rPr>
        <w:t>League of</w:t>
      </w:r>
      <w:r w:rsidRPr="001F6DCE">
        <w:t xml:space="preserve"> </w:t>
      </w:r>
      <w:r w:rsidRPr="001F6DCE">
        <w:rPr>
          <w:i/>
        </w:rPr>
        <w:t>Doctors of the Republic of Moldova</w:t>
      </w:r>
      <w:r w:rsidRPr="001F6DCE">
        <w:t xml:space="preserve"> was created in 1999 and aims to protect the professional interests of doctors and to define the criteria for fulfilling clinical functions. The League has a delegated member in the Administrative Council of the NHI</w:t>
      </w:r>
      <w:r w:rsidR="008B4423" w:rsidRPr="001F6DCE">
        <w:t>F</w:t>
      </w:r>
      <w:r w:rsidRPr="001F6DCE">
        <w:t xml:space="preserve">. </w:t>
      </w:r>
    </w:p>
    <w:p w14:paraId="2954BF06" w14:textId="77777777" w:rsidR="004D1A37" w:rsidRPr="001F6DCE" w:rsidRDefault="004D1A37" w:rsidP="00A23190">
      <w:pPr>
        <w:pStyle w:val="ListParagraph"/>
      </w:pPr>
    </w:p>
    <w:p w14:paraId="7FE47130" w14:textId="0FE81531" w:rsidR="000430DC" w:rsidRPr="001F6DCE" w:rsidRDefault="000430DC" w:rsidP="003F1B8A">
      <w:pPr>
        <w:pStyle w:val="ListParagraph"/>
        <w:numPr>
          <w:ilvl w:val="0"/>
          <w:numId w:val="16"/>
        </w:numPr>
        <w:ind w:left="0" w:firstLine="0"/>
        <w:jc w:val="both"/>
      </w:pPr>
      <w:r w:rsidRPr="001F6DCE">
        <w:t xml:space="preserve">There are also specialized associations for family medicine, surgery, oncology, psychiatry and </w:t>
      </w:r>
      <w:proofErr w:type="spellStart"/>
      <w:r w:rsidRPr="001F6DCE">
        <w:t>narcology</w:t>
      </w:r>
      <w:proofErr w:type="spellEnd"/>
      <w:r w:rsidRPr="001F6DCE">
        <w:t xml:space="preserve">, </w:t>
      </w:r>
      <w:r w:rsidR="00DC4F5A" w:rsidRPr="001F6DCE">
        <w:t>rheumatology, orthopaedics and traumatology, ophthalmolog</w:t>
      </w:r>
      <w:r w:rsidRPr="001F6DCE">
        <w:t xml:space="preserve">y, </w:t>
      </w:r>
      <w:r w:rsidR="00FB3292" w:rsidRPr="001F6DCE">
        <w:t xml:space="preserve">hepatology </w:t>
      </w:r>
      <w:r w:rsidRPr="001F6DCE">
        <w:t xml:space="preserve">and so on. The ability of such organizations to promote members’ interests and the participation of these bodies in decision-making processes depends heavily on how active the leadership of the association is and on the financial means available to them. </w:t>
      </w:r>
    </w:p>
    <w:p w14:paraId="79D732DF" w14:textId="77777777" w:rsidR="00027E22" w:rsidRPr="001F6DCE" w:rsidRDefault="00027E22" w:rsidP="00367B86">
      <w:pPr>
        <w:pStyle w:val="ListParagraph"/>
        <w:ind w:left="0"/>
        <w:jc w:val="both"/>
      </w:pPr>
    </w:p>
    <w:p w14:paraId="084018A0" w14:textId="5A2CE5FD" w:rsidR="00FA79E6" w:rsidRPr="001F6DCE" w:rsidRDefault="00FA79E6" w:rsidP="00367B86">
      <w:pPr>
        <w:pStyle w:val="ListParagraph"/>
        <w:numPr>
          <w:ilvl w:val="0"/>
          <w:numId w:val="16"/>
        </w:numPr>
        <w:ind w:left="0" w:firstLine="0"/>
        <w:jc w:val="both"/>
      </w:pPr>
      <w:r w:rsidRPr="001F6DCE">
        <w:t xml:space="preserve">In </w:t>
      </w:r>
      <w:r w:rsidR="00EB73DC" w:rsidRPr="001F6DCE">
        <w:t>November 2013,</w:t>
      </w:r>
      <w:r w:rsidRPr="001F6DCE">
        <w:t xml:space="preserve"> the Parliament approved </w:t>
      </w:r>
      <w:r w:rsidR="00CD6578" w:rsidRPr="001F6DCE">
        <w:t>the</w:t>
      </w:r>
      <w:r w:rsidRPr="001F6DCE">
        <w:t xml:space="preserve"> Law on the est</w:t>
      </w:r>
      <w:r w:rsidR="00DA048A" w:rsidRPr="001F6DCE">
        <w:t>ablishment of Medical Collegium</w:t>
      </w:r>
      <w:r w:rsidR="00EB73DC" w:rsidRPr="001F6DCE">
        <w:t xml:space="preserve"> to be enforced since January 1, 2014</w:t>
      </w:r>
      <w:r w:rsidR="00DA048A" w:rsidRPr="001F6DCE">
        <w:t xml:space="preserve">. </w:t>
      </w:r>
      <w:r w:rsidR="00EB73DC" w:rsidRPr="001F6DCE">
        <w:t xml:space="preserve">However, since the </w:t>
      </w:r>
      <w:r w:rsidR="00DB5E0A" w:rsidRPr="001F6DCE">
        <w:t>Law provide</w:t>
      </w:r>
      <w:r w:rsidR="008B4423" w:rsidRPr="001F6DCE">
        <w:t>d</w:t>
      </w:r>
      <w:r w:rsidR="00DB5E0A" w:rsidRPr="001F6DCE">
        <w:t xml:space="preserve"> for some </w:t>
      </w:r>
      <w:r w:rsidR="00CD6578" w:rsidRPr="001F6DCE">
        <w:t>controversi</w:t>
      </w:r>
      <w:r w:rsidR="004D5B6C" w:rsidRPr="001F6DCE">
        <w:t>e</w:t>
      </w:r>
      <w:r w:rsidR="00CD6578" w:rsidRPr="001F6DCE">
        <w:t>s and overlap</w:t>
      </w:r>
      <w:r w:rsidR="008B4423" w:rsidRPr="001F6DCE">
        <w:t>ped</w:t>
      </w:r>
      <w:r w:rsidR="00CD6578" w:rsidRPr="001F6DCE">
        <w:t xml:space="preserve"> in terms of delegated functions, such as exercising the responsibilities of some</w:t>
      </w:r>
      <w:r w:rsidR="00DB5E0A" w:rsidRPr="001F6DCE">
        <w:t xml:space="preserve"> </w:t>
      </w:r>
      <w:r w:rsidR="00CD6578" w:rsidRPr="001F6DCE">
        <w:t>public institutions</w:t>
      </w:r>
      <w:r w:rsidR="00DB5E0A" w:rsidRPr="001F6DCE">
        <w:t xml:space="preserve"> </w:t>
      </w:r>
      <w:r w:rsidR="00CD6578" w:rsidRPr="001F6DCE">
        <w:t xml:space="preserve">(e.g. </w:t>
      </w:r>
      <w:r w:rsidR="00DB5E0A" w:rsidRPr="001F6DCE">
        <w:t>the National Council for Evaluation and Accreditation in Health</w:t>
      </w:r>
      <w:r w:rsidR="00CD6578" w:rsidRPr="001F6DCE">
        <w:t>, Ministry of Health</w:t>
      </w:r>
      <w:r w:rsidR="00192378" w:rsidRPr="001F6DCE">
        <w:t>, Labour and Social Protection</w:t>
      </w:r>
      <w:r w:rsidR="00CD6578" w:rsidRPr="001F6DCE">
        <w:t>)</w:t>
      </w:r>
      <w:r w:rsidR="00DB5E0A" w:rsidRPr="001F6DCE">
        <w:t xml:space="preserve">, </w:t>
      </w:r>
      <w:r w:rsidR="00EB73DC" w:rsidRPr="001F6DCE">
        <w:t>and/</w:t>
      </w:r>
      <w:r w:rsidR="00CD6578" w:rsidRPr="001F6DCE">
        <w:t>or duplicating functions of other professional associations</w:t>
      </w:r>
      <w:r w:rsidR="00EB73DC" w:rsidRPr="001F6DCE">
        <w:t>, it was subsequently abrogated</w:t>
      </w:r>
      <w:r w:rsidR="00CD6578" w:rsidRPr="001F6DCE">
        <w:t xml:space="preserve">. </w:t>
      </w:r>
    </w:p>
    <w:p w14:paraId="1DFD63F4" w14:textId="77777777" w:rsidR="00DA048A" w:rsidRPr="001F6DCE" w:rsidRDefault="00DA048A" w:rsidP="003F1B8A">
      <w:pPr>
        <w:pStyle w:val="ListParagraph"/>
        <w:ind w:left="0"/>
        <w:jc w:val="both"/>
      </w:pPr>
    </w:p>
    <w:p w14:paraId="1CF05977" w14:textId="07801280" w:rsidR="00DC4F5A" w:rsidRPr="001F6DCE" w:rsidRDefault="000430DC" w:rsidP="003F1B8A">
      <w:pPr>
        <w:pStyle w:val="ListParagraph"/>
        <w:numPr>
          <w:ilvl w:val="0"/>
          <w:numId w:val="16"/>
        </w:numPr>
        <w:ind w:left="0" w:firstLine="0"/>
        <w:jc w:val="both"/>
      </w:pPr>
      <w:r w:rsidRPr="001F6DCE">
        <w:t xml:space="preserve">The </w:t>
      </w:r>
      <w:r w:rsidR="00EB73DC" w:rsidRPr="001F6DCE">
        <w:t>“</w:t>
      </w:r>
      <w:proofErr w:type="spellStart"/>
      <w:r w:rsidRPr="001F6DCE">
        <w:rPr>
          <w:i/>
        </w:rPr>
        <w:t>Sanatatea</w:t>
      </w:r>
      <w:proofErr w:type="spellEnd"/>
      <w:r w:rsidR="00EB73DC" w:rsidRPr="001F6DCE">
        <w:t>”</w:t>
      </w:r>
      <w:r w:rsidRPr="001F6DCE">
        <w:t xml:space="preserve"> (the health trade union)</w:t>
      </w:r>
      <w:r w:rsidR="00EB73DC" w:rsidRPr="001F6DCE">
        <w:t xml:space="preserve"> is </w:t>
      </w:r>
      <w:r w:rsidRPr="001F6DCE">
        <w:t xml:space="preserve">a well-organized structure at national and local levels. </w:t>
      </w:r>
      <w:proofErr w:type="spellStart"/>
      <w:r w:rsidRPr="001F6DCE">
        <w:t>Sanatatea</w:t>
      </w:r>
      <w:proofErr w:type="spellEnd"/>
      <w:r w:rsidRPr="001F6DCE">
        <w:t xml:space="preserve"> plays an important role in protecting the rights of its members</w:t>
      </w:r>
      <w:r w:rsidR="00EB73DC" w:rsidRPr="001F6DCE">
        <w:t>,</w:t>
      </w:r>
      <w:r w:rsidRPr="001F6DCE">
        <w:t xml:space="preserve"> as well as promoting their working, professional, economic and social interests. </w:t>
      </w:r>
      <w:r w:rsidR="00EB73DC" w:rsidRPr="001F6DCE">
        <w:t>It also actively participates in policy dialogue process with central health authorities.</w:t>
      </w:r>
    </w:p>
    <w:p w14:paraId="7FE1F314" w14:textId="77777777" w:rsidR="00EB73DC" w:rsidRPr="001F6DCE" w:rsidRDefault="00EB73DC" w:rsidP="00367B86">
      <w:pPr>
        <w:pStyle w:val="ListParagraph"/>
        <w:ind w:left="0"/>
        <w:jc w:val="both"/>
      </w:pPr>
    </w:p>
    <w:p w14:paraId="72FF19D9" w14:textId="1E4B5D23" w:rsidR="008B4423" w:rsidRPr="001F6DCE" w:rsidRDefault="00EB73DC" w:rsidP="003F1B8A">
      <w:pPr>
        <w:pStyle w:val="ListParagraph"/>
        <w:numPr>
          <w:ilvl w:val="0"/>
          <w:numId w:val="16"/>
        </w:numPr>
        <w:ind w:left="0" w:firstLine="0"/>
        <w:jc w:val="both"/>
      </w:pPr>
      <w:r w:rsidRPr="001F6DCE">
        <w:t>In November 2014</w:t>
      </w:r>
      <w:r w:rsidR="00CC0A2A" w:rsidRPr="001F6DCE">
        <w:t>,</w:t>
      </w:r>
      <w:r w:rsidRPr="001F6DCE">
        <w:t xml:space="preserve"> the</w:t>
      </w:r>
      <w:r w:rsidR="008B17B3" w:rsidRPr="001F6DCE">
        <w:t xml:space="preserve">re was established an </w:t>
      </w:r>
      <w:r w:rsidR="008B17B3" w:rsidRPr="001F6DCE">
        <w:rPr>
          <w:i/>
        </w:rPr>
        <w:t>Association of Private Pharmaceutical and Healthcare Providers</w:t>
      </w:r>
      <w:r w:rsidR="005D278D" w:rsidRPr="001F6DCE">
        <w:rPr>
          <w:i/>
        </w:rPr>
        <w:t xml:space="preserve"> (APPHP)</w:t>
      </w:r>
      <w:r w:rsidR="008B17B3" w:rsidRPr="001F6DCE">
        <w:t xml:space="preserve"> composed of eight key largest private institutions, such as </w:t>
      </w:r>
      <w:proofErr w:type="spellStart"/>
      <w:r w:rsidR="008B17B3" w:rsidRPr="001F6DCE">
        <w:t>Esthetic</w:t>
      </w:r>
      <w:proofErr w:type="spellEnd"/>
      <w:r w:rsidR="008B17B3" w:rsidRPr="001F6DCE">
        <w:t xml:space="preserve"> Medicine Clinics „</w:t>
      </w:r>
      <w:proofErr w:type="spellStart"/>
      <w:r w:rsidR="008B17B3" w:rsidRPr="001F6DCE">
        <w:t>Sancos</w:t>
      </w:r>
      <w:proofErr w:type="spellEnd"/>
      <w:r w:rsidR="008B17B3" w:rsidRPr="001F6DCE">
        <w:t xml:space="preserve">", </w:t>
      </w:r>
      <w:proofErr w:type="spellStart"/>
      <w:r w:rsidR="008B17B3" w:rsidRPr="001F6DCE">
        <w:t>Stomatological</w:t>
      </w:r>
      <w:proofErr w:type="spellEnd"/>
      <w:r w:rsidR="008B17B3" w:rsidRPr="001F6DCE">
        <w:t xml:space="preserve"> Clinics „</w:t>
      </w:r>
      <w:proofErr w:type="spellStart"/>
      <w:r w:rsidR="008B17B3" w:rsidRPr="001F6DCE">
        <w:t>Fala</w:t>
      </w:r>
      <w:proofErr w:type="spellEnd"/>
      <w:r w:rsidR="008B17B3" w:rsidRPr="001F6DCE">
        <w:t xml:space="preserve"> Dental", International Hospital “</w:t>
      </w:r>
      <w:proofErr w:type="spellStart"/>
      <w:r w:rsidR="008B17B3" w:rsidRPr="001F6DCE">
        <w:t>Medpark</w:t>
      </w:r>
      <w:proofErr w:type="spellEnd"/>
      <w:r w:rsidR="008B17B3" w:rsidRPr="001F6DCE">
        <w:t>”, Medical Centre „Excellence", Medical Laboratory Centre „</w:t>
      </w:r>
      <w:proofErr w:type="spellStart"/>
      <w:r w:rsidR="008B17B3" w:rsidRPr="001F6DCE">
        <w:t>Eurolab</w:t>
      </w:r>
      <w:proofErr w:type="spellEnd"/>
      <w:r w:rsidR="008B17B3" w:rsidRPr="001F6DCE">
        <w:t xml:space="preserve">", Medical centre </w:t>
      </w:r>
      <w:r w:rsidR="008B17B3" w:rsidRPr="001F6DCE">
        <w:lastRenderedPageBreak/>
        <w:t>„</w:t>
      </w:r>
      <w:proofErr w:type="spellStart"/>
      <w:r w:rsidR="008B17B3" w:rsidRPr="001F6DCE">
        <w:t>Extramed</w:t>
      </w:r>
      <w:proofErr w:type="spellEnd"/>
      <w:r w:rsidR="008B17B3" w:rsidRPr="001F6DCE">
        <w:t>", German Diagnostic Centre and Medical centre „</w:t>
      </w:r>
      <w:proofErr w:type="spellStart"/>
      <w:r w:rsidR="008B17B3" w:rsidRPr="001F6DCE">
        <w:t>Magnific</w:t>
      </w:r>
      <w:proofErr w:type="spellEnd"/>
      <w:r w:rsidR="008B17B3" w:rsidRPr="001F6DCE">
        <w:t xml:space="preserve">". This association is a part of a European Union of Private Hospitals. Most of these medical institutions are contracted by CNAM for the provision of </w:t>
      </w:r>
      <w:r w:rsidR="00192378" w:rsidRPr="001F6DCE">
        <w:t>specific health</w:t>
      </w:r>
      <w:r w:rsidR="008B17B3" w:rsidRPr="001F6DCE">
        <w:t xml:space="preserve"> services under the MHI. </w:t>
      </w:r>
      <w:r w:rsidR="005D278D" w:rsidRPr="001F6DCE">
        <w:t xml:space="preserve">The </w:t>
      </w:r>
      <w:proofErr w:type="gramStart"/>
      <w:r w:rsidR="005D278D" w:rsidRPr="001F6DCE">
        <w:t>objectives of the APPHP is</w:t>
      </w:r>
      <w:proofErr w:type="gramEnd"/>
      <w:r w:rsidR="005D278D" w:rsidRPr="001F6DCE">
        <w:t xml:space="preserve"> to eliminate state monopoly for healthcare service provision, to facilitate private healthcare development and to promote implementation of public-private partnerships in health. </w:t>
      </w:r>
    </w:p>
    <w:p w14:paraId="09D3E4E5" w14:textId="77777777" w:rsidR="00192378" w:rsidRPr="001F6DCE" w:rsidRDefault="00192378" w:rsidP="00A23190">
      <w:pPr>
        <w:pStyle w:val="ListParagraph"/>
      </w:pPr>
    </w:p>
    <w:p w14:paraId="2C447BDF" w14:textId="45E62B5E" w:rsidR="00192378" w:rsidRPr="001F6DCE" w:rsidRDefault="00192378" w:rsidP="005C41CF">
      <w:pPr>
        <w:pStyle w:val="ListParagraph"/>
        <w:numPr>
          <w:ilvl w:val="0"/>
          <w:numId w:val="16"/>
        </w:numPr>
        <w:ind w:left="0" w:firstLine="0"/>
        <w:jc w:val="both"/>
      </w:pPr>
      <w:r w:rsidRPr="001F6DCE">
        <w:t xml:space="preserve">In 2017 the new </w:t>
      </w:r>
      <w:r w:rsidRPr="001F6DCE">
        <w:rPr>
          <w:i/>
        </w:rPr>
        <w:t>Association of Healthcare Professionals and Pharmacists</w:t>
      </w:r>
      <w:r w:rsidRPr="001F6DCE">
        <w:t xml:space="preserve"> was established composed originally of 29 founding members with key roles in the medical society represented by the chief sanitary doctor of Chisinau Municipality (Mrs L. </w:t>
      </w:r>
      <w:proofErr w:type="spellStart"/>
      <w:r w:rsidRPr="001F6DCE">
        <w:t>Suveica</w:t>
      </w:r>
      <w:proofErr w:type="spellEnd"/>
      <w:r w:rsidRPr="001F6DCE">
        <w:t xml:space="preserve">), chairperson of the association of diabetic patients (Mr B. </w:t>
      </w:r>
      <w:proofErr w:type="spellStart"/>
      <w:r w:rsidRPr="001F6DCE">
        <w:t>Golovin</w:t>
      </w:r>
      <w:proofErr w:type="spellEnd"/>
      <w:r w:rsidRPr="001F6DCE">
        <w:t xml:space="preserve">, Parliament Member), Director of the School for Public Health (Mr. O. </w:t>
      </w:r>
      <w:proofErr w:type="spellStart"/>
      <w:r w:rsidRPr="001F6DCE">
        <w:t>Lozan</w:t>
      </w:r>
      <w:proofErr w:type="spellEnd"/>
      <w:r w:rsidRPr="001F6DCE">
        <w:t xml:space="preserve">), Director of the Central Emergency Hospital (Mr. M. </w:t>
      </w:r>
      <w:proofErr w:type="spellStart"/>
      <w:r w:rsidRPr="001F6DCE">
        <w:t>Ciocanu</w:t>
      </w:r>
      <w:proofErr w:type="spellEnd"/>
      <w:r w:rsidRPr="001F6DCE">
        <w:t xml:space="preserve">), Director of private clinic “Galaxia” (Mr. V. </w:t>
      </w:r>
      <w:proofErr w:type="spellStart"/>
      <w:r w:rsidRPr="001F6DCE">
        <w:t>Maciuca</w:t>
      </w:r>
      <w:proofErr w:type="spellEnd"/>
      <w:r w:rsidRPr="001F6DCE">
        <w:t>), Director of private company distributing medical equipment “</w:t>
      </w:r>
      <w:proofErr w:type="spellStart"/>
      <w:r w:rsidRPr="001F6DCE">
        <w:t>Imunotehnomed</w:t>
      </w:r>
      <w:proofErr w:type="spellEnd"/>
      <w:r w:rsidRPr="001F6DCE">
        <w:t xml:space="preserve">” (Mr S. Rata), as well as a number of managers of tertiary and secondary healthcare institutions, public health centres and few healthcare professionals. The Association’s agenda is to contribute to the policy dialogue between Moldova’s Government and various healthcare associations on the key priority areas in health sector, such as outmigration of health professionals, </w:t>
      </w:r>
      <w:proofErr w:type="spellStart"/>
      <w:r w:rsidRPr="001F6DCE">
        <w:t>malpraxis</w:t>
      </w:r>
      <w:proofErr w:type="spellEnd"/>
      <w:r w:rsidRPr="001F6DCE">
        <w:t xml:space="preserve"> regulation, etc. </w:t>
      </w:r>
    </w:p>
    <w:p w14:paraId="4BA4EB31" w14:textId="77777777" w:rsidR="007A7D0C" w:rsidRPr="001F6DCE" w:rsidRDefault="007A7D0C" w:rsidP="00C35E6D">
      <w:pPr>
        <w:jc w:val="both"/>
      </w:pPr>
    </w:p>
    <w:p w14:paraId="10DFA326" w14:textId="77777777" w:rsidR="00760802" w:rsidRPr="001F6DCE" w:rsidRDefault="004D5B6C" w:rsidP="00C35E6D">
      <w:pPr>
        <w:jc w:val="both"/>
      </w:pPr>
      <w:r w:rsidRPr="001F6DCE">
        <w:rPr>
          <w:b/>
          <w:i/>
        </w:rPr>
        <w:t>Civil Society Organizations (</w:t>
      </w:r>
      <w:r w:rsidR="00760802" w:rsidRPr="001F6DCE">
        <w:rPr>
          <w:b/>
          <w:i/>
        </w:rPr>
        <w:t>CSOs</w:t>
      </w:r>
      <w:r w:rsidRPr="001F6DCE">
        <w:rPr>
          <w:b/>
          <w:i/>
        </w:rPr>
        <w:t>)</w:t>
      </w:r>
      <w:r w:rsidR="00760802" w:rsidRPr="001F6DCE">
        <w:rPr>
          <w:b/>
          <w:i/>
        </w:rPr>
        <w:t xml:space="preserve"> </w:t>
      </w:r>
    </w:p>
    <w:p w14:paraId="6E82B54E" w14:textId="77777777" w:rsidR="00760802" w:rsidRPr="001F6DCE" w:rsidRDefault="00760802" w:rsidP="00A04983">
      <w:pPr>
        <w:jc w:val="both"/>
        <w:rPr>
          <w:b/>
        </w:rPr>
      </w:pPr>
    </w:p>
    <w:p w14:paraId="27725CA3" w14:textId="4A7B63D9" w:rsidR="00760802" w:rsidRPr="001F6DCE" w:rsidRDefault="00760802" w:rsidP="003F1B8A">
      <w:pPr>
        <w:pStyle w:val="ListParagraph"/>
        <w:numPr>
          <w:ilvl w:val="0"/>
          <w:numId w:val="16"/>
        </w:numPr>
        <w:ind w:left="0" w:firstLine="0"/>
        <w:jc w:val="both"/>
      </w:pPr>
      <w:r w:rsidRPr="001F6DCE">
        <w:t>A network of CSOs is active in HIV/AIDS and TB control and in supporting children’s health, particularly for those with disabilities. CSOs are participa</w:t>
      </w:r>
      <w:r w:rsidR="004426C6" w:rsidRPr="001F6DCE">
        <w:t>ting</w:t>
      </w:r>
      <w:r w:rsidRPr="001F6DCE">
        <w:t xml:space="preserve"> in the development of health policy and their contribution to the development of partnerships with the civil society and in monitoring health reform is increasing. </w:t>
      </w:r>
    </w:p>
    <w:p w14:paraId="695890E2" w14:textId="77777777" w:rsidR="00025B28" w:rsidRPr="001F6DCE" w:rsidRDefault="00025B28" w:rsidP="003F1B8A">
      <w:pPr>
        <w:pStyle w:val="ListParagraph"/>
        <w:ind w:left="0"/>
        <w:jc w:val="both"/>
      </w:pPr>
    </w:p>
    <w:p w14:paraId="05BB2CBC" w14:textId="38A4D9AE" w:rsidR="00760802" w:rsidRPr="001F6DCE" w:rsidRDefault="00760802" w:rsidP="003F1B8A">
      <w:pPr>
        <w:pStyle w:val="ListParagraph"/>
        <w:numPr>
          <w:ilvl w:val="0"/>
          <w:numId w:val="16"/>
        </w:numPr>
        <w:ind w:left="0" w:firstLine="0"/>
        <w:jc w:val="both"/>
      </w:pPr>
      <w:r w:rsidRPr="001F6DCE">
        <w:t xml:space="preserve">There are some think tanks such as </w:t>
      </w:r>
      <w:r w:rsidR="00025B28" w:rsidRPr="001F6DCE">
        <w:t xml:space="preserve">Centre for </w:t>
      </w:r>
      <w:r w:rsidR="00232BD0" w:rsidRPr="001F6DCE">
        <w:t xml:space="preserve">Health </w:t>
      </w:r>
      <w:r w:rsidRPr="001F6DCE">
        <w:t xml:space="preserve">Policies and </w:t>
      </w:r>
      <w:r w:rsidR="00232BD0" w:rsidRPr="001F6DCE">
        <w:t>Studies</w:t>
      </w:r>
      <w:r w:rsidR="00025B28" w:rsidRPr="001F6DCE">
        <w:t xml:space="preserve"> (NGO PAS)</w:t>
      </w:r>
      <w:r w:rsidRPr="001F6DCE">
        <w:t xml:space="preserve"> </w:t>
      </w:r>
      <w:r w:rsidR="00232BD0" w:rsidRPr="001F6DCE">
        <w:t>and Centre for Strategic Policy and Analyses in Health</w:t>
      </w:r>
      <w:r w:rsidR="00232BD0" w:rsidRPr="001F6DCE" w:rsidDel="00025B28">
        <w:t xml:space="preserve"> </w:t>
      </w:r>
      <w:r w:rsidRPr="001F6DCE">
        <w:t xml:space="preserve">involved in advocacy for policy reforms and implementation of health outcomes monitoring, as well as generating knowledge on specific issues related to reform implementation. </w:t>
      </w:r>
      <w:r w:rsidR="001747BA" w:rsidRPr="001F6DCE">
        <w:t xml:space="preserve">However, given that sustainability of civil society organisations is largely dependent on external </w:t>
      </w:r>
      <w:proofErr w:type="gramStart"/>
      <w:r w:rsidR="001747BA" w:rsidRPr="001F6DCE">
        <w:t>financing,</w:t>
      </w:r>
      <w:proofErr w:type="gramEnd"/>
      <w:r w:rsidR="001747BA" w:rsidRPr="001F6DCE">
        <w:t xml:space="preserve"> their ability to participate actively in the dialogue between the citizens and policy-making auth</w:t>
      </w:r>
      <w:r w:rsidR="005733CA" w:rsidRPr="001F6DCE">
        <w:t>orities ha</w:t>
      </w:r>
      <w:r w:rsidR="001747BA" w:rsidRPr="001F6DCE">
        <w:t xml:space="preserve">s </w:t>
      </w:r>
      <w:r w:rsidR="005733CA" w:rsidRPr="001F6DCE">
        <w:t xml:space="preserve">been </w:t>
      </w:r>
      <w:r w:rsidR="001747BA" w:rsidRPr="001F6DCE">
        <w:t xml:space="preserve">limited. </w:t>
      </w:r>
      <w:r w:rsidR="005733CA" w:rsidRPr="001F6DCE">
        <w:t>In this context</w:t>
      </w:r>
      <w:r w:rsidR="001747BA" w:rsidRPr="001F6DCE">
        <w:t xml:space="preserve">, </w:t>
      </w:r>
      <w:r w:rsidR="00B049D4" w:rsidRPr="001F6DCE">
        <w:t>in</w:t>
      </w:r>
      <w:r w:rsidR="001747BA" w:rsidRPr="001F6DCE">
        <w:t xml:space="preserve"> 2016 the Parliament adopted </w:t>
      </w:r>
      <w:r w:rsidR="00EE2439" w:rsidRPr="001F6DCE">
        <w:t>changes to the legislation governing CSOs (</w:t>
      </w:r>
      <w:r w:rsidR="00EE2439" w:rsidRPr="001F6DCE">
        <w:rPr>
          <w:i/>
        </w:rPr>
        <w:t>Law no 837 dd. 17.05.1996</w:t>
      </w:r>
      <w:r w:rsidR="00EE2439" w:rsidRPr="001F6DCE">
        <w:t>) and approved the regulatory mechanism (</w:t>
      </w:r>
      <w:r w:rsidR="00EE2439" w:rsidRPr="001F6DCE">
        <w:rPr>
          <w:i/>
        </w:rPr>
        <w:t>Government Decision no. 1286 dd.  30.11.2016</w:t>
      </w:r>
      <w:r w:rsidR="00EE2439" w:rsidRPr="001F6DCE">
        <w:t>) to allow</w:t>
      </w:r>
      <w:r w:rsidR="001747BA" w:rsidRPr="001F6DCE">
        <w:t xml:space="preserve"> </w:t>
      </w:r>
      <w:r w:rsidR="0097292D" w:rsidRPr="001F6DCE">
        <w:t xml:space="preserve">citizens </w:t>
      </w:r>
      <w:r w:rsidR="00EE2439" w:rsidRPr="001F6DCE">
        <w:t xml:space="preserve">transferring 2% of their income tax to the </w:t>
      </w:r>
      <w:r w:rsidR="005733CA" w:rsidRPr="001F6DCE">
        <w:t xml:space="preserve">financial </w:t>
      </w:r>
      <w:r w:rsidR="00EE2439" w:rsidRPr="001F6DCE">
        <w:t xml:space="preserve">accounts of </w:t>
      </w:r>
      <w:r w:rsidR="005733CA" w:rsidRPr="001F6DCE">
        <w:t>not-for-profit organisations of their</w:t>
      </w:r>
      <w:r w:rsidR="00EE2439" w:rsidRPr="001F6DCE">
        <w:t xml:space="preserve"> </w:t>
      </w:r>
      <w:r w:rsidR="005733CA" w:rsidRPr="001F6DCE">
        <w:t>choice. As a result, in the three quarters of 2017 over 16 thousand citizens utilised this right and transferred the amount of 2.8mln MDL (approx. $163 thousand) in favour NGOs and religious associations</w:t>
      </w:r>
      <w:r w:rsidR="005733CA" w:rsidRPr="001F6DCE">
        <w:rPr>
          <w:rStyle w:val="FootnoteReference"/>
        </w:rPr>
        <w:footnoteReference w:id="8"/>
      </w:r>
      <w:r w:rsidR="005733CA" w:rsidRPr="001F6DCE">
        <w:t xml:space="preserve">. </w:t>
      </w:r>
    </w:p>
    <w:p w14:paraId="78AFDAB8" w14:textId="77777777" w:rsidR="00760802" w:rsidRPr="001F6DCE" w:rsidRDefault="00760802" w:rsidP="003F1B8A">
      <w:pPr>
        <w:pStyle w:val="ListParagraph"/>
        <w:ind w:left="0"/>
        <w:jc w:val="both"/>
      </w:pPr>
    </w:p>
    <w:p w14:paraId="0D66CE6A" w14:textId="77777777" w:rsidR="00760802" w:rsidRPr="001F6DCE" w:rsidRDefault="00760802" w:rsidP="003F1B8A">
      <w:pPr>
        <w:pStyle w:val="ListParagraph"/>
        <w:numPr>
          <w:ilvl w:val="0"/>
          <w:numId w:val="16"/>
        </w:numPr>
        <w:ind w:left="0" w:firstLine="0"/>
        <w:jc w:val="both"/>
      </w:pPr>
      <w:r w:rsidRPr="001F6DCE">
        <w:t>In addition, the media has an increasing role in raising awareness about the reform process, which greatly influences public opinion on reforms, particularly in rural areas. There are frequent TV programs or interviews on various problems related to health reforms.</w:t>
      </w:r>
    </w:p>
    <w:p w14:paraId="3C097EDE" w14:textId="77777777" w:rsidR="004D5B6C" w:rsidRPr="001F6DCE" w:rsidRDefault="004D5B6C" w:rsidP="00A04983">
      <w:pPr>
        <w:jc w:val="both"/>
        <w:rPr>
          <w:b/>
        </w:rPr>
      </w:pPr>
    </w:p>
    <w:p w14:paraId="5354D3A1" w14:textId="77777777" w:rsidR="008F539D" w:rsidRPr="001F6DCE" w:rsidRDefault="008F539D" w:rsidP="00C35E6D">
      <w:pPr>
        <w:pStyle w:val="ListParagraph"/>
        <w:ind w:left="0"/>
        <w:jc w:val="both"/>
        <w:rPr>
          <w:b/>
          <w:i/>
        </w:rPr>
      </w:pPr>
      <w:r w:rsidRPr="001F6DCE">
        <w:rPr>
          <w:b/>
          <w:i/>
        </w:rPr>
        <w:t xml:space="preserve">Private Healthcare Providers </w:t>
      </w:r>
    </w:p>
    <w:p w14:paraId="78479E2D" w14:textId="77777777" w:rsidR="00FB55F5" w:rsidRPr="001F6DCE" w:rsidRDefault="00FB55F5" w:rsidP="00A04983">
      <w:pPr>
        <w:jc w:val="both"/>
        <w:rPr>
          <w:b/>
        </w:rPr>
      </w:pPr>
    </w:p>
    <w:p w14:paraId="6E8C2A9E" w14:textId="7CCF3872" w:rsidR="00FB55F5" w:rsidRPr="001F6DCE" w:rsidRDefault="00F807F0" w:rsidP="003F1B8A">
      <w:pPr>
        <w:pStyle w:val="ListParagraph"/>
        <w:numPr>
          <w:ilvl w:val="0"/>
          <w:numId w:val="16"/>
        </w:numPr>
        <w:ind w:left="0" w:firstLine="0"/>
        <w:jc w:val="both"/>
      </w:pPr>
      <w:r w:rsidRPr="001F6DCE">
        <w:lastRenderedPageBreak/>
        <w:t xml:space="preserve">Since 2009 when national legislation eliminated barriers to attracting private investors in healthcare sector (e.g. adoption of a Law on public-private partnerships, </w:t>
      </w:r>
      <w:proofErr w:type="spellStart"/>
      <w:r w:rsidRPr="001F6DCE">
        <w:t>etc</w:t>
      </w:r>
      <w:proofErr w:type="spellEnd"/>
      <w:r w:rsidRPr="001F6DCE">
        <w:t>) the number of private healthcare providers has been steadily growing. Although private medical institutions are not participating in the mandatory health insurance scheme, CNAM is legally empowered to purchase health</w:t>
      </w:r>
      <w:r w:rsidR="00BD7DC3" w:rsidRPr="001F6DCE">
        <w:t>care</w:t>
      </w:r>
      <w:r w:rsidRPr="001F6DCE">
        <w:t xml:space="preserve"> services from </w:t>
      </w:r>
      <w:r w:rsidR="00BD7DC3" w:rsidRPr="001F6DCE">
        <w:t xml:space="preserve">the accredited </w:t>
      </w:r>
      <w:r w:rsidRPr="001F6DCE">
        <w:t xml:space="preserve">private </w:t>
      </w:r>
      <w:r w:rsidR="00BD7DC3" w:rsidRPr="001F6DCE">
        <w:t>providers</w:t>
      </w:r>
      <w:r w:rsidRPr="001F6DCE">
        <w:t xml:space="preserve"> using the same fee rates as for public hospitals. </w:t>
      </w:r>
      <w:r w:rsidR="002B4F21" w:rsidRPr="001F6DCE">
        <w:t xml:space="preserve">Currently the </w:t>
      </w:r>
      <w:r w:rsidR="0025769C" w:rsidRPr="001F6DCE">
        <w:t>range of healthcare services provided by private companies is</w:t>
      </w:r>
      <w:r w:rsidR="002B4F21" w:rsidRPr="001F6DCE">
        <w:t xml:space="preserve"> </w:t>
      </w:r>
      <w:r w:rsidR="0025769C" w:rsidRPr="001F6DCE">
        <w:t>limited mainly to</w:t>
      </w:r>
      <w:r w:rsidR="002B4F21" w:rsidRPr="001F6DCE">
        <w:t xml:space="preserve"> </w:t>
      </w:r>
      <w:r w:rsidR="0025769C" w:rsidRPr="001F6DCE">
        <w:t xml:space="preserve">ambulatory care, </w:t>
      </w:r>
      <w:r w:rsidR="002B4F21" w:rsidRPr="001F6DCE">
        <w:t xml:space="preserve">diagnostics and </w:t>
      </w:r>
      <w:r w:rsidR="0025769C" w:rsidRPr="001F6DCE">
        <w:t xml:space="preserve">pharmacies. </w:t>
      </w:r>
      <w:r w:rsidR="005D278D" w:rsidRPr="001F6DCE">
        <w:t xml:space="preserve">Since 2017, private healthcare providers were authorised to offer such highly specialised healthcare services as radiotherapy and chemotherapy. </w:t>
      </w:r>
      <w:r w:rsidR="00F92B0C" w:rsidRPr="001F6DCE">
        <w:t xml:space="preserve">Although being relatively small-size, many of private healthcare providers have strong linkages with public sector thus all together being in the ability to affect significantly healthcare policy pathways. </w:t>
      </w:r>
    </w:p>
    <w:p w14:paraId="124BDC6C" w14:textId="77777777" w:rsidR="00F92B0C" w:rsidRPr="001F6DCE" w:rsidRDefault="00F92B0C" w:rsidP="00A04983">
      <w:pPr>
        <w:jc w:val="both"/>
      </w:pPr>
    </w:p>
    <w:p w14:paraId="0353D9CE" w14:textId="77777777" w:rsidR="000430DC" w:rsidRPr="001F6DCE" w:rsidRDefault="00573823" w:rsidP="003F1B8A">
      <w:pPr>
        <w:pStyle w:val="ListParagraph"/>
        <w:numPr>
          <w:ilvl w:val="0"/>
          <w:numId w:val="19"/>
        </w:numPr>
        <w:ind w:hanging="720"/>
        <w:jc w:val="both"/>
        <w:rPr>
          <w:b/>
          <w:u w:val="single"/>
        </w:rPr>
      </w:pPr>
      <w:r w:rsidRPr="001F6DCE">
        <w:rPr>
          <w:b/>
        </w:rPr>
        <w:t>International Development P</w:t>
      </w:r>
      <w:r w:rsidR="000430DC" w:rsidRPr="001F6DCE">
        <w:rPr>
          <w:b/>
        </w:rPr>
        <w:t>artners</w:t>
      </w:r>
      <w:r w:rsidR="000430DC" w:rsidRPr="001F6DCE">
        <w:rPr>
          <w:b/>
          <w:u w:val="single"/>
        </w:rPr>
        <w:t xml:space="preserve"> </w:t>
      </w:r>
    </w:p>
    <w:p w14:paraId="42D75AA6" w14:textId="77777777" w:rsidR="000430DC" w:rsidRPr="001F6DCE" w:rsidRDefault="000430DC" w:rsidP="00A04983">
      <w:pPr>
        <w:jc w:val="both"/>
      </w:pPr>
    </w:p>
    <w:p w14:paraId="5ABD6F97" w14:textId="7AB25CF0" w:rsidR="00027E22" w:rsidRPr="001F6DCE" w:rsidRDefault="000430DC" w:rsidP="003F1B8A">
      <w:pPr>
        <w:pStyle w:val="ListParagraph"/>
        <w:numPr>
          <w:ilvl w:val="0"/>
          <w:numId w:val="16"/>
        </w:numPr>
        <w:ind w:left="0" w:firstLine="0"/>
        <w:jc w:val="both"/>
      </w:pPr>
      <w:r w:rsidRPr="001F6DCE">
        <w:t xml:space="preserve">There are </w:t>
      </w:r>
      <w:r w:rsidR="006041FC" w:rsidRPr="001F6DCE">
        <w:t xml:space="preserve">few </w:t>
      </w:r>
      <w:r w:rsidRPr="001F6DCE">
        <w:t xml:space="preserve">international organizations active in the health sector of the Republic of Moldova and their role was and is essential in the promotion and </w:t>
      </w:r>
      <w:r w:rsidR="006D0D10" w:rsidRPr="001F6DCE">
        <w:t>support of health system reform.</w:t>
      </w:r>
      <w:r w:rsidRPr="001F6DCE">
        <w:t xml:space="preserve"> </w:t>
      </w:r>
    </w:p>
    <w:p w14:paraId="306EEA2B" w14:textId="77777777" w:rsidR="003F1B8A" w:rsidRPr="001F6DCE" w:rsidRDefault="003F1B8A" w:rsidP="003F1B8A">
      <w:pPr>
        <w:pStyle w:val="ListParagraph"/>
        <w:ind w:left="0"/>
        <w:jc w:val="both"/>
      </w:pPr>
    </w:p>
    <w:p w14:paraId="3E187385" w14:textId="533BBA51" w:rsidR="00F32E3A" w:rsidRPr="001F6DCE" w:rsidRDefault="00F32E3A" w:rsidP="003F1B8A">
      <w:pPr>
        <w:pStyle w:val="ListParagraph"/>
        <w:numPr>
          <w:ilvl w:val="0"/>
          <w:numId w:val="16"/>
        </w:numPr>
        <w:ind w:left="0" w:firstLine="0"/>
        <w:jc w:val="both"/>
      </w:pPr>
      <w:r w:rsidRPr="001F6DCE">
        <w:rPr>
          <w:noProof/>
          <w:lang w:val="en-US" w:eastAsia="en-US"/>
        </w:rPr>
        <w:drawing>
          <wp:anchor distT="0" distB="0" distL="114300" distR="114300" simplePos="0" relativeHeight="251658240" behindDoc="0" locked="0" layoutInCell="1" allowOverlap="1" wp14:anchorId="0AB3D8C5" wp14:editId="2668B544">
            <wp:simplePos x="0" y="0"/>
            <wp:positionH relativeFrom="column">
              <wp:posOffset>2590800</wp:posOffset>
            </wp:positionH>
            <wp:positionV relativeFrom="paragraph">
              <wp:posOffset>311150</wp:posOffset>
            </wp:positionV>
            <wp:extent cx="3359150" cy="2038350"/>
            <wp:effectExtent l="0" t="0" r="12700" b="0"/>
            <wp:wrapSquare wrapText="bothSides"/>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77913A08-5476-413C-893A-AB6C685EC6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F63456" w:rsidRPr="001F6DCE">
        <w:t>In 201</w:t>
      </w:r>
      <w:r w:rsidR="00634470" w:rsidRPr="001F6DCE">
        <w:t>6</w:t>
      </w:r>
      <w:r w:rsidR="00F63456" w:rsidRPr="001F6DCE">
        <w:t>, Moldova received US$</w:t>
      </w:r>
      <w:r w:rsidRPr="001F6DCE">
        <w:t>30.6</w:t>
      </w:r>
      <w:r w:rsidR="006D0D10" w:rsidRPr="001F6DCE">
        <w:t xml:space="preserve"> million in official development assistance</w:t>
      </w:r>
      <w:r w:rsidR="006041FC" w:rsidRPr="001F6DCE">
        <w:t xml:space="preserve"> (ODA)</w:t>
      </w:r>
      <w:r w:rsidR="006D0D10" w:rsidRPr="001F6DCE">
        <w:t xml:space="preserve"> for health; of which, </w:t>
      </w:r>
      <w:r w:rsidR="007A754E" w:rsidRPr="001F6DCE">
        <w:t>29</w:t>
      </w:r>
      <w:r w:rsidR="006041FC" w:rsidRPr="001F6DCE">
        <w:t>%</w:t>
      </w:r>
      <w:r w:rsidR="00AB062A" w:rsidRPr="001F6DCE">
        <w:t xml:space="preserve"> percent</w:t>
      </w:r>
      <w:r w:rsidR="006D0D10" w:rsidRPr="001F6DCE">
        <w:t xml:space="preserve"> was in the form of </w:t>
      </w:r>
      <w:r w:rsidR="006041FC" w:rsidRPr="001F6DCE">
        <w:t>soft loans</w:t>
      </w:r>
      <w:r w:rsidR="006D0D10" w:rsidRPr="001F6DCE">
        <w:t xml:space="preserve">. </w:t>
      </w:r>
      <w:r w:rsidR="007A754E" w:rsidRPr="001F6DCE">
        <w:t>Approximately</w:t>
      </w:r>
      <w:r w:rsidR="006041FC" w:rsidRPr="001F6DCE">
        <w:t xml:space="preserve"> </w:t>
      </w:r>
      <w:r w:rsidR="007A754E" w:rsidRPr="001F6DCE">
        <w:t>36.4</w:t>
      </w:r>
      <w:r w:rsidR="006041FC" w:rsidRPr="001F6DCE">
        <w:t>% of total ODA was in the form of technical assistance</w:t>
      </w:r>
      <w:r w:rsidR="007A754E" w:rsidRPr="001F6DCE">
        <w:t xml:space="preserve"> (which represents slight decrease compared to 2015), </w:t>
      </w:r>
      <w:r w:rsidR="00FD5AD2" w:rsidRPr="001F6DCE">
        <w:t xml:space="preserve">while investment component </w:t>
      </w:r>
      <w:r w:rsidR="007A754E" w:rsidRPr="001F6DCE">
        <w:t xml:space="preserve">increased compared to 2015 </w:t>
      </w:r>
      <w:r w:rsidR="00FD5AD2" w:rsidRPr="001F6DCE">
        <w:t>reach</w:t>
      </w:r>
      <w:r w:rsidR="007A754E" w:rsidRPr="001F6DCE">
        <w:t>ing 5</w:t>
      </w:r>
      <w:r w:rsidR="00FD5AD2" w:rsidRPr="001F6DCE">
        <w:t>8</w:t>
      </w:r>
      <w:r w:rsidR="007A754E" w:rsidRPr="001F6DCE">
        <w:t>.2</w:t>
      </w:r>
      <w:r w:rsidR="00FD5AD2" w:rsidRPr="001F6DCE">
        <w:t xml:space="preserve">% from total donor support to health sector development. </w:t>
      </w:r>
    </w:p>
    <w:p w14:paraId="02475B15" w14:textId="6639EC2F" w:rsidR="00F32E3A" w:rsidRPr="001F6DCE" w:rsidRDefault="00F32E3A" w:rsidP="00A23190">
      <w:pPr>
        <w:pStyle w:val="ListParagraph"/>
      </w:pPr>
    </w:p>
    <w:p w14:paraId="2AED21F6" w14:textId="13F957C4" w:rsidR="00FD5AD2" w:rsidRPr="001F6DCE" w:rsidRDefault="00FD5AD2" w:rsidP="003F1B8A">
      <w:pPr>
        <w:pStyle w:val="ListParagraph"/>
        <w:numPr>
          <w:ilvl w:val="0"/>
          <w:numId w:val="16"/>
        </w:numPr>
        <w:ind w:left="0" w:firstLine="0"/>
        <w:jc w:val="both"/>
      </w:pPr>
      <w:r w:rsidRPr="001F6DCE">
        <w:t>In</w:t>
      </w:r>
      <w:r w:rsidR="00DF1028" w:rsidRPr="001F6DCE">
        <w:t xml:space="preserve"> the course of</w:t>
      </w:r>
      <w:r w:rsidR="00F32E3A" w:rsidRPr="001F6DCE">
        <w:t xml:space="preserve"> 2013-2016</w:t>
      </w:r>
      <w:r w:rsidRPr="001F6DCE">
        <w:t xml:space="preserve"> t</w:t>
      </w:r>
      <w:r w:rsidR="006D0D10" w:rsidRPr="001F6DCE">
        <w:t xml:space="preserve">he EU, </w:t>
      </w:r>
      <w:r w:rsidRPr="001F6DCE">
        <w:t>G</w:t>
      </w:r>
      <w:r w:rsidR="00DF1028" w:rsidRPr="001F6DCE">
        <w:t>lobal Fund</w:t>
      </w:r>
      <w:r w:rsidRPr="001F6DCE">
        <w:t xml:space="preserve">, </w:t>
      </w:r>
      <w:r w:rsidR="006D0D10" w:rsidRPr="001F6DCE">
        <w:t xml:space="preserve">WHO, World Bank, Swiss </w:t>
      </w:r>
      <w:r w:rsidR="00DF1028" w:rsidRPr="001F6DCE">
        <w:t xml:space="preserve">Agency for Cooperation and </w:t>
      </w:r>
      <w:r w:rsidR="006D0D10" w:rsidRPr="001F6DCE">
        <w:t xml:space="preserve">Development, Japan International Cooperation Agency (JICA) and </w:t>
      </w:r>
      <w:r w:rsidR="00DF1028" w:rsidRPr="001F6DCE">
        <w:t xml:space="preserve">the </w:t>
      </w:r>
      <w:r w:rsidR="006D0D10" w:rsidRPr="001F6DCE">
        <w:t xml:space="preserve">Government of Austria </w:t>
      </w:r>
      <w:r w:rsidRPr="001F6DCE">
        <w:t>we</w:t>
      </w:r>
      <w:r w:rsidR="006D0D10" w:rsidRPr="001F6DCE">
        <w:t>re the key development partners active in the health sectors.</w:t>
      </w:r>
      <w:r w:rsidR="00573823" w:rsidRPr="001F6DCE">
        <w:t xml:space="preserve"> </w:t>
      </w:r>
      <w:r w:rsidR="00F32E3A" w:rsidRPr="001F6DCE">
        <w:t xml:space="preserve">Two new bilateral donors, namely Czech and Norwegian Governments, offered support in the recent years. </w:t>
      </w:r>
      <w:r w:rsidRPr="001F6DCE">
        <w:t xml:space="preserve">However, with </w:t>
      </w:r>
      <w:r w:rsidR="00DF1028" w:rsidRPr="001F6DCE">
        <w:t xml:space="preserve">the EU and </w:t>
      </w:r>
      <w:r w:rsidRPr="001F6DCE">
        <w:t xml:space="preserve">Global Fund </w:t>
      </w:r>
      <w:r w:rsidR="00DF1028" w:rsidRPr="001F6DCE">
        <w:t xml:space="preserve">gradually withdrawing from providing further support to Moldova, the share of donor support went down significantly. </w:t>
      </w:r>
    </w:p>
    <w:p w14:paraId="11172B70" w14:textId="77777777" w:rsidR="00FD5AD2" w:rsidRPr="001F6DCE" w:rsidRDefault="00FD5AD2" w:rsidP="00EE2439">
      <w:pPr>
        <w:pStyle w:val="ListParagraph"/>
      </w:pPr>
    </w:p>
    <w:p w14:paraId="20075D21" w14:textId="004EFD56" w:rsidR="006D0D10" w:rsidRPr="001F6DCE" w:rsidRDefault="00DF1028" w:rsidP="00A23190">
      <w:pPr>
        <w:pStyle w:val="ListParagraph"/>
        <w:numPr>
          <w:ilvl w:val="0"/>
          <w:numId w:val="16"/>
        </w:numPr>
        <w:ind w:left="0" w:firstLine="0"/>
        <w:jc w:val="both"/>
      </w:pPr>
      <w:r w:rsidRPr="001F6DCE">
        <w:t>Currently the</w:t>
      </w:r>
      <w:r w:rsidR="00027E22" w:rsidRPr="001F6DCE">
        <w:t xml:space="preserve"> </w:t>
      </w:r>
      <w:r w:rsidRPr="001F6DCE">
        <w:t xml:space="preserve">key important </w:t>
      </w:r>
      <w:r w:rsidR="00027E22" w:rsidRPr="001F6DCE">
        <w:t>counterpart</w:t>
      </w:r>
      <w:r w:rsidRPr="001F6DCE">
        <w:t>s</w:t>
      </w:r>
      <w:r w:rsidR="00027E22" w:rsidRPr="001F6DCE">
        <w:t xml:space="preserve"> in the </w:t>
      </w:r>
      <w:r w:rsidR="00696D4B" w:rsidRPr="001F6DCE">
        <w:t xml:space="preserve">healthcare </w:t>
      </w:r>
      <w:r w:rsidR="00027E22" w:rsidRPr="001F6DCE">
        <w:t xml:space="preserve">reform process </w:t>
      </w:r>
      <w:r w:rsidRPr="001F6DCE">
        <w:t>are</w:t>
      </w:r>
      <w:r w:rsidR="00027E22" w:rsidRPr="001F6DCE">
        <w:t xml:space="preserve"> WHO</w:t>
      </w:r>
      <w:r w:rsidRPr="001F6DCE">
        <w:t xml:space="preserve"> and SDC </w:t>
      </w:r>
      <w:r w:rsidR="00696D4B" w:rsidRPr="001F6DCE">
        <w:t xml:space="preserve">both of which are supporting evidence-based policy-making process and policy dialogue. In addition, </w:t>
      </w:r>
      <w:r w:rsidR="00573823" w:rsidRPr="001F6DCE">
        <w:t xml:space="preserve">WHO has committed to </w:t>
      </w:r>
      <w:r w:rsidR="00027E22" w:rsidRPr="001F6DCE">
        <w:t>assist</w:t>
      </w:r>
      <w:r w:rsidR="00573823" w:rsidRPr="001F6DCE">
        <w:t xml:space="preserve"> the Republic of Moldova </w:t>
      </w:r>
      <w:r w:rsidR="00027E22" w:rsidRPr="001F6DCE">
        <w:t xml:space="preserve">in </w:t>
      </w:r>
      <w:r w:rsidR="00573823" w:rsidRPr="001F6DCE">
        <w:t>select</w:t>
      </w:r>
      <w:r w:rsidR="00027E22" w:rsidRPr="001F6DCE">
        <w:t>ing</w:t>
      </w:r>
      <w:r w:rsidR="00573823" w:rsidRPr="001F6DCE">
        <w:t xml:space="preserve"> and apply</w:t>
      </w:r>
      <w:r w:rsidR="00027E22" w:rsidRPr="001F6DCE">
        <w:t>ing</w:t>
      </w:r>
      <w:r w:rsidR="00573823" w:rsidRPr="001F6DCE">
        <w:t xml:space="preserve"> best practices and strategies of tobacco control at the country</w:t>
      </w:r>
      <w:r w:rsidR="00037DEB" w:rsidRPr="001F6DCE">
        <w:t xml:space="preserve"> </w:t>
      </w:r>
      <w:proofErr w:type="gramStart"/>
      <w:r w:rsidR="00573823" w:rsidRPr="001F6DCE">
        <w:t>level.</w:t>
      </w:r>
      <w:proofErr w:type="gramEnd"/>
      <w:r w:rsidR="00573823" w:rsidRPr="001F6DCE">
        <w:t xml:space="preserve"> </w:t>
      </w:r>
      <w:r w:rsidR="00EB40F0" w:rsidRPr="001F6DCE">
        <w:t xml:space="preserve">In recent years </w:t>
      </w:r>
      <w:r w:rsidR="00027E22" w:rsidRPr="001F6DCE">
        <w:t>WHO</w:t>
      </w:r>
      <w:r w:rsidR="00573823" w:rsidRPr="001F6DCE">
        <w:t xml:space="preserve"> </w:t>
      </w:r>
      <w:r w:rsidR="00EB40F0" w:rsidRPr="001F6DCE">
        <w:t xml:space="preserve">provided technical assistance to the Ministry of </w:t>
      </w:r>
      <w:proofErr w:type="gramStart"/>
      <w:r w:rsidR="00EB40F0" w:rsidRPr="001F6DCE">
        <w:t xml:space="preserve">Health </w:t>
      </w:r>
      <w:r w:rsidR="00573823" w:rsidRPr="001F6DCE">
        <w:t xml:space="preserve"> </w:t>
      </w:r>
      <w:r w:rsidR="00EB40F0" w:rsidRPr="001F6DCE">
        <w:t>in</w:t>
      </w:r>
      <w:proofErr w:type="gramEnd"/>
      <w:r w:rsidR="00EB40F0" w:rsidRPr="001F6DCE">
        <w:t xml:space="preserve"> the </w:t>
      </w:r>
      <w:r w:rsidR="00573823" w:rsidRPr="001F6DCE">
        <w:t>development of legal and policy frameworks</w:t>
      </w:r>
      <w:r w:rsidR="00EB40F0" w:rsidRPr="001F6DCE">
        <w:t xml:space="preserve"> on </w:t>
      </w:r>
      <w:r w:rsidR="00573823" w:rsidRPr="001F6DCE">
        <w:t>tobacco control.</w:t>
      </w:r>
    </w:p>
    <w:p w14:paraId="558C8B3C" w14:textId="77777777" w:rsidR="00731CAC" w:rsidRPr="001F6DCE" w:rsidRDefault="00731CAC" w:rsidP="003F1B8A">
      <w:pPr>
        <w:pStyle w:val="ListParagraph"/>
        <w:ind w:left="0"/>
        <w:jc w:val="both"/>
      </w:pPr>
    </w:p>
    <w:p w14:paraId="0BC66B3F" w14:textId="53F4ED7F" w:rsidR="005647E3" w:rsidRPr="001F6DCE" w:rsidRDefault="005647E3" w:rsidP="003F1B8A">
      <w:pPr>
        <w:pStyle w:val="ListParagraph"/>
        <w:numPr>
          <w:ilvl w:val="0"/>
          <w:numId w:val="16"/>
        </w:numPr>
        <w:ind w:left="0" w:firstLine="0"/>
        <w:jc w:val="both"/>
      </w:pPr>
      <w:r w:rsidRPr="001F6DCE">
        <w:lastRenderedPageBreak/>
        <w:t xml:space="preserve">The Bank’s team will continue its close collaboration with </w:t>
      </w:r>
      <w:r w:rsidR="00037DEB" w:rsidRPr="001F6DCE">
        <w:t xml:space="preserve">the </w:t>
      </w:r>
      <w:r w:rsidRPr="001F6DCE">
        <w:t>WHO</w:t>
      </w:r>
      <w:r w:rsidR="000637AC" w:rsidRPr="001F6DCE">
        <w:t>, SDC</w:t>
      </w:r>
      <w:r w:rsidRPr="001F6DCE">
        <w:t xml:space="preserve"> and other Development Partners active in the health sector to coordinate policy dialogue and TAs for the country. </w:t>
      </w:r>
    </w:p>
    <w:p w14:paraId="560CF952" w14:textId="77777777" w:rsidR="004D5B6C" w:rsidRPr="001F6DCE" w:rsidRDefault="004D5B6C" w:rsidP="00A04983">
      <w:pPr>
        <w:jc w:val="both"/>
        <w:rPr>
          <w:rFonts w:eastAsia="Calibri"/>
          <w:i/>
          <w:lang w:val="en-US"/>
        </w:rPr>
      </w:pPr>
    </w:p>
    <w:p w14:paraId="4AC5A9C9" w14:textId="77777777" w:rsidR="000755DA" w:rsidRPr="001F6DCE" w:rsidRDefault="003F1B8A" w:rsidP="003F1B8A">
      <w:pPr>
        <w:pStyle w:val="ListParagraph"/>
        <w:numPr>
          <w:ilvl w:val="0"/>
          <w:numId w:val="19"/>
        </w:numPr>
        <w:ind w:hanging="720"/>
        <w:jc w:val="both"/>
        <w:rPr>
          <w:b/>
        </w:rPr>
      </w:pPr>
      <w:r w:rsidRPr="001F6DCE">
        <w:rPr>
          <w:b/>
        </w:rPr>
        <w:t>Potential Environmental Risks</w:t>
      </w:r>
    </w:p>
    <w:p w14:paraId="1C0F6C8C" w14:textId="77777777" w:rsidR="004D5B6C" w:rsidRPr="001F6DCE" w:rsidRDefault="004D5B6C" w:rsidP="00A04983">
      <w:pPr>
        <w:jc w:val="both"/>
        <w:rPr>
          <w:b/>
          <w:u w:val="single"/>
        </w:rPr>
      </w:pPr>
    </w:p>
    <w:p w14:paraId="16C3F940" w14:textId="2514703C" w:rsidR="00A55415" w:rsidRPr="001F6DCE" w:rsidRDefault="000755DA" w:rsidP="00A04983">
      <w:pPr>
        <w:pStyle w:val="ListParagraph"/>
        <w:numPr>
          <w:ilvl w:val="0"/>
          <w:numId w:val="16"/>
        </w:numPr>
        <w:ind w:left="0" w:firstLine="0"/>
        <w:jc w:val="both"/>
        <w:rPr>
          <w:szCs w:val="24"/>
        </w:rPr>
      </w:pPr>
      <w:r w:rsidRPr="001F6DCE">
        <w:t xml:space="preserve">Potential </w:t>
      </w:r>
      <w:r w:rsidR="00086208" w:rsidRPr="001F6DCE">
        <w:rPr>
          <w:szCs w:val="24"/>
        </w:rPr>
        <w:t>adverse environmental effects of the Program might be indirectly generated by two subprograms - “Primary Care Services” and “In-patient Care”, and are likely to be related to the generation and management of (a) health care wastes (HCWs)</w:t>
      </w:r>
      <w:r w:rsidR="00086208" w:rsidRPr="001F6DCE">
        <w:rPr>
          <w:rStyle w:val="FootnoteReference"/>
          <w:szCs w:val="24"/>
        </w:rPr>
        <w:footnoteReference w:id="9"/>
      </w:r>
      <w:r w:rsidR="00086208" w:rsidRPr="001F6DCE">
        <w:rPr>
          <w:szCs w:val="24"/>
        </w:rPr>
        <w:t xml:space="preserve"> and pharmaceutical wastes (</w:t>
      </w:r>
      <w:proofErr w:type="spellStart"/>
      <w:r w:rsidR="00086208" w:rsidRPr="001F6DCE">
        <w:rPr>
          <w:szCs w:val="24"/>
        </w:rPr>
        <w:t>PhWs</w:t>
      </w:r>
      <w:proofErr w:type="spellEnd"/>
      <w:r w:rsidR="00086208" w:rsidRPr="001F6DCE">
        <w:rPr>
          <w:szCs w:val="24"/>
        </w:rPr>
        <w:t xml:space="preserve">), which would have impacts on population health and on the environment. As the </w:t>
      </w:r>
      <w:r w:rsidR="00102764" w:rsidRPr="001F6DCE">
        <w:rPr>
          <w:szCs w:val="24"/>
        </w:rPr>
        <w:t>P</w:t>
      </w:r>
      <w:r w:rsidR="00086208" w:rsidRPr="001F6DCE">
        <w:rPr>
          <w:szCs w:val="24"/>
        </w:rPr>
        <w:t xml:space="preserve">roject </w:t>
      </w:r>
      <w:r w:rsidR="00102764" w:rsidRPr="001F6DCE">
        <w:rPr>
          <w:szCs w:val="24"/>
        </w:rPr>
        <w:t xml:space="preserve">(through its IPF Component) </w:t>
      </w:r>
      <w:proofErr w:type="gramStart"/>
      <w:r w:rsidR="00102764" w:rsidRPr="001F6DCE">
        <w:rPr>
          <w:szCs w:val="24"/>
        </w:rPr>
        <w:t xml:space="preserve">does </w:t>
      </w:r>
      <w:r w:rsidR="00086208" w:rsidRPr="001F6DCE">
        <w:rPr>
          <w:szCs w:val="24"/>
        </w:rPr>
        <w:t xml:space="preserve"> not</w:t>
      </w:r>
      <w:proofErr w:type="gramEnd"/>
      <w:r w:rsidR="00086208" w:rsidRPr="001F6DCE">
        <w:rPr>
          <w:szCs w:val="24"/>
        </w:rPr>
        <w:t xml:space="preserve"> support any new investments in construction or rehabilitation of the Health Care Facilities (HCFs) as well as </w:t>
      </w:r>
      <w:r w:rsidR="005C755D" w:rsidRPr="001F6DCE">
        <w:rPr>
          <w:szCs w:val="24"/>
        </w:rPr>
        <w:t xml:space="preserve">does </w:t>
      </w:r>
      <w:r w:rsidR="00086208" w:rsidRPr="001F6DCE">
        <w:rPr>
          <w:szCs w:val="24"/>
        </w:rPr>
        <w:t>not result in reducing their number, conducted sector environmental assessment (EA) doesn’t include other environmental issues as sanitation, air emissions, energy conservation and potential impacts of civil works, as well as environmental legacy in the case of HCFs closing</w:t>
      </w:r>
      <w:r w:rsidR="007A19D7" w:rsidRPr="001F6DCE">
        <w:rPr>
          <w:szCs w:val="24"/>
        </w:rPr>
        <w:t xml:space="preserve"> and/or optimisation</w:t>
      </w:r>
      <w:r w:rsidR="00086208" w:rsidRPr="001F6DCE">
        <w:rPr>
          <w:szCs w:val="24"/>
        </w:rPr>
        <w:t>.</w:t>
      </w:r>
    </w:p>
    <w:p w14:paraId="773DBD2D" w14:textId="77777777" w:rsidR="00086208" w:rsidRPr="001F6DCE" w:rsidRDefault="00086208" w:rsidP="00086208">
      <w:pPr>
        <w:pStyle w:val="ListParagraph"/>
        <w:ind w:left="0"/>
        <w:jc w:val="both"/>
      </w:pPr>
    </w:p>
    <w:p w14:paraId="168F58A4" w14:textId="77777777" w:rsidR="000755DA" w:rsidRPr="001F6DCE" w:rsidRDefault="000755DA" w:rsidP="003F1B8A">
      <w:pPr>
        <w:pStyle w:val="ListParagraph"/>
        <w:numPr>
          <w:ilvl w:val="0"/>
          <w:numId w:val="19"/>
        </w:numPr>
        <w:ind w:hanging="720"/>
        <w:jc w:val="both"/>
        <w:rPr>
          <w:b/>
        </w:rPr>
      </w:pPr>
      <w:r w:rsidRPr="001F6DCE">
        <w:rPr>
          <w:b/>
        </w:rPr>
        <w:t>Health care waste management</w:t>
      </w:r>
    </w:p>
    <w:p w14:paraId="144857A2" w14:textId="77777777" w:rsidR="00A55415" w:rsidRPr="001F6DCE" w:rsidRDefault="00A55415" w:rsidP="00A04983">
      <w:pPr>
        <w:pStyle w:val="ListParagraph"/>
        <w:ind w:left="0"/>
        <w:jc w:val="both"/>
        <w:rPr>
          <w:i/>
        </w:rPr>
      </w:pPr>
    </w:p>
    <w:p w14:paraId="3656A357" w14:textId="57F1EAAE" w:rsidR="000755DA" w:rsidRPr="001F6DCE" w:rsidRDefault="000755DA" w:rsidP="003F1B8A">
      <w:pPr>
        <w:pStyle w:val="ListParagraph"/>
        <w:numPr>
          <w:ilvl w:val="0"/>
          <w:numId w:val="16"/>
        </w:numPr>
        <w:ind w:left="0" w:firstLine="0"/>
        <w:jc w:val="both"/>
      </w:pPr>
      <w:r w:rsidRPr="001F6DCE">
        <w:t xml:space="preserve">The scale of the problem. Based on available data </w:t>
      </w:r>
      <w:r w:rsidR="004D10D4" w:rsidRPr="001F6DCE">
        <w:t xml:space="preserve">over 90 </w:t>
      </w:r>
      <w:r w:rsidR="00AB062A" w:rsidRPr="001F6DCE">
        <w:t>percent</w:t>
      </w:r>
      <w:r w:rsidRPr="001F6DCE">
        <w:t xml:space="preserve"> of HCW (of a total of </w:t>
      </w:r>
      <w:r w:rsidR="004D10D4" w:rsidRPr="001F6DCE">
        <w:t>3</w:t>
      </w:r>
      <w:r w:rsidRPr="001F6DCE">
        <w:t>5.</w:t>
      </w:r>
      <w:r w:rsidR="004D10D4" w:rsidRPr="001F6DCE">
        <w:t>6</w:t>
      </w:r>
      <w:r w:rsidRPr="001F6DCE">
        <w:t xml:space="preserve"> th</w:t>
      </w:r>
      <w:r w:rsidR="0043316B" w:rsidRPr="001F6DCE">
        <w:t>ousand</w:t>
      </w:r>
      <w:r w:rsidRPr="001F6DCE">
        <w:t xml:space="preserve"> ton</w:t>
      </w:r>
      <w:r w:rsidR="00F0036A" w:rsidRPr="001F6DCE">
        <w:t>n</w:t>
      </w:r>
      <w:r w:rsidRPr="001F6DCE">
        <w:t>es) are similar to communal wastes</w:t>
      </w:r>
      <w:r w:rsidR="004D10D4" w:rsidRPr="001F6DCE">
        <w:t>,</w:t>
      </w:r>
      <w:r w:rsidRPr="001F6DCE">
        <w:t xml:space="preserve"> </w:t>
      </w:r>
      <w:r w:rsidR="004D10D4" w:rsidRPr="001F6DCE">
        <w:t>but</w:t>
      </w:r>
      <w:r w:rsidRPr="001F6DCE">
        <w:t xml:space="preserve"> only about </w:t>
      </w:r>
      <w:r w:rsidR="004D10D4" w:rsidRPr="001F6DCE">
        <w:t>890</w:t>
      </w:r>
      <w:r w:rsidRPr="001F6DCE">
        <w:t xml:space="preserve"> th</w:t>
      </w:r>
      <w:r w:rsidR="0043316B" w:rsidRPr="001F6DCE">
        <w:t>ousand</w:t>
      </w:r>
      <w:r w:rsidRPr="001F6DCE">
        <w:t xml:space="preserve"> tones are i</w:t>
      </w:r>
      <w:r w:rsidR="00F0036A" w:rsidRPr="001F6DCE">
        <w:t>nfectious</w:t>
      </w:r>
      <w:r w:rsidRPr="001F6DCE">
        <w:t>. Furthermore</w:t>
      </w:r>
      <w:r w:rsidR="005C755D" w:rsidRPr="001F6DCE">
        <w:t>,</w:t>
      </w:r>
      <w:r w:rsidRPr="001F6DCE">
        <w:t xml:space="preserve"> annually about </w:t>
      </w:r>
      <w:r w:rsidR="004D10D4" w:rsidRPr="001F6DCE">
        <w:t>120</w:t>
      </w:r>
      <w:r w:rsidRPr="001F6DCE">
        <w:t xml:space="preserve"> million of syringes and 6 million of perfusion systems are used in medical institutions in the country. </w:t>
      </w:r>
      <w:r w:rsidR="00FB36F5" w:rsidRPr="001F6DCE">
        <w:t xml:space="preserve">Besides, there is no integrated system for collection and incineration of syringes and perfusion systems. </w:t>
      </w:r>
      <w:r w:rsidRPr="001F6DCE">
        <w:t>These wastes are extremely harmful for the health of popu</w:t>
      </w:r>
      <w:r w:rsidR="00A55415" w:rsidRPr="001F6DCE">
        <w:t>lation and for the environment</w:t>
      </w:r>
      <w:r w:rsidR="004D10D4" w:rsidRPr="001F6DCE">
        <w:t xml:space="preserve"> as well</w:t>
      </w:r>
      <w:r w:rsidR="00A55415" w:rsidRPr="001F6DCE">
        <w:t>.</w:t>
      </w:r>
    </w:p>
    <w:p w14:paraId="34C51101" w14:textId="77777777" w:rsidR="00C35E6D" w:rsidRPr="001F6DCE" w:rsidRDefault="00C35E6D" w:rsidP="00C35E6D">
      <w:pPr>
        <w:pStyle w:val="ListParagraph"/>
        <w:ind w:left="0"/>
        <w:jc w:val="both"/>
      </w:pPr>
    </w:p>
    <w:p w14:paraId="072A2962" w14:textId="77777777" w:rsidR="001B11A0" w:rsidRPr="001F6DCE" w:rsidRDefault="000755DA" w:rsidP="003F1B8A">
      <w:pPr>
        <w:jc w:val="both"/>
        <w:rPr>
          <w:b/>
        </w:rPr>
      </w:pPr>
      <w:r w:rsidRPr="001F6DCE">
        <w:rPr>
          <w:b/>
          <w:i/>
        </w:rPr>
        <w:t>National policy with regard to HCW</w:t>
      </w:r>
    </w:p>
    <w:p w14:paraId="77825C28" w14:textId="77777777" w:rsidR="001B11A0" w:rsidRPr="001F6DCE" w:rsidRDefault="001B11A0" w:rsidP="00A04983">
      <w:pPr>
        <w:pStyle w:val="ListParagraph"/>
        <w:ind w:left="0"/>
        <w:jc w:val="both"/>
      </w:pPr>
    </w:p>
    <w:p w14:paraId="459DBD89" w14:textId="58DFD4CC" w:rsidR="00AF70FF" w:rsidRPr="001F6DCE" w:rsidRDefault="00AD2C44" w:rsidP="004D10D4">
      <w:pPr>
        <w:pStyle w:val="ListParagraph"/>
        <w:numPr>
          <w:ilvl w:val="0"/>
          <w:numId w:val="16"/>
        </w:numPr>
        <w:ind w:left="0" w:firstLine="0"/>
        <w:jc w:val="both"/>
      </w:pPr>
      <w:r w:rsidRPr="001F6DCE">
        <w:t>In recent years, t</w:t>
      </w:r>
      <w:r w:rsidR="000755DA" w:rsidRPr="001F6DCE">
        <w:t xml:space="preserve">he </w:t>
      </w:r>
      <w:proofErr w:type="spellStart"/>
      <w:r w:rsidR="00AB062A" w:rsidRPr="001F6DCE">
        <w:t>G</w:t>
      </w:r>
      <w:r w:rsidR="004B7582" w:rsidRPr="001F6DCE">
        <w:t>o</w:t>
      </w:r>
      <w:r w:rsidR="00AB062A" w:rsidRPr="001F6DCE">
        <w:t>M</w:t>
      </w:r>
      <w:proofErr w:type="spellEnd"/>
      <w:r w:rsidR="000755DA" w:rsidRPr="001F6DCE">
        <w:t xml:space="preserve"> and </w:t>
      </w:r>
      <w:proofErr w:type="spellStart"/>
      <w:r w:rsidR="00AB062A" w:rsidRPr="001F6DCE">
        <w:t>M</w:t>
      </w:r>
      <w:r w:rsidR="00D364AD" w:rsidRPr="001F6DCE">
        <w:t>oHLSP</w:t>
      </w:r>
      <w:proofErr w:type="spellEnd"/>
      <w:r w:rsidR="00D364AD" w:rsidRPr="001F6DCE">
        <w:t xml:space="preserve"> </w:t>
      </w:r>
      <w:r w:rsidR="000755DA" w:rsidRPr="001F6DCE">
        <w:t xml:space="preserve">being aware of the </w:t>
      </w:r>
      <w:r w:rsidRPr="001F6DCE">
        <w:t xml:space="preserve">pending </w:t>
      </w:r>
      <w:r w:rsidR="000755DA" w:rsidRPr="001F6DCE">
        <w:t xml:space="preserve">HCW problem </w:t>
      </w:r>
      <w:r w:rsidR="00A3618E" w:rsidRPr="001F6DCE">
        <w:t xml:space="preserve">undertook few measures </w:t>
      </w:r>
      <w:r w:rsidR="000755DA" w:rsidRPr="001F6DCE">
        <w:t xml:space="preserve">to improve the HCW Management (HCWM) and </w:t>
      </w:r>
      <w:r w:rsidR="00A3618E" w:rsidRPr="001F6DCE">
        <w:t xml:space="preserve">to </w:t>
      </w:r>
      <w:r w:rsidR="000755DA" w:rsidRPr="001F6DCE">
        <w:t xml:space="preserve">align it to the best international practices. </w:t>
      </w:r>
      <w:r w:rsidR="00A3618E" w:rsidRPr="001F6DCE">
        <w:t>To this end, i</w:t>
      </w:r>
      <w:r w:rsidR="00AF70FF" w:rsidRPr="001F6DCE">
        <w:t xml:space="preserve">n 2016 Moldova’s Parliament approved </w:t>
      </w:r>
      <w:r w:rsidR="00A3618E" w:rsidRPr="001F6DCE">
        <w:t xml:space="preserve">a </w:t>
      </w:r>
      <w:r w:rsidR="00AF70FF" w:rsidRPr="001F6DCE">
        <w:t xml:space="preserve">new Law on </w:t>
      </w:r>
      <w:r w:rsidR="00047286" w:rsidRPr="001F6DCE">
        <w:t>W</w:t>
      </w:r>
      <w:r w:rsidR="00AF70FF" w:rsidRPr="001F6DCE">
        <w:t>aste (Law No 209 dated 29.07.2016</w:t>
      </w:r>
      <w:r w:rsidR="00047286" w:rsidRPr="001F6DCE">
        <w:t xml:space="preserve"> came into effect on 23.12.2017</w:t>
      </w:r>
      <w:r w:rsidR="00272FF0" w:rsidRPr="001F6DCE">
        <w:rPr>
          <w:rStyle w:val="FootnoteReference"/>
        </w:rPr>
        <w:footnoteReference w:id="10"/>
      </w:r>
      <w:r w:rsidR="00AF70FF" w:rsidRPr="001F6DCE">
        <w:t>)</w:t>
      </w:r>
      <w:r w:rsidR="00047286" w:rsidRPr="001F6DCE">
        <w:t xml:space="preserve"> which replaced the old legislation on </w:t>
      </w:r>
      <w:r w:rsidR="004408A1" w:rsidRPr="001F6DCE">
        <w:t>industrial</w:t>
      </w:r>
      <w:r w:rsidR="005663C8" w:rsidRPr="001F6DCE">
        <w:t xml:space="preserve"> and </w:t>
      </w:r>
      <w:r w:rsidR="004408A1" w:rsidRPr="001F6DCE">
        <w:t>domestic</w:t>
      </w:r>
      <w:r w:rsidR="005663C8" w:rsidRPr="001F6DCE">
        <w:t xml:space="preserve"> waste </w:t>
      </w:r>
      <w:r w:rsidR="00A3618E" w:rsidRPr="001F6DCE">
        <w:t>of</w:t>
      </w:r>
      <w:r w:rsidR="00047286" w:rsidRPr="001F6DCE">
        <w:t xml:space="preserve"> 1997. </w:t>
      </w:r>
      <w:r w:rsidR="00A87624" w:rsidRPr="001F6DCE">
        <w:t xml:space="preserve">The new law provides for the overall regulatory framework for the </w:t>
      </w:r>
      <w:r w:rsidR="000C3EA8" w:rsidRPr="001F6DCE">
        <w:t xml:space="preserve">classification, </w:t>
      </w:r>
      <w:r w:rsidR="00A87624" w:rsidRPr="001F6DCE">
        <w:t>collection and treatment of all types of wastes, including infectious and hazardous waste as a result of medical activity</w:t>
      </w:r>
      <w:r w:rsidR="00692BB2" w:rsidRPr="001F6DCE">
        <w:t>, as well as obligations of legal and natural persons in terms of waste management</w:t>
      </w:r>
      <w:r w:rsidR="00A87624" w:rsidRPr="001F6DCE">
        <w:t xml:space="preserve">. </w:t>
      </w:r>
      <w:r w:rsidR="00FB36F5" w:rsidRPr="001F6DCE">
        <w:t>Ac</w:t>
      </w:r>
      <w:r w:rsidR="005D728C" w:rsidRPr="001F6DCE">
        <w:t>cording to this</w:t>
      </w:r>
      <w:r w:rsidR="00FB36F5" w:rsidRPr="001F6DCE">
        <w:t xml:space="preserve"> new legislation, </w:t>
      </w:r>
      <w:r w:rsidR="00976FFC" w:rsidRPr="001F6DCE">
        <w:t>in</w:t>
      </w:r>
      <w:r w:rsidR="00FB36F5" w:rsidRPr="001F6DCE">
        <w:t xml:space="preserve"> 2018 the </w:t>
      </w:r>
      <w:proofErr w:type="spellStart"/>
      <w:r w:rsidR="00FB36F5" w:rsidRPr="001F6DCE">
        <w:t>GoM</w:t>
      </w:r>
      <w:proofErr w:type="spellEnd"/>
      <w:r w:rsidR="00FB36F5" w:rsidRPr="001F6DCE">
        <w:t xml:space="preserve"> </w:t>
      </w:r>
      <w:r w:rsidR="005D728C" w:rsidRPr="001F6DCE">
        <w:t>shall</w:t>
      </w:r>
      <w:r w:rsidR="00FB36F5" w:rsidRPr="001F6DCE">
        <w:t xml:space="preserve"> </w:t>
      </w:r>
      <w:r w:rsidR="005D728C" w:rsidRPr="001F6DCE">
        <w:t xml:space="preserve">adjust all </w:t>
      </w:r>
      <w:r w:rsidR="00257675" w:rsidRPr="001F6DCE">
        <w:t xml:space="preserve">outdated </w:t>
      </w:r>
      <w:r w:rsidR="005D728C" w:rsidRPr="001F6DCE">
        <w:t>relevant regulatory framework</w:t>
      </w:r>
      <w:r w:rsidR="00257675" w:rsidRPr="001F6DCE">
        <w:t xml:space="preserve"> </w:t>
      </w:r>
      <w:r w:rsidR="005D728C" w:rsidRPr="001F6DCE">
        <w:t xml:space="preserve">in line with the provisions of the new Law on waste and to develop a national plan on waste management. </w:t>
      </w:r>
      <w:r w:rsidR="00C26B80" w:rsidRPr="001F6DCE">
        <w:t>T</w:t>
      </w:r>
      <w:r w:rsidR="00257675" w:rsidRPr="001F6DCE">
        <w:t>o this end, t</w:t>
      </w:r>
      <w:r w:rsidR="00C26B80" w:rsidRPr="001F6DCE">
        <w:t xml:space="preserve">he draft Regulation on the </w:t>
      </w:r>
      <w:r w:rsidR="00257675" w:rsidRPr="001F6DCE">
        <w:t xml:space="preserve">healthcare waste management is placed for public discussions and comments. </w:t>
      </w:r>
    </w:p>
    <w:p w14:paraId="4FABD723" w14:textId="77777777" w:rsidR="00A87624" w:rsidRPr="001F6DCE" w:rsidRDefault="00A87624" w:rsidP="00A23190">
      <w:pPr>
        <w:pStyle w:val="ListParagraph"/>
        <w:ind w:left="0"/>
        <w:jc w:val="both"/>
      </w:pPr>
    </w:p>
    <w:p w14:paraId="5F165647" w14:textId="30BB34CF" w:rsidR="000755DA" w:rsidRPr="001F6DCE" w:rsidRDefault="00DA441A" w:rsidP="005C41CF">
      <w:pPr>
        <w:pStyle w:val="ListParagraph"/>
        <w:numPr>
          <w:ilvl w:val="0"/>
          <w:numId w:val="16"/>
        </w:numPr>
        <w:ind w:left="0" w:firstLine="0"/>
        <w:jc w:val="both"/>
      </w:pPr>
      <w:r w:rsidRPr="001F6DCE">
        <w:t>T</w:t>
      </w:r>
      <w:r w:rsidR="00C8323C" w:rsidRPr="001F6DCE">
        <w:t xml:space="preserve">he Environment Strategy for 2014-2023 provides for an overall framework for integrated waste management and environmental protection and harmonisation of Moldova’s </w:t>
      </w:r>
      <w:r w:rsidR="0029366E" w:rsidRPr="001F6DCE">
        <w:t>legal</w:t>
      </w:r>
      <w:r w:rsidR="00C8323C" w:rsidRPr="001F6DCE">
        <w:t xml:space="preserve"> framework to the EU requirements. A</w:t>
      </w:r>
      <w:r w:rsidR="000755DA" w:rsidRPr="001F6DCE">
        <w:t>long with the necessary reg</w:t>
      </w:r>
      <w:r w:rsidR="00086208" w:rsidRPr="001F6DCE">
        <w:t>ulatory framework</w:t>
      </w:r>
      <w:r w:rsidR="000755DA" w:rsidRPr="001F6DCE">
        <w:t xml:space="preserve"> </w:t>
      </w:r>
      <w:r w:rsidR="004D10D4" w:rsidRPr="001F6DCE">
        <w:t xml:space="preserve">the </w:t>
      </w:r>
      <w:proofErr w:type="spellStart"/>
      <w:r w:rsidR="004D10D4" w:rsidRPr="001F6DCE">
        <w:lastRenderedPageBreak/>
        <w:t>GoM</w:t>
      </w:r>
      <w:proofErr w:type="spellEnd"/>
      <w:r w:rsidR="000755DA" w:rsidRPr="001F6DCE">
        <w:t xml:space="preserve"> adopted a series of National Strategies and Action Plans which direct</w:t>
      </w:r>
      <w:r w:rsidR="00F63456" w:rsidRPr="001F6DCE">
        <w:t>l</w:t>
      </w:r>
      <w:r w:rsidR="000755DA" w:rsidRPr="001F6DCE">
        <w:t xml:space="preserve">y relate to HCWM. </w:t>
      </w:r>
      <w:r w:rsidRPr="001F6DCE">
        <w:t xml:space="preserve">The </w:t>
      </w:r>
      <w:r w:rsidR="0029366E" w:rsidRPr="001F6DCE">
        <w:t>old</w:t>
      </w:r>
      <w:r w:rsidR="0008557B" w:rsidRPr="001F6DCE">
        <w:t xml:space="preserve"> </w:t>
      </w:r>
      <w:r w:rsidR="000755DA" w:rsidRPr="001F6DCE">
        <w:t xml:space="preserve">National Program for the </w:t>
      </w:r>
      <w:r w:rsidR="0043316B" w:rsidRPr="001F6DCE">
        <w:t>Valorisation</w:t>
      </w:r>
      <w:r w:rsidR="000755DA" w:rsidRPr="001F6DCE">
        <w:t xml:space="preserve"> of Industrial and Domestic Waste </w:t>
      </w:r>
      <w:r w:rsidRPr="001F6DCE">
        <w:t>(</w:t>
      </w:r>
      <w:r w:rsidR="000755DA" w:rsidRPr="001F6DCE">
        <w:t>2000</w:t>
      </w:r>
      <w:r w:rsidRPr="001F6DCE">
        <w:t xml:space="preserve">) </w:t>
      </w:r>
      <w:r w:rsidR="000755DA" w:rsidRPr="001F6DCE">
        <w:t>aimed at minimizing domestic waste generation and introduction of a recycling system</w:t>
      </w:r>
      <w:r w:rsidR="0029366E" w:rsidRPr="001F6DCE">
        <w:t>,</w:t>
      </w:r>
      <w:r w:rsidR="000755DA" w:rsidRPr="001F6DCE">
        <w:t xml:space="preserve"> </w:t>
      </w:r>
      <w:r w:rsidR="0029366E" w:rsidRPr="001F6DCE">
        <w:t>including</w:t>
      </w:r>
      <w:r w:rsidR="000755DA" w:rsidRPr="001F6DCE">
        <w:t xml:space="preserve"> </w:t>
      </w:r>
      <w:r w:rsidR="0029366E" w:rsidRPr="001F6DCE">
        <w:t>a section on healthcare waste management</w:t>
      </w:r>
      <w:r w:rsidR="000755DA" w:rsidRPr="001F6DCE">
        <w:t xml:space="preserve">, </w:t>
      </w:r>
      <w:r w:rsidR="0029366E" w:rsidRPr="001F6DCE">
        <w:t>was</w:t>
      </w:r>
      <w:r w:rsidR="004D10D4" w:rsidRPr="001F6DCE">
        <w:t xml:space="preserve"> </w:t>
      </w:r>
      <w:r w:rsidR="000755DA" w:rsidRPr="001F6DCE">
        <w:t xml:space="preserve">replaced by </w:t>
      </w:r>
      <w:r w:rsidR="0029366E" w:rsidRPr="001F6DCE">
        <w:t>the new</w:t>
      </w:r>
      <w:r w:rsidR="00783994" w:rsidRPr="001F6DCE">
        <w:t>, more complex</w:t>
      </w:r>
      <w:r w:rsidR="0029366E" w:rsidRPr="001F6DCE">
        <w:t xml:space="preserve"> National Strategy for Waste Management in the Republic of Moldova for 2013-2027</w:t>
      </w:r>
      <w:r w:rsidR="00783994" w:rsidRPr="001F6DCE">
        <w:t xml:space="preserve">, </w:t>
      </w:r>
      <w:r w:rsidR="008A6715" w:rsidRPr="001F6DCE">
        <w:t xml:space="preserve">which </w:t>
      </w:r>
      <w:r w:rsidR="00190A7B" w:rsidRPr="001F6DCE">
        <w:t>provides for the creation of eight integrated waste management regions</w:t>
      </w:r>
      <w:r w:rsidR="00783994" w:rsidRPr="001F6DCE">
        <w:t xml:space="preserve"> </w:t>
      </w:r>
      <w:r w:rsidR="008A6715" w:rsidRPr="001F6DCE">
        <w:rPr>
          <w:i/>
        </w:rPr>
        <w:t>inter alia</w:t>
      </w:r>
      <w:r w:rsidR="00783994" w:rsidRPr="001F6DCE">
        <w:t xml:space="preserve"> prioritising</w:t>
      </w:r>
      <w:r w:rsidR="008A6715" w:rsidRPr="001F6DCE">
        <w:t xml:space="preserve"> healthcare waste management</w:t>
      </w:r>
      <w:r w:rsidR="0029366E" w:rsidRPr="001F6DCE">
        <w:t>. B</w:t>
      </w:r>
      <w:r w:rsidR="000755DA" w:rsidRPr="001F6DCE">
        <w:t xml:space="preserve">ased on </w:t>
      </w:r>
      <w:r w:rsidR="0029366E" w:rsidRPr="001F6DCE">
        <w:t xml:space="preserve">this wider </w:t>
      </w:r>
      <w:r w:rsidR="008A6715" w:rsidRPr="001F6DCE">
        <w:t>S</w:t>
      </w:r>
      <w:r w:rsidR="0029366E" w:rsidRPr="001F6DCE">
        <w:t>trategy paper,</w:t>
      </w:r>
      <w:r w:rsidR="000755DA" w:rsidRPr="001F6DCE">
        <w:t xml:space="preserve"> the </w:t>
      </w:r>
      <w:proofErr w:type="spellStart"/>
      <w:r w:rsidR="00AB062A" w:rsidRPr="001F6DCE">
        <w:t>M</w:t>
      </w:r>
      <w:r w:rsidR="00A3618E" w:rsidRPr="001F6DCE">
        <w:t>o</w:t>
      </w:r>
      <w:r w:rsidR="00AB062A" w:rsidRPr="001F6DCE">
        <w:t>H</w:t>
      </w:r>
      <w:r w:rsidR="004408A1" w:rsidRPr="001F6DCE">
        <w:t>LSP</w:t>
      </w:r>
      <w:proofErr w:type="spellEnd"/>
      <w:r w:rsidR="000755DA" w:rsidRPr="001F6DCE">
        <w:t xml:space="preserve"> </w:t>
      </w:r>
      <w:r w:rsidR="0029366E" w:rsidRPr="001F6DCE">
        <w:t xml:space="preserve">adopted </w:t>
      </w:r>
      <w:r w:rsidR="008A6715" w:rsidRPr="001F6DCE">
        <w:t xml:space="preserve">its own </w:t>
      </w:r>
      <w:r w:rsidR="0029366E" w:rsidRPr="001F6DCE">
        <w:t>sectoral action plan</w:t>
      </w:r>
      <w:r w:rsidR="0029366E" w:rsidRPr="001F6DCE">
        <w:rPr>
          <w:rStyle w:val="FootnoteReference"/>
        </w:rPr>
        <w:footnoteReference w:id="11"/>
      </w:r>
      <w:r w:rsidR="008A6715" w:rsidRPr="001F6DCE">
        <w:t>. Furthermore, t</w:t>
      </w:r>
      <w:r w:rsidR="000755DA" w:rsidRPr="001F6DCE">
        <w:t xml:space="preserve">he main issues </w:t>
      </w:r>
      <w:r w:rsidR="008A6715" w:rsidRPr="001F6DCE">
        <w:t>related to management of healthcare wastes</w:t>
      </w:r>
      <w:r w:rsidR="000755DA" w:rsidRPr="001F6DCE">
        <w:t xml:space="preserve"> </w:t>
      </w:r>
      <w:r w:rsidR="004D10D4" w:rsidRPr="001F6DCE">
        <w:t>we</w:t>
      </w:r>
      <w:r w:rsidR="000755DA" w:rsidRPr="001F6DCE">
        <w:t>re specified in other adopted policy documents and</w:t>
      </w:r>
      <w:r w:rsidR="004D10D4" w:rsidRPr="001F6DCE">
        <w:t>,</w:t>
      </w:r>
      <w:r w:rsidR="000755DA" w:rsidRPr="001F6DCE">
        <w:t xml:space="preserve"> in particular</w:t>
      </w:r>
      <w:r w:rsidR="004D10D4" w:rsidRPr="001F6DCE">
        <w:t>,</w:t>
      </w:r>
      <w:r w:rsidR="000755DA" w:rsidRPr="001F6DCE">
        <w:t xml:space="preserve"> in the National Action Plan for </w:t>
      </w:r>
      <w:r w:rsidR="00FF5295" w:rsidRPr="001F6DCE">
        <w:t>Injection</w:t>
      </w:r>
      <w:r w:rsidR="00C80254" w:rsidRPr="001F6DCE">
        <w:t>s</w:t>
      </w:r>
      <w:r w:rsidR="000755DA" w:rsidRPr="001F6DCE">
        <w:t xml:space="preserve"> </w:t>
      </w:r>
      <w:r w:rsidR="00FF5295" w:rsidRPr="001F6DCE">
        <w:t>S</w:t>
      </w:r>
      <w:r w:rsidR="000755DA" w:rsidRPr="001F6DCE">
        <w:t>afety in the Republic of Moldova (2004-2010)</w:t>
      </w:r>
      <w:r w:rsidR="008A6715" w:rsidRPr="001F6DCE">
        <w:t xml:space="preserve"> which was subsequently embodied in the </w:t>
      </w:r>
      <w:r w:rsidR="005D728C" w:rsidRPr="001F6DCE">
        <w:t>Practical G</w:t>
      </w:r>
      <w:r w:rsidR="004D10D4" w:rsidRPr="001F6DCE">
        <w:t>u</w:t>
      </w:r>
      <w:r w:rsidR="005D728C" w:rsidRPr="001F6DCE">
        <w:t>idelines on Injections S</w:t>
      </w:r>
      <w:r w:rsidR="00FB36F5" w:rsidRPr="001F6DCE">
        <w:t>afety (</w:t>
      </w:r>
      <w:r w:rsidR="008A6715" w:rsidRPr="001F6DCE">
        <w:t xml:space="preserve">adopted </w:t>
      </w:r>
      <w:r w:rsidR="00FB36F5" w:rsidRPr="001F6DCE">
        <w:t xml:space="preserve">by </w:t>
      </w:r>
      <w:proofErr w:type="spellStart"/>
      <w:r w:rsidR="00FB36F5" w:rsidRPr="001F6DCE">
        <w:t>MoHLSP</w:t>
      </w:r>
      <w:proofErr w:type="spellEnd"/>
      <w:r w:rsidR="004D10D4" w:rsidRPr="001F6DCE">
        <w:t xml:space="preserve"> </w:t>
      </w:r>
      <w:r w:rsidR="00FB36F5" w:rsidRPr="001F6DCE">
        <w:t>Order</w:t>
      </w:r>
      <w:r w:rsidR="008A6715" w:rsidRPr="001F6DCE">
        <w:t xml:space="preserve"> in 2015</w:t>
      </w:r>
      <w:r w:rsidR="00FB36F5" w:rsidRPr="001F6DCE">
        <w:t xml:space="preserve">) </w:t>
      </w:r>
      <w:r w:rsidR="004D10D4" w:rsidRPr="001F6DCE">
        <w:t xml:space="preserve">to be applied by medical institutions and </w:t>
      </w:r>
      <w:r w:rsidR="008A6715" w:rsidRPr="001F6DCE">
        <w:t xml:space="preserve">to be used </w:t>
      </w:r>
      <w:r w:rsidR="004D10D4" w:rsidRPr="001F6DCE">
        <w:t>as manual for medical university students</w:t>
      </w:r>
      <w:r w:rsidR="004D10D4" w:rsidRPr="001F6DCE">
        <w:rPr>
          <w:rStyle w:val="FootnoteReference"/>
        </w:rPr>
        <w:footnoteReference w:id="12"/>
      </w:r>
      <w:r w:rsidR="004D10D4" w:rsidRPr="001F6DCE">
        <w:t xml:space="preserve">. </w:t>
      </w:r>
      <w:r w:rsidR="008A6715" w:rsidRPr="001F6DCE">
        <w:t>In particular</w:t>
      </w:r>
      <w:r w:rsidR="00305BFD" w:rsidRPr="001F6DCE">
        <w:t>, t</w:t>
      </w:r>
      <w:r w:rsidR="00114361" w:rsidRPr="001F6DCE">
        <w:t xml:space="preserve">his document </w:t>
      </w:r>
      <w:r w:rsidR="00FB36F5" w:rsidRPr="001F6DCE">
        <w:t>recommend</w:t>
      </w:r>
      <w:r w:rsidR="00305BFD" w:rsidRPr="001F6DCE">
        <w:t>s</w:t>
      </w:r>
      <w:r w:rsidR="00114361" w:rsidRPr="001F6DCE">
        <w:t xml:space="preserve"> how to </w:t>
      </w:r>
      <w:r w:rsidR="00FB36F5" w:rsidRPr="001F6DCE">
        <w:t xml:space="preserve">dispose and collect </w:t>
      </w:r>
      <w:r w:rsidR="00114361" w:rsidRPr="001F6DCE">
        <w:t>used syringes</w:t>
      </w:r>
      <w:r w:rsidR="00305BFD" w:rsidRPr="001F6DCE">
        <w:t xml:space="preserve"> and its parts</w:t>
      </w:r>
      <w:r w:rsidR="00114361" w:rsidRPr="001F6DCE">
        <w:t xml:space="preserve">. </w:t>
      </w:r>
      <w:r w:rsidR="005D77B3" w:rsidRPr="001F6DCE">
        <w:t xml:space="preserve">Healthcare Waste Management is also covered in the </w:t>
      </w:r>
      <w:r w:rsidR="005D77B3" w:rsidRPr="001F6DCE">
        <w:rPr>
          <w:i/>
        </w:rPr>
        <w:t>Guidelines for supervision and control of nosocomial infections</w:t>
      </w:r>
      <w:r w:rsidR="005D77B3" w:rsidRPr="001F6DCE">
        <w:rPr>
          <w:rStyle w:val="FootnoteReference"/>
          <w:i/>
        </w:rPr>
        <w:footnoteReference w:id="13"/>
      </w:r>
      <w:r w:rsidR="005D77B3" w:rsidRPr="001F6DCE">
        <w:t xml:space="preserve"> (2009) developed with the support from USAID and the US Millennium Challenge Fund. </w:t>
      </w:r>
    </w:p>
    <w:p w14:paraId="76F8C36C" w14:textId="77777777" w:rsidR="00C35E6D" w:rsidRPr="001F6DCE" w:rsidRDefault="00C35E6D" w:rsidP="00C35E6D">
      <w:pPr>
        <w:pStyle w:val="ListParagraph"/>
        <w:ind w:left="0"/>
        <w:jc w:val="both"/>
      </w:pPr>
    </w:p>
    <w:p w14:paraId="406DFA13" w14:textId="77777777" w:rsidR="001B11A0" w:rsidRPr="001F6DCE" w:rsidRDefault="000755DA" w:rsidP="003F1B8A">
      <w:pPr>
        <w:jc w:val="both"/>
        <w:rPr>
          <w:b/>
          <w:i/>
        </w:rPr>
      </w:pPr>
      <w:proofErr w:type="gramStart"/>
      <w:r w:rsidRPr="001F6DCE">
        <w:rPr>
          <w:b/>
          <w:i/>
        </w:rPr>
        <w:t>Local and HFs HCWM action plans.</w:t>
      </w:r>
      <w:proofErr w:type="gramEnd"/>
      <w:r w:rsidRPr="001F6DCE">
        <w:rPr>
          <w:b/>
          <w:i/>
        </w:rPr>
        <w:t xml:space="preserve"> </w:t>
      </w:r>
    </w:p>
    <w:p w14:paraId="561F7DD9" w14:textId="77777777" w:rsidR="001B11A0" w:rsidRPr="001F6DCE" w:rsidRDefault="001B11A0" w:rsidP="00A04983">
      <w:pPr>
        <w:pStyle w:val="ListParagraph"/>
        <w:ind w:left="0"/>
        <w:jc w:val="both"/>
        <w:rPr>
          <w:i/>
          <w:u w:val="single"/>
        </w:rPr>
      </w:pPr>
    </w:p>
    <w:p w14:paraId="112BCA99" w14:textId="56903BE9" w:rsidR="000755DA" w:rsidRPr="001F6DCE" w:rsidRDefault="000755DA" w:rsidP="00C74CE7">
      <w:pPr>
        <w:pStyle w:val="ListParagraph"/>
        <w:numPr>
          <w:ilvl w:val="0"/>
          <w:numId w:val="16"/>
        </w:numPr>
        <w:ind w:left="0" w:firstLine="0"/>
        <w:jc w:val="both"/>
      </w:pPr>
      <w:r w:rsidRPr="001F6DCE">
        <w:t xml:space="preserve">Based on mentioned above </w:t>
      </w:r>
      <w:proofErr w:type="spellStart"/>
      <w:r w:rsidR="00AB062A" w:rsidRPr="001F6DCE">
        <w:t>G</w:t>
      </w:r>
      <w:r w:rsidR="00A87624" w:rsidRPr="001F6DCE">
        <w:t>o</w:t>
      </w:r>
      <w:r w:rsidR="00AB062A" w:rsidRPr="001F6DCE">
        <w:t>M</w:t>
      </w:r>
      <w:proofErr w:type="spellEnd"/>
      <w:r w:rsidRPr="001F6DCE">
        <w:t xml:space="preserve"> Strategies and Action Plans</w:t>
      </w:r>
      <w:r w:rsidR="00EE4FCE" w:rsidRPr="001F6DCE">
        <w:t>,</w:t>
      </w:r>
      <w:r w:rsidRPr="001F6DCE">
        <w:t xml:space="preserve"> as well as per adopted in 2001 special Regulation on HCWM, the rayon and local medical institutions </w:t>
      </w:r>
      <w:r w:rsidR="00FF5295" w:rsidRPr="001F6DCE">
        <w:t xml:space="preserve">are responsible for the </w:t>
      </w:r>
      <w:r w:rsidRPr="001F6DCE">
        <w:t>develop</w:t>
      </w:r>
      <w:r w:rsidR="00FF5295" w:rsidRPr="001F6DCE">
        <w:t>ment of</w:t>
      </w:r>
      <w:r w:rsidRPr="001F6DCE">
        <w:t xml:space="preserve"> local action plans on HCWM. The last analysis done by the </w:t>
      </w:r>
      <w:proofErr w:type="spellStart"/>
      <w:r w:rsidR="00AB062A" w:rsidRPr="001F6DCE">
        <w:t>M</w:t>
      </w:r>
      <w:r w:rsidR="004408A1" w:rsidRPr="001F6DCE">
        <w:t>o</w:t>
      </w:r>
      <w:r w:rsidR="00AB062A" w:rsidRPr="001F6DCE">
        <w:t>H</w:t>
      </w:r>
      <w:r w:rsidR="004408A1" w:rsidRPr="001F6DCE">
        <w:t>LSP</w:t>
      </w:r>
      <w:proofErr w:type="spellEnd"/>
      <w:r w:rsidRPr="001F6DCE">
        <w:t xml:space="preserve"> in 2011 show</w:t>
      </w:r>
      <w:r w:rsidR="007A54C7" w:rsidRPr="001F6DCE">
        <w:t>s</w:t>
      </w:r>
      <w:r w:rsidRPr="001F6DCE">
        <w:t xml:space="preserve"> in most of the </w:t>
      </w:r>
      <w:proofErr w:type="spellStart"/>
      <w:r w:rsidRPr="001F6DCE">
        <w:t>r</w:t>
      </w:r>
      <w:r w:rsidR="00C80254" w:rsidRPr="001F6DCE">
        <w:t>a</w:t>
      </w:r>
      <w:r w:rsidRPr="001F6DCE">
        <w:t>yons</w:t>
      </w:r>
      <w:proofErr w:type="spellEnd"/>
      <w:r w:rsidRPr="001F6DCE">
        <w:t xml:space="preserve"> (27 out of 34) such program</w:t>
      </w:r>
      <w:r w:rsidR="007A54C7" w:rsidRPr="001F6DCE">
        <w:t>s</w:t>
      </w:r>
      <w:r w:rsidRPr="001F6DCE">
        <w:t xml:space="preserve"> have been developed. </w:t>
      </w:r>
      <w:r w:rsidR="00517860" w:rsidRPr="001F6DCE">
        <w:t xml:space="preserve">The key issues reflected in those action plans relate to dividing responsibilities and ensuring necessary segregation of produced HCWs. </w:t>
      </w:r>
      <w:r w:rsidRPr="001F6DCE">
        <w:t xml:space="preserve">At the same time, as it was presented at the </w:t>
      </w:r>
      <w:proofErr w:type="spellStart"/>
      <w:r w:rsidR="004408A1" w:rsidRPr="001F6DCE">
        <w:t>MoHLSP</w:t>
      </w:r>
      <w:proofErr w:type="spellEnd"/>
      <w:r w:rsidR="004408A1" w:rsidRPr="001F6DCE">
        <w:t xml:space="preserve"> </w:t>
      </w:r>
      <w:r w:rsidRPr="001F6DCE">
        <w:t xml:space="preserve">Board meeting in 2011, in terms of allocated financial resources for their implementation there are serious problems, - in most cases have been provided with just several thousand or ten thousand Moldovan Lei. </w:t>
      </w:r>
      <w:r w:rsidR="00517860" w:rsidRPr="001F6DCE">
        <w:rPr>
          <w:lang w:val="en-US"/>
        </w:rPr>
        <w:t xml:space="preserve">The funds allocated to manage healthcare waste generated by medical institutions amount to about 3,800 MDL on average per year and in the recent years this amount was roughly the same. </w:t>
      </w:r>
      <w:r w:rsidR="004408A1" w:rsidRPr="001F6DCE">
        <w:t>S</w:t>
      </w:r>
      <w:r w:rsidR="0008557B" w:rsidRPr="001F6DCE">
        <w:t>ince then, the situation remain</w:t>
      </w:r>
      <w:r w:rsidR="008A6715" w:rsidRPr="001F6DCE">
        <w:t>s</w:t>
      </w:r>
      <w:r w:rsidR="004408A1" w:rsidRPr="001F6DCE">
        <w:t xml:space="preserve"> at status quo</w:t>
      </w:r>
      <w:r w:rsidR="007A54C7" w:rsidRPr="001F6DCE">
        <w:t>.</w:t>
      </w:r>
      <w:r w:rsidR="00517860" w:rsidRPr="001F6DCE">
        <w:rPr>
          <w:lang w:val="en-US"/>
        </w:rPr>
        <w:t xml:space="preserve"> </w:t>
      </w:r>
    </w:p>
    <w:p w14:paraId="5807FE1D" w14:textId="77777777" w:rsidR="00A55415" w:rsidRPr="001F6DCE" w:rsidRDefault="00A55415" w:rsidP="003F1B8A">
      <w:pPr>
        <w:pStyle w:val="ListParagraph"/>
        <w:ind w:left="0"/>
        <w:jc w:val="both"/>
      </w:pPr>
    </w:p>
    <w:p w14:paraId="45AC70A8" w14:textId="54CE2841" w:rsidR="000755DA" w:rsidRPr="001F6DCE" w:rsidRDefault="000755DA" w:rsidP="00C74CE7">
      <w:pPr>
        <w:pStyle w:val="ListParagraph"/>
        <w:numPr>
          <w:ilvl w:val="0"/>
          <w:numId w:val="16"/>
        </w:numPr>
        <w:ind w:left="0" w:firstLine="0"/>
        <w:jc w:val="both"/>
      </w:pPr>
      <w:r w:rsidRPr="001F6DCE">
        <w:t xml:space="preserve">In January 2004, the Regional Office for Europe of the World Health Organization (WHO) supported the </w:t>
      </w:r>
      <w:proofErr w:type="spellStart"/>
      <w:r w:rsidR="00AB062A" w:rsidRPr="001F6DCE">
        <w:t>M</w:t>
      </w:r>
      <w:r w:rsidR="004408A1" w:rsidRPr="001F6DCE">
        <w:t>o</w:t>
      </w:r>
      <w:r w:rsidR="00AB062A" w:rsidRPr="001F6DCE">
        <w:t>H</w:t>
      </w:r>
      <w:r w:rsidR="004408A1" w:rsidRPr="001F6DCE">
        <w:t>LSP</w:t>
      </w:r>
      <w:proofErr w:type="spellEnd"/>
      <w:r w:rsidRPr="001F6DCE">
        <w:t xml:space="preserve"> to develop an integrated Health-Care Waste Management (HCWM) Plan for the Republic of Moldova. The document is a comprehensive one and contains a detailed analysis of the situation in the domain, including different aspects: regulatory framework, policies, existing practices, and identifying priority activities to be undertaken. While it contains for some activities the magnitude of their costs, it didn’t provide clear understanding of all associated expenditures. </w:t>
      </w:r>
      <w:r w:rsidR="002837F4" w:rsidRPr="001F6DCE">
        <w:t>S</w:t>
      </w:r>
      <w:r w:rsidR="00C10DEF" w:rsidRPr="001F6DCE">
        <w:t xml:space="preserve">ince 2010 </w:t>
      </w:r>
      <w:r w:rsidR="002837F4" w:rsidRPr="001F6DCE">
        <w:t xml:space="preserve">the </w:t>
      </w:r>
      <w:r w:rsidR="00C10DEF" w:rsidRPr="001F6DCE">
        <w:t xml:space="preserve">hospital network has been </w:t>
      </w:r>
      <w:r w:rsidR="002837F4" w:rsidRPr="001F6DCE">
        <w:t xml:space="preserve">identified as </w:t>
      </w:r>
      <w:r w:rsidR="00C10DEF" w:rsidRPr="001F6DCE">
        <w:t>priority area for optimisation and</w:t>
      </w:r>
      <w:r w:rsidR="002837F4" w:rsidRPr="001F6DCE">
        <w:t>,</w:t>
      </w:r>
      <w:r w:rsidR="00C10DEF" w:rsidRPr="001F6DCE">
        <w:t xml:space="preserve"> although </w:t>
      </w:r>
      <w:r w:rsidR="00A91887" w:rsidRPr="001F6DCE">
        <w:t>being idle</w:t>
      </w:r>
      <w:r w:rsidR="00C10DEF" w:rsidRPr="001F6DCE">
        <w:t xml:space="preserve"> </w:t>
      </w:r>
      <w:r w:rsidR="00CC7798" w:rsidRPr="001F6DCE">
        <w:t>since then</w:t>
      </w:r>
      <w:r w:rsidR="00C10DEF" w:rsidRPr="001F6DCE">
        <w:t xml:space="preserve">, it affected development of </w:t>
      </w:r>
      <w:r w:rsidR="00CC7798" w:rsidRPr="001F6DCE">
        <w:t xml:space="preserve">HCWM feasibility, particularly regarding the </w:t>
      </w:r>
      <w:r w:rsidR="00A91887" w:rsidRPr="001F6DCE">
        <w:t>projection</w:t>
      </w:r>
      <w:r w:rsidR="002837F4" w:rsidRPr="001F6DCE">
        <w:t xml:space="preserve"> of</w:t>
      </w:r>
      <w:r w:rsidR="00C10DEF" w:rsidRPr="001F6DCE">
        <w:t xml:space="preserve"> </w:t>
      </w:r>
      <w:r w:rsidR="00A91887" w:rsidRPr="001F6DCE">
        <w:t xml:space="preserve">HCW type and </w:t>
      </w:r>
      <w:r w:rsidR="00C10DEF" w:rsidRPr="001F6DCE">
        <w:t xml:space="preserve">capacity to be generated by the </w:t>
      </w:r>
      <w:r w:rsidR="00CC7798" w:rsidRPr="001F6DCE">
        <w:t>downsized hospital network</w:t>
      </w:r>
      <w:r w:rsidR="00C763E6" w:rsidRPr="001F6DCE">
        <w:t xml:space="preserve"> (</w:t>
      </w:r>
      <w:r w:rsidR="00C62D16" w:rsidRPr="001F6DCE">
        <w:t>e.g.</w:t>
      </w:r>
      <w:r w:rsidR="00C763E6" w:rsidRPr="001F6DCE">
        <w:t xml:space="preserve"> forecast for </w:t>
      </w:r>
      <w:r w:rsidR="00C62D16" w:rsidRPr="001F6DCE">
        <w:t xml:space="preserve">and types of </w:t>
      </w:r>
      <w:r w:rsidR="00C763E6" w:rsidRPr="001F6DCE">
        <w:t>waste production)</w:t>
      </w:r>
      <w:r w:rsidR="00CC7798" w:rsidRPr="001F6DCE">
        <w:t xml:space="preserve">. </w:t>
      </w:r>
      <w:r w:rsidRPr="001F6DCE">
        <w:t>Th</w:t>
      </w:r>
      <w:r w:rsidR="00CC7798" w:rsidRPr="001F6DCE">
        <w:t>ese</w:t>
      </w:r>
      <w:r w:rsidRPr="001F6DCE">
        <w:t xml:space="preserve"> w</w:t>
      </w:r>
      <w:r w:rsidR="00CC7798" w:rsidRPr="001F6DCE">
        <w:t>ere</w:t>
      </w:r>
      <w:r w:rsidRPr="001F6DCE">
        <w:t xml:space="preserve"> the </w:t>
      </w:r>
      <w:r w:rsidR="00CC7798" w:rsidRPr="001F6DCE">
        <w:t xml:space="preserve">main </w:t>
      </w:r>
      <w:r w:rsidRPr="001F6DCE">
        <w:t>reason</w:t>
      </w:r>
      <w:r w:rsidR="00CC7798" w:rsidRPr="001F6DCE">
        <w:t>s</w:t>
      </w:r>
      <w:r w:rsidRPr="001F6DCE">
        <w:t xml:space="preserve"> </w:t>
      </w:r>
      <w:r w:rsidR="00A91887" w:rsidRPr="001F6DCE">
        <w:t xml:space="preserve">of </w:t>
      </w:r>
      <w:r w:rsidRPr="001F6DCE">
        <w:t xml:space="preserve">why the document wasn’t officially approved by the </w:t>
      </w:r>
      <w:proofErr w:type="spellStart"/>
      <w:r w:rsidR="00AB062A" w:rsidRPr="001F6DCE">
        <w:t>G</w:t>
      </w:r>
      <w:r w:rsidR="004408A1" w:rsidRPr="001F6DCE">
        <w:t>o</w:t>
      </w:r>
      <w:r w:rsidR="00AB062A" w:rsidRPr="001F6DCE">
        <w:t>M</w:t>
      </w:r>
      <w:proofErr w:type="spellEnd"/>
      <w:r w:rsidRPr="001F6DCE">
        <w:t xml:space="preserve">. At </w:t>
      </w:r>
      <w:r w:rsidRPr="001F6DCE">
        <w:lastRenderedPageBreak/>
        <w:t>the same time</w:t>
      </w:r>
      <w:r w:rsidR="00CC7798" w:rsidRPr="001F6DCE">
        <w:t>,</w:t>
      </w:r>
      <w:r w:rsidRPr="001F6DCE">
        <w:t xml:space="preserve"> it is necessary to mention the main conclusions of the </w:t>
      </w:r>
      <w:r w:rsidR="00C62D16" w:rsidRPr="001F6DCE">
        <w:t xml:space="preserve">WHO-led </w:t>
      </w:r>
      <w:r w:rsidRPr="001F6DCE">
        <w:t>study and several proposed activities are still relevant to the current HCWM situation in the country.</w:t>
      </w:r>
      <w:r w:rsidR="004408A1" w:rsidRPr="001F6DCE">
        <w:t xml:space="preserve"> </w:t>
      </w:r>
    </w:p>
    <w:p w14:paraId="036AB9DF" w14:textId="77777777" w:rsidR="00A55415" w:rsidRPr="001F6DCE" w:rsidRDefault="00A55415" w:rsidP="00A04983">
      <w:pPr>
        <w:jc w:val="both"/>
      </w:pPr>
    </w:p>
    <w:p w14:paraId="30695583" w14:textId="77777777" w:rsidR="001B11A0" w:rsidRPr="001F6DCE" w:rsidRDefault="001B11A0" w:rsidP="003F1B8A">
      <w:pPr>
        <w:jc w:val="both"/>
        <w:rPr>
          <w:b/>
        </w:rPr>
      </w:pPr>
      <w:proofErr w:type="gramStart"/>
      <w:r w:rsidRPr="001F6DCE">
        <w:rPr>
          <w:b/>
          <w:i/>
        </w:rPr>
        <w:t xml:space="preserve">Regulatory </w:t>
      </w:r>
      <w:r w:rsidR="000755DA" w:rsidRPr="001F6DCE">
        <w:rPr>
          <w:b/>
          <w:i/>
        </w:rPr>
        <w:t>framework on HCWM</w:t>
      </w:r>
      <w:r w:rsidR="000755DA" w:rsidRPr="001F6DCE">
        <w:rPr>
          <w:b/>
        </w:rPr>
        <w:t>.</w:t>
      </w:r>
      <w:proofErr w:type="gramEnd"/>
      <w:r w:rsidR="000755DA" w:rsidRPr="001F6DCE">
        <w:rPr>
          <w:b/>
        </w:rPr>
        <w:t xml:space="preserve"> </w:t>
      </w:r>
    </w:p>
    <w:p w14:paraId="54025097" w14:textId="77777777" w:rsidR="001B11A0" w:rsidRPr="001F6DCE" w:rsidRDefault="001B11A0" w:rsidP="00A04983">
      <w:pPr>
        <w:pStyle w:val="ListParagraph"/>
        <w:ind w:left="0"/>
        <w:jc w:val="both"/>
        <w:rPr>
          <w:i/>
          <w:u w:val="single"/>
        </w:rPr>
      </w:pPr>
    </w:p>
    <w:p w14:paraId="77DA8E10" w14:textId="790CA0CC" w:rsidR="000755DA" w:rsidRPr="001F6DCE" w:rsidRDefault="000755DA" w:rsidP="003F1B8A">
      <w:pPr>
        <w:pStyle w:val="ListParagraph"/>
        <w:numPr>
          <w:ilvl w:val="0"/>
          <w:numId w:val="16"/>
        </w:numPr>
        <w:ind w:left="0" w:firstLine="0"/>
        <w:jc w:val="both"/>
      </w:pPr>
      <w:r w:rsidRPr="001F6DCE">
        <w:t xml:space="preserve">The </w:t>
      </w:r>
      <w:proofErr w:type="spellStart"/>
      <w:r w:rsidR="00AB062A" w:rsidRPr="001F6DCE">
        <w:t>G</w:t>
      </w:r>
      <w:r w:rsidR="004408A1" w:rsidRPr="001F6DCE">
        <w:t>o</w:t>
      </w:r>
      <w:r w:rsidR="00AB062A" w:rsidRPr="001F6DCE">
        <w:t>M</w:t>
      </w:r>
      <w:proofErr w:type="spellEnd"/>
      <w:r w:rsidRPr="001F6DCE">
        <w:t xml:space="preserve"> has developed a substantial legal and regulatory framework for the safe management and disposal of HCW.  Among most important regulatory documents in this regard are the following: (a) Law on </w:t>
      </w:r>
      <w:r w:rsidR="004408A1" w:rsidRPr="001F6DCE">
        <w:t xml:space="preserve">Waste </w:t>
      </w:r>
      <w:r w:rsidRPr="001F6DCE">
        <w:t>(</w:t>
      </w:r>
      <w:r w:rsidR="004408A1" w:rsidRPr="001F6DCE">
        <w:t>201</w:t>
      </w:r>
      <w:r w:rsidR="005E3911" w:rsidRPr="001F6DCE">
        <w:t>6</w:t>
      </w:r>
      <w:r w:rsidRPr="001F6DCE">
        <w:t xml:space="preserve">); (b) </w:t>
      </w:r>
      <w:r w:rsidR="004D587F" w:rsidRPr="001F6DCE">
        <w:t xml:space="preserve">Law on </w:t>
      </w:r>
      <w:r w:rsidR="00794CB4" w:rsidRPr="001F6DCE">
        <w:t xml:space="preserve">State Surveillance of </w:t>
      </w:r>
      <w:r w:rsidR="004D587F" w:rsidRPr="001F6DCE">
        <w:t xml:space="preserve">Public Health </w:t>
      </w:r>
      <w:r w:rsidR="00086208" w:rsidRPr="001F6DCE">
        <w:t>(2009</w:t>
      </w:r>
      <w:r w:rsidRPr="001F6DCE">
        <w:t xml:space="preserve">); (c) Regulation for Medical Waste Management, approved by </w:t>
      </w:r>
      <w:proofErr w:type="spellStart"/>
      <w:r w:rsidR="00AB062A" w:rsidRPr="001F6DCE">
        <w:t>M</w:t>
      </w:r>
      <w:r w:rsidR="004408A1" w:rsidRPr="001F6DCE">
        <w:t>o</w:t>
      </w:r>
      <w:r w:rsidR="00AB062A" w:rsidRPr="001F6DCE">
        <w:t>H</w:t>
      </w:r>
      <w:r w:rsidR="004408A1" w:rsidRPr="001F6DCE">
        <w:t>LSP</w:t>
      </w:r>
      <w:proofErr w:type="spellEnd"/>
      <w:r w:rsidR="004408A1" w:rsidRPr="001F6DCE">
        <w:rPr>
          <w:rStyle w:val="FootnoteReference"/>
        </w:rPr>
        <w:footnoteReference w:id="14"/>
      </w:r>
      <w:r w:rsidR="004408A1" w:rsidRPr="001F6DCE">
        <w:t xml:space="preserve"> </w:t>
      </w:r>
      <w:r w:rsidRPr="001F6DCE">
        <w:t xml:space="preserve">and registered by the Ministry of Justice </w:t>
      </w:r>
      <w:r w:rsidR="00794CB4" w:rsidRPr="001F6DCE">
        <w:t>(</w:t>
      </w:r>
      <w:r w:rsidRPr="001F6DCE">
        <w:t>in January 2002</w:t>
      </w:r>
      <w:r w:rsidR="00794CB4" w:rsidRPr="001F6DCE">
        <w:t>)</w:t>
      </w:r>
      <w:r w:rsidRPr="001F6DCE">
        <w:t>; (d) G</w:t>
      </w:r>
      <w:r w:rsidR="00C80254" w:rsidRPr="001F6DCE">
        <w:t>u</w:t>
      </w:r>
      <w:r w:rsidRPr="001F6DCE">
        <w:t>idelines for supervis</w:t>
      </w:r>
      <w:r w:rsidR="00C80254" w:rsidRPr="001F6DCE">
        <w:t>i</w:t>
      </w:r>
      <w:r w:rsidRPr="001F6DCE">
        <w:t xml:space="preserve">on and control of </w:t>
      </w:r>
      <w:r w:rsidR="003F1B95" w:rsidRPr="001F6DCE">
        <w:t>nosocomial</w:t>
      </w:r>
      <w:r w:rsidRPr="001F6DCE">
        <w:t xml:space="preserve"> infectious (2009); and (e) Sanitary Regulation in </w:t>
      </w:r>
      <w:r w:rsidR="00C80254" w:rsidRPr="001F6DCE">
        <w:t>hygienic</w:t>
      </w:r>
      <w:r w:rsidRPr="001F6DCE">
        <w:t xml:space="preserve"> conditions for HCFs approved by the </w:t>
      </w:r>
      <w:proofErr w:type="spellStart"/>
      <w:r w:rsidR="00AB062A" w:rsidRPr="001F6DCE">
        <w:t>G</w:t>
      </w:r>
      <w:r w:rsidR="00F91B35" w:rsidRPr="001F6DCE">
        <w:t>o</w:t>
      </w:r>
      <w:r w:rsidR="00AB062A" w:rsidRPr="001F6DCE">
        <w:t>M</w:t>
      </w:r>
      <w:proofErr w:type="spellEnd"/>
      <w:r w:rsidRPr="001F6DCE">
        <w:t xml:space="preserve"> (No. 663 from 2010). </w:t>
      </w:r>
    </w:p>
    <w:p w14:paraId="1688FA85" w14:textId="77777777" w:rsidR="00A55415" w:rsidRPr="001F6DCE" w:rsidRDefault="00A55415" w:rsidP="00A04983">
      <w:pPr>
        <w:jc w:val="both"/>
        <w:rPr>
          <w:i/>
          <w:u w:val="single"/>
        </w:rPr>
      </w:pPr>
    </w:p>
    <w:p w14:paraId="1FFF79CA" w14:textId="74819EC1" w:rsidR="00A55415" w:rsidRPr="001F6DCE" w:rsidRDefault="000755DA" w:rsidP="003F1B8A">
      <w:pPr>
        <w:pStyle w:val="ListParagraph"/>
        <w:numPr>
          <w:ilvl w:val="0"/>
          <w:numId w:val="16"/>
        </w:numPr>
        <w:ind w:left="0" w:firstLine="0"/>
        <w:jc w:val="both"/>
        <w:rPr>
          <w:i/>
          <w:u w:val="single"/>
        </w:rPr>
      </w:pPr>
      <w:r w:rsidRPr="001F6DCE">
        <w:rPr>
          <w:i/>
        </w:rPr>
        <w:t xml:space="preserve">Regulation on Medical Waste Management. </w:t>
      </w:r>
      <w:r w:rsidR="00C35E6D" w:rsidRPr="001F6DCE">
        <w:rPr>
          <w:i/>
        </w:rPr>
        <w:t xml:space="preserve"> </w:t>
      </w:r>
      <w:r w:rsidRPr="001F6DCE">
        <w:t xml:space="preserve">This document is divided into 8 chapters and provides requirements for hygienic and technical standards for hazardous HCW collection, temporary storage, transportation and disposal. The “Health-Care Waste” is defined as waste hazardous or not, generated by medical activities and include the following types: the </w:t>
      </w:r>
      <w:proofErr w:type="spellStart"/>
      <w:r w:rsidRPr="001F6DCE">
        <w:t>anatomo</w:t>
      </w:r>
      <w:proofErr w:type="spellEnd"/>
      <w:r w:rsidRPr="001F6DCE">
        <w:t>-pathological waste, the infectious waste, chemicals and pharmaceutical waste (gathered into the same group), sharps and radioactive waste. The Regulation presents different disposal technologies but no details are provided on the standards that these technologies should meet. According to the Regulation all medical institutions in the country and their staff must comply with this regulation. In particular they: (a) are accountable for the safe handling and disposal of HCW; (b) have the responsibility to identify adequate financial resources; (c) elaborate management strategies to prevent the production of hazardous HCW or minimize as much as possible the quantities generated; (d) implement HCWM plans setting-up internal rules and codes of procedures; and (d) precise duties and responsibilities of medical and ancillary staff, which include: (</w:t>
      </w:r>
      <w:proofErr w:type="spellStart"/>
      <w:r w:rsidRPr="001F6DCE">
        <w:t>i</w:t>
      </w:r>
      <w:proofErr w:type="spellEnd"/>
      <w:r w:rsidRPr="001F6DCE">
        <w:t>) the minimization of the amount of HCW generated; (ii) the reuse and the recycling when it is possible; (iii) the segregation at source of hazardous HCW from non-risk HCW, (iv) the reduction of the costs associated with the management and disposal of HCW using single use items appropriately. Overall, as it is specified in the study done by the European office of WHO, this Regulation is simultaneously normative and informative, being at the midpoint between a Law and a Technical Guidelines</w:t>
      </w:r>
      <w:r w:rsidR="0098549A" w:rsidRPr="001F6DCE">
        <w:t xml:space="preserve"> (for instance, there are no standards for incineration of infectious medical waste, </w:t>
      </w:r>
      <w:proofErr w:type="spellStart"/>
      <w:r w:rsidR="0098549A" w:rsidRPr="001F6DCE">
        <w:t>etc</w:t>
      </w:r>
      <w:proofErr w:type="spellEnd"/>
      <w:r w:rsidR="0098549A" w:rsidRPr="001F6DCE">
        <w:t>)</w:t>
      </w:r>
      <w:r w:rsidRPr="001F6DCE">
        <w:t xml:space="preserve">. Although HCWM is thoroughly addressed in the Regulation, the document is not well structured and not adapted to the real economic situation of the Republic of Moldova. Based on that it was proposed it should be revised, taking into consideration mentioned issues. </w:t>
      </w:r>
    </w:p>
    <w:p w14:paraId="26EFFA13" w14:textId="77777777" w:rsidR="000755DA" w:rsidRPr="001F6DCE" w:rsidRDefault="000755DA" w:rsidP="00A04983">
      <w:pPr>
        <w:jc w:val="both"/>
      </w:pPr>
      <w:r w:rsidRPr="001F6DCE">
        <w:t xml:space="preserve"> </w:t>
      </w:r>
    </w:p>
    <w:p w14:paraId="5F596D83" w14:textId="650EA051" w:rsidR="001B11A0" w:rsidRPr="001F6DCE" w:rsidRDefault="000755DA" w:rsidP="00A04983">
      <w:pPr>
        <w:pStyle w:val="ListParagraph"/>
        <w:numPr>
          <w:ilvl w:val="0"/>
          <w:numId w:val="16"/>
        </w:numPr>
        <w:ind w:left="0" w:firstLine="0"/>
        <w:jc w:val="both"/>
        <w:rPr>
          <w:i/>
          <w:u w:val="single"/>
        </w:rPr>
      </w:pPr>
      <w:r w:rsidRPr="001F6DCE">
        <w:rPr>
          <w:i/>
        </w:rPr>
        <w:t xml:space="preserve">Hospital Regulations on HCWM. </w:t>
      </w:r>
      <w:r w:rsidRPr="001F6DCE">
        <w:t>The proper management of HCW depends</w:t>
      </w:r>
      <w:r w:rsidR="00AE09B0" w:rsidRPr="001F6DCE">
        <w:t>,</w:t>
      </w:r>
      <w:r w:rsidRPr="001F6DCE">
        <w:t xml:space="preserve"> to a large extent</w:t>
      </w:r>
      <w:r w:rsidR="00561C21" w:rsidRPr="001F6DCE">
        <w:t>,</w:t>
      </w:r>
      <w:r w:rsidRPr="001F6DCE">
        <w:t xml:space="preserve"> on good administration and organization but also requires that adequate instructions be consigned in a formal document (e.g. a HCWM plan) and that the medical and paramedical staff be fully aware of their duties and responsibilities. The responsibility of the different components of the HCWM system is shared between the Hospital (or other medical facility) Director, who is directly in charge of the overall implementation of a safe HCWM system inside the HCFs; the Hospital Epidemiologist and the Hospital Head Nurse, who have the responsibility to supervise at hospital level the HCWM plan, the Medical Doctors and Nurses who directly ensure an </w:t>
      </w:r>
      <w:r w:rsidRPr="001F6DCE">
        <w:lastRenderedPageBreak/>
        <w:t xml:space="preserve">immediate segregation of the HCW. </w:t>
      </w:r>
      <w:r w:rsidR="00AE09B0" w:rsidRPr="001F6DCE">
        <w:t xml:space="preserve">For instance, hospitals do not have single centralised network for collection and processing of used syringes and perfusion systems. </w:t>
      </w:r>
      <w:r w:rsidRPr="001F6DCE">
        <w:t xml:space="preserve">The medical </w:t>
      </w:r>
      <w:proofErr w:type="gramStart"/>
      <w:r w:rsidRPr="001F6DCE">
        <w:t>staff</w:t>
      </w:r>
      <w:proofErr w:type="gramEnd"/>
      <w:r w:rsidRPr="001F6DCE">
        <w:t xml:space="preserve"> is personally accountable for the application of the Regulation for Medical Waste Management. </w:t>
      </w:r>
    </w:p>
    <w:p w14:paraId="04CB26CA" w14:textId="77777777" w:rsidR="00086208" w:rsidRPr="001F6DCE" w:rsidRDefault="00086208" w:rsidP="00086208">
      <w:pPr>
        <w:pStyle w:val="ListParagraph"/>
        <w:ind w:left="0"/>
        <w:jc w:val="both"/>
        <w:rPr>
          <w:i/>
          <w:u w:val="single"/>
        </w:rPr>
      </w:pPr>
    </w:p>
    <w:p w14:paraId="009BD1F4" w14:textId="3C3A680A" w:rsidR="00086208" w:rsidRPr="001F6DCE" w:rsidRDefault="001B11A0" w:rsidP="003F1B8A">
      <w:pPr>
        <w:pStyle w:val="ListParagraph"/>
        <w:numPr>
          <w:ilvl w:val="0"/>
          <w:numId w:val="16"/>
        </w:numPr>
        <w:ind w:left="0" w:firstLine="0"/>
        <w:jc w:val="both"/>
        <w:rPr>
          <w:i/>
          <w:u w:val="single"/>
        </w:rPr>
      </w:pPr>
      <w:r w:rsidRPr="001F6DCE">
        <w:rPr>
          <w:i/>
        </w:rPr>
        <w:t xml:space="preserve">National Standards </w:t>
      </w:r>
      <w:r w:rsidR="000755DA" w:rsidRPr="001F6DCE">
        <w:rPr>
          <w:i/>
        </w:rPr>
        <w:t>Related to HCWM.</w:t>
      </w:r>
      <w:r w:rsidR="0053282E" w:rsidRPr="001F6DCE">
        <w:rPr>
          <w:i/>
        </w:rPr>
        <w:t xml:space="preserve">  </w:t>
      </w:r>
      <w:r w:rsidR="000755DA" w:rsidRPr="001F6DCE">
        <w:t xml:space="preserve">A </w:t>
      </w:r>
      <w:r w:rsidR="00A55415" w:rsidRPr="001F6DCE">
        <w:t xml:space="preserve">significant number </w:t>
      </w:r>
      <w:r w:rsidR="000755DA" w:rsidRPr="001F6DCE">
        <w:t>of standards exist in the Republic of Moldova, most</w:t>
      </w:r>
      <w:r w:rsidR="00A55415" w:rsidRPr="001F6DCE">
        <w:t xml:space="preserve"> of them were</w:t>
      </w:r>
      <w:r w:rsidR="000755DA" w:rsidRPr="001F6DCE">
        <w:t xml:space="preserve"> inherited from the Soviet Union period: standards for building</w:t>
      </w:r>
      <w:r w:rsidR="00BE3D78" w:rsidRPr="001F6DCE">
        <w:t>s</w:t>
      </w:r>
      <w:r w:rsidR="000755DA" w:rsidRPr="001F6DCE">
        <w:t xml:space="preserve"> design, hospital ventilation, natural and artificial lights, equipment and furniture, work of medical staff, maintenance or rooms, personal hygiene norms for patients and medical staff, sanitary conditions for food units, construction of new HCFs.  Specific standards exist also for HCWM, providing instructions on: the location of HCW incinerators; the cleaning of hospital compound, the design of waste containers, and waste collection services. However, many of them are outdated and should be revised by the </w:t>
      </w:r>
      <w:proofErr w:type="spellStart"/>
      <w:r w:rsidR="00AB062A" w:rsidRPr="001F6DCE">
        <w:t>M</w:t>
      </w:r>
      <w:r w:rsidR="0049352C" w:rsidRPr="001F6DCE">
        <w:t>o</w:t>
      </w:r>
      <w:r w:rsidR="00AB062A" w:rsidRPr="001F6DCE">
        <w:t>H</w:t>
      </w:r>
      <w:r w:rsidR="0049352C" w:rsidRPr="001F6DCE">
        <w:t>LSP</w:t>
      </w:r>
      <w:proofErr w:type="spellEnd"/>
      <w:r w:rsidR="000755DA" w:rsidRPr="001F6DCE">
        <w:t xml:space="preserve"> because they are either obsolete or not practical. In this regard</w:t>
      </w:r>
      <w:r w:rsidR="00AE09B0" w:rsidRPr="001F6DCE">
        <w:t>,</w:t>
      </w:r>
      <w:r w:rsidR="000755DA" w:rsidRPr="001F6DCE">
        <w:t xml:space="preserve"> it would be necessary to have a long</w:t>
      </w:r>
      <w:r w:rsidR="00C62D16" w:rsidRPr="001F6DCE">
        <w:t>-</w:t>
      </w:r>
      <w:r w:rsidR="000755DA" w:rsidRPr="001F6DCE">
        <w:t>term strategy and an action plan for updating them and/or for designing new ones, harmonizing them with the EU legislation.</w:t>
      </w:r>
      <w:r w:rsidR="004C3261" w:rsidRPr="001F6DCE">
        <w:t xml:space="preserve"> In 2014, the </w:t>
      </w:r>
      <w:proofErr w:type="spellStart"/>
      <w:r w:rsidR="004C3261" w:rsidRPr="001F6DCE">
        <w:t>MoHLSP</w:t>
      </w:r>
      <w:proofErr w:type="spellEnd"/>
      <w:r w:rsidR="004C3261" w:rsidRPr="001F6DCE">
        <w:t xml:space="preserve"> drafted Sanitary Regulations on healthcare waste treatment however this was not passed due to a combination of political, but also implementation reasons</w:t>
      </w:r>
      <w:r w:rsidR="00390353" w:rsidRPr="001F6DCE">
        <w:rPr>
          <w:rStyle w:val="FootnoteReference"/>
        </w:rPr>
        <w:footnoteReference w:id="15"/>
      </w:r>
      <w:r w:rsidR="004C3261" w:rsidRPr="001F6DCE">
        <w:t xml:space="preserve">. </w:t>
      </w:r>
    </w:p>
    <w:p w14:paraId="74D22473" w14:textId="77777777" w:rsidR="000755DA" w:rsidRPr="001F6DCE" w:rsidRDefault="000755DA" w:rsidP="00086208">
      <w:pPr>
        <w:pStyle w:val="ListParagraph"/>
        <w:ind w:left="0"/>
        <w:jc w:val="both"/>
        <w:rPr>
          <w:i/>
          <w:u w:val="single"/>
        </w:rPr>
      </w:pPr>
      <w:r w:rsidRPr="001F6DCE">
        <w:t xml:space="preserve"> </w:t>
      </w:r>
    </w:p>
    <w:p w14:paraId="3CCD536E" w14:textId="11D88900" w:rsidR="000755DA" w:rsidRPr="001F6DCE" w:rsidRDefault="000755DA" w:rsidP="003F1B8A">
      <w:pPr>
        <w:pStyle w:val="ListParagraph"/>
        <w:numPr>
          <w:ilvl w:val="0"/>
          <w:numId w:val="16"/>
        </w:numPr>
        <w:ind w:left="0" w:firstLine="0"/>
        <w:jc w:val="both"/>
        <w:rPr>
          <w:i/>
        </w:rPr>
      </w:pPr>
      <w:r w:rsidRPr="001F6DCE">
        <w:rPr>
          <w:i/>
        </w:rPr>
        <w:t>Overall Conclusion on the existing regulatory framework.</w:t>
      </w:r>
      <w:r w:rsidR="001D5123" w:rsidRPr="001F6DCE">
        <w:rPr>
          <w:i/>
        </w:rPr>
        <w:t xml:space="preserve"> </w:t>
      </w:r>
      <w:r w:rsidRPr="001F6DCE">
        <w:t>The legal and regulatory framework to ensure a safe management of HCW in the Republic of Moldova is relatively well developed</w:t>
      </w:r>
      <w:r w:rsidR="00794CB4" w:rsidRPr="001F6DCE">
        <w:t xml:space="preserve"> yet </w:t>
      </w:r>
      <w:r w:rsidR="00FD3F94" w:rsidRPr="001F6DCE">
        <w:t>needs few adjustments</w:t>
      </w:r>
      <w:r w:rsidRPr="001F6DCE">
        <w:t>. Although not complete, it can provide the necessary legal basis for a well-organized HCWM plan in each HCF as well as efficient control and monitoring procedures. At the same time</w:t>
      </w:r>
      <w:r w:rsidR="0049352C" w:rsidRPr="001F6DCE">
        <w:t>,</w:t>
      </w:r>
      <w:r w:rsidRPr="001F6DCE">
        <w:t xml:space="preserve"> it should be more specific to the Moldovan context and should be reviewed to stipulate more clearly the HCWM procedures that each HCF and each medical and paramedical staff should comply with, harmonizing it with the requirements of the EU legislation. One of important step</w:t>
      </w:r>
      <w:r w:rsidR="001D5123" w:rsidRPr="001F6DCE">
        <w:t>s</w:t>
      </w:r>
      <w:r w:rsidRPr="001F6DCE">
        <w:t xml:space="preserve"> in this regard would be revising the existing Regulation</w:t>
      </w:r>
      <w:r w:rsidR="00FD3F94" w:rsidRPr="001F6DCE">
        <w:t>s</w:t>
      </w:r>
      <w:r w:rsidRPr="001F6DCE">
        <w:t xml:space="preserve"> on HCWM and approving it at the </w:t>
      </w:r>
      <w:proofErr w:type="spellStart"/>
      <w:r w:rsidR="00AB062A" w:rsidRPr="001F6DCE">
        <w:t>G</w:t>
      </w:r>
      <w:r w:rsidR="00561C21" w:rsidRPr="001F6DCE">
        <w:t>o</w:t>
      </w:r>
      <w:r w:rsidR="00AB062A" w:rsidRPr="001F6DCE">
        <w:t>M</w:t>
      </w:r>
      <w:proofErr w:type="spellEnd"/>
      <w:r w:rsidRPr="001F6DCE">
        <w:t xml:space="preserve"> level.</w:t>
      </w:r>
    </w:p>
    <w:p w14:paraId="2C066786" w14:textId="77777777" w:rsidR="00C35E6D" w:rsidRPr="001F6DCE" w:rsidRDefault="00C35E6D" w:rsidP="00C35E6D">
      <w:pPr>
        <w:pStyle w:val="ListParagraph"/>
        <w:ind w:left="0"/>
        <w:jc w:val="both"/>
        <w:rPr>
          <w:i/>
          <w:u w:val="single"/>
        </w:rPr>
      </w:pPr>
    </w:p>
    <w:p w14:paraId="0CBE3AE0" w14:textId="77777777" w:rsidR="001B11A0" w:rsidRPr="001F6DCE" w:rsidRDefault="000755DA" w:rsidP="003F1B8A">
      <w:pPr>
        <w:jc w:val="both"/>
        <w:rPr>
          <w:b/>
        </w:rPr>
      </w:pPr>
      <w:r w:rsidRPr="001F6DCE">
        <w:rPr>
          <w:b/>
          <w:i/>
        </w:rPr>
        <w:t>Institutional capacity</w:t>
      </w:r>
    </w:p>
    <w:p w14:paraId="78E569E1" w14:textId="77777777" w:rsidR="001B11A0" w:rsidRPr="001F6DCE" w:rsidRDefault="001B11A0" w:rsidP="00A04983">
      <w:pPr>
        <w:jc w:val="both"/>
        <w:rPr>
          <w:i/>
          <w:u w:val="single"/>
        </w:rPr>
      </w:pPr>
    </w:p>
    <w:p w14:paraId="141BDA05" w14:textId="43021E8D" w:rsidR="000755DA" w:rsidRPr="001F6DCE" w:rsidRDefault="000755DA" w:rsidP="00A23190">
      <w:pPr>
        <w:pStyle w:val="ListParagraph"/>
        <w:numPr>
          <w:ilvl w:val="0"/>
          <w:numId w:val="16"/>
        </w:numPr>
        <w:ind w:left="0" w:firstLine="0"/>
        <w:jc w:val="both"/>
      </w:pPr>
      <w:r w:rsidRPr="001F6DCE">
        <w:t xml:space="preserve">The country has </w:t>
      </w:r>
      <w:r w:rsidR="001D5123" w:rsidRPr="001F6DCE">
        <w:t>fairly</w:t>
      </w:r>
      <w:r w:rsidRPr="001F6DCE">
        <w:t xml:space="preserve"> clear institutional setup in the domain. The main responsibilities with regard to state policies and regulatory framework are </w:t>
      </w:r>
      <w:r w:rsidR="00DF5046" w:rsidRPr="001F6DCE">
        <w:t>shared between</w:t>
      </w:r>
      <w:r w:rsidRPr="001F6DCE">
        <w:t xml:space="preserve"> the </w:t>
      </w:r>
      <w:proofErr w:type="spellStart"/>
      <w:r w:rsidR="00AB062A" w:rsidRPr="001F6DCE">
        <w:t>M</w:t>
      </w:r>
      <w:r w:rsidR="00DF5046" w:rsidRPr="001F6DCE">
        <w:t>o</w:t>
      </w:r>
      <w:r w:rsidR="00AB062A" w:rsidRPr="001F6DCE">
        <w:t>H</w:t>
      </w:r>
      <w:r w:rsidR="00DF5046" w:rsidRPr="001F6DCE">
        <w:t>LSP</w:t>
      </w:r>
      <w:proofErr w:type="spellEnd"/>
      <w:r w:rsidR="00E36315" w:rsidRPr="001F6DCE">
        <w:t xml:space="preserve"> with</w:t>
      </w:r>
      <w:r w:rsidRPr="001F6DCE">
        <w:t xml:space="preserve"> </w:t>
      </w:r>
      <w:r w:rsidR="00DF5046" w:rsidRPr="001F6DCE">
        <w:t>its subordinated newly established National Public Health Agency and the Ministry of Agriculture, Regional Development and Environment</w:t>
      </w:r>
      <w:r w:rsidRPr="001F6DCE">
        <w:t xml:space="preserve">. The main </w:t>
      </w:r>
      <w:r w:rsidR="00FD3F94" w:rsidRPr="001F6DCE">
        <w:t xml:space="preserve">HCWM compliance </w:t>
      </w:r>
      <w:r w:rsidRPr="001F6DCE">
        <w:t xml:space="preserve">controlling functions are delegated to the </w:t>
      </w:r>
      <w:r w:rsidR="00E36315" w:rsidRPr="001F6DCE">
        <w:t>R</w:t>
      </w:r>
      <w:r w:rsidRPr="001F6DCE">
        <w:t>ayon</w:t>
      </w:r>
      <w:r w:rsidR="00E36315" w:rsidRPr="001F6DCE">
        <w:t>’s</w:t>
      </w:r>
      <w:r w:rsidRPr="001F6DCE">
        <w:t xml:space="preserve"> </w:t>
      </w:r>
      <w:r w:rsidR="00437BF7" w:rsidRPr="001F6DCE">
        <w:t xml:space="preserve">subsidiaries of the National </w:t>
      </w:r>
      <w:r w:rsidR="00086208" w:rsidRPr="001F6DCE">
        <w:t>Public Health</w:t>
      </w:r>
      <w:r w:rsidRPr="001F6DCE">
        <w:t xml:space="preserve"> </w:t>
      </w:r>
      <w:r w:rsidR="00437BF7" w:rsidRPr="001F6DCE">
        <w:t xml:space="preserve">Agency </w:t>
      </w:r>
      <w:r w:rsidRPr="001F6DCE">
        <w:t>which has to conduct necessary inspection of all HCFs in the country and provide relevant conclusions and recommendations. The implementation of the HCWM is full responsibility of the HCF staff</w:t>
      </w:r>
      <w:r w:rsidR="00FD3F94" w:rsidRPr="001F6DCE">
        <w:t xml:space="preserve"> which in absence of specific guidelines is largely discrete</w:t>
      </w:r>
      <w:r w:rsidRPr="001F6DCE">
        <w:t xml:space="preserve">. The </w:t>
      </w:r>
      <w:r w:rsidR="00FD3F94" w:rsidRPr="001F6DCE">
        <w:t xml:space="preserve">Ministry of Agriculture, Regional Development and Environment is in charge of ensuring that environment protection legislation is in line with overall waste management regulations and local/regional activities on waste management. The </w:t>
      </w:r>
      <w:r w:rsidRPr="001F6DCE">
        <w:t>conducted by the WB mission meetings and field visits</w:t>
      </w:r>
      <w:r w:rsidR="00FD3F94" w:rsidRPr="001F6DCE">
        <w:t xml:space="preserve"> during the assessment</w:t>
      </w:r>
      <w:r w:rsidRPr="001F6DCE">
        <w:t xml:space="preserve"> show all involved parties have clear understanding about their roles and responsibilities as well as technical knowledge to deal with the HCWM</w:t>
      </w:r>
      <w:r w:rsidR="00FD3F94" w:rsidRPr="001F6DCE">
        <w:t xml:space="preserve"> although ownership for HCWM regulation promotion has been an issue since then</w:t>
      </w:r>
      <w:r w:rsidRPr="001F6DCE">
        <w:t xml:space="preserve">. A very important role in this process plays the system of human capacity building organized by the </w:t>
      </w:r>
      <w:proofErr w:type="spellStart"/>
      <w:r w:rsidR="00AB062A" w:rsidRPr="001F6DCE">
        <w:t>M</w:t>
      </w:r>
      <w:r w:rsidR="00437BF7" w:rsidRPr="001F6DCE">
        <w:t>o</w:t>
      </w:r>
      <w:r w:rsidR="00AB062A" w:rsidRPr="001F6DCE">
        <w:t>H</w:t>
      </w:r>
      <w:r w:rsidR="00437BF7" w:rsidRPr="001F6DCE">
        <w:t>LSP</w:t>
      </w:r>
      <w:proofErr w:type="spellEnd"/>
      <w:r w:rsidRPr="001F6DCE">
        <w:t xml:space="preserve"> (see point below).</w:t>
      </w:r>
    </w:p>
    <w:p w14:paraId="0B87C045" w14:textId="77777777" w:rsidR="00A55415" w:rsidRPr="001F6DCE" w:rsidRDefault="00A55415" w:rsidP="00A04983">
      <w:pPr>
        <w:jc w:val="both"/>
      </w:pPr>
    </w:p>
    <w:p w14:paraId="71E7D15C" w14:textId="7C1FF43A" w:rsidR="000755DA" w:rsidRPr="001F6DCE" w:rsidRDefault="000755DA" w:rsidP="003F1B8A">
      <w:pPr>
        <w:pStyle w:val="ListParagraph"/>
        <w:numPr>
          <w:ilvl w:val="0"/>
          <w:numId w:val="16"/>
        </w:numPr>
        <w:ind w:left="0" w:firstLine="0"/>
        <w:jc w:val="both"/>
      </w:pPr>
      <w:r w:rsidRPr="001F6DCE">
        <w:rPr>
          <w:i/>
        </w:rPr>
        <w:lastRenderedPageBreak/>
        <w:t>HCWM capacity building.</w:t>
      </w:r>
      <w:r w:rsidR="0053282E" w:rsidRPr="001F6DCE">
        <w:rPr>
          <w:i/>
        </w:rPr>
        <w:t xml:space="preserve">  </w:t>
      </w:r>
      <w:r w:rsidRPr="001F6DCE">
        <w:t xml:space="preserve">Presented to the WB mission information shows </w:t>
      </w:r>
      <w:proofErr w:type="spellStart"/>
      <w:r w:rsidR="00AB062A" w:rsidRPr="001F6DCE">
        <w:t>M</w:t>
      </w:r>
      <w:r w:rsidR="004777C2" w:rsidRPr="001F6DCE">
        <w:t>o</w:t>
      </w:r>
      <w:r w:rsidR="00AB062A" w:rsidRPr="001F6DCE">
        <w:t>H</w:t>
      </w:r>
      <w:r w:rsidR="004777C2" w:rsidRPr="001F6DCE">
        <w:t>LSP</w:t>
      </w:r>
      <w:proofErr w:type="spellEnd"/>
      <w:r w:rsidRPr="001F6DCE">
        <w:t xml:space="preserve"> keeps in its attention the capacity building for HCWM, organizing periodically training for HCFs staff. Simultaneously the HCFs management require from its staff to improve their knowledge on HCWM individually, based on self</w:t>
      </w:r>
      <w:r w:rsidR="00C80254" w:rsidRPr="001F6DCE">
        <w:t>-</w:t>
      </w:r>
      <w:r w:rsidRPr="001F6DCE">
        <w:t>learning. Based on provided training and self</w:t>
      </w:r>
      <w:r w:rsidR="00C80254" w:rsidRPr="001F6DCE">
        <w:t>-</w:t>
      </w:r>
      <w:r w:rsidRPr="001F6DCE">
        <w:t xml:space="preserve">learning the </w:t>
      </w:r>
      <w:proofErr w:type="spellStart"/>
      <w:r w:rsidR="00AB062A" w:rsidRPr="001F6DCE">
        <w:t>M</w:t>
      </w:r>
      <w:r w:rsidR="000C3FA4" w:rsidRPr="001F6DCE">
        <w:t>o</w:t>
      </w:r>
      <w:r w:rsidR="00AB062A" w:rsidRPr="001F6DCE">
        <w:t>H</w:t>
      </w:r>
      <w:r w:rsidR="000C3FA4" w:rsidRPr="001F6DCE">
        <w:t>LSP</w:t>
      </w:r>
      <w:proofErr w:type="spellEnd"/>
      <w:r w:rsidRPr="001F6DCE">
        <w:t xml:space="preserve"> and HCFs management periodically organize staff examination on HCWM requirements. The data presented by the </w:t>
      </w:r>
      <w:proofErr w:type="spellStart"/>
      <w:r w:rsidR="000C3FA4" w:rsidRPr="001F6DCE">
        <w:t>MoHLSP</w:t>
      </w:r>
      <w:proofErr w:type="spellEnd"/>
      <w:r w:rsidR="004D587F" w:rsidRPr="001F6DCE">
        <w:t xml:space="preserve"> show for 2010 shows about 28.</w:t>
      </w:r>
      <w:r w:rsidRPr="001F6DCE">
        <w:t>3 thousand of medical staff received training and about 73</w:t>
      </w:r>
      <w:r w:rsidR="00AB062A" w:rsidRPr="001F6DCE">
        <w:t xml:space="preserve"> percent</w:t>
      </w:r>
      <w:r w:rsidRPr="001F6DCE">
        <w:t xml:space="preserve"> of them proved adequate knowledge in this regard. </w:t>
      </w:r>
    </w:p>
    <w:p w14:paraId="65579C66" w14:textId="77777777" w:rsidR="00C35E6D" w:rsidRPr="001F6DCE" w:rsidRDefault="00C35E6D" w:rsidP="00C35E6D">
      <w:pPr>
        <w:pStyle w:val="ListParagraph"/>
        <w:ind w:left="0"/>
        <w:jc w:val="both"/>
      </w:pPr>
    </w:p>
    <w:p w14:paraId="6D17D722" w14:textId="44195F45" w:rsidR="001B11A0" w:rsidRPr="001F6DCE" w:rsidRDefault="000755DA" w:rsidP="003F1B8A">
      <w:pPr>
        <w:jc w:val="both"/>
        <w:rPr>
          <w:b/>
        </w:rPr>
      </w:pPr>
      <w:r w:rsidRPr="001F6DCE">
        <w:rPr>
          <w:b/>
          <w:i/>
        </w:rPr>
        <w:t>Efficiency of HCWM</w:t>
      </w:r>
      <w:r w:rsidR="00CB6043" w:rsidRPr="001F6DCE">
        <w:rPr>
          <w:b/>
          <w:i/>
        </w:rPr>
        <w:t xml:space="preserve"> </w:t>
      </w:r>
    </w:p>
    <w:p w14:paraId="46A52AA3" w14:textId="77777777" w:rsidR="001B11A0" w:rsidRPr="001F6DCE" w:rsidRDefault="001B11A0" w:rsidP="00A04983">
      <w:pPr>
        <w:pStyle w:val="ListParagraph"/>
        <w:ind w:left="0"/>
        <w:jc w:val="both"/>
      </w:pPr>
    </w:p>
    <w:p w14:paraId="49618FA6" w14:textId="70E96142" w:rsidR="004D587F" w:rsidRPr="001F6DCE" w:rsidRDefault="000755DA" w:rsidP="004D587F">
      <w:pPr>
        <w:pStyle w:val="ListParagraph"/>
        <w:numPr>
          <w:ilvl w:val="0"/>
          <w:numId w:val="16"/>
        </w:numPr>
        <w:ind w:left="0" w:firstLine="0"/>
        <w:jc w:val="both"/>
      </w:pPr>
      <w:r w:rsidRPr="001F6DCE">
        <w:t xml:space="preserve">The overall conclusion of the </w:t>
      </w:r>
      <w:r w:rsidR="00821BC8" w:rsidRPr="001F6DCE">
        <w:t xml:space="preserve">last </w:t>
      </w:r>
      <w:r w:rsidRPr="001F6DCE">
        <w:t xml:space="preserve">WHO study concerning implementation of HCWM is that the practices that are currently applied in the different HCFs </w:t>
      </w:r>
      <w:r w:rsidR="00821BC8" w:rsidRPr="001F6DCE">
        <w:t>throughout</w:t>
      </w:r>
      <w:r w:rsidRPr="001F6DCE">
        <w:t xml:space="preserve"> the country are still risky and should be more in accordance with the international procedures recommended by the World Health Organization and that remains many things to be done to reach acceptable international standards for HCWM in the Republic of Moldova. This is mainly due to the lack of affordable handling equipment and disposal infrastructures within the medical institutions. Sometimes the HCFs experience lack of means (waste containers, </w:t>
      </w:r>
      <w:r w:rsidR="00C80254" w:rsidRPr="001F6DCE">
        <w:t>colour</w:t>
      </w:r>
      <w:r w:rsidRPr="001F6DCE">
        <w:t xml:space="preserve"> plastic bags, transportation means adequately equipped, disposal facilities, etc.) which jeopardizes significantly the safe implementation of HCWM requirements. Furthermore, the </w:t>
      </w:r>
      <w:proofErr w:type="gramStart"/>
      <w:r w:rsidRPr="001F6DCE">
        <w:t>staff</w:t>
      </w:r>
      <w:proofErr w:type="gramEnd"/>
      <w:r w:rsidRPr="001F6DCE">
        <w:t xml:space="preserve">, in charge of the waste collection and/or the on-site disposal is under-equipped (no apron, mask or sometimes gloves). To similar conclusions came also WB representatives conducted missions in 2009, 2011 and 2013 in </w:t>
      </w:r>
      <w:proofErr w:type="spellStart"/>
      <w:r w:rsidRPr="001F6DCE">
        <w:t>Anenii</w:t>
      </w:r>
      <w:proofErr w:type="spellEnd"/>
      <w:r w:rsidRPr="001F6DCE">
        <w:t xml:space="preserve"> </w:t>
      </w:r>
      <w:proofErr w:type="spellStart"/>
      <w:r w:rsidRPr="001F6DCE">
        <w:t>Noi</w:t>
      </w:r>
      <w:proofErr w:type="spellEnd"/>
      <w:r w:rsidRPr="001F6DCE">
        <w:t xml:space="preserve">, </w:t>
      </w:r>
      <w:proofErr w:type="spellStart"/>
      <w:r w:rsidRPr="001F6DCE">
        <w:t>Hincesti</w:t>
      </w:r>
      <w:proofErr w:type="spellEnd"/>
      <w:r w:rsidRPr="001F6DCE">
        <w:t xml:space="preserve"> and </w:t>
      </w:r>
      <w:proofErr w:type="spellStart"/>
      <w:r w:rsidRPr="001F6DCE">
        <w:t>Nisporeni</w:t>
      </w:r>
      <w:proofErr w:type="spellEnd"/>
      <w:r w:rsidRPr="001F6DCE">
        <w:t xml:space="preserve"> </w:t>
      </w:r>
      <w:proofErr w:type="spellStart"/>
      <w:r w:rsidRPr="001F6DCE">
        <w:t>rayons</w:t>
      </w:r>
      <w:proofErr w:type="spellEnd"/>
      <w:r w:rsidRPr="001F6DCE">
        <w:t xml:space="preserve">. The missions have seen generally the HCFs follow up on good measures practiced in Moldova for safe management of sharps (discarded needles/syringes, scalpel blades, empty glass vials, or other sharp objects), collecting them in special containers (the mission has seen such containers in all visited facilities), after what they are burned in a stove outside the facility and then disposed on the landfill. At the same time the WB representatives have been informed about the lack of necessary equipment and suppliers as well as of strong need for addressing the infectious wastes. As known HCFs may generate a stream of non-infectious solid and liquid waste, which if improperly handled these materials can negatively affect terrestrial and aquatic ecosystems and expose local residents to health hazards. This issue, as recognized by practically all health care specialists in the country as well as by WHO study represent one of most critical problem in the HCWM. For the neutralization of infectious wastes in the country currently the HCFs use in some cases their autoclaving, burring or burning. While all these means are generally accepted, the existing practice in Moldova is still quiet dangerous as: (a) the existing autoclave equipment is outdated, doesn’t exist and doesn’t have enough capacity to cover the current needs in all HCFs; (b) HCWs burring at municipal cemeteries is well organized only in Chisinau HCFs, while in most other localities is done from time to time and using not specially equipped transportation means, and, in some cases, burring of the </w:t>
      </w:r>
      <w:proofErr w:type="spellStart"/>
      <w:r w:rsidRPr="001F6DCE">
        <w:t>anatomo</w:t>
      </w:r>
      <w:proofErr w:type="spellEnd"/>
      <w:r w:rsidRPr="001F6DCE">
        <w:t xml:space="preserve">-pathological wastes is done on special burial pits for animal carcases; (c) in the country there no one well-functioning HCW incinerator, being used in most cases improvised stoves, located on the territory of HCFs which do not correspond to national environmental requirements. Sometimes in an attempt to mitigate the lack of equipment and infrastructures for HCWM, the medical and paramedical </w:t>
      </w:r>
      <w:proofErr w:type="gramStart"/>
      <w:r w:rsidRPr="001F6DCE">
        <w:t>staff</w:t>
      </w:r>
      <w:proofErr w:type="gramEnd"/>
      <w:r w:rsidRPr="001F6DCE">
        <w:t xml:space="preserve"> conducts disinfection of hazardous HCW before throwing them together with the domestic waste or storing them into cardboard boxes. These practices remain incorrect and the basic aseptic </w:t>
      </w:r>
      <w:r w:rsidRPr="001F6DCE">
        <w:lastRenderedPageBreak/>
        <w:t>measures fail to be applied: no systematic hand washing once the bins are handled and transported within the wards; use of garbage chutes (a nest for pathogens) in the largest hospitals, waste containers not lined with adequate bags; lids of the waste bins manipulated with no specific precaution.</w:t>
      </w:r>
      <w:r w:rsidR="00821BC8" w:rsidRPr="001F6DCE">
        <w:t xml:space="preserve"> The situation did not improve since the last WB assessment in 2013. </w:t>
      </w:r>
    </w:p>
    <w:p w14:paraId="3ED0A461" w14:textId="77777777" w:rsidR="004D587F" w:rsidRPr="001F6DCE" w:rsidRDefault="004D587F" w:rsidP="004D587F">
      <w:pPr>
        <w:pStyle w:val="ListParagraph"/>
        <w:ind w:left="0"/>
        <w:jc w:val="both"/>
      </w:pPr>
    </w:p>
    <w:p w14:paraId="653EE53E" w14:textId="44451B7C" w:rsidR="00FA447C" w:rsidRPr="001F6DCE" w:rsidRDefault="000755DA" w:rsidP="00A04983">
      <w:pPr>
        <w:pStyle w:val="ListParagraph"/>
        <w:numPr>
          <w:ilvl w:val="0"/>
          <w:numId w:val="16"/>
        </w:numPr>
        <w:ind w:left="0" w:firstLine="0"/>
        <w:jc w:val="both"/>
      </w:pPr>
      <w:r w:rsidRPr="001F6DCE">
        <w:rPr>
          <w:i/>
          <w:szCs w:val="24"/>
        </w:rPr>
        <w:t>Overall conclusion regarding HCWM in the country.</w:t>
      </w:r>
      <w:r w:rsidR="0053282E" w:rsidRPr="001F6DCE">
        <w:rPr>
          <w:i/>
          <w:szCs w:val="24"/>
        </w:rPr>
        <w:t xml:space="preserve">  </w:t>
      </w:r>
      <w:r w:rsidR="004D587F" w:rsidRPr="001F6DCE">
        <w:rPr>
          <w:szCs w:val="24"/>
        </w:rPr>
        <w:t xml:space="preserve">For HCWs, Moldova has in place a relatively well-developed environmental policy and legal framework with an institutional system which is overall adequate. There is in place a special regulation for the safe management of HCWs with standardized definition, as well as segregation, handling, transportation, storage and disposal procedures, along with the main responsibilities in the domain.  Based on this regulation, the HCFs transposed its main requirements into hospital/medical institution rules that medical and paramedical staff attempt to respect and apply in the best way they can. At the same time, the HCWs regulation lacks clarity with regard to environmental requirements for various treatment and disposal technologies and needs to be updated, also taking into consideration the best international practices and EU legislation in the domain, and adapting it to the country’s conditions.  Among most important deficiencies in the domain is also lack of adequate funding necessary for most of the HCFs to ensure the safe management of HCWs and of disposal or treatment facilities throughout the country. </w:t>
      </w:r>
      <w:r w:rsidR="004D587F" w:rsidRPr="001F6DCE">
        <w:t xml:space="preserve">The HCFs quite often lack necessary equipment - no adequate bag holders, no yellow PE bags or HDPE waste containers, no safety boxes, no adequate transportation equipment and sometimes, - necessary protective equipment for responsible for HCWM staff. Furthermore, there is no single disposal or treatment facility throughout the country to safely dispose the HCWs. </w:t>
      </w:r>
      <w:r w:rsidR="004D587F" w:rsidRPr="001F6DCE">
        <w:rPr>
          <w:szCs w:val="24"/>
        </w:rPr>
        <w:t xml:space="preserve">All this jeopardizes the adequate HCWs management in the country. </w:t>
      </w:r>
    </w:p>
    <w:p w14:paraId="38ED6AB8" w14:textId="77777777" w:rsidR="00B056E5" w:rsidRPr="001F6DCE" w:rsidRDefault="00B056E5" w:rsidP="00A04983">
      <w:pPr>
        <w:jc w:val="both"/>
      </w:pPr>
    </w:p>
    <w:p w14:paraId="0723DD9A" w14:textId="77777777" w:rsidR="00A55415" w:rsidRPr="001F6DCE" w:rsidRDefault="00A55415" w:rsidP="003F1B8A">
      <w:pPr>
        <w:pStyle w:val="ListParagraph"/>
        <w:numPr>
          <w:ilvl w:val="0"/>
          <w:numId w:val="19"/>
        </w:numPr>
        <w:ind w:hanging="720"/>
        <w:jc w:val="both"/>
        <w:rPr>
          <w:rFonts w:eastAsia="Calibri"/>
          <w:b/>
          <w:bCs/>
          <w:lang w:val="en-US"/>
        </w:rPr>
      </w:pPr>
      <w:r w:rsidRPr="001F6DCE">
        <w:rPr>
          <w:b/>
        </w:rPr>
        <w:t>Pharmaceutical</w:t>
      </w:r>
      <w:r w:rsidRPr="001F6DCE">
        <w:rPr>
          <w:rFonts w:eastAsia="Calibri"/>
          <w:b/>
          <w:bCs/>
          <w:lang w:val="en-US"/>
        </w:rPr>
        <w:t xml:space="preserve"> wastes management (</w:t>
      </w:r>
      <w:proofErr w:type="spellStart"/>
      <w:r w:rsidRPr="001F6DCE">
        <w:rPr>
          <w:rFonts w:eastAsia="Calibri"/>
          <w:b/>
          <w:bCs/>
          <w:lang w:val="en-US"/>
        </w:rPr>
        <w:t>PhWM</w:t>
      </w:r>
      <w:proofErr w:type="spellEnd"/>
      <w:r w:rsidRPr="001F6DCE">
        <w:rPr>
          <w:rFonts w:eastAsia="Calibri"/>
          <w:b/>
          <w:bCs/>
          <w:lang w:val="en-US"/>
        </w:rPr>
        <w:t>)</w:t>
      </w:r>
    </w:p>
    <w:p w14:paraId="05F91EBC" w14:textId="77777777" w:rsidR="00A55415" w:rsidRPr="001F6DCE" w:rsidRDefault="00A55415" w:rsidP="00A04983">
      <w:pPr>
        <w:jc w:val="both"/>
        <w:rPr>
          <w:rFonts w:eastAsia="Calibri"/>
          <w:b/>
          <w:bCs/>
          <w:lang w:val="en-US"/>
        </w:rPr>
      </w:pPr>
    </w:p>
    <w:p w14:paraId="411CD835" w14:textId="77777777" w:rsidR="001B11A0" w:rsidRPr="001F6DCE" w:rsidRDefault="00A55415" w:rsidP="00A04983">
      <w:pPr>
        <w:autoSpaceDE w:val="0"/>
        <w:autoSpaceDN w:val="0"/>
        <w:adjustRightInd w:val="0"/>
        <w:jc w:val="both"/>
        <w:rPr>
          <w:rFonts w:eastAsia="Calibri"/>
          <w:b/>
          <w:lang w:val="en-US"/>
        </w:rPr>
      </w:pPr>
      <w:r w:rsidRPr="001F6DCE">
        <w:rPr>
          <w:rFonts w:eastAsia="Calibri"/>
          <w:b/>
          <w:i/>
          <w:lang w:val="en-US"/>
        </w:rPr>
        <w:t>The scale of the problem</w:t>
      </w:r>
      <w:r w:rsidRPr="001F6DCE">
        <w:rPr>
          <w:rFonts w:eastAsia="Calibri"/>
          <w:b/>
          <w:lang w:val="en-US"/>
        </w:rPr>
        <w:t xml:space="preserve"> </w:t>
      </w:r>
    </w:p>
    <w:p w14:paraId="0A9F2ECA" w14:textId="77777777" w:rsidR="001B11A0" w:rsidRPr="001F6DCE" w:rsidRDefault="001B11A0" w:rsidP="00A04983">
      <w:pPr>
        <w:autoSpaceDE w:val="0"/>
        <w:autoSpaceDN w:val="0"/>
        <w:adjustRightInd w:val="0"/>
        <w:jc w:val="both"/>
        <w:rPr>
          <w:rFonts w:eastAsia="Calibri"/>
          <w:lang w:val="en-US"/>
        </w:rPr>
      </w:pPr>
    </w:p>
    <w:p w14:paraId="17D2C471" w14:textId="77777777" w:rsidR="00A55415" w:rsidRPr="001F6DCE" w:rsidRDefault="00A55415" w:rsidP="003F1B8A">
      <w:pPr>
        <w:pStyle w:val="ListParagraph"/>
        <w:numPr>
          <w:ilvl w:val="0"/>
          <w:numId w:val="16"/>
        </w:numPr>
        <w:ind w:left="0" w:firstLine="0"/>
        <w:jc w:val="both"/>
        <w:rPr>
          <w:rFonts w:eastAsia="Calibri"/>
          <w:color w:val="000000"/>
          <w:lang w:val="en-US"/>
        </w:rPr>
      </w:pPr>
      <w:r w:rsidRPr="001F6DCE">
        <w:rPr>
          <w:rFonts w:eastAsia="Calibri"/>
          <w:lang w:val="en-US"/>
        </w:rPr>
        <w:t xml:space="preserve">Based on data provided by the National Agency </w:t>
      </w:r>
      <w:r w:rsidRPr="001F6DCE">
        <w:rPr>
          <w:rFonts w:eastAsia="Calibri"/>
          <w:color w:val="000000"/>
          <w:lang w:val="en-US"/>
        </w:rPr>
        <w:t xml:space="preserve">for Drugs and Medical Equipment (NADME) annually in the Republic of Moldova are identified large amount of such wastes. The provided data show for 2012 there have been identified the following types and amount of </w:t>
      </w:r>
      <w:proofErr w:type="spellStart"/>
      <w:r w:rsidRPr="001F6DCE">
        <w:rPr>
          <w:rFonts w:eastAsia="Calibri"/>
          <w:color w:val="000000"/>
          <w:lang w:val="en-US"/>
        </w:rPr>
        <w:t>PhWs</w:t>
      </w:r>
      <w:proofErr w:type="spellEnd"/>
      <w:r w:rsidRPr="001F6DCE">
        <w:rPr>
          <w:rFonts w:eastAsia="Calibri"/>
          <w:color w:val="000000"/>
          <w:lang w:val="en-US"/>
        </w:rPr>
        <w:t xml:space="preserve">: (a) 90.000 pills; </w:t>
      </w:r>
      <w:r w:rsidRPr="001F6DCE">
        <w:t>42886</w:t>
      </w:r>
      <w:r w:rsidRPr="001F6DCE">
        <w:rPr>
          <w:rFonts w:eastAsia="Calibri"/>
          <w:color w:val="000000"/>
          <w:lang w:val="en-US"/>
        </w:rPr>
        <w:t xml:space="preserve"> solution; (c) 63036 injections; (d) 42518 capsules; (e) 13372 greases; (f) 43269 specie; (g) 60777 samples with dust; etc. The general trend is the amount of </w:t>
      </w:r>
      <w:proofErr w:type="spellStart"/>
      <w:r w:rsidRPr="001F6DCE">
        <w:rPr>
          <w:rFonts w:eastAsia="Calibri"/>
          <w:color w:val="000000"/>
          <w:lang w:val="en-US"/>
        </w:rPr>
        <w:t>PhWs</w:t>
      </w:r>
      <w:proofErr w:type="spellEnd"/>
      <w:r w:rsidRPr="001F6DCE">
        <w:rPr>
          <w:rFonts w:eastAsia="Calibri"/>
          <w:color w:val="000000"/>
          <w:lang w:val="en-US"/>
        </w:rPr>
        <w:t xml:space="preserve"> is slightly growing.</w:t>
      </w:r>
    </w:p>
    <w:p w14:paraId="0BC6DA5A" w14:textId="77777777" w:rsidR="00A55415" w:rsidRPr="001F6DCE" w:rsidRDefault="00A55415" w:rsidP="00A04983">
      <w:pPr>
        <w:autoSpaceDE w:val="0"/>
        <w:autoSpaceDN w:val="0"/>
        <w:adjustRightInd w:val="0"/>
        <w:jc w:val="both"/>
        <w:rPr>
          <w:rFonts w:eastAsia="Calibri"/>
          <w:lang w:val="en-US"/>
        </w:rPr>
      </w:pPr>
    </w:p>
    <w:p w14:paraId="66B3641E" w14:textId="77777777" w:rsidR="001B11A0" w:rsidRPr="001F6DCE" w:rsidRDefault="00A55415" w:rsidP="00A04983">
      <w:pPr>
        <w:autoSpaceDE w:val="0"/>
        <w:autoSpaceDN w:val="0"/>
        <w:adjustRightInd w:val="0"/>
        <w:jc w:val="both"/>
        <w:rPr>
          <w:rFonts w:eastAsia="Calibri"/>
          <w:b/>
          <w:lang w:val="en-US"/>
        </w:rPr>
      </w:pPr>
      <w:r w:rsidRPr="001F6DCE">
        <w:rPr>
          <w:rFonts w:eastAsia="Calibri"/>
          <w:b/>
          <w:i/>
          <w:lang w:val="en-US"/>
        </w:rPr>
        <w:t>Regulatory framework</w:t>
      </w:r>
    </w:p>
    <w:p w14:paraId="0B14C04C" w14:textId="77777777" w:rsidR="001B11A0" w:rsidRPr="001F6DCE" w:rsidRDefault="001B11A0" w:rsidP="00A04983">
      <w:pPr>
        <w:autoSpaceDE w:val="0"/>
        <w:autoSpaceDN w:val="0"/>
        <w:adjustRightInd w:val="0"/>
        <w:ind w:firstLine="360"/>
        <w:jc w:val="both"/>
        <w:rPr>
          <w:rFonts w:eastAsia="Calibri"/>
          <w:lang w:val="en-US"/>
        </w:rPr>
      </w:pPr>
    </w:p>
    <w:p w14:paraId="3621DE94" w14:textId="21FB6BFB" w:rsidR="00A55415" w:rsidRPr="001F6DCE" w:rsidRDefault="00A55415" w:rsidP="003F1B8A">
      <w:pPr>
        <w:pStyle w:val="ListParagraph"/>
        <w:numPr>
          <w:ilvl w:val="0"/>
          <w:numId w:val="16"/>
        </w:numPr>
        <w:ind w:left="0" w:firstLine="0"/>
        <w:jc w:val="both"/>
        <w:rPr>
          <w:rFonts w:eastAsia="Calibri"/>
          <w:color w:val="000000"/>
          <w:lang w:val="en-US"/>
        </w:rPr>
      </w:pPr>
      <w:r w:rsidRPr="001F6DCE">
        <w:rPr>
          <w:rFonts w:eastAsia="Calibri"/>
          <w:lang w:val="en-US"/>
        </w:rPr>
        <w:t xml:space="preserve">The </w:t>
      </w:r>
      <w:proofErr w:type="spellStart"/>
      <w:r w:rsidRPr="001F6DCE">
        <w:rPr>
          <w:rFonts w:eastAsia="Calibri"/>
          <w:lang w:val="en-US"/>
        </w:rPr>
        <w:t>PhWM</w:t>
      </w:r>
      <w:proofErr w:type="spellEnd"/>
      <w:r w:rsidRPr="001F6DCE">
        <w:rPr>
          <w:rFonts w:eastAsia="Calibri"/>
          <w:lang w:val="en-US"/>
        </w:rPr>
        <w:t xml:space="preserve"> is done in accordance with the </w:t>
      </w:r>
      <w:r w:rsidRPr="001F6DCE">
        <w:rPr>
          <w:rFonts w:eastAsia="Calibri"/>
          <w:iCs/>
          <w:lang w:val="en-US"/>
        </w:rPr>
        <w:t xml:space="preserve">Ordinance </w:t>
      </w:r>
      <w:r w:rsidR="004D587F" w:rsidRPr="001F6DCE">
        <w:rPr>
          <w:rFonts w:eastAsia="Calibri"/>
          <w:iCs/>
          <w:lang w:val="en-US"/>
        </w:rPr>
        <w:t xml:space="preserve">of </w:t>
      </w:r>
      <w:proofErr w:type="spellStart"/>
      <w:r w:rsidR="004D587F" w:rsidRPr="001F6DCE">
        <w:rPr>
          <w:rFonts w:eastAsia="Calibri"/>
          <w:iCs/>
          <w:lang w:val="en-US"/>
        </w:rPr>
        <w:t>GoM</w:t>
      </w:r>
      <w:proofErr w:type="spellEnd"/>
      <w:r w:rsidR="004D587F" w:rsidRPr="001F6DCE">
        <w:rPr>
          <w:rFonts w:eastAsia="Calibri"/>
          <w:iCs/>
          <w:lang w:val="en-US"/>
        </w:rPr>
        <w:t xml:space="preserve"> </w:t>
      </w:r>
      <w:proofErr w:type="spellStart"/>
      <w:r w:rsidRPr="001F6DCE">
        <w:rPr>
          <w:rFonts w:eastAsia="Calibri"/>
          <w:color w:val="000000"/>
          <w:lang w:val="en-US"/>
        </w:rPr>
        <w:t>Nr</w:t>
      </w:r>
      <w:proofErr w:type="spellEnd"/>
      <w:r w:rsidRPr="001F6DCE">
        <w:rPr>
          <w:rFonts w:eastAsia="Calibri"/>
          <w:color w:val="000000"/>
          <w:lang w:val="en-US"/>
        </w:rPr>
        <w:t xml:space="preserve">. 9 from 06.01.06 </w:t>
      </w:r>
      <w:r w:rsidRPr="001F6DCE">
        <w:rPr>
          <w:rFonts w:eastAsia="Calibri"/>
          <w:b/>
          <w:bCs/>
          <w:iCs/>
          <w:color w:val="000000"/>
          <w:lang w:val="en-US"/>
        </w:rPr>
        <w:t>"</w:t>
      </w:r>
      <w:r w:rsidRPr="001F6DCE">
        <w:rPr>
          <w:rFonts w:eastAsia="Calibri"/>
          <w:iCs/>
          <w:lang w:val="en-US"/>
        </w:rPr>
        <w:t>on the Safe Disposal of Outdated, Falsified and</w:t>
      </w:r>
      <w:r w:rsidRPr="001F6DCE">
        <w:rPr>
          <w:rFonts w:eastAsia="Calibri"/>
          <w:lang w:val="en-US"/>
        </w:rPr>
        <w:t xml:space="preserve"> </w:t>
      </w:r>
      <w:r w:rsidRPr="001F6DCE">
        <w:rPr>
          <w:rFonts w:eastAsia="Calibri"/>
          <w:iCs/>
          <w:lang w:val="en-US"/>
        </w:rPr>
        <w:t xml:space="preserve">Unidentified Pharmaceuticals”. By this ordinance it was approved a special Regulation, which </w:t>
      </w:r>
      <w:r w:rsidRPr="001F6DCE">
        <w:rPr>
          <w:rFonts w:eastAsia="Calibri"/>
          <w:lang w:val="en-US"/>
        </w:rPr>
        <w:t xml:space="preserve">specifies the procedures, roles and responsibilities for disposal of pharmaceutical waste in a very strict manner, providing also guidelines for their encapsulation and final disposal at the municipal landfill. Per stipulations of the Regulation, all pharmaceutical owners </w:t>
      </w:r>
      <w:r w:rsidR="00E920F9" w:rsidRPr="001F6DCE">
        <w:rPr>
          <w:rFonts w:eastAsia="Calibri"/>
          <w:lang w:val="en-US"/>
        </w:rPr>
        <w:t>must</w:t>
      </w:r>
      <w:r w:rsidRPr="001F6DCE">
        <w:rPr>
          <w:rFonts w:eastAsia="Calibri"/>
          <w:lang w:val="en-US"/>
        </w:rPr>
        <w:t xml:space="preserve"> assess the </w:t>
      </w:r>
      <w:r w:rsidRPr="001F6DCE">
        <w:rPr>
          <w:rFonts w:eastAsia="Calibri"/>
          <w:color w:val="000000"/>
          <w:lang w:val="en-US"/>
        </w:rPr>
        <w:t xml:space="preserve">need for </w:t>
      </w:r>
      <w:proofErr w:type="spellStart"/>
      <w:r w:rsidRPr="001F6DCE">
        <w:rPr>
          <w:rFonts w:eastAsia="Calibri"/>
          <w:color w:val="000000"/>
          <w:lang w:val="en-US"/>
        </w:rPr>
        <w:t>PhWs</w:t>
      </w:r>
      <w:proofErr w:type="spellEnd"/>
      <w:r w:rsidRPr="001F6DCE">
        <w:rPr>
          <w:rFonts w:eastAsia="Calibri"/>
          <w:color w:val="000000"/>
          <w:lang w:val="en-US"/>
        </w:rPr>
        <w:t xml:space="preserve"> disposal individually in each concrete case, transporting them in about that in 2 months’ time to NADME located in Chisinau city with all associated documents. The decision concerning their disposal is the responsibility of a specially created under the NADME Commission. The Regulation also specifies that </w:t>
      </w:r>
      <w:r w:rsidRPr="001F6DCE">
        <w:rPr>
          <w:rFonts w:eastAsia="Calibri"/>
          <w:lang w:val="en-US"/>
        </w:rPr>
        <w:t xml:space="preserve">a strict </w:t>
      </w:r>
      <w:r w:rsidRPr="001F6DCE">
        <w:rPr>
          <w:rFonts w:eastAsia="Calibri"/>
          <w:lang w:val="en-US"/>
        </w:rPr>
        <w:lastRenderedPageBreak/>
        <w:t xml:space="preserve">monitoring system has been set-up to avoid any misuse of pharmaceutical wastes. All pharmaceutical waste that is outdated or does not respect standards and must be disposed of is listed by the hospital pharmacy or by the drugstore in a specific sheet. Among requested information which should be specified in that sheet are the following: the name of the pharmaceutical unit where </w:t>
      </w:r>
      <w:r w:rsidRPr="001F6DCE">
        <w:rPr>
          <w:rFonts w:eastAsia="Calibri"/>
          <w:color w:val="000000"/>
          <w:lang w:val="en-US"/>
        </w:rPr>
        <w:t>it</w:t>
      </w:r>
      <w:r w:rsidRPr="001F6DCE">
        <w:rPr>
          <w:rFonts w:eastAsia="Calibri"/>
          <w:lang w:val="en-US"/>
        </w:rPr>
        <w:t xml:space="preserve"> is generated, the name of the drug, the type of pharmaceutics, the concentration, the packaging type, the serial number, the quantities, the cause for unused. The pharmaceutical administration must organize the transportation to NADME, present the request and must pay for it. NADME verifies and confirms the necessity to dispose of the drug.</w:t>
      </w:r>
      <w:r w:rsidR="00E920F9" w:rsidRPr="001F6DCE">
        <w:rPr>
          <w:rFonts w:eastAsia="Calibri"/>
          <w:lang w:val="en-US"/>
        </w:rPr>
        <w:t xml:space="preserve"> </w:t>
      </w:r>
    </w:p>
    <w:p w14:paraId="4C64ABBB" w14:textId="77777777" w:rsidR="00A55415" w:rsidRPr="001F6DCE" w:rsidRDefault="00A55415" w:rsidP="00A04983">
      <w:pPr>
        <w:autoSpaceDE w:val="0"/>
        <w:autoSpaceDN w:val="0"/>
        <w:adjustRightInd w:val="0"/>
        <w:jc w:val="both"/>
        <w:rPr>
          <w:rFonts w:eastAsia="Calibri"/>
          <w:lang w:val="en-US"/>
        </w:rPr>
      </w:pPr>
    </w:p>
    <w:p w14:paraId="4D1D0837" w14:textId="77777777" w:rsidR="001B11A0" w:rsidRPr="001F6DCE" w:rsidRDefault="00A55415" w:rsidP="00A04983">
      <w:pPr>
        <w:autoSpaceDE w:val="0"/>
        <w:autoSpaceDN w:val="0"/>
        <w:adjustRightInd w:val="0"/>
        <w:jc w:val="both"/>
        <w:rPr>
          <w:rFonts w:eastAsia="Calibri"/>
          <w:b/>
          <w:lang w:val="en-US"/>
        </w:rPr>
      </w:pPr>
      <w:r w:rsidRPr="001F6DCE">
        <w:rPr>
          <w:rFonts w:eastAsia="Calibri"/>
          <w:b/>
          <w:i/>
          <w:lang w:val="en-US"/>
        </w:rPr>
        <w:t>Institutional setup and capacity</w:t>
      </w:r>
    </w:p>
    <w:p w14:paraId="6DD0F34E" w14:textId="77777777" w:rsidR="001B11A0" w:rsidRPr="001F6DCE" w:rsidRDefault="001B11A0" w:rsidP="00A04983">
      <w:pPr>
        <w:autoSpaceDE w:val="0"/>
        <w:autoSpaceDN w:val="0"/>
        <w:adjustRightInd w:val="0"/>
        <w:ind w:firstLine="360"/>
        <w:jc w:val="both"/>
        <w:rPr>
          <w:rFonts w:eastAsia="Calibri"/>
          <w:lang w:val="en-US"/>
        </w:rPr>
      </w:pPr>
    </w:p>
    <w:p w14:paraId="0412E290" w14:textId="102909CE" w:rsidR="00A55415" w:rsidRPr="001F6DCE" w:rsidRDefault="00A55415" w:rsidP="003F1B8A">
      <w:pPr>
        <w:pStyle w:val="ListParagraph"/>
        <w:numPr>
          <w:ilvl w:val="0"/>
          <w:numId w:val="16"/>
        </w:numPr>
        <w:ind w:left="0" w:firstLine="0"/>
        <w:jc w:val="both"/>
        <w:rPr>
          <w:rFonts w:eastAsia="Calibri"/>
          <w:color w:val="000000"/>
          <w:lang w:val="en-US"/>
        </w:rPr>
      </w:pPr>
      <w:r w:rsidRPr="001F6DCE">
        <w:rPr>
          <w:rFonts w:eastAsia="Calibri"/>
          <w:color w:val="000000"/>
          <w:lang w:val="en-US"/>
        </w:rPr>
        <w:t xml:space="preserve">According to its approved by the </w:t>
      </w:r>
      <w:proofErr w:type="spellStart"/>
      <w:r w:rsidR="00AB062A" w:rsidRPr="001F6DCE">
        <w:rPr>
          <w:rFonts w:eastAsia="Calibri"/>
          <w:color w:val="000000"/>
          <w:lang w:val="en-US"/>
        </w:rPr>
        <w:t>G</w:t>
      </w:r>
      <w:r w:rsidR="008C3ADC" w:rsidRPr="001F6DCE">
        <w:rPr>
          <w:rFonts w:eastAsia="Calibri"/>
          <w:color w:val="000000"/>
          <w:lang w:val="en-US"/>
        </w:rPr>
        <w:t>o</w:t>
      </w:r>
      <w:r w:rsidR="00AB062A" w:rsidRPr="001F6DCE">
        <w:rPr>
          <w:rFonts w:eastAsia="Calibri"/>
          <w:color w:val="000000"/>
          <w:lang w:val="en-US"/>
        </w:rPr>
        <w:t>M</w:t>
      </w:r>
      <w:proofErr w:type="spellEnd"/>
      <w:r w:rsidRPr="001F6DCE">
        <w:rPr>
          <w:rFonts w:eastAsia="Calibri"/>
          <w:color w:val="000000"/>
          <w:lang w:val="en-US"/>
        </w:rPr>
        <w:t xml:space="preserve"> (no 71 from January 23, 2013) the NADME </w:t>
      </w:r>
      <w:r w:rsidRPr="001F6DCE">
        <w:rPr>
          <w:bCs/>
          <w:color w:val="000000"/>
          <w:lang w:val="en-US"/>
        </w:rPr>
        <w:t xml:space="preserve">has as one of its main responsibility “organization, supervision and/or safe disposal of pharmaceutical wastes”. As the main decision body with regard to </w:t>
      </w:r>
      <w:proofErr w:type="spellStart"/>
      <w:r w:rsidRPr="001F6DCE">
        <w:rPr>
          <w:bCs/>
          <w:color w:val="000000"/>
          <w:lang w:val="en-US"/>
        </w:rPr>
        <w:t>PhW</w:t>
      </w:r>
      <w:proofErr w:type="spellEnd"/>
      <w:r w:rsidRPr="001F6DCE">
        <w:rPr>
          <w:bCs/>
          <w:color w:val="000000"/>
          <w:lang w:val="en-US"/>
        </w:rPr>
        <w:t xml:space="preserve"> disposal is assigned a special Commission, </w:t>
      </w:r>
      <w:r w:rsidRPr="001F6DCE">
        <w:rPr>
          <w:rFonts w:eastAsia="Calibri"/>
          <w:lang w:val="en-US"/>
        </w:rPr>
        <w:t>composed by the Chief</w:t>
      </w:r>
      <w:r w:rsidRPr="001F6DCE">
        <w:rPr>
          <w:rFonts w:eastAsia="Calibri"/>
          <w:color w:val="000000"/>
          <w:lang w:val="en-US"/>
        </w:rPr>
        <w:t xml:space="preserve"> of Quality control of NADME (as chairman); representatives from NADME, </w:t>
      </w:r>
      <w:r w:rsidR="00B9074B" w:rsidRPr="001F6DCE">
        <w:rPr>
          <w:rFonts w:eastAsia="Calibri"/>
          <w:color w:val="000000"/>
          <w:lang w:val="en-US"/>
        </w:rPr>
        <w:t>State Ecologic Inspection</w:t>
      </w:r>
      <w:r w:rsidRPr="001F6DCE">
        <w:rPr>
          <w:rFonts w:eastAsia="Calibri"/>
          <w:color w:val="000000"/>
          <w:lang w:val="en-US"/>
        </w:rPr>
        <w:t xml:space="preserve">, from permanent Drugs Commission of the Republic of Moldova, and National </w:t>
      </w:r>
      <w:r w:rsidR="00E920F9" w:rsidRPr="001F6DCE">
        <w:rPr>
          <w:rFonts w:eastAsia="Calibri"/>
          <w:color w:val="000000"/>
          <w:lang w:val="en-US"/>
        </w:rPr>
        <w:t xml:space="preserve">Public </w:t>
      </w:r>
      <w:r w:rsidRPr="001F6DCE">
        <w:rPr>
          <w:rFonts w:eastAsia="Calibri"/>
          <w:color w:val="000000"/>
          <w:lang w:val="en-US"/>
        </w:rPr>
        <w:t>Health</w:t>
      </w:r>
      <w:r w:rsidR="00E920F9" w:rsidRPr="001F6DCE">
        <w:rPr>
          <w:rFonts w:eastAsia="Calibri"/>
          <w:color w:val="000000"/>
          <w:lang w:val="en-US"/>
        </w:rPr>
        <w:t xml:space="preserve"> Agency</w:t>
      </w:r>
      <w:r w:rsidRPr="001F6DCE">
        <w:rPr>
          <w:rFonts w:eastAsia="Calibri"/>
          <w:color w:val="000000"/>
          <w:lang w:val="en-US"/>
        </w:rPr>
        <w:t xml:space="preserve">. The Commission has in its responsibilities to analyze presented for disposal </w:t>
      </w:r>
      <w:proofErr w:type="spellStart"/>
      <w:r w:rsidRPr="001F6DCE">
        <w:rPr>
          <w:rFonts w:eastAsia="Calibri"/>
          <w:color w:val="000000"/>
          <w:lang w:val="en-US"/>
        </w:rPr>
        <w:t>PhWs</w:t>
      </w:r>
      <w:proofErr w:type="spellEnd"/>
      <w:r w:rsidRPr="001F6DCE">
        <w:rPr>
          <w:rFonts w:eastAsia="Calibri"/>
          <w:color w:val="000000"/>
          <w:lang w:val="en-US"/>
        </w:rPr>
        <w:t xml:space="preserve"> and to decide and approve disposal methods, carrying a strict evidence of disposed wastes, as well as to </w:t>
      </w:r>
      <w:r w:rsidRPr="001F6DCE">
        <w:rPr>
          <w:rFonts w:eastAsia="Calibri"/>
          <w:lang w:val="en-US"/>
        </w:rPr>
        <w:t xml:space="preserve">supervise the collection and disposal of the wastes. </w:t>
      </w:r>
      <w:r w:rsidRPr="001F6DCE">
        <w:rPr>
          <w:rFonts w:eastAsia="Calibri"/>
          <w:color w:val="000000"/>
          <w:lang w:val="en-US"/>
        </w:rPr>
        <w:t xml:space="preserve">The main </w:t>
      </w:r>
      <w:r w:rsidRPr="001F6DCE">
        <w:rPr>
          <w:rFonts w:eastAsia="Calibri"/>
          <w:lang w:val="en-US"/>
        </w:rPr>
        <w:t>controlling</w:t>
      </w:r>
      <w:r w:rsidRPr="001F6DCE">
        <w:rPr>
          <w:rFonts w:eastAsia="Calibri"/>
          <w:color w:val="000000"/>
          <w:lang w:val="en-US"/>
        </w:rPr>
        <w:t xml:space="preserve"> institution in the domain it is the Pharmaceutical Inspectorate which in direct subordination of the NADME Director.</w:t>
      </w:r>
      <w:r w:rsidRPr="001F6DCE">
        <w:rPr>
          <w:bCs/>
          <w:color w:val="000000"/>
          <w:lang w:val="en-US"/>
        </w:rPr>
        <w:t xml:space="preserve"> For the purpose practical </w:t>
      </w:r>
      <w:proofErr w:type="spellStart"/>
      <w:r w:rsidRPr="001F6DCE">
        <w:rPr>
          <w:bCs/>
          <w:color w:val="000000"/>
          <w:lang w:val="en-US"/>
        </w:rPr>
        <w:t>PhWs</w:t>
      </w:r>
      <w:proofErr w:type="spellEnd"/>
      <w:r w:rsidRPr="001F6DCE">
        <w:rPr>
          <w:bCs/>
          <w:color w:val="000000"/>
          <w:lang w:val="en-US"/>
        </w:rPr>
        <w:t xml:space="preserve"> disposal in NADME structure was created a special division which is composed by 3 staff members. This unit is also responsible also to keep in its files all relevant information about the existing </w:t>
      </w:r>
      <w:proofErr w:type="spellStart"/>
      <w:r w:rsidRPr="001F6DCE">
        <w:rPr>
          <w:bCs/>
          <w:color w:val="000000"/>
          <w:lang w:val="en-US"/>
        </w:rPr>
        <w:t>P</w:t>
      </w:r>
      <w:r w:rsidR="00B9074B" w:rsidRPr="001F6DCE">
        <w:rPr>
          <w:bCs/>
          <w:color w:val="000000"/>
          <w:lang w:val="en-US"/>
        </w:rPr>
        <w:t>h</w:t>
      </w:r>
      <w:r w:rsidRPr="001F6DCE">
        <w:rPr>
          <w:bCs/>
          <w:color w:val="000000"/>
          <w:lang w:val="en-US"/>
        </w:rPr>
        <w:t>Ws</w:t>
      </w:r>
      <w:proofErr w:type="spellEnd"/>
      <w:r w:rsidRPr="001F6DCE">
        <w:rPr>
          <w:bCs/>
          <w:color w:val="000000"/>
          <w:lang w:val="en-US"/>
        </w:rPr>
        <w:t xml:space="preserve"> and their disposal.</w:t>
      </w:r>
    </w:p>
    <w:p w14:paraId="638A5F17" w14:textId="77777777" w:rsidR="004D587F" w:rsidRPr="001F6DCE" w:rsidRDefault="004D587F" w:rsidP="00A04983">
      <w:pPr>
        <w:autoSpaceDE w:val="0"/>
        <w:autoSpaceDN w:val="0"/>
        <w:adjustRightInd w:val="0"/>
        <w:jc w:val="both"/>
        <w:rPr>
          <w:rFonts w:eastAsia="Calibri"/>
          <w:b/>
          <w:i/>
          <w:lang w:val="en-US"/>
        </w:rPr>
      </w:pPr>
    </w:p>
    <w:p w14:paraId="4E6ED8B6" w14:textId="77777777" w:rsidR="001B11A0" w:rsidRPr="001F6DCE" w:rsidRDefault="00F0036A" w:rsidP="00A04983">
      <w:pPr>
        <w:autoSpaceDE w:val="0"/>
        <w:autoSpaceDN w:val="0"/>
        <w:adjustRightInd w:val="0"/>
        <w:jc w:val="both"/>
        <w:rPr>
          <w:rFonts w:eastAsia="Calibri"/>
          <w:b/>
          <w:i/>
          <w:lang w:val="en-US"/>
        </w:rPr>
      </w:pPr>
      <w:r w:rsidRPr="001F6DCE">
        <w:rPr>
          <w:rFonts w:eastAsia="Calibri"/>
          <w:b/>
          <w:i/>
          <w:lang w:val="en-US"/>
        </w:rPr>
        <w:t xml:space="preserve">Payment for </w:t>
      </w:r>
      <w:proofErr w:type="spellStart"/>
      <w:r w:rsidRPr="001F6DCE">
        <w:rPr>
          <w:rFonts w:eastAsia="Calibri"/>
          <w:b/>
          <w:i/>
          <w:lang w:val="en-US"/>
        </w:rPr>
        <w:t>PhW</w:t>
      </w:r>
      <w:proofErr w:type="spellEnd"/>
      <w:r w:rsidRPr="001F6DCE">
        <w:rPr>
          <w:rFonts w:eastAsia="Calibri"/>
          <w:b/>
          <w:i/>
          <w:lang w:val="en-US"/>
        </w:rPr>
        <w:t xml:space="preserve"> disposal</w:t>
      </w:r>
      <w:r w:rsidR="00A55415" w:rsidRPr="001F6DCE">
        <w:rPr>
          <w:rFonts w:eastAsia="Calibri"/>
          <w:b/>
          <w:i/>
          <w:lang w:val="en-US"/>
        </w:rPr>
        <w:t xml:space="preserve"> </w:t>
      </w:r>
    </w:p>
    <w:p w14:paraId="0D7C926A" w14:textId="77777777" w:rsidR="001B11A0" w:rsidRPr="001F6DCE" w:rsidRDefault="001B11A0" w:rsidP="00A04983">
      <w:pPr>
        <w:autoSpaceDE w:val="0"/>
        <w:autoSpaceDN w:val="0"/>
        <w:adjustRightInd w:val="0"/>
        <w:ind w:firstLine="360"/>
        <w:jc w:val="both"/>
        <w:rPr>
          <w:rFonts w:eastAsia="Calibri"/>
          <w:i/>
          <w:lang w:val="en-US"/>
        </w:rPr>
      </w:pPr>
    </w:p>
    <w:p w14:paraId="7F09AD3E" w14:textId="77777777" w:rsidR="00A55415" w:rsidRPr="001F6DCE" w:rsidRDefault="00A55415" w:rsidP="003F1B8A">
      <w:pPr>
        <w:pStyle w:val="ListParagraph"/>
        <w:numPr>
          <w:ilvl w:val="0"/>
          <w:numId w:val="16"/>
        </w:numPr>
        <w:ind w:left="0" w:firstLine="0"/>
        <w:jc w:val="both"/>
        <w:rPr>
          <w:rFonts w:eastAsia="Calibri"/>
          <w:lang w:val="en-US"/>
        </w:rPr>
      </w:pPr>
      <w:r w:rsidRPr="001F6DCE">
        <w:rPr>
          <w:rFonts w:eastAsia="Calibri"/>
          <w:lang w:val="en-US"/>
        </w:rPr>
        <w:t xml:space="preserve">The legislation in the domain specifies the </w:t>
      </w:r>
      <w:proofErr w:type="spellStart"/>
      <w:r w:rsidRPr="001F6DCE">
        <w:rPr>
          <w:rFonts w:eastAsia="Calibri"/>
          <w:lang w:val="en-US"/>
        </w:rPr>
        <w:t>PhWs</w:t>
      </w:r>
      <w:proofErr w:type="spellEnd"/>
      <w:r w:rsidRPr="001F6DCE">
        <w:rPr>
          <w:rFonts w:eastAsia="Calibri"/>
          <w:lang w:val="en-US"/>
        </w:rPr>
        <w:t xml:space="preserve"> disposal is done against relevant payment. In this regard, the </w:t>
      </w:r>
      <w:r w:rsidR="00AB062A" w:rsidRPr="001F6DCE">
        <w:rPr>
          <w:rFonts w:eastAsia="Calibri"/>
          <w:lang w:val="en-US"/>
        </w:rPr>
        <w:t>MOH</w:t>
      </w:r>
      <w:r w:rsidRPr="001F6DCE">
        <w:rPr>
          <w:rFonts w:eastAsia="Calibri"/>
          <w:lang w:val="en-US"/>
        </w:rPr>
        <w:t xml:space="preserve"> has adopted in 2006 a special Decision (no. 9 from 06.06.2006) where are specified the tariffs for different types of </w:t>
      </w:r>
      <w:proofErr w:type="spellStart"/>
      <w:r w:rsidRPr="001F6DCE">
        <w:rPr>
          <w:rFonts w:eastAsia="Calibri"/>
          <w:lang w:val="en-US"/>
        </w:rPr>
        <w:t>PhW</w:t>
      </w:r>
      <w:proofErr w:type="spellEnd"/>
      <w:r w:rsidRPr="001F6DCE">
        <w:rPr>
          <w:rFonts w:eastAsia="Calibri"/>
          <w:lang w:val="en-US"/>
        </w:rPr>
        <w:t xml:space="preserve"> disposal which should be covered by the owner of the wastes. As informed by the Chief of Waste Disposal Division of the NADME, while the current tariffs level is not high enough to provide opportunities for collecting necessary revenues for additional investments in the domain, they are sufficient to cover associated costs for Division’s staff costs and operation. </w:t>
      </w:r>
    </w:p>
    <w:p w14:paraId="31482154" w14:textId="77777777" w:rsidR="00A55415" w:rsidRPr="001F6DCE" w:rsidRDefault="00A55415" w:rsidP="00A04983">
      <w:pPr>
        <w:autoSpaceDE w:val="0"/>
        <w:autoSpaceDN w:val="0"/>
        <w:adjustRightInd w:val="0"/>
        <w:ind w:firstLine="360"/>
        <w:jc w:val="both"/>
        <w:rPr>
          <w:rFonts w:eastAsia="Calibri"/>
          <w:bCs/>
          <w:i/>
          <w:color w:val="000000"/>
          <w:lang w:val="en-US"/>
        </w:rPr>
      </w:pPr>
    </w:p>
    <w:p w14:paraId="37336C75" w14:textId="77777777" w:rsidR="001B11A0" w:rsidRPr="001F6DCE" w:rsidRDefault="00A55415" w:rsidP="00A04983">
      <w:pPr>
        <w:autoSpaceDE w:val="0"/>
        <w:autoSpaceDN w:val="0"/>
        <w:adjustRightInd w:val="0"/>
        <w:jc w:val="both"/>
        <w:rPr>
          <w:rFonts w:eastAsia="Calibri"/>
          <w:b/>
          <w:lang w:val="en-US"/>
        </w:rPr>
      </w:pPr>
      <w:r w:rsidRPr="001F6DCE">
        <w:rPr>
          <w:rFonts w:eastAsia="Calibri"/>
          <w:b/>
          <w:bCs/>
          <w:i/>
          <w:color w:val="000000"/>
          <w:lang w:val="en-US"/>
        </w:rPr>
        <w:t xml:space="preserve">The effectiveness of </w:t>
      </w:r>
      <w:proofErr w:type="spellStart"/>
      <w:r w:rsidRPr="001F6DCE">
        <w:rPr>
          <w:rFonts w:eastAsia="Calibri"/>
          <w:b/>
          <w:bCs/>
          <w:i/>
          <w:color w:val="000000"/>
          <w:lang w:val="en-US"/>
        </w:rPr>
        <w:t>PhWM</w:t>
      </w:r>
      <w:proofErr w:type="spellEnd"/>
    </w:p>
    <w:p w14:paraId="4AD48F48" w14:textId="77777777" w:rsidR="001B11A0" w:rsidRPr="001F6DCE" w:rsidRDefault="001B11A0" w:rsidP="00A04983">
      <w:pPr>
        <w:autoSpaceDE w:val="0"/>
        <w:autoSpaceDN w:val="0"/>
        <w:adjustRightInd w:val="0"/>
        <w:ind w:firstLine="360"/>
        <w:jc w:val="both"/>
        <w:rPr>
          <w:rFonts w:eastAsia="Calibri"/>
          <w:lang w:val="en-US"/>
        </w:rPr>
      </w:pPr>
    </w:p>
    <w:p w14:paraId="5789A1A2" w14:textId="39D5BC1A" w:rsidR="00A55415" w:rsidRPr="001F6DCE" w:rsidRDefault="00A55415" w:rsidP="003F1B8A">
      <w:pPr>
        <w:pStyle w:val="ListParagraph"/>
        <w:numPr>
          <w:ilvl w:val="0"/>
          <w:numId w:val="16"/>
        </w:numPr>
        <w:ind w:left="0" w:firstLine="0"/>
        <w:jc w:val="both"/>
        <w:rPr>
          <w:rFonts w:eastAsia="Calibri"/>
          <w:lang w:val="en-US"/>
        </w:rPr>
      </w:pPr>
      <w:r w:rsidRPr="001F6DCE">
        <w:rPr>
          <w:rFonts w:eastAsia="Calibri"/>
          <w:lang w:val="en-US"/>
        </w:rPr>
        <w:t xml:space="preserve">The overall impression of the WB mission is the country has an efficient system in this regard. Pharmaceutical wastes are collected separately from the other categories of HCW, are under strict evidence and monitoring and quiet efficiently </w:t>
      </w:r>
      <w:r w:rsidR="00C80254" w:rsidRPr="001F6DCE">
        <w:rPr>
          <w:rFonts w:eastAsia="Calibri"/>
          <w:lang w:val="en-US"/>
        </w:rPr>
        <w:t>disposed</w:t>
      </w:r>
      <w:r w:rsidRPr="001F6DCE">
        <w:rPr>
          <w:rFonts w:eastAsia="Calibri"/>
          <w:lang w:val="en-US"/>
        </w:rPr>
        <w:t>. Furthermore, as was seen by the mission, by using cement and 15</w:t>
      </w:r>
      <w:r w:rsidR="00AB062A" w:rsidRPr="001F6DCE">
        <w:rPr>
          <w:rFonts w:eastAsia="Calibri"/>
          <w:lang w:val="en-US"/>
        </w:rPr>
        <w:t xml:space="preserve"> percent</w:t>
      </w:r>
      <w:r w:rsidRPr="001F6DCE">
        <w:rPr>
          <w:rFonts w:eastAsia="Calibri"/>
          <w:lang w:val="en-US"/>
        </w:rPr>
        <w:t xml:space="preserve"> of water they are well encapsulated in paper boxes (initially in plastic and/or metallic drums which was not practical and currently in cardboard boxes) in a central place in NADME facilities. After encapsulating the wastes are buried in a landfill located 30 km from Chisinau. The waste burring is observed at the site at landfill by the Chief of Division which makes sure after </w:t>
      </w:r>
      <w:proofErr w:type="spellStart"/>
      <w:r w:rsidRPr="001F6DCE">
        <w:rPr>
          <w:rFonts w:eastAsia="Calibri"/>
          <w:lang w:val="en-US"/>
        </w:rPr>
        <w:t>PhWs</w:t>
      </w:r>
      <w:proofErr w:type="spellEnd"/>
      <w:r w:rsidRPr="001F6DCE">
        <w:rPr>
          <w:rFonts w:eastAsia="Calibri"/>
          <w:lang w:val="en-US"/>
        </w:rPr>
        <w:t xml:space="preserve"> disposal at landfill they are covered by a soil cover. While in NADME the mission was presented with the information about all steps of </w:t>
      </w:r>
      <w:proofErr w:type="spellStart"/>
      <w:r w:rsidRPr="001F6DCE">
        <w:rPr>
          <w:rFonts w:eastAsia="Calibri"/>
          <w:lang w:val="en-US"/>
        </w:rPr>
        <w:t>PhWs</w:t>
      </w:r>
      <w:proofErr w:type="spellEnd"/>
      <w:r w:rsidRPr="001F6DCE">
        <w:rPr>
          <w:rFonts w:eastAsia="Calibri"/>
          <w:lang w:val="en-US"/>
        </w:rPr>
        <w:t xml:space="preserve"> </w:t>
      </w:r>
      <w:r w:rsidRPr="001F6DCE">
        <w:rPr>
          <w:rFonts w:eastAsia="Calibri"/>
          <w:lang w:val="en-US"/>
        </w:rPr>
        <w:lastRenderedPageBreak/>
        <w:t xml:space="preserve">disposal, starting from identifying them, until final disposal. In this regard the Division keeps in e-format all necessary documents: about the received quantity of wastes; their composition; all decisions of NADME </w:t>
      </w:r>
      <w:proofErr w:type="spellStart"/>
      <w:r w:rsidRPr="001F6DCE">
        <w:rPr>
          <w:rFonts w:eastAsia="Calibri"/>
          <w:lang w:val="en-US"/>
        </w:rPr>
        <w:t>PhWs</w:t>
      </w:r>
      <w:proofErr w:type="spellEnd"/>
      <w:r w:rsidRPr="001F6DCE">
        <w:rPr>
          <w:rFonts w:eastAsia="Calibri"/>
          <w:lang w:val="en-US"/>
        </w:rPr>
        <w:t xml:space="preserve"> Commission; about provided by waste owners payments; about type and quantity of disposed wastes; about made payments to municipality landfill administration, etc. Thus</w:t>
      </w:r>
      <w:r w:rsidR="00EA71D3" w:rsidRPr="001F6DCE">
        <w:rPr>
          <w:rFonts w:eastAsia="Calibri"/>
          <w:lang w:val="en-US"/>
        </w:rPr>
        <w:t>,</w:t>
      </w:r>
      <w:r w:rsidRPr="001F6DCE">
        <w:rPr>
          <w:rFonts w:eastAsia="Calibri"/>
          <w:lang w:val="en-US"/>
        </w:rPr>
        <w:t xml:space="preserve"> it is possible to conclude overall the system of </w:t>
      </w:r>
      <w:proofErr w:type="spellStart"/>
      <w:r w:rsidRPr="001F6DCE">
        <w:rPr>
          <w:rFonts w:eastAsia="Calibri"/>
          <w:lang w:val="en-US"/>
        </w:rPr>
        <w:t>PhWs</w:t>
      </w:r>
      <w:proofErr w:type="spellEnd"/>
      <w:r w:rsidRPr="001F6DCE">
        <w:rPr>
          <w:rFonts w:eastAsia="Calibri"/>
          <w:lang w:val="en-US"/>
        </w:rPr>
        <w:t xml:space="preserve"> disposal works quite efficiently in the country. </w:t>
      </w:r>
    </w:p>
    <w:p w14:paraId="560AB3F1" w14:textId="77777777" w:rsidR="00756EB6" w:rsidRPr="001F6DCE" w:rsidRDefault="00756EB6" w:rsidP="00756EB6">
      <w:pPr>
        <w:jc w:val="both"/>
        <w:rPr>
          <w:b/>
        </w:rPr>
      </w:pPr>
    </w:p>
    <w:p w14:paraId="73A61A8F" w14:textId="77777777" w:rsidR="00DC4F5A" w:rsidRPr="001F6DCE" w:rsidRDefault="001B11A0" w:rsidP="003F1B8A">
      <w:pPr>
        <w:pStyle w:val="ListParagraph"/>
        <w:numPr>
          <w:ilvl w:val="0"/>
          <w:numId w:val="19"/>
        </w:numPr>
        <w:ind w:hanging="720"/>
        <w:jc w:val="both"/>
        <w:rPr>
          <w:b/>
        </w:rPr>
      </w:pPr>
      <w:r w:rsidRPr="001F6DCE">
        <w:rPr>
          <w:b/>
        </w:rPr>
        <w:t>PROGRAM’S POTENTIAL SOCIAL IMPACTS</w:t>
      </w:r>
    </w:p>
    <w:p w14:paraId="4655E360" w14:textId="77777777" w:rsidR="00CD6F97" w:rsidRPr="001F6DCE" w:rsidRDefault="00CD6F97" w:rsidP="00A04983">
      <w:pPr>
        <w:jc w:val="both"/>
        <w:rPr>
          <w:i/>
          <w:u w:val="single"/>
        </w:rPr>
      </w:pPr>
    </w:p>
    <w:p w14:paraId="6800A46D" w14:textId="77777777" w:rsidR="00BC2046" w:rsidRPr="001F6DCE" w:rsidRDefault="00BC2046" w:rsidP="003F1B8A">
      <w:pPr>
        <w:jc w:val="both"/>
        <w:rPr>
          <w:b/>
        </w:rPr>
      </w:pPr>
      <w:r w:rsidRPr="001F6DCE">
        <w:rPr>
          <w:b/>
        </w:rPr>
        <w:t xml:space="preserve">The scale of the impact </w:t>
      </w:r>
    </w:p>
    <w:p w14:paraId="7BB0DF88" w14:textId="77777777" w:rsidR="00BC2046" w:rsidRPr="001F6DCE" w:rsidRDefault="00BC2046" w:rsidP="00A04983">
      <w:pPr>
        <w:pStyle w:val="ListParagraph"/>
        <w:ind w:left="0"/>
        <w:jc w:val="both"/>
        <w:rPr>
          <w:b/>
        </w:rPr>
      </w:pPr>
    </w:p>
    <w:p w14:paraId="4B7C60DD" w14:textId="1169F0B7" w:rsidR="003F1B8A" w:rsidRPr="001F6DCE" w:rsidRDefault="00BC2046" w:rsidP="00A04983">
      <w:pPr>
        <w:pStyle w:val="ListParagraph"/>
        <w:numPr>
          <w:ilvl w:val="0"/>
          <w:numId w:val="16"/>
        </w:numPr>
        <w:ind w:left="0" w:firstLine="0"/>
        <w:jc w:val="both"/>
      </w:pPr>
      <w:r w:rsidRPr="001F6DCE">
        <w:t>Major healthcare reforms were undertaken in the early 2000s, including large reduction in hospital overcapacity (from approximately 300 hospitals in 2001 to 73 in 2012) and the introduction of mandatory health insurance and family medicine in 2004 and 2005 respectively. However, the reform agenda remains unfinished: there is still substantial overcapacity in the hospital sector that requires further optimization, primary care does not fully execute its gatekeeping functions, out-of-pocket expenditures remain high and non-communicable diseases continue to expand rapidly.</w:t>
      </w:r>
    </w:p>
    <w:p w14:paraId="7D9CCCE2" w14:textId="77777777" w:rsidR="003F1B8A" w:rsidRPr="001F6DCE" w:rsidRDefault="003F1B8A" w:rsidP="003F1B8A">
      <w:pPr>
        <w:pStyle w:val="ListParagraph"/>
        <w:ind w:left="0"/>
        <w:jc w:val="both"/>
      </w:pPr>
    </w:p>
    <w:p w14:paraId="036CE8B3" w14:textId="77777777" w:rsidR="00BC2046" w:rsidRPr="001F6DCE" w:rsidRDefault="00BC2046" w:rsidP="00A04983">
      <w:pPr>
        <w:pStyle w:val="ListParagraph"/>
        <w:numPr>
          <w:ilvl w:val="0"/>
          <w:numId w:val="16"/>
        </w:numPr>
        <w:ind w:left="0" w:firstLine="0"/>
        <w:jc w:val="both"/>
      </w:pPr>
      <w:r w:rsidRPr="001F6DCE">
        <w:rPr>
          <w:i/>
        </w:rPr>
        <w:t>Resettlement</w:t>
      </w:r>
      <w:r w:rsidRPr="001F6DCE">
        <w:t xml:space="preserve">: The reform process supported in the framework of the </w:t>
      </w:r>
      <w:proofErr w:type="spellStart"/>
      <w:r w:rsidRPr="001F6DCE">
        <w:t>PforR</w:t>
      </w:r>
      <w:proofErr w:type="spellEnd"/>
      <w:r w:rsidRPr="001F6DCE">
        <w:t xml:space="preserve"> is not supposed to cause any physical or economic displacement as it is focused mostly on the changes in the management systems. Land acquisition is not going to be required as the result of the Bank-supported reform.</w:t>
      </w:r>
    </w:p>
    <w:p w14:paraId="0427D267" w14:textId="77777777" w:rsidR="00BC2046" w:rsidRPr="001F6DCE" w:rsidRDefault="00BC2046" w:rsidP="00A04983">
      <w:pPr>
        <w:pStyle w:val="ListParagraph"/>
        <w:ind w:left="0"/>
        <w:jc w:val="both"/>
      </w:pPr>
    </w:p>
    <w:p w14:paraId="06BF75D0" w14:textId="77777777" w:rsidR="00BC2046" w:rsidRPr="001F6DCE" w:rsidRDefault="001A6322" w:rsidP="003F1B8A">
      <w:pPr>
        <w:pStyle w:val="ListParagraph"/>
        <w:numPr>
          <w:ilvl w:val="0"/>
          <w:numId w:val="16"/>
        </w:numPr>
        <w:ind w:left="0" w:firstLine="0"/>
        <w:jc w:val="both"/>
      </w:pPr>
      <w:r w:rsidRPr="001F6DCE">
        <w:rPr>
          <w:b/>
        </w:rPr>
        <w:t>Social Risk Screening Exercise</w:t>
      </w:r>
      <w:r w:rsidRPr="001F6DCE">
        <w:t xml:space="preserve"> was structured around the four main themes. </w:t>
      </w:r>
      <w:r w:rsidRPr="001F6DCE">
        <w:rPr>
          <w:b/>
        </w:rPr>
        <w:t>The first relates to potential internal and external resistances to changes foreseen by the Program</w:t>
      </w:r>
      <w:r w:rsidRPr="001F6DCE">
        <w:t xml:space="preserve">, notably, </w:t>
      </w:r>
      <w:r w:rsidR="00BC2046" w:rsidRPr="001F6DCE">
        <w:t xml:space="preserve">the </w:t>
      </w:r>
      <w:proofErr w:type="spellStart"/>
      <w:r w:rsidR="00BC2046" w:rsidRPr="001F6DCE">
        <w:t>PforR</w:t>
      </w:r>
      <w:proofErr w:type="spellEnd"/>
      <w:r w:rsidR="00BC2046" w:rsidRPr="001F6DCE">
        <w:t xml:space="preserve"> foresees system changes and upgrades in the ways of providing the health care services (following the defined healthcare path protocols and procedures) and accountability for them (e.g. quality monitoring and control). </w:t>
      </w:r>
    </w:p>
    <w:p w14:paraId="7A176F78" w14:textId="77777777" w:rsidR="003F1B8A" w:rsidRPr="001F6DCE" w:rsidRDefault="003F1B8A" w:rsidP="003F1B8A">
      <w:pPr>
        <w:pStyle w:val="ListParagraph"/>
        <w:ind w:left="0"/>
        <w:jc w:val="both"/>
      </w:pPr>
    </w:p>
    <w:p w14:paraId="701C56A9" w14:textId="77777777" w:rsidR="00BC2046" w:rsidRPr="001F6DCE" w:rsidRDefault="00BC2046" w:rsidP="003F1B8A">
      <w:pPr>
        <w:pStyle w:val="ListParagraph"/>
        <w:numPr>
          <w:ilvl w:val="0"/>
          <w:numId w:val="16"/>
        </w:numPr>
        <w:ind w:left="0" w:firstLine="0"/>
        <w:jc w:val="both"/>
      </w:pPr>
      <w:r w:rsidRPr="001F6DCE">
        <w:t xml:space="preserve">Managing this change will require stakeholders at central level to handle the complexity of the processes: evaluating, planning and implementing actions; adopting appropriate tactics and strategies; making sure that the change is worthwhile and relevant. </w:t>
      </w:r>
    </w:p>
    <w:p w14:paraId="0A358C35" w14:textId="77777777" w:rsidR="003F1B8A" w:rsidRPr="001F6DCE" w:rsidRDefault="003F1B8A" w:rsidP="003F1B8A">
      <w:pPr>
        <w:pStyle w:val="ListParagraph"/>
        <w:ind w:left="0"/>
        <w:jc w:val="both"/>
      </w:pPr>
    </w:p>
    <w:p w14:paraId="435075A4" w14:textId="77777777" w:rsidR="00BC2046" w:rsidRPr="001F6DCE" w:rsidRDefault="00BC2046" w:rsidP="003F1B8A">
      <w:pPr>
        <w:pStyle w:val="ListParagraph"/>
        <w:numPr>
          <w:ilvl w:val="0"/>
          <w:numId w:val="16"/>
        </w:numPr>
        <w:ind w:left="0" w:firstLine="0"/>
        <w:jc w:val="both"/>
      </w:pPr>
      <w:r w:rsidRPr="001F6DCE">
        <w:t xml:space="preserve">As a rule, even if a change is endorsed, those affected by it want to understand why change is happening, when and how they will be affected. </w:t>
      </w:r>
    </w:p>
    <w:p w14:paraId="00BDEAC0" w14:textId="77777777" w:rsidR="003F1B8A" w:rsidRPr="001F6DCE" w:rsidRDefault="003F1B8A" w:rsidP="003F1B8A">
      <w:pPr>
        <w:pStyle w:val="ListParagraph"/>
        <w:ind w:left="0"/>
        <w:jc w:val="both"/>
      </w:pPr>
    </w:p>
    <w:p w14:paraId="10E376E2" w14:textId="77777777" w:rsidR="00BC2046" w:rsidRPr="001F6DCE" w:rsidRDefault="00BC2046" w:rsidP="003F1B8A">
      <w:pPr>
        <w:pStyle w:val="ListParagraph"/>
        <w:numPr>
          <w:ilvl w:val="0"/>
          <w:numId w:val="16"/>
        </w:numPr>
        <w:ind w:left="0" w:firstLine="0"/>
        <w:jc w:val="both"/>
      </w:pPr>
      <w:r w:rsidRPr="001F6DCE">
        <w:t xml:space="preserve">All reform areas outlined in the </w:t>
      </w:r>
      <w:proofErr w:type="spellStart"/>
      <w:r w:rsidRPr="001F6DCE">
        <w:t>PforR</w:t>
      </w:r>
      <w:proofErr w:type="spellEnd"/>
      <w:r w:rsidRPr="001F6DCE">
        <w:t xml:space="preserve"> operation will ultimately lead to higher overall healthcare quality for the patients and better organized and managed system for the employees. Although these changes are overall in favour of patients the employees within the system may oppose to some specific changes, as overall improvements often come at the cost of some objective local loses. </w:t>
      </w:r>
    </w:p>
    <w:p w14:paraId="01547940" w14:textId="77777777" w:rsidR="003F1B8A" w:rsidRPr="001F6DCE" w:rsidRDefault="003F1B8A" w:rsidP="003F1B8A">
      <w:pPr>
        <w:pStyle w:val="ListParagraph"/>
        <w:ind w:left="0"/>
        <w:jc w:val="both"/>
      </w:pPr>
    </w:p>
    <w:p w14:paraId="20BC2D42" w14:textId="28445DE5" w:rsidR="003F1B8A" w:rsidRPr="001F6DCE" w:rsidRDefault="00BC2046" w:rsidP="00A04983">
      <w:pPr>
        <w:pStyle w:val="ListParagraph"/>
        <w:numPr>
          <w:ilvl w:val="0"/>
          <w:numId w:val="16"/>
        </w:numPr>
        <w:ind w:left="0" w:firstLine="0"/>
        <w:jc w:val="both"/>
      </w:pPr>
      <w:r w:rsidRPr="001F6DCE">
        <w:t>Given that there is no culture of preventive visits to the doctor and general perception that to be treated efficiently one needs to be in a hospital, the reduction of the days patient spend</w:t>
      </w:r>
      <w:r w:rsidR="004C2409" w:rsidRPr="001F6DCE">
        <w:t>s</w:t>
      </w:r>
      <w:r w:rsidRPr="001F6DCE">
        <w:t xml:space="preserve"> in </w:t>
      </w:r>
      <w:r w:rsidRPr="001F6DCE">
        <w:lastRenderedPageBreak/>
        <w:t>the hospital and moving to more efficient outpatient practises may create the perception of denial of medical assistance in the population.</w:t>
      </w:r>
    </w:p>
    <w:p w14:paraId="6E21041F" w14:textId="77777777" w:rsidR="003F1B8A" w:rsidRPr="001F6DCE" w:rsidRDefault="003F1B8A" w:rsidP="003F1B8A">
      <w:pPr>
        <w:pStyle w:val="ListParagraph"/>
      </w:pPr>
    </w:p>
    <w:p w14:paraId="03A7FD5F" w14:textId="1217CC8F" w:rsidR="003F1B8A" w:rsidRPr="001F6DCE" w:rsidRDefault="00BC2046" w:rsidP="00A04983">
      <w:pPr>
        <w:pStyle w:val="ListParagraph"/>
        <w:numPr>
          <w:ilvl w:val="0"/>
          <w:numId w:val="16"/>
        </w:numPr>
        <w:ind w:left="0" w:firstLine="0"/>
        <w:contextualSpacing w:val="0"/>
        <w:jc w:val="both"/>
      </w:pPr>
      <w:r w:rsidRPr="001F6DCE">
        <w:t>The introduction of performance-based payment and cross checking on the quality of services delivered with patients may create the feeling of uncertainty and thus resistance in medical professionals.</w:t>
      </w:r>
      <w:r w:rsidR="00334E31" w:rsidRPr="001F6DCE">
        <w:t xml:space="preserve"> In the absence of electronic health record and </w:t>
      </w:r>
      <w:r w:rsidR="007706BA" w:rsidRPr="001F6DCE">
        <w:t xml:space="preserve">integrated </w:t>
      </w:r>
      <w:r w:rsidR="00334E31" w:rsidRPr="001F6DCE">
        <w:t xml:space="preserve">health information management, additional reporting on performance indicators can be perceived as placing additional burden on medical staff. </w:t>
      </w:r>
      <w:r w:rsidR="007706BA" w:rsidRPr="001F6DCE">
        <w:t xml:space="preserve">Furthermore, this may affect accuracy and reliability of data and will require extra effort to verify and validate Program results. </w:t>
      </w:r>
    </w:p>
    <w:p w14:paraId="5EAFCC66" w14:textId="77777777" w:rsidR="003F1B8A" w:rsidRPr="001F6DCE" w:rsidRDefault="003F1B8A" w:rsidP="003F1B8A">
      <w:pPr>
        <w:pStyle w:val="ListParagraph"/>
      </w:pPr>
    </w:p>
    <w:p w14:paraId="19414950" w14:textId="7DB84F09" w:rsidR="001A6322" w:rsidRPr="001F6DCE" w:rsidRDefault="00BC2046" w:rsidP="00A04983">
      <w:pPr>
        <w:pStyle w:val="ListParagraph"/>
        <w:numPr>
          <w:ilvl w:val="0"/>
          <w:numId w:val="16"/>
        </w:numPr>
        <w:ind w:left="0" w:firstLine="0"/>
        <w:contextualSpacing w:val="0"/>
        <w:jc w:val="both"/>
      </w:pPr>
      <w:r w:rsidRPr="001F6DCE">
        <w:t xml:space="preserve">Efficient </w:t>
      </w:r>
      <w:r w:rsidR="00334E31" w:rsidRPr="001F6DCE">
        <w:t xml:space="preserve">and co-ordinated </w:t>
      </w:r>
      <w:r w:rsidRPr="001F6DCE">
        <w:t>change management planning, which includes also competent communication of the planned reforms measures and their overall advantages and fairness to different stakeholders, will be of critical importance for the Program success, i.e. for the success of the reforms supported by the Program.</w:t>
      </w:r>
    </w:p>
    <w:p w14:paraId="78A636E2" w14:textId="77777777" w:rsidR="00FA447C" w:rsidRPr="001F6DCE" w:rsidRDefault="00FA447C" w:rsidP="00A04983">
      <w:pPr>
        <w:pStyle w:val="ListParagraph"/>
        <w:ind w:left="0"/>
        <w:contextualSpacing w:val="0"/>
        <w:jc w:val="both"/>
      </w:pPr>
    </w:p>
    <w:p w14:paraId="1B947E7B" w14:textId="77777777" w:rsidR="00C34F5C" w:rsidRPr="001F6DCE" w:rsidRDefault="001A6322" w:rsidP="00C35E6D">
      <w:pPr>
        <w:pStyle w:val="ListParagraph"/>
        <w:ind w:left="0"/>
        <w:jc w:val="both"/>
        <w:rPr>
          <w:lang w:eastAsia="hr-HR"/>
        </w:rPr>
      </w:pPr>
      <w:r w:rsidRPr="001F6DCE">
        <w:rPr>
          <w:b/>
        </w:rPr>
        <w:t>The second group of potential social impacts is related to social inclusion and equity in access to the health care services</w:t>
      </w:r>
      <w:r w:rsidRPr="001F6DCE">
        <w:t>.</w:t>
      </w:r>
      <w:r w:rsidRPr="001F6DCE">
        <w:rPr>
          <w:lang w:eastAsia="hr-HR"/>
        </w:rPr>
        <w:t xml:space="preserve"> </w:t>
      </w:r>
    </w:p>
    <w:p w14:paraId="2AC4EA42" w14:textId="77777777" w:rsidR="00EA32D5" w:rsidRPr="001F6DCE" w:rsidRDefault="00EA32D5" w:rsidP="00A04983">
      <w:pPr>
        <w:pStyle w:val="ListParagraph"/>
        <w:ind w:left="0"/>
        <w:jc w:val="both"/>
        <w:rPr>
          <w:lang w:eastAsia="hr-HR"/>
        </w:rPr>
      </w:pPr>
    </w:p>
    <w:p w14:paraId="5F5BBAF2" w14:textId="1D19E04B" w:rsidR="00EA32D5" w:rsidRPr="001F6DCE" w:rsidRDefault="00EA32D5" w:rsidP="003F1B8A">
      <w:pPr>
        <w:pStyle w:val="ListParagraph"/>
        <w:numPr>
          <w:ilvl w:val="0"/>
          <w:numId w:val="16"/>
        </w:numPr>
        <w:ind w:left="0" w:firstLine="0"/>
        <w:contextualSpacing w:val="0"/>
        <w:jc w:val="both"/>
        <w:rPr>
          <w:lang w:eastAsia="hr-HR"/>
        </w:rPr>
      </w:pPr>
      <w:r w:rsidRPr="001F6DCE">
        <w:rPr>
          <w:i/>
          <w:lang w:eastAsia="hr-HR"/>
        </w:rPr>
        <w:t xml:space="preserve">Health Financing.  </w:t>
      </w:r>
      <w:r w:rsidRPr="001F6DCE">
        <w:rPr>
          <w:lang w:eastAsia="hr-HR"/>
        </w:rPr>
        <w:t xml:space="preserve">Since 2004, health financing in the Republic of Moldova has been organized </w:t>
      </w:r>
      <w:r w:rsidR="00634932" w:rsidRPr="001F6DCE">
        <w:rPr>
          <w:lang w:eastAsia="hr-HR"/>
        </w:rPr>
        <w:t>in the form of</w:t>
      </w:r>
      <w:r w:rsidRPr="001F6DCE">
        <w:rPr>
          <w:lang w:eastAsia="hr-HR"/>
        </w:rPr>
        <w:t xml:space="preserve"> MHI. Total health expenditure </w:t>
      </w:r>
      <w:r w:rsidR="00634932" w:rsidRPr="001F6DCE">
        <w:rPr>
          <w:lang w:eastAsia="hr-HR"/>
        </w:rPr>
        <w:t xml:space="preserve">was </w:t>
      </w:r>
      <w:r w:rsidR="00334E31" w:rsidRPr="001F6DCE">
        <w:rPr>
          <w:lang w:eastAsia="hr-HR"/>
        </w:rPr>
        <w:t>9</w:t>
      </w:r>
      <w:r w:rsidRPr="001F6DCE">
        <w:rPr>
          <w:lang w:eastAsia="hr-HR"/>
        </w:rPr>
        <w:t>.</w:t>
      </w:r>
      <w:r w:rsidR="00334E31" w:rsidRPr="001F6DCE">
        <w:rPr>
          <w:lang w:eastAsia="hr-HR"/>
        </w:rPr>
        <w:t>8</w:t>
      </w:r>
      <w:r w:rsidR="00AB062A" w:rsidRPr="001F6DCE">
        <w:rPr>
          <w:lang w:eastAsia="hr-HR"/>
        </w:rPr>
        <w:t xml:space="preserve"> percent</w:t>
      </w:r>
      <w:r w:rsidRPr="001F6DCE">
        <w:rPr>
          <w:lang w:eastAsia="hr-HR"/>
        </w:rPr>
        <w:t xml:space="preserve"> of GDP</w:t>
      </w:r>
      <w:r w:rsidR="00634932" w:rsidRPr="001F6DCE">
        <w:rPr>
          <w:lang w:eastAsia="hr-HR"/>
        </w:rPr>
        <w:t xml:space="preserve"> in 2016</w:t>
      </w:r>
      <w:r w:rsidRPr="001F6DCE">
        <w:rPr>
          <w:lang w:eastAsia="hr-HR"/>
        </w:rPr>
        <w:t>. Based on revenue source, 40.3</w:t>
      </w:r>
      <w:r w:rsidR="00AB062A" w:rsidRPr="001F6DCE">
        <w:rPr>
          <w:lang w:eastAsia="hr-HR"/>
        </w:rPr>
        <w:t xml:space="preserve"> percent</w:t>
      </w:r>
      <w:r w:rsidRPr="001F6DCE">
        <w:rPr>
          <w:lang w:eastAsia="hr-HR"/>
        </w:rPr>
        <w:t xml:space="preserve"> of total health expenditure was from MHI contributions and 44.</w:t>
      </w:r>
      <w:r w:rsidR="00634932" w:rsidRPr="001F6DCE">
        <w:rPr>
          <w:lang w:eastAsia="hr-HR"/>
        </w:rPr>
        <w:t>6</w:t>
      </w:r>
      <w:r w:rsidR="00AB062A" w:rsidRPr="001F6DCE">
        <w:rPr>
          <w:lang w:eastAsia="hr-HR"/>
        </w:rPr>
        <w:t xml:space="preserve"> percent</w:t>
      </w:r>
      <w:r w:rsidRPr="001F6DCE">
        <w:rPr>
          <w:lang w:eastAsia="hr-HR"/>
        </w:rPr>
        <w:t xml:space="preserve"> from OOP payments </w:t>
      </w:r>
      <w:r w:rsidR="00634932" w:rsidRPr="001F6DCE">
        <w:rPr>
          <w:lang w:eastAsia="hr-HR"/>
        </w:rPr>
        <w:t>in 2016</w:t>
      </w:r>
      <w:r w:rsidRPr="001F6DCE">
        <w:rPr>
          <w:lang w:eastAsia="hr-HR"/>
        </w:rPr>
        <w:t>. Contributions from the working population come predominantly through payroll contributions of a fixed percentage of salary (</w:t>
      </w:r>
      <w:r w:rsidR="0017600C" w:rsidRPr="001F6DCE">
        <w:rPr>
          <w:lang w:eastAsia="hr-HR"/>
        </w:rPr>
        <w:t>9</w:t>
      </w:r>
      <w:r w:rsidR="00AB062A" w:rsidRPr="001F6DCE">
        <w:rPr>
          <w:lang w:eastAsia="hr-HR"/>
        </w:rPr>
        <w:t xml:space="preserve"> percent</w:t>
      </w:r>
      <w:r w:rsidRPr="001F6DCE">
        <w:rPr>
          <w:lang w:eastAsia="hr-HR"/>
        </w:rPr>
        <w:t xml:space="preserve">: </w:t>
      </w:r>
      <w:r w:rsidR="00CD5D1C" w:rsidRPr="001F6DCE">
        <w:rPr>
          <w:lang w:eastAsia="hr-HR"/>
        </w:rPr>
        <w:t>4</w:t>
      </w:r>
      <w:r w:rsidRPr="001F6DCE">
        <w:rPr>
          <w:lang w:eastAsia="hr-HR"/>
        </w:rPr>
        <w:t>.5</w:t>
      </w:r>
      <w:r w:rsidR="002E5DA8" w:rsidRPr="001F6DCE">
        <w:rPr>
          <w:lang w:eastAsia="hr-HR"/>
        </w:rPr>
        <w:t xml:space="preserve">% </w:t>
      </w:r>
      <w:r w:rsidRPr="001F6DCE">
        <w:rPr>
          <w:lang w:eastAsia="hr-HR"/>
        </w:rPr>
        <w:t xml:space="preserve">to be paid by the employee and </w:t>
      </w:r>
      <w:r w:rsidR="00CD5D1C" w:rsidRPr="001F6DCE">
        <w:rPr>
          <w:lang w:eastAsia="hr-HR"/>
        </w:rPr>
        <w:t>4</w:t>
      </w:r>
      <w:r w:rsidRPr="001F6DCE">
        <w:rPr>
          <w:lang w:eastAsia="hr-HR"/>
        </w:rPr>
        <w:t>.5</w:t>
      </w:r>
      <w:r w:rsidR="002E5DA8" w:rsidRPr="001F6DCE">
        <w:rPr>
          <w:lang w:eastAsia="hr-HR"/>
        </w:rPr>
        <w:t xml:space="preserve">% </w:t>
      </w:r>
      <w:r w:rsidRPr="001F6DCE">
        <w:rPr>
          <w:lang w:eastAsia="hr-HR"/>
        </w:rPr>
        <w:t>to be paid by the employer); the self-employed are expected to purchase their own cover for the year at a fixed price</w:t>
      </w:r>
      <w:r w:rsidR="00CD5D1C" w:rsidRPr="001F6DCE">
        <w:rPr>
          <w:lang w:eastAsia="hr-HR"/>
        </w:rPr>
        <w:t xml:space="preserve"> </w:t>
      </w:r>
      <w:r w:rsidR="002E5DA8" w:rsidRPr="001F6DCE">
        <w:rPr>
          <w:lang w:eastAsia="hr-HR"/>
        </w:rPr>
        <w:t>(</w:t>
      </w:r>
      <w:r w:rsidR="00CD5D1C" w:rsidRPr="001F6DCE">
        <w:rPr>
          <w:lang w:eastAsia="hr-HR"/>
        </w:rPr>
        <w:t>4,056 MDL or US$ 240</w:t>
      </w:r>
      <w:r w:rsidR="002E5DA8" w:rsidRPr="001F6DCE">
        <w:rPr>
          <w:lang w:eastAsia="hr-HR"/>
        </w:rPr>
        <w:t xml:space="preserve"> as of 2018</w:t>
      </w:r>
      <w:r w:rsidR="00CD5D1C" w:rsidRPr="001F6DCE">
        <w:rPr>
          <w:lang w:eastAsia="hr-HR"/>
        </w:rPr>
        <w:t>)</w:t>
      </w:r>
      <w:r w:rsidRPr="001F6DCE">
        <w:rPr>
          <w:lang w:eastAsia="hr-HR"/>
        </w:rPr>
        <w:t>. The non-working population (1</w:t>
      </w:r>
      <w:r w:rsidR="00CD5D1C" w:rsidRPr="001F6DCE">
        <w:rPr>
          <w:lang w:eastAsia="hr-HR"/>
        </w:rPr>
        <w:t>5</w:t>
      </w:r>
      <w:r w:rsidRPr="001F6DCE">
        <w:rPr>
          <w:lang w:eastAsia="hr-HR"/>
        </w:rPr>
        <w:t xml:space="preserve"> categories including pensioners, students, children, registered unemployed, etc.) is covered through transfers from the central budget to the CNAM, which is the pooling agency for prepaid health care funding</w:t>
      </w:r>
      <w:r w:rsidR="003F1B8A" w:rsidRPr="001F6DCE">
        <w:rPr>
          <w:lang w:eastAsia="hr-HR"/>
        </w:rPr>
        <w:t>.</w:t>
      </w:r>
      <w:r w:rsidRPr="001F6DCE">
        <w:rPr>
          <w:rStyle w:val="FootnoteReference"/>
          <w:lang w:eastAsia="hr-HR"/>
        </w:rPr>
        <w:footnoteReference w:id="16"/>
      </w:r>
    </w:p>
    <w:p w14:paraId="5D1FAF01" w14:textId="77777777" w:rsidR="00C35E6D" w:rsidRPr="001F6DCE" w:rsidRDefault="00C35E6D" w:rsidP="00A04983">
      <w:pPr>
        <w:pStyle w:val="ListParagraph"/>
        <w:ind w:left="0"/>
        <w:jc w:val="both"/>
        <w:rPr>
          <w:lang w:eastAsia="hr-HR"/>
        </w:rPr>
      </w:pPr>
    </w:p>
    <w:p w14:paraId="23899215" w14:textId="4D0487A2" w:rsidR="00C34F5C" w:rsidRPr="001F6DCE" w:rsidRDefault="00EA32D5" w:rsidP="00B111A8">
      <w:pPr>
        <w:pStyle w:val="ListParagraph"/>
        <w:numPr>
          <w:ilvl w:val="0"/>
          <w:numId w:val="16"/>
        </w:numPr>
        <w:ind w:left="0" w:firstLine="0"/>
        <w:contextualSpacing w:val="0"/>
        <w:jc w:val="both"/>
        <w:rPr>
          <w:lang w:eastAsia="hr-HR"/>
        </w:rPr>
      </w:pPr>
      <w:r w:rsidRPr="001F6DCE">
        <w:rPr>
          <w:lang w:eastAsia="hr-HR"/>
        </w:rPr>
        <w:t>Despite this</w:t>
      </w:r>
      <w:r w:rsidR="002E5DA8" w:rsidRPr="001F6DCE">
        <w:rPr>
          <w:lang w:eastAsia="hr-HR"/>
        </w:rPr>
        <w:t>,</w:t>
      </w:r>
      <w:r w:rsidRPr="001F6DCE">
        <w:rPr>
          <w:lang w:eastAsia="hr-HR"/>
        </w:rPr>
        <w:t xml:space="preserve"> s</w:t>
      </w:r>
      <w:r w:rsidR="00C34F5C" w:rsidRPr="001F6DCE">
        <w:rPr>
          <w:lang w:eastAsia="hr-HR"/>
        </w:rPr>
        <w:t>ignificant inequalities in access to healthcare services on the basis of socio-economic status exist in Moldova with studies showing that low income groups use significantly less specialist services than higher income groups. Equity issues are also raised by the growth in out of pocket payments which are disproportionately paid by lower income groups sometimes reaching the level of catastrophic expenditures in their household budget. Main groups at risk in terms of low access to quality health services are those being self-employed (particularly in agriculture), unemployed (or unofficially employed), younger age and low income, large families, the elderly and people living in remote areas. The main reason of non-accessing healthcare by vulnerable social groups would be high cost of drugs</w:t>
      </w:r>
      <w:r w:rsidRPr="001F6DCE">
        <w:rPr>
          <w:lang w:eastAsia="hr-HR"/>
        </w:rPr>
        <w:t xml:space="preserve"> </w:t>
      </w:r>
      <w:r w:rsidR="0095087D" w:rsidRPr="001F6DCE">
        <w:rPr>
          <w:lang w:eastAsia="hr-HR"/>
        </w:rPr>
        <w:t xml:space="preserve">not covered by health insurance </w:t>
      </w:r>
      <w:r w:rsidR="00851F16" w:rsidRPr="001F6DCE">
        <w:rPr>
          <w:lang w:eastAsia="hr-HR"/>
        </w:rPr>
        <w:t>and</w:t>
      </w:r>
      <w:r w:rsidRPr="001F6DCE">
        <w:rPr>
          <w:lang w:eastAsia="hr-HR"/>
        </w:rPr>
        <w:t xml:space="preserve"> lack of awareness</w:t>
      </w:r>
      <w:r w:rsidR="00851F16" w:rsidRPr="001F6DCE">
        <w:rPr>
          <w:lang w:eastAsia="hr-HR"/>
        </w:rPr>
        <w:t xml:space="preserve"> about patient’s rights for healthcare</w:t>
      </w:r>
      <w:r w:rsidR="00C34F5C" w:rsidRPr="001F6DCE">
        <w:rPr>
          <w:lang w:eastAsia="hr-HR"/>
        </w:rPr>
        <w:t xml:space="preserve">. </w:t>
      </w:r>
      <w:r w:rsidR="00851F16" w:rsidRPr="001F6DCE">
        <w:rPr>
          <w:lang w:eastAsia="hr-HR"/>
        </w:rPr>
        <w:t xml:space="preserve">Starting with </w:t>
      </w:r>
      <w:r w:rsidR="00C34F5C" w:rsidRPr="001F6DCE">
        <w:rPr>
          <w:lang w:eastAsia="hr-HR"/>
        </w:rPr>
        <w:t>2010, households registered as being below the poverty line</w:t>
      </w:r>
      <w:r w:rsidR="0095087D" w:rsidRPr="001F6DCE">
        <w:rPr>
          <w:lang w:eastAsia="hr-HR"/>
        </w:rPr>
        <w:t xml:space="preserve"> (</w:t>
      </w:r>
      <w:proofErr w:type="spellStart"/>
      <w:r w:rsidR="0095087D" w:rsidRPr="001F6DCE">
        <w:rPr>
          <w:lang w:eastAsia="hr-HR"/>
        </w:rPr>
        <w:t>Ajutor</w:t>
      </w:r>
      <w:proofErr w:type="spellEnd"/>
      <w:r w:rsidR="0095087D" w:rsidRPr="001F6DCE">
        <w:rPr>
          <w:lang w:eastAsia="hr-HR"/>
        </w:rPr>
        <w:t xml:space="preserve"> Social cash benefit program beneficiaries)</w:t>
      </w:r>
      <w:r w:rsidR="00C34F5C" w:rsidRPr="001F6DCE">
        <w:rPr>
          <w:lang w:eastAsia="hr-HR"/>
        </w:rPr>
        <w:t xml:space="preserve"> automatically receive MHI cover.</w:t>
      </w:r>
      <w:r w:rsidR="0095087D" w:rsidRPr="001F6DCE">
        <w:rPr>
          <w:lang w:eastAsia="hr-HR"/>
        </w:rPr>
        <w:t xml:space="preserve"> The coverage with </w:t>
      </w:r>
      <w:r w:rsidR="00851F16" w:rsidRPr="001F6DCE">
        <w:rPr>
          <w:lang w:eastAsia="hr-HR"/>
        </w:rPr>
        <w:t>free health insurance</w:t>
      </w:r>
      <w:r w:rsidR="0095087D" w:rsidRPr="001F6DCE">
        <w:rPr>
          <w:lang w:eastAsia="hr-HR"/>
        </w:rPr>
        <w:t xml:space="preserve"> is only </w:t>
      </w:r>
      <w:r w:rsidR="002E5DA8" w:rsidRPr="001F6DCE">
        <w:rPr>
          <w:lang w:eastAsia="hr-HR"/>
        </w:rPr>
        <w:t>for</w:t>
      </w:r>
      <w:r w:rsidR="0095087D" w:rsidRPr="001F6DCE">
        <w:rPr>
          <w:lang w:eastAsia="hr-HR"/>
        </w:rPr>
        <w:t xml:space="preserve"> the period when people are receiving cash benefit. Therefore</w:t>
      </w:r>
      <w:r w:rsidR="00C34F5C" w:rsidRPr="001F6DCE">
        <w:rPr>
          <w:lang w:eastAsia="hr-HR"/>
        </w:rPr>
        <w:t xml:space="preserve">, </w:t>
      </w:r>
      <w:r w:rsidR="00851F16" w:rsidRPr="001F6DCE">
        <w:rPr>
          <w:lang w:eastAsia="hr-HR"/>
        </w:rPr>
        <w:t xml:space="preserve">given that the number of AS </w:t>
      </w:r>
      <w:r w:rsidR="00851F16" w:rsidRPr="001F6DCE">
        <w:rPr>
          <w:lang w:eastAsia="hr-HR"/>
        </w:rPr>
        <w:lastRenderedPageBreak/>
        <w:t xml:space="preserve">beneficiaries is </w:t>
      </w:r>
      <w:r w:rsidR="00A71EA1" w:rsidRPr="001F6DCE">
        <w:rPr>
          <w:lang w:eastAsia="hr-HR"/>
        </w:rPr>
        <w:t>slightly decreasing during 2016 and 2017 (from 95,000 to 84</w:t>
      </w:r>
      <w:r w:rsidR="00851F16" w:rsidRPr="001F6DCE">
        <w:rPr>
          <w:lang w:eastAsia="hr-HR"/>
        </w:rPr>
        <w:t>,000 persons</w:t>
      </w:r>
      <w:r w:rsidR="00A71EA1" w:rsidRPr="001F6DCE">
        <w:rPr>
          <w:lang w:eastAsia="hr-HR"/>
        </w:rPr>
        <w:t xml:space="preserve"> respectively</w:t>
      </w:r>
      <w:r w:rsidR="00A71EA1" w:rsidRPr="001F6DCE">
        <w:rPr>
          <w:rStyle w:val="FootnoteReference"/>
          <w:lang w:eastAsia="hr-HR"/>
        </w:rPr>
        <w:footnoteReference w:id="17"/>
      </w:r>
      <w:r w:rsidR="00A71EA1" w:rsidRPr="001F6DCE">
        <w:rPr>
          <w:lang w:eastAsia="hr-HR"/>
        </w:rPr>
        <w:t>)</w:t>
      </w:r>
      <w:r w:rsidR="00851F16" w:rsidRPr="001F6DCE">
        <w:rPr>
          <w:lang w:eastAsia="hr-HR"/>
        </w:rPr>
        <w:t xml:space="preserve"> </w:t>
      </w:r>
      <w:r w:rsidR="00C34F5C" w:rsidRPr="001F6DCE">
        <w:rPr>
          <w:lang w:eastAsia="hr-HR"/>
        </w:rPr>
        <w:t xml:space="preserve">this may not </w:t>
      </w:r>
      <w:r w:rsidR="00F53F0E" w:rsidRPr="001F6DCE">
        <w:rPr>
          <w:lang w:eastAsia="hr-HR"/>
        </w:rPr>
        <w:t xml:space="preserve">contribute </w:t>
      </w:r>
      <w:r w:rsidR="002E5DA8" w:rsidRPr="001F6DCE">
        <w:rPr>
          <w:lang w:eastAsia="hr-HR"/>
        </w:rPr>
        <w:t xml:space="preserve">substantially </w:t>
      </w:r>
      <w:r w:rsidR="00F53F0E" w:rsidRPr="001F6DCE">
        <w:rPr>
          <w:lang w:eastAsia="hr-HR"/>
        </w:rPr>
        <w:t xml:space="preserve">to </w:t>
      </w:r>
      <w:r w:rsidR="00C34F5C" w:rsidRPr="001F6DCE">
        <w:rPr>
          <w:lang w:eastAsia="hr-HR"/>
        </w:rPr>
        <w:t>improve</w:t>
      </w:r>
      <w:r w:rsidR="00F53F0E" w:rsidRPr="001F6DCE">
        <w:rPr>
          <w:lang w:eastAsia="hr-HR"/>
        </w:rPr>
        <w:t>ment of</w:t>
      </w:r>
      <w:r w:rsidR="00C34F5C" w:rsidRPr="001F6DCE">
        <w:rPr>
          <w:lang w:eastAsia="hr-HR"/>
        </w:rPr>
        <w:t xml:space="preserve"> equity in the system</w:t>
      </w:r>
      <w:r w:rsidR="00851F16" w:rsidRPr="001F6DCE">
        <w:rPr>
          <w:lang w:eastAsia="hr-HR"/>
        </w:rPr>
        <w:t>. Furthermore,</w:t>
      </w:r>
      <w:r w:rsidR="00C34F5C" w:rsidRPr="001F6DCE">
        <w:rPr>
          <w:lang w:eastAsia="hr-HR"/>
        </w:rPr>
        <w:t xml:space="preserve"> </w:t>
      </w:r>
      <w:r w:rsidR="0095087D" w:rsidRPr="001F6DCE">
        <w:rPr>
          <w:lang w:eastAsia="hr-HR"/>
        </w:rPr>
        <w:t xml:space="preserve">over </w:t>
      </w:r>
      <w:r w:rsidR="00C34F5C" w:rsidRPr="001F6DCE">
        <w:rPr>
          <w:lang w:eastAsia="hr-HR"/>
        </w:rPr>
        <w:t>7</w:t>
      </w:r>
      <w:r w:rsidR="0095087D" w:rsidRPr="001F6DCE">
        <w:rPr>
          <w:lang w:eastAsia="hr-HR"/>
        </w:rPr>
        <w:t>0</w:t>
      </w:r>
      <w:r w:rsidR="00AB062A" w:rsidRPr="001F6DCE">
        <w:rPr>
          <w:lang w:eastAsia="hr-HR"/>
        </w:rPr>
        <w:t xml:space="preserve"> percent</w:t>
      </w:r>
      <w:r w:rsidR="00C34F5C" w:rsidRPr="001F6DCE">
        <w:rPr>
          <w:lang w:eastAsia="hr-HR"/>
        </w:rPr>
        <w:t xml:space="preserve"> of all OOPs </w:t>
      </w:r>
      <w:r w:rsidR="0095087D" w:rsidRPr="001F6DCE">
        <w:rPr>
          <w:lang w:eastAsia="hr-HR"/>
        </w:rPr>
        <w:t xml:space="preserve">are </w:t>
      </w:r>
      <w:r w:rsidR="00C34F5C" w:rsidRPr="001F6DCE">
        <w:rPr>
          <w:lang w:eastAsia="hr-HR"/>
        </w:rPr>
        <w:t xml:space="preserve">for pharmaceuticals, and the list of medicines that can be reimbursed through MHI is </w:t>
      </w:r>
      <w:r w:rsidR="0095087D" w:rsidRPr="001F6DCE">
        <w:rPr>
          <w:lang w:eastAsia="hr-HR"/>
        </w:rPr>
        <w:t xml:space="preserve">still </w:t>
      </w:r>
      <w:r w:rsidR="00C34F5C" w:rsidRPr="001F6DCE">
        <w:rPr>
          <w:lang w:eastAsia="hr-HR"/>
        </w:rPr>
        <w:t>limited</w:t>
      </w:r>
      <w:r w:rsidR="00851F16" w:rsidRPr="001F6DCE">
        <w:rPr>
          <w:lang w:eastAsia="hr-HR"/>
        </w:rPr>
        <w:t>,</w:t>
      </w:r>
      <w:r w:rsidR="00E61064" w:rsidRPr="001F6DCE">
        <w:rPr>
          <w:lang w:eastAsia="hr-HR"/>
        </w:rPr>
        <w:t xml:space="preserve"> </w:t>
      </w:r>
      <w:r w:rsidR="00851F16" w:rsidRPr="001F6DCE">
        <w:rPr>
          <w:lang w:eastAsia="hr-HR"/>
        </w:rPr>
        <w:t xml:space="preserve">while </w:t>
      </w:r>
      <w:r w:rsidR="0095087D" w:rsidRPr="001F6DCE">
        <w:rPr>
          <w:lang w:eastAsia="hr-HR"/>
        </w:rPr>
        <w:t>m</w:t>
      </w:r>
      <w:r w:rsidR="00E61064" w:rsidRPr="001F6DCE">
        <w:rPr>
          <w:lang w:eastAsia="hr-HR"/>
        </w:rPr>
        <w:t>o</w:t>
      </w:r>
      <w:r w:rsidR="0095087D" w:rsidRPr="001F6DCE">
        <w:rPr>
          <w:lang w:eastAsia="hr-HR"/>
        </w:rPr>
        <w:t>st</w:t>
      </w:r>
      <w:r w:rsidR="00F064E5" w:rsidRPr="001F6DCE">
        <w:rPr>
          <w:lang w:eastAsia="hr-HR"/>
        </w:rPr>
        <w:t xml:space="preserve"> of</w:t>
      </w:r>
      <w:r w:rsidR="00E61064" w:rsidRPr="001F6DCE">
        <w:rPr>
          <w:lang w:eastAsia="hr-HR"/>
        </w:rPr>
        <w:t xml:space="preserve"> drugs prescribed in an inpatient setting are </w:t>
      </w:r>
      <w:r w:rsidR="0095087D" w:rsidRPr="001F6DCE">
        <w:rPr>
          <w:lang w:eastAsia="hr-HR"/>
        </w:rPr>
        <w:t xml:space="preserve">fully </w:t>
      </w:r>
      <w:r w:rsidR="00E61064" w:rsidRPr="001F6DCE">
        <w:rPr>
          <w:lang w:eastAsia="hr-HR"/>
        </w:rPr>
        <w:t xml:space="preserve">covered. </w:t>
      </w:r>
      <w:r w:rsidR="00851F16" w:rsidRPr="001F6DCE">
        <w:rPr>
          <w:lang w:eastAsia="hr-HR"/>
        </w:rPr>
        <w:t>At the same time</w:t>
      </w:r>
      <w:r w:rsidR="00E61064" w:rsidRPr="001F6DCE">
        <w:rPr>
          <w:lang w:eastAsia="hr-HR"/>
        </w:rPr>
        <w:t xml:space="preserve">, nearly all drugs prescribed in outpatient care are purchased directly by patients at full cost, even for those vulnerable groups which get their insurance contributions </w:t>
      </w:r>
      <w:r w:rsidR="0095087D" w:rsidRPr="001F6DCE">
        <w:rPr>
          <w:lang w:eastAsia="hr-HR"/>
        </w:rPr>
        <w:t xml:space="preserve">covered </w:t>
      </w:r>
      <w:r w:rsidR="00E61064" w:rsidRPr="001F6DCE">
        <w:rPr>
          <w:lang w:eastAsia="hr-HR"/>
        </w:rPr>
        <w:t xml:space="preserve">from the </w:t>
      </w:r>
      <w:r w:rsidR="0095087D" w:rsidRPr="001F6DCE">
        <w:rPr>
          <w:lang w:eastAsia="hr-HR"/>
        </w:rPr>
        <w:t xml:space="preserve">State </w:t>
      </w:r>
      <w:r w:rsidR="00E61064" w:rsidRPr="001F6DCE">
        <w:rPr>
          <w:lang w:eastAsia="hr-HR"/>
        </w:rPr>
        <w:t xml:space="preserve">budget. The patients with </w:t>
      </w:r>
      <w:r w:rsidR="00851F16" w:rsidRPr="001F6DCE">
        <w:rPr>
          <w:lang w:eastAsia="hr-HR"/>
        </w:rPr>
        <w:t xml:space="preserve">multiple </w:t>
      </w:r>
      <w:r w:rsidR="00E61064" w:rsidRPr="001F6DCE">
        <w:rPr>
          <w:lang w:eastAsia="hr-HR"/>
        </w:rPr>
        <w:t>chronic conditions are likely to be most disadvantaged by this</w:t>
      </w:r>
      <w:r w:rsidR="00851F16" w:rsidRPr="001F6DCE">
        <w:rPr>
          <w:lang w:eastAsia="hr-HR"/>
        </w:rPr>
        <w:t xml:space="preserve">. Nevertheless, </w:t>
      </w:r>
      <w:r w:rsidR="00CC5746" w:rsidRPr="001F6DCE">
        <w:rPr>
          <w:lang w:eastAsia="hr-HR"/>
        </w:rPr>
        <w:t>some categories such as diabetic patients or oncology patients receive medications for free</w:t>
      </w:r>
      <w:r w:rsidR="00851F16" w:rsidRPr="001F6DCE">
        <w:rPr>
          <w:lang w:eastAsia="hr-HR"/>
        </w:rPr>
        <w:t xml:space="preserve"> (or discounted)</w:t>
      </w:r>
      <w:r w:rsidR="00CC5746" w:rsidRPr="001F6DCE">
        <w:rPr>
          <w:lang w:eastAsia="hr-HR"/>
        </w:rPr>
        <w:t xml:space="preserve"> to cover these specific health conditions. I</w:t>
      </w:r>
      <w:r w:rsidR="00E61064" w:rsidRPr="001F6DCE">
        <w:rPr>
          <w:lang w:eastAsia="hr-HR"/>
        </w:rPr>
        <w:t>t should also be noted that pharmaceuticals are also much more expensive in rural areas than in the cities.</w:t>
      </w:r>
      <w:r w:rsidR="00C34F5C" w:rsidRPr="001F6DCE">
        <w:rPr>
          <w:lang w:eastAsia="hr-HR"/>
        </w:rPr>
        <w:t xml:space="preserve"> </w:t>
      </w:r>
    </w:p>
    <w:p w14:paraId="6FB5E580" w14:textId="77777777" w:rsidR="003F1B8A" w:rsidRPr="001F6DCE" w:rsidRDefault="003F1B8A" w:rsidP="003F1B8A">
      <w:pPr>
        <w:pStyle w:val="ListParagraph"/>
        <w:ind w:left="0"/>
        <w:contextualSpacing w:val="0"/>
        <w:jc w:val="both"/>
        <w:rPr>
          <w:lang w:eastAsia="hr-HR"/>
        </w:rPr>
      </w:pPr>
    </w:p>
    <w:p w14:paraId="30325058" w14:textId="0682959C" w:rsidR="003F1B8A" w:rsidRPr="001F6DCE" w:rsidRDefault="003F1B8A" w:rsidP="00F94EBD">
      <w:pPr>
        <w:pStyle w:val="ListParagraph"/>
        <w:numPr>
          <w:ilvl w:val="0"/>
          <w:numId w:val="16"/>
        </w:numPr>
        <w:ind w:left="0" w:firstLine="0"/>
        <w:contextualSpacing w:val="0"/>
        <w:jc w:val="both"/>
        <w:rPr>
          <w:lang w:eastAsia="hr-HR"/>
        </w:rPr>
      </w:pPr>
      <w:r w:rsidRPr="001F6DCE">
        <w:rPr>
          <w:i/>
          <w:lang w:eastAsia="hr-HR"/>
        </w:rPr>
        <w:t>Gender Aspects</w:t>
      </w:r>
      <w:r w:rsidRPr="001F6DCE">
        <w:rPr>
          <w:lang w:eastAsia="hr-HR"/>
        </w:rPr>
        <w:t xml:space="preserve">. </w:t>
      </w:r>
      <w:r w:rsidR="0053282E" w:rsidRPr="001F6DCE">
        <w:rPr>
          <w:lang w:eastAsia="hr-HR"/>
        </w:rPr>
        <w:t xml:space="preserve"> </w:t>
      </w:r>
      <w:r w:rsidRPr="001F6DCE">
        <w:rPr>
          <w:lang w:eastAsia="hr-HR"/>
        </w:rPr>
        <w:t>Household budget survey</w:t>
      </w:r>
      <w:r w:rsidR="009E7C02" w:rsidRPr="001F6DCE">
        <w:rPr>
          <w:lang w:eastAsia="hr-HR"/>
        </w:rPr>
        <w:t>s</w:t>
      </w:r>
      <w:r w:rsidRPr="001F6DCE">
        <w:rPr>
          <w:lang w:eastAsia="hr-HR"/>
        </w:rPr>
        <w:t xml:space="preserve"> (HBS) for health conducted in 2012</w:t>
      </w:r>
      <w:r w:rsidR="009E7C02" w:rsidRPr="001F6DCE">
        <w:rPr>
          <w:lang w:eastAsia="hr-HR"/>
        </w:rPr>
        <w:t>-2017</w:t>
      </w:r>
      <w:r w:rsidRPr="001F6DCE">
        <w:rPr>
          <w:lang w:eastAsia="hr-HR"/>
        </w:rPr>
        <w:t xml:space="preserve"> revealed </w:t>
      </w:r>
      <w:r w:rsidR="009E7C02" w:rsidRPr="001F6DCE">
        <w:rPr>
          <w:lang w:eastAsia="hr-HR"/>
        </w:rPr>
        <w:t xml:space="preserve">the tendency </w:t>
      </w:r>
      <w:r w:rsidRPr="001F6DCE">
        <w:rPr>
          <w:lang w:eastAsia="hr-HR"/>
        </w:rPr>
        <w:t xml:space="preserve">that women are accessing healthcare services 1.6 times more often than men. </w:t>
      </w:r>
      <w:r w:rsidR="009E7C02" w:rsidRPr="001F6DCE">
        <w:rPr>
          <w:lang w:eastAsia="hr-HR"/>
        </w:rPr>
        <w:t xml:space="preserve">This partly explains the reason of higher mortality rates amongst men than amongst women. </w:t>
      </w:r>
      <w:r w:rsidRPr="001F6DCE">
        <w:rPr>
          <w:lang w:eastAsia="hr-HR"/>
        </w:rPr>
        <w:t>Therefore</w:t>
      </w:r>
      <w:r w:rsidR="009E7C02" w:rsidRPr="001F6DCE">
        <w:rPr>
          <w:lang w:eastAsia="hr-HR"/>
        </w:rPr>
        <w:t>,</w:t>
      </w:r>
      <w:r w:rsidRPr="001F6DCE">
        <w:rPr>
          <w:lang w:eastAsia="hr-HR"/>
        </w:rPr>
        <w:t xml:space="preserve"> enabling environment for men to turn for health services need to be created. </w:t>
      </w:r>
      <w:r w:rsidR="009E7C02" w:rsidRPr="001F6DCE">
        <w:rPr>
          <w:lang w:eastAsia="hr-HR"/>
        </w:rPr>
        <w:t>Besides, m</w:t>
      </w:r>
      <w:r w:rsidRPr="001F6DCE">
        <w:rPr>
          <w:lang w:eastAsia="hr-HR"/>
        </w:rPr>
        <w:t>ore than 80</w:t>
      </w:r>
      <w:r w:rsidR="00AB062A" w:rsidRPr="001F6DCE">
        <w:rPr>
          <w:lang w:eastAsia="hr-HR"/>
        </w:rPr>
        <w:t xml:space="preserve"> percent</w:t>
      </w:r>
      <w:r w:rsidRPr="001F6DCE">
        <w:rPr>
          <w:lang w:eastAsia="hr-HR"/>
        </w:rPr>
        <w:t xml:space="preserve"> of healthcare workers in Moldova are women therefore any major changes in the work schedules, timing and venues of the suggested training courses need to be tailored respectively to their personal safety requirements and family obligations. The communication campaign for health care workers also needs to </w:t>
      </w:r>
      <w:r w:rsidR="002E5DA8" w:rsidRPr="001F6DCE">
        <w:rPr>
          <w:lang w:eastAsia="hr-HR"/>
        </w:rPr>
        <w:t>consider</w:t>
      </w:r>
      <w:r w:rsidRPr="001F6DCE">
        <w:rPr>
          <w:lang w:eastAsia="hr-HR"/>
        </w:rPr>
        <w:t xml:space="preserve"> the gender composition of the work force.</w:t>
      </w:r>
    </w:p>
    <w:p w14:paraId="154108BA" w14:textId="77777777" w:rsidR="003F1B8A" w:rsidRPr="001F6DCE" w:rsidRDefault="003F1B8A" w:rsidP="00F94EBD">
      <w:pPr>
        <w:pStyle w:val="ListParagraph"/>
        <w:ind w:left="0"/>
        <w:contextualSpacing w:val="0"/>
        <w:jc w:val="both"/>
        <w:rPr>
          <w:lang w:eastAsia="hr-HR"/>
        </w:rPr>
      </w:pPr>
    </w:p>
    <w:p w14:paraId="7AF8895B" w14:textId="77777777" w:rsidR="00F94EBD" w:rsidRPr="001F6DCE" w:rsidRDefault="00F94EBD" w:rsidP="00F94EBD">
      <w:pPr>
        <w:pStyle w:val="ListParagraph"/>
        <w:numPr>
          <w:ilvl w:val="0"/>
          <w:numId w:val="16"/>
        </w:numPr>
        <w:ind w:left="0" w:firstLine="0"/>
        <w:contextualSpacing w:val="0"/>
        <w:jc w:val="both"/>
        <w:rPr>
          <w:lang w:eastAsia="hr-HR"/>
        </w:rPr>
      </w:pPr>
      <w:r w:rsidRPr="001F6DCE">
        <w:rPr>
          <w:i/>
          <w:lang w:eastAsia="hr-HR"/>
        </w:rPr>
        <w:t>Roma population</w:t>
      </w:r>
      <w:r w:rsidR="004D587F" w:rsidRPr="001F6DCE">
        <w:rPr>
          <w:lang w:eastAsia="hr-HR"/>
        </w:rPr>
        <w:t>.</w:t>
      </w:r>
      <w:r w:rsidR="0053282E" w:rsidRPr="001F6DCE">
        <w:rPr>
          <w:lang w:eastAsia="hr-HR"/>
        </w:rPr>
        <w:t xml:space="preserve"> </w:t>
      </w:r>
      <w:r w:rsidRPr="001F6DCE">
        <w:rPr>
          <w:lang w:eastAsia="hr-HR"/>
        </w:rPr>
        <w:t xml:space="preserve">There are no routine health care and statistical research on the condition and health care of </w:t>
      </w:r>
      <w:proofErr w:type="gramStart"/>
      <w:r w:rsidRPr="001F6DCE">
        <w:rPr>
          <w:lang w:eastAsia="hr-HR"/>
        </w:rPr>
        <w:t>Roma,</w:t>
      </w:r>
      <w:proofErr w:type="gramEnd"/>
      <w:r w:rsidRPr="001F6DCE">
        <w:rPr>
          <w:lang w:eastAsia="hr-HR"/>
        </w:rPr>
        <w:t xml:space="preserve"> therefore the estimates are given based on data produced by UNDP (2007)</w:t>
      </w:r>
      <w:r w:rsidR="0053282E" w:rsidRPr="001F6DCE">
        <w:rPr>
          <w:lang w:eastAsia="hr-HR"/>
        </w:rPr>
        <w:t>.</w:t>
      </w:r>
      <w:r w:rsidR="0053282E" w:rsidRPr="001F6DCE">
        <w:rPr>
          <w:rStyle w:val="FootnoteReference"/>
          <w:lang w:eastAsia="hr-HR"/>
        </w:rPr>
        <w:footnoteReference w:id="18"/>
      </w:r>
      <w:r w:rsidR="0053282E" w:rsidRPr="001F6DCE">
        <w:rPr>
          <w:lang w:eastAsia="hr-HR"/>
        </w:rPr>
        <w:t xml:space="preserve"> </w:t>
      </w:r>
      <w:r w:rsidRPr="001F6DCE">
        <w:rPr>
          <w:lang w:eastAsia="hr-HR"/>
        </w:rPr>
        <w:t xml:space="preserve"> Data on infant mortality in Roma, though incomplete, show great differences when compared to non-Roma population, and estimated life expectancy index of Roma population is lower than in the non-Roma population. The barriers to joining the health insurance and to access to the healthcare are the same as for general population: lack of awareness, lack of employment, lack of habit to go to the doctor and high out of pocket payments for medications. The only additional barrier identified specific for Roma population is lack of the identification documents. So particular attention shall be paid to raising awareness of the Roma population the on steps necessary to get health insurance and eligibility for free coverage for the most vulnerable categories to which many of them belong. It is also important to work with Roma NGOs to access the illiterate and non-Romanian speaking share of the Roma.</w:t>
      </w:r>
    </w:p>
    <w:p w14:paraId="2BBA5455" w14:textId="77777777" w:rsidR="004D587F" w:rsidRPr="001F6DCE" w:rsidRDefault="004D587F" w:rsidP="004D587F">
      <w:pPr>
        <w:pStyle w:val="ListParagraph"/>
        <w:rPr>
          <w:lang w:eastAsia="hr-HR"/>
        </w:rPr>
      </w:pPr>
    </w:p>
    <w:p w14:paraId="2642067D" w14:textId="77777777" w:rsidR="004D587F" w:rsidRPr="001F6DCE" w:rsidRDefault="004D587F" w:rsidP="004D587F">
      <w:pPr>
        <w:pStyle w:val="ListParagraph"/>
        <w:ind w:left="0"/>
        <w:contextualSpacing w:val="0"/>
        <w:jc w:val="both"/>
        <w:rPr>
          <w:lang w:eastAsia="hr-HR"/>
        </w:rPr>
      </w:pPr>
    </w:p>
    <w:p w14:paraId="4DFFB96F" w14:textId="77777777" w:rsidR="00C34F5C" w:rsidRPr="001F6DCE" w:rsidRDefault="00756EB6" w:rsidP="00A04983">
      <w:pPr>
        <w:pStyle w:val="ListParagraph"/>
        <w:ind w:left="0"/>
        <w:jc w:val="both"/>
        <w:rPr>
          <w:lang w:eastAsia="hr-HR"/>
        </w:rPr>
      </w:pPr>
      <w:r w:rsidRPr="001F6DCE">
        <w:rPr>
          <w:i/>
          <w:noProof/>
          <w:lang w:val="en-US" w:eastAsia="en-US"/>
        </w:rPr>
        <w:lastRenderedPageBreak/>
        <mc:AlternateContent>
          <mc:Choice Requires="wps">
            <w:drawing>
              <wp:inline distT="0" distB="0" distL="0" distR="0" wp14:anchorId="484426F0" wp14:editId="7996A7B7">
                <wp:extent cx="6096000" cy="4198620"/>
                <wp:effectExtent l="19050" t="19050" r="19050" b="11430"/>
                <wp:docPr id="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8620"/>
                        </a:xfrm>
                        <a:prstGeom prst="rect">
                          <a:avLst/>
                        </a:prstGeom>
                        <a:noFill/>
                        <a:ln w="38100" cmpd="thickThin">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14:paraId="5196E127" w14:textId="77777777" w:rsidR="005F0999" w:rsidRPr="006B165D" w:rsidRDefault="005F0999" w:rsidP="00A5688D">
                            <w:pPr>
                              <w:spacing w:before="60" w:after="60" w:line="276" w:lineRule="auto"/>
                              <w:ind w:firstLine="426"/>
                              <w:jc w:val="both"/>
                              <w:rPr>
                                <w:sz w:val="22"/>
                                <w:szCs w:val="22"/>
                                <w:lang w:eastAsia="hr-HR"/>
                              </w:rPr>
                            </w:pPr>
                            <w:r w:rsidRPr="006B165D">
                              <w:rPr>
                                <w:sz w:val="22"/>
                                <w:szCs w:val="22"/>
                                <w:lang w:eastAsia="hr-HR"/>
                              </w:rPr>
                              <w:t xml:space="preserve">A study conducted by </w:t>
                            </w:r>
                            <w:r w:rsidRPr="006B165D">
                              <w:rPr>
                                <w:b/>
                                <w:i/>
                                <w:sz w:val="22"/>
                                <w:szCs w:val="22"/>
                                <w:lang w:eastAsia="hr-HR"/>
                              </w:rPr>
                              <w:t>European Centre on the Health of Societies in Transition</w:t>
                            </w:r>
                            <w:r w:rsidRPr="006B165D">
                              <w:rPr>
                                <w:sz w:val="22"/>
                                <w:szCs w:val="22"/>
                                <w:lang w:eastAsia="hr-HR"/>
                              </w:rPr>
                              <w:t xml:space="preserve"> in 2008 found that 22 percent of population had no health insurance cover (19 percent of the women surveyed and 25 percent of the men surveyed). Health insurance cover for citizens </w:t>
                            </w:r>
                            <w:proofErr w:type="gramStart"/>
                            <w:r w:rsidRPr="006B165D">
                              <w:rPr>
                                <w:sz w:val="22"/>
                                <w:szCs w:val="22"/>
                                <w:lang w:eastAsia="hr-HR"/>
                              </w:rPr>
                              <w:t>under</w:t>
                            </w:r>
                            <w:proofErr w:type="gramEnd"/>
                            <w:r w:rsidRPr="006B165D">
                              <w:rPr>
                                <w:sz w:val="22"/>
                                <w:szCs w:val="22"/>
                                <w:lang w:eastAsia="hr-HR"/>
                              </w:rPr>
                              <w:t xml:space="preserve"> 15 years and over 65 years was 100 percent, as insurance contributions for these groups are paid directly by the government. Similarly, those registered as disabled had high rates of insurance coverage as the government also funds their health insurance premiums directly. When the analysis is restricted to the working age population without disability, over one-third (35 percent) of respondents had no health insurance cover (30 percent of the women and 41 percent of the men surveyed). </w:t>
                            </w:r>
                          </w:p>
                          <w:p w14:paraId="24488902" w14:textId="77777777" w:rsidR="005F0999" w:rsidRPr="006B165D" w:rsidRDefault="005F0999" w:rsidP="00A5688D">
                            <w:pPr>
                              <w:pStyle w:val="ListParagraph"/>
                              <w:spacing w:before="60" w:after="60" w:line="276" w:lineRule="auto"/>
                              <w:ind w:left="0" w:firstLine="284"/>
                              <w:jc w:val="both"/>
                              <w:rPr>
                                <w:sz w:val="22"/>
                                <w:szCs w:val="22"/>
                                <w:lang w:eastAsia="hr-HR"/>
                              </w:rPr>
                            </w:pPr>
                          </w:p>
                          <w:p w14:paraId="0DBCE487" w14:textId="77777777" w:rsidR="005F0999" w:rsidRPr="006B165D" w:rsidRDefault="005F0999" w:rsidP="00A5688D">
                            <w:pPr>
                              <w:pStyle w:val="ListParagraph"/>
                              <w:spacing w:before="60" w:after="60" w:line="276" w:lineRule="auto"/>
                              <w:ind w:left="709" w:hanging="425"/>
                              <w:jc w:val="both"/>
                              <w:rPr>
                                <w:sz w:val="22"/>
                                <w:szCs w:val="22"/>
                                <w:lang w:eastAsia="hr-HR"/>
                              </w:rPr>
                            </w:pPr>
                            <w:r w:rsidRPr="006B165D">
                              <w:rPr>
                                <w:sz w:val="22"/>
                                <w:szCs w:val="22"/>
                                <w:lang w:eastAsia="hr-HR"/>
                              </w:rPr>
                              <w:t>•</w:t>
                            </w:r>
                            <w:r w:rsidRPr="006B165D">
                              <w:rPr>
                                <w:sz w:val="22"/>
                                <w:szCs w:val="22"/>
                                <w:lang w:eastAsia="hr-HR"/>
                              </w:rPr>
                              <w:tab/>
                              <w:t xml:space="preserve">Factors associated with being uninsured include being self-employed (particularly in agriculture), unemployed, younger age and low income. </w:t>
                            </w:r>
                          </w:p>
                          <w:p w14:paraId="2297B782" w14:textId="77777777" w:rsidR="005F0999" w:rsidRPr="006B165D" w:rsidRDefault="005F0999" w:rsidP="00007274">
                            <w:pPr>
                              <w:pStyle w:val="ListParagraph"/>
                              <w:numPr>
                                <w:ilvl w:val="0"/>
                                <w:numId w:val="2"/>
                              </w:numPr>
                              <w:spacing w:before="60" w:after="60" w:line="276" w:lineRule="auto"/>
                              <w:ind w:left="709" w:hanging="425"/>
                              <w:jc w:val="both"/>
                              <w:rPr>
                                <w:sz w:val="22"/>
                                <w:szCs w:val="22"/>
                                <w:lang w:eastAsia="hr-HR"/>
                              </w:rPr>
                            </w:pPr>
                            <w:r w:rsidRPr="006B165D">
                              <w:rPr>
                                <w:sz w:val="22"/>
                                <w:szCs w:val="22"/>
                                <w:lang w:eastAsia="hr-HR"/>
                              </w:rPr>
                              <w:t xml:space="preserve"> Both insured and uninsured face high additional costs of obtaining care, in particular due to payments for pharmaceuticals.</w:t>
                            </w:r>
                          </w:p>
                          <w:p w14:paraId="3167AD00" w14:textId="77777777" w:rsidR="005F0999" w:rsidRPr="006B165D" w:rsidRDefault="005F0999" w:rsidP="00007274">
                            <w:pPr>
                              <w:pStyle w:val="ListParagraph"/>
                              <w:numPr>
                                <w:ilvl w:val="0"/>
                                <w:numId w:val="2"/>
                              </w:numPr>
                              <w:spacing w:before="60" w:after="60" w:line="276" w:lineRule="auto"/>
                              <w:ind w:left="709" w:hanging="425"/>
                              <w:jc w:val="both"/>
                              <w:rPr>
                                <w:sz w:val="22"/>
                                <w:szCs w:val="22"/>
                                <w:lang w:eastAsia="hr-HR"/>
                              </w:rPr>
                            </w:pPr>
                            <w:r w:rsidRPr="006B165D">
                              <w:rPr>
                                <w:sz w:val="22"/>
                                <w:szCs w:val="22"/>
                                <w:lang w:eastAsia="hr-HR"/>
                              </w:rPr>
                              <w:t xml:space="preserve"> As a consequence, insurance coverage has only a limited impact on seeking care when ill.</w:t>
                            </w:r>
                          </w:p>
                          <w:p w14:paraId="7164AA5F" w14:textId="77777777" w:rsidR="005F0999" w:rsidRPr="006B165D" w:rsidRDefault="005F0999" w:rsidP="00A5688D">
                            <w:pPr>
                              <w:pStyle w:val="ListParagraph"/>
                              <w:spacing w:before="60" w:after="60" w:line="276" w:lineRule="auto"/>
                              <w:ind w:left="0" w:firstLine="284"/>
                              <w:jc w:val="both"/>
                              <w:rPr>
                                <w:sz w:val="22"/>
                                <w:szCs w:val="22"/>
                                <w:lang w:eastAsia="hr-HR"/>
                              </w:rPr>
                            </w:pPr>
                          </w:p>
                          <w:p w14:paraId="3DE8E264" w14:textId="77777777" w:rsidR="005F0999" w:rsidRDefault="005F0999" w:rsidP="00A5688D">
                            <w:pPr>
                              <w:pStyle w:val="ListParagraph"/>
                              <w:spacing w:before="60" w:after="60" w:line="276" w:lineRule="auto"/>
                              <w:ind w:left="0" w:firstLine="284"/>
                              <w:jc w:val="both"/>
                              <w:rPr>
                                <w:rFonts w:asciiTheme="majorHAnsi" w:eastAsiaTheme="majorEastAsia" w:hAnsiTheme="majorHAnsi" w:cstheme="majorBidi"/>
                                <w:i/>
                                <w:iCs/>
                                <w:sz w:val="28"/>
                                <w:szCs w:val="28"/>
                              </w:rPr>
                            </w:pPr>
                            <w:r w:rsidRPr="006B165D">
                              <w:rPr>
                                <w:sz w:val="22"/>
                                <w:szCs w:val="22"/>
                                <w:lang w:eastAsia="hr-HR"/>
                              </w:rPr>
                              <w:t>Even among those with health insurance, 30 percent cited inability to afford care as a reason for not using it, a figure that increased to 41 percent among those without insurance. This was the second most frequently cited reason, after a belief that they would get better using the drugs they already had, for both groups. While being uninsured had some additional impact on utilization, there were still considerable financial barriers facing those with insurance. This is likely to reflect the known high level of out-of-pocket expenditure, which poses a significant barrier to access.</w:t>
                            </w:r>
                          </w:p>
                        </w:txbxContent>
                      </wps:txbx>
                      <wps:bodyPr rot="0" vert="horz" wrap="square" lIns="137160" tIns="91440" rIns="137160" bIns="9144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84426F0" id="_x0000_t202" coordsize="21600,21600" o:spt="202" path="m,l,21600r21600,l21600,xe">
                <v:stroke joinstyle="miter"/>
                <v:path gradientshapeok="t" o:connecttype="rect"/>
              </v:shapetype>
              <v:shape id="Text Box 2" o:spid="_x0000_s1026" type="#_x0000_t202" style="width:480pt;height:330.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" filled="f" strokecolor="black [3213]" strokeweight="3pt">
                <v:stroke linestyle="thickThin"/>
                <v:textbox inset="10.8pt,7.2pt,10.8pt,7.2pt">
                  <w:txbxContent>
                    <w:p w14:paraId="5196E127" w14:textId="77777777" w:rsidR="005F0999" w:rsidRPr="006B165D" w:rsidRDefault="005F0999" w:rsidP="00A5688D">
                      <w:pPr>
                        <w:spacing w:before="60" w:after="60" w:line="276" w:lineRule="auto"/>
                        <w:ind w:firstLine="426"/>
                        <w:jc w:val="both"/>
                        <w:rPr>
                          <w:sz w:val="22"/>
                          <w:szCs w:val="22"/>
                          <w:lang w:eastAsia="hr-HR"/>
                        </w:rPr>
                      </w:pPr>
                      <w:r w:rsidRPr="006B165D">
                        <w:rPr>
                          <w:sz w:val="22"/>
                          <w:szCs w:val="22"/>
                          <w:lang w:eastAsia="hr-HR"/>
                        </w:rPr>
                        <w:t xml:space="preserve">A study conducted by </w:t>
                      </w:r>
                      <w:r w:rsidRPr="006B165D">
                        <w:rPr>
                          <w:b/>
                          <w:i/>
                          <w:sz w:val="22"/>
                          <w:szCs w:val="22"/>
                          <w:lang w:eastAsia="hr-HR"/>
                        </w:rPr>
                        <w:t>European Centre on the Health of Societies in Transition</w:t>
                      </w:r>
                      <w:r w:rsidRPr="006B165D">
                        <w:rPr>
                          <w:sz w:val="22"/>
                          <w:szCs w:val="22"/>
                          <w:lang w:eastAsia="hr-HR"/>
                        </w:rPr>
                        <w:t xml:space="preserve"> in 2008 found that 22 percent of population had no health insurance cover (19 percent of the women surveyed and 25 percent of the men surveyed). Health insurance cover for citizens under 15 years and over 65 years was 100 percent, as insurance contributions for these groups are paid directly by the government. Similarly, those registered as disabled had high rates of insurance coverage as the government also funds their health insurance premiums directly. When the analysis is restricted to the working age population without disability, over one-third (35 percent) of respondents had no health insurance cover (30 percent of the women and 41 percent of the men surveyed). </w:t>
                      </w:r>
                    </w:p>
                    <w:p w14:paraId="24488902" w14:textId="77777777" w:rsidR="005F0999" w:rsidRPr="006B165D" w:rsidRDefault="005F0999" w:rsidP="00A5688D">
                      <w:pPr>
                        <w:pStyle w:val="ListParagraph"/>
                        <w:spacing w:before="60" w:after="60" w:line="276" w:lineRule="auto"/>
                        <w:ind w:left="0" w:firstLine="284"/>
                        <w:jc w:val="both"/>
                        <w:rPr>
                          <w:sz w:val="22"/>
                          <w:szCs w:val="22"/>
                          <w:lang w:eastAsia="hr-HR"/>
                        </w:rPr>
                      </w:pPr>
                    </w:p>
                    <w:p w14:paraId="0DBCE487" w14:textId="77777777" w:rsidR="005F0999" w:rsidRPr="006B165D" w:rsidRDefault="005F0999" w:rsidP="00A5688D">
                      <w:pPr>
                        <w:pStyle w:val="ListParagraph"/>
                        <w:spacing w:before="60" w:after="60" w:line="276" w:lineRule="auto"/>
                        <w:ind w:left="709" w:hanging="425"/>
                        <w:jc w:val="both"/>
                        <w:rPr>
                          <w:sz w:val="22"/>
                          <w:szCs w:val="22"/>
                          <w:lang w:eastAsia="hr-HR"/>
                        </w:rPr>
                      </w:pPr>
                      <w:r w:rsidRPr="006B165D">
                        <w:rPr>
                          <w:sz w:val="22"/>
                          <w:szCs w:val="22"/>
                          <w:lang w:eastAsia="hr-HR"/>
                        </w:rPr>
                        <w:t>•</w:t>
                      </w:r>
                      <w:r w:rsidRPr="006B165D">
                        <w:rPr>
                          <w:sz w:val="22"/>
                          <w:szCs w:val="22"/>
                          <w:lang w:eastAsia="hr-HR"/>
                        </w:rPr>
                        <w:tab/>
                        <w:t xml:space="preserve">Factors associated with being uninsured include being self-employed (particularly in agriculture), unemployed, younger age and low income. </w:t>
                      </w:r>
                    </w:p>
                    <w:p w14:paraId="2297B782" w14:textId="77777777" w:rsidR="005F0999" w:rsidRPr="006B165D" w:rsidRDefault="005F0999" w:rsidP="00007274">
                      <w:pPr>
                        <w:pStyle w:val="ListParagraph"/>
                        <w:numPr>
                          <w:ilvl w:val="0"/>
                          <w:numId w:val="2"/>
                        </w:numPr>
                        <w:spacing w:before="60" w:after="60" w:line="276" w:lineRule="auto"/>
                        <w:ind w:left="709" w:hanging="425"/>
                        <w:jc w:val="both"/>
                        <w:rPr>
                          <w:sz w:val="22"/>
                          <w:szCs w:val="22"/>
                          <w:lang w:eastAsia="hr-HR"/>
                        </w:rPr>
                      </w:pPr>
                      <w:r w:rsidRPr="006B165D">
                        <w:rPr>
                          <w:sz w:val="22"/>
                          <w:szCs w:val="22"/>
                          <w:lang w:eastAsia="hr-HR"/>
                        </w:rPr>
                        <w:t xml:space="preserve"> Both insured and uninsured face high additional costs of obtaining care, in particular due to payments for pharmaceuticals.</w:t>
                      </w:r>
                    </w:p>
                    <w:p w14:paraId="3167AD00" w14:textId="77777777" w:rsidR="005F0999" w:rsidRPr="006B165D" w:rsidRDefault="005F0999" w:rsidP="00007274">
                      <w:pPr>
                        <w:pStyle w:val="ListParagraph"/>
                        <w:numPr>
                          <w:ilvl w:val="0"/>
                          <w:numId w:val="2"/>
                        </w:numPr>
                        <w:spacing w:before="60" w:after="60" w:line="276" w:lineRule="auto"/>
                        <w:ind w:left="709" w:hanging="425"/>
                        <w:jc w:val="both"/>
                        <w:rPr>
                          <w:sz w:val="22"/>
                          <w:szCs w:val="22"/>
                          <w:lang w:eastAsia="hr-HR"/>
                        </w:rPr>
                      </w:pPr>
                      <w:r w:rsidRPr="006B165D">
                        <w:rPr>
                          <w:sz w:val="22"/>
                          <w:szCs w:val="22"/>
                          <w:lang w:eastAsia="hr-HR"/>
                        </w:rPr>
                        <w:t xml:space="preserve"> As a consequence, insurance coverage has only a limited impact on seeking care when ill.</w:t>
                      </w:r>
                    </w:p>
                    <w:p w14:paraId="7164AA5F" w14:textId="77777777" w:rsidR="005F0999" w:rsidRPr="006B165D" w:rsidRDefault="005F0999" w:rsidP="00A5688D">
                      <w:pPr>
                        <w:pStyle w:val="ListParagraph"/>
                        <w:spacing w:before="60" w:after="60" w:line="276" w:lineRule="auto"/>
                        <w:ind w:left="0" w:firstLine="284"/>
                        <w:jc w:val="both"/>
                        <w:rPr>
                          <w:sz w:val="22"/>
                          <w:szCs w:val="22"/>
                          <w:lang w:eastAsia="hr-HR"/>
                        </w:rPr>
                      </w:pPr>
                    </w:p>
                    <w:p w14:paraId="3DE8E264" w14:textId="77777777" w:rsidR="005F0999" w:rsidRDefault="005F0999" w:rsidP="00A5688D">
                      <w:pPr>
                        <w:pStyle w:val="ListParagraph"/>
                        <w:spacing w:before="60" w:after="60" w:line="276" w:lineRule="auto"/>
                        <w:ind w:left="0" w:firstLine="284"/>
                        <w:jc w:val="both"/>
                        <w:rPr>
                          <w:rFonts w:asciiTheme="majorHAnsi" w:eastAsiaTheme="majorEastAsia" w:hAnsiTheme="majorHAnsi" w:cstheme="majorBidi"/>
                          <w:i/>
                          <w:iCs/>
                          <w:sz w:val="28"/>
                          <w:szCs w:val="28"/>
                        </w:rPr>
                      </w:pPr>
                      <w:r w:rsidRPr="006B165D">
                        <w:rPr>
                          <w:sz w:val="22"/>
                          <w:szCs w:val="22"/>
                          <w:lang w:eastAsia="hr-HR"/>
                        </w:rPr>
                        <w:t>Even among those with health insurance, 30 percent cited inability to afford care as a reason for not using it, a figure that increased to 41 percent among those without insurance. This was the second most frequently cited reason, after a belief that they would get better using the drugs they already had, for both groups. While being uninsured had some additional impact on utilization, there were still considerable financial barriers facing those with insurance. This is likely to reflect the known high level of out-of-pocket expenditure, which poses a significant barrier to access.</w:t>
                      </w:r>
                    </w:p>
                  </w:txbxContent>
                </v:textbox>
                <w10:anchorlock/>
              </v:shape>
            </w:pict>
          </mc:Fallback>
        </mc:AlternateContent>
      </w:r>
    </w:p>
    <w:p w14:paraId="6679B0DD" w14:textId="77777777" w:rsidR="00D34A33" w:rsidRPr="001F6DCE" w:rsidRDefault="00D34A33" w:rsidP="00A04983">
      <w:pPr>
        <w:pStyle w:val="ListParagraph"/>
        <w:ind w:left="0" w:firstLine="284"/>
        <w:jc w:val="both"/>
        <w:rPr>
          <w:lang w:eastAsia="hr-HR"/>
        </w:rPr>
      </w:pPr>
    </w:p>
    <w:p w14:paraId="6582EA72" w14:textId="2EDC334D" w:rsidR="00C34F5C" w:rsidRPr="001F6DCE" w:rsidRDefault="00C34F5C" w:rsidP="00F94EBD">
      <w:pPr>
        <w:pStyle w:val="ListParagraph"/>
        <w:numPr>
          <w:ilvl w:val="0"/>
          <w:numId w:val="16"/>
        </w:numPr>
        <w:ind w:left="0" w:firstLine="0"/>
        <w:contextualSpacing w:val="0"/>
        <w:jc w:val="both"/>
        <w:rPr>
          <w:lang w:eastAsia="hr-HR"/>
        </w:rPr>
      </w:pPr>
      <w:r w:rsidRPr="001F6DCE">
        <w:rPr>
          <w:i/>
          <w:lang w:eastAsia="hr-HR"/>
        </w:rPr>
        <w:t xml:space="preserve">National Health System </w:t>
      </w:r>
      <w:r w:rsidR="00AC2E8B" w:rsidRPr="001F6DCE">
        <w:rPr>
          <w:i/>
          <w:lang w:eastAsia="hr-HR"/>
        </w:rPr>
        <w:t>D</w:t>
      </w:r>
      <w:r w:rsidRPr="001F6DCE">
        <w:rPr>
          <w:i/>
          <w:lang w:eastAsia="hr-HR"/>
        </w:rPr>
        <w:t>evelopment Strategy 2008-2017</w:t>
      </w:r>
      <w:r w:rsidRPr="001F6DCE">
        <w:rPr>
          <w:lang w:eastAsia="hr-HR"/>
        </w:rPr>
        <w:t xml:space="preserve"> </w:t>
      </w:r>
      <w:r w:rsidR="00B34246" w:rsidRPr="001F6DCE">
        <w:rPr>
          <w:lang w:eastAsia="hr-HR"/>
        </w:rPr>
        <w:t>was</w:t>
      </w:r>
      <w:r w:rsidR="00DF7B33" w:rsidRPr="001F6DCE">
        <w:rPr>
          <w:lang w:eastAsia="hr-HR"/>
        </w:rPr>
        <w:t xml:space="preserve"> adjusted to </w:t>
      </w:r>
      <w:r w:rsidR="00AF1D1C" w:rsidRPr="001F6DCE">
        <w:rPr>
          <w:lang w:eastAsia="hr-HR"/>
        </w:rPr>
        <w:t xml:space="preserve">include activities </w:t>
      </w:r>
      <w:r w:rsidR="00A116BA" w:rsidRPr="001F6DCE">
        <w:rPr>
          <w:lang w:eastAsia="hr-HR"/>
        </w:rPr>
        <w:t>supported by</w:t>
      </w:r>
      <w:r w:rsidR="00AF1D1C" w:rsidRPr="001F6DCE">
        <w:rPr>
          <w:lang w:eastAsia="hr-HR"/>
        </w:rPr>
        <w:t xml:space="preserve"> the </w:t>
      </w:r>
      <w:r w:rsidR="00AF1D1C" w:rsidRPr="001F6DCE">
        <w:rPr>
          <w:i/>
          <w:lang w:eastAsia="hr-HR"/>
        </w:rPr>
        <w:t>Health Transformation Operation</w:t>
      </w:r>
      <w:r w:rsidR="00AF1D1C" w:rsidRPr="001F6DCE">
        <w:rPr>
          <w:lang w:eastAsia="hr-HR"/>
        </w:rPr>
        <w:t xml:space="preserve"> and enable development and implementation of hospital optimisation reforms. The </w:t>
      </w:r>
      <w:proofErr w:type="spellStart"/>
      <w:r w:rsidR="00AF1D1C" w:rsidRPr="001F6DCE">
        <w:rPr>
          <w:lang w:eastAsia="hr-HR"/>
        </w:rPr>
        <w:t>MoHLSP</w:t>
      </w:r>
      <w:proofErr w:type="spellEnd"/>
      <w:r w:rsidR="00AF1D1C" w:rsidRPr="001F6DCE">
        <w:rPr>
          <w:lang w:eastAsia="hr-HR"/>
        </w:rPr>
        <w:t xml:space="preserve"> with the assistance from WHO evaluated strategy implementation and committed itself to draft new strategic polic</w:t>
      </w:r>
      <w:r w:rsidR="0009645F" w:rsidRPr="001F6DCE">
        <w:rPr>
          <w:lang w:eastAsia="hr-HR"/>
        </w:rPr>
        <w:t>y document</w:t>
      </w:r>
      <w:r w:rsidRPr="001F6DCE">
        <w:rPr>
          <w:lang w:eastAsia="hr-HR"/>
        </w:rPr>
        <w:t xml:space="preserve">. </w:t>
      </w:r>
      <w:r w:rsidR="0009645F" w:rsidRPr="001F6DCE">
        <w:rPr>
          <w:lang w:eastAsia="hr-HR"/>
        </w:rPr>
        <w:t xml:space="preserve">Furthermore, </w:t>
      </w:r>
      <w:proofErr w:type="spellStart"/>
      <w:r w:rsidR="0009645F" w:rsidRPr="001F6DCE">
        <w:rPr>
          <w:lang w:eastAsia="hr-HR"/>
        </w:rPr>
        <w:t>GoM</w:t>
      </w:r>
      <w:proofErr w:type="spellEnd"/>
      <w:r w:rsidR="0009645F" w:rsidRPr="001F6DCE">
        <w:rPr>
          <w:lang w:eastAsia="hr-HR"/>
        </w:rPr>
        <w:t xml:space="preserve"> is in the process </w:t>
      </w:r>
      <w:r w:rsidR="00A116BA" w:rsidRPr="001F6DCE">
        <w:rPr>
          <w:lang w:eastAsia="hr-HR"/>
        </w:rPr>
        <w:t>of development of Moldova 2030 S</w:t>
      </w:r>
      <w:r w:rsidR="0009645F" w:rsidRPr="001F6DCE">
        <w:rPr>
          <w:lang w:eastAsia="hr-HR"/>
        </w:rPr>
        <w:t xml:space="preserve">trategy document which will cover healthcare sector and provide overall framework for sectoral development tin the next decade. </w:t>
      </w:r>
    </w:p>
    <w:p w14:paraId="4FB27A83" w14:textId="77777777" w:rsidR="00091963" w:rsidRPr="001F6DCE" w:rsidRDefault="00091963" w:rsidP="00A04983">
      <w:pPr>
        <w:jc w:val="both"/>
      </w:pPr>
    </w:p>
    <w:p w14:paraId="0D12C544" w14:textId="5B703CC0" w:rsidR="001A6322" w:rsidRPr="001F6DCE" w:rsidRDefault="001A6322" w:rsidP="00A23190">
      <w:pPr>
        <w:pStyle w:val="ListParagraph"/>
        <w:numPr>
          <w:ilvl w:val="0"/>
          <w:numId w:val="16"/>
        </w:numPr>
        <w:ind w:left="0" w:firstLine="0"/>
        <w:contextualSpacing w:val="0"/>
        <w:jc w:val="both"/>
        <w:rPr>
          <w:lang w:eastAsia="hr-HR"/>
        </w:rPr>
      </w:pPr>
      <w:r w:rsidRPr="001F6DCE">
        <w:rPr>
          <w:b/>
          <w:lang w:eastAsia="hr-HR"/>
        </w:rPr>
        <w:t>The third group of potential social impacts is related to social accountability of the health care system.</w:t>
      </w:r>
      <w:r w:rsidRPr="001F6DCE">
        <w:rPr>
          <w:lang w:eastAsia="hr-HR"/>
        </w:rPr>
        <w:t xml:space="preserve"> Improvements related to social accountability and transparency are ongoing.</w:t>
      </w:r>
      <w:r w:rsidR="000D210B" w:rsidRPr="001F6DCE">
        <w:rPr>
          <w:lang w:eastAsia="hr-HR"/>
        </w:rPr>
        <w:t xml:space="preserve"> </w:t>
      </w:r>
      <w:r w:rsidR="006F75EE" w:rsidRPr="001F6DCE">
        <w:rPr>
          <w:lang w:eastAsia="hr-HR"/>
        </w:rPr>
        <w:t>Besides that</w:t>
      </w:r>
      <w:r w:rsidRPr="001F6DCE">
        <w:rPr>
          <w:lang w:eastAsia="hr-HR"/>
        </w:rPr>
        <w:t>, the new Regulation introduced in 2009 has improved transparency, timeliness and methodology of decision</w:t>
      </w:r>
      <w:r w:rsidR="006F75EE" w:rsidRPr="001F6DCE">
        <w:rPr>
          <w:lang w:eastAsia="hr-HR"/>
        </w:rPr>
        <w:t>-</w:t>
      </w:r>
      <w:r w:rsidRPr="001F6DCE">
        <w:rPr>
          <w:lang w:eastAsia="hr-HR"/>
        </w:rPr>
        <w:t xml:space="preserve">making by the CHIF’s Committee for Medicines. Since 2010, patients’ representatives are members of </w:t>
      </w:r>
      <w:proofErr w:type="spellStart"/>
      <w:r w:rsidR="00341947" w:rsidRPr="001F6DCE">
        <w:rPr>
          <w:lang w:eastAsia="hr-HR"/>
        </w:rPr>
        <w:t>Raion’s</w:t>
      </w:r>
      <w:proofErr w:type="spellEnd"/>
      <w:r w:rsidR="00341947" w:rsidRPr="001F6DCE">
        <w:rPr>
          <w:lang w:eastAsia="hr-HR"/>
        </w:rPr>
        <w:t xml:space="preserve"> </w:t>
      </w:r>
      <w:r w:rsidRPr="001F6DCE">
        <w:rPr>
          <w:lang w:eastAsia="hr-HR"/>
        </w:rPr>
        <w:t>health councils. Also, regular weekly meetings are being held between various patients’ associations and Minister of Health</w:t>
      </w:r>
      <w:r w:rsidR="00341947" w:rsidRPr="001F6DCE">
        <w:rPr>
          <w:lang w:eastAsia="hr-HR"/>
        </w:rPr>
        <w:t>, Labour and Social Protection</w:t>
      </w:r>
      <w:r w:rsidRPr="001F6DCE">
        <w:rPr>
          <w:lang w:eastAsia="hr-HR"/>
        </w:rPr>
        <w:t xml:space="preserve">. Additionally, the website of the </w:t>
      </w:r>
      <w:proofErr w:type="spellStart"/>
      <w:r w:rsidR="00341947" w:rsidRPr="001F6DCE">
        <w:rPr>
          <w:lang w:eastAsia="hr-HR"/>
        </w:rPr>
        <w:t>MoHLSP</w:t>
      </w:r>
      <w:proofErr w:type="spellEnd"/>
      <w:r w:rsidR="00341947" w:rsidRPr="001F6DCE">
        <w:rPr>
          <w:lang w:eastAsia="hr-HR"/>
        </w:rPr>
        <w:t xml:space="preserve"> </w:t>
      </w:r>
      <w:r w:rsidRPr="001F6DCE">
        <w:rPr>
          <w:lang w:eastAsia="hr-HR"/>
        </w:rPr>
        <w:t xml:space="preserve">is a good example of transparency with all relevant health information posted and communicated to the public. </w:t>
      </w:r>
      <w:r w:rsidR="00AA6AEC" w:rsidRPr="001F6DCE">
        <w:rPr>
          <w:lang w:eastAsia="hr-HR"/>
        </w:rPr>
        <w:t xml:space="preserve">In 2015 </w:t>
      </w:r>
      <w:r w:rsidR="00A5670E" w:rsidRPr="001F6DCE">
        <w:rPr>
          <w:lang w:eastAsia="hr-HR"/>
        </w:rPr>
        <w:t xml:space="preserve">the </w:t>
      </w:r>
      <w:proofErr w:type="spellStart"/>
      <w:r w:rsidR="00A5670E" w:rsidRPr="001F6DCE">
        <w:rPr>
          <w:lang w:eastAsia="hr-HR"/>
        </w:rPr>
        <w:t>GoM</w:t>
      </w:r>
      <w:proofErr w:type="spellEnd"/>
      <w:r w:rsidR="00A5670E" w:rsidRPr="001F6DCE">
        <w:rPr>
          <w:lang w:eastAsia="hr-HR"/>
        </w:rPr>
        <w:t xml:space="preserve"> made available for general public </w:t>
      </w:r>
      <w:proofErr w:type="spellStart"/>
      <w:r w:rsidR="00A5670E" w:rsidRPr="001F6DCE">
        <w:rPr>
          <w:lang w:eastAsia="hr-HR"/>
        </w:rPr>
        <w:t>aprox</w:t>
      </w:r>
      <w:proofErr w:type="spellEnd"/>
      <w:r w:rsidR="00A5670E" w:rsidRPr="001F6DCE">
        <w:rPr>
          <w:lang w:eastAsia="hr-HR"/>
        </w:rPr>
        <w:t>. 88 healthcare related datasets of various types (</w:t>
      </w:r>
      <w:hyperlink r:id="rId13" w:history="1">
        <w:r w:rsidR="00A5670E" w:rsidRPr="001F6DCE">
          <w:rPr>
            <w:color w:val="0070C0"/>
            <w:lang w:eastAsia="hr-HR"/>
          </w:rPr>
          <w:t>http://www.date.gov.md</w:t>
        </w:r>
      </w:hyperlink>
      <w:r w:rsidR="00A5670E" w:rsidRPr="001F6DCE">
        <w:rPr>
          <w:lang w:eastAsia="hr-HR"/>
        </w:rPr>
        <w:t xml:space="preserve">). </w:t>
      </w:r>
      <w:r w:rsidR="00341947" w:rsidRPr="001F6DCE">
        <w:rPr>
          <w:lang w:eastAsia="hr-HR"/>
        </w:rPr>
        <w:t>In addition, CNAM</w:t>
      </w:r>
      <w:r w:rsidR="00A2411E" w:rsidRPr="001F6DCE">
        <w:rPr>
          <w:lang w:eastAsia="hr-HR"/>
        </w:rPr>
        <w:t xml:space="preserve"> and </w:t>
      </w:r>
      <w:proofErr w:type="spellStart"/>
      <w:r w:rsidR="00A2411E" w:rsidRPr="001F6DCE">
        <w:rPr>
          <w:lang w:eastAsia="hr-HR"/>
        </w:rPr>
        <w:t>MoHLSP</w:t>
      </w:r>
      <w:proofErr w:type="spellEnd"/>
      <w:r w:rsidR="00341947" w:rsidRPr="001F6DCE">
        <w:rPr>
          <w:lang w:eastAsia="hr-HR"/>
        </w:rPr>
        <w:t xml:space="preserve"> </w:t>
      </w:r>
      <w:proofErr w:type="gramStart"/>
      <w:r w:rsidR="00341947" w:rsidRPr="001F6DCE">
        <w:rPr>
          <w:lang w:eastAsia="hr-HR"/>
        </w:rPr>
        <w:t>maintains</w:t>
      </w:r>
      <w:proofErr w:type="gramEnd"/>
      <w:r w:rsidR="00341947" w:rsidRPr="001F6DCE">
        <w:rPr>
          <w:lang w:eastAsia="hr-HR"/>
        </w:rPr>
        <w:t xml:space="preserve"> hotline service to ensure feedback </w:t>
      </w:r>
      <w:r w:rsidR="00A2411E" w:rsidRPr="001F6DCE">
        <w:rPr>
          <w:lang w:eastAsia="hr-HR"/>
        </w:rPr>
        <w:t xml:space="preserve">with patients and monitor informal out-of-pocket cases which are subsequently sanctioned. </w:t>
      </w:r>
      <w:r w:rsidRPr="001F6DCE">
        <w:rPr>
          <w:lang w:eastAsia="hr-HR"/>
        </w:rPr>
        <w:t>The weekly meetings</w:t>
      </w:r>
      <w:r w:rsidR="00A2411E" w:rsidRPr="001F6DCE">
        <w:rPr>
          <w:lang w:eastAsia="hr-HR"/>
        </w:rPr>
        <w:t xml:space="preserve">, hotline service and the </w:t>
      </w:r>
      <w:r w:rsidRPr="001F6DCE">
        <w:rPr>
          <w:lang w:eastAsia="hr-HR"/>
        </w:rPr>
        <w:t xml:space="preserve">website could also serve as </w:t>
      </w:r>
      <w:r w:rsidRPr="001F6DCE">
        <w:rPr>
          <w:lang w:eastAsia="hr-HR"/>
        </w:rPr>
        <w:lastRenderedPageBreak/>
        <w:t xml:space="preserve">communications channels to voice and address any negative social impact of the Program activities. </w:t>
      </w:r>
    </w:p>
    <w:p w14:paraId="242674BB" w14:textId="77777777" w:rsidR="00F94EBD" w:rsidRPr="001F6DCE" w:rsidRDefault="00F94EBD" w:rsidP="00F94EBD">
      <w:pPr>
        <w:pStyle w:val="ListParagraph"/>
        <w:ind w:left="0"/>
        <w:contextualSpacing w:val="0"/>
        <w:jc w:val="both"/>
      </w:pPr>
    </w:p>
    <w:p w14:paraId="7258F828" w14:textId="220CFE7F" w:rsidR="001A6322" w:rsidRPr="001F6DCE" w:rsidRDefault="001A6322" w:rsidP="005C41CF">
      <w:pPr>
        <w:pStyle w:val="ListParagraph"/>
        <w:numPr>
          <w:ilvl w:val="0"/>
          <w:numId w:val="16"/>
        </w:numPr>
        <w:ind w:left="0" w:firstLine="0"/>
        <w:contextualSpacing w:val="0"/>
        <w:jc w:val="both"/>
      </w:pPr>
      <w:r w:rsidRPr="001F6DCE">
        <w:rPr>
          <w:b/>
        </w:rPr>
        <w:t>The fourth group relates to potential impact on the employees – medical and non-medical staff within the reformed system</w:t>
      </w:r>
      <w:r w:rsidRPr="001F6DCE">
        <w:t xml:space="preserve">. </w:t>
      </w:r>
      <w:r w:rsidR="00A537DB" w:rsidRPr="001F6DCE">
        <w:t>Given that th</w:t>
      </w:r>
      <w:r w:rsidR="006734A4" w:rsidRPr="001F6DCE">
        <w:t>is</w:t>
      </w:r>
      <w:r w:rsidR="00A537DB" w:rsidRPr="001F6DCE">
        <w:t xml:space="preserve"> </w:t>
      </w:r>
      <w:proofErr w:type="spellStart"/>
      <w:r w:rsidR="006734A4" w:rsidRPr="001F6DCE">
        <w:t>PforR</w:t>
      </w:r>
      <w:proofErr w:type="spellEnd"/>
      <w:r w:rsidR="006734A4" w:rsidRPr="001F6DCE">
        <w:t xml:space="preserve"> is not directly supporting the </w:t>
      </w:r>
      <w:r w:rsidR="00A537DB" w:rsidRPr="001F6DCE">
        <w:t xml:space="preserve">rightsizing of medical institutions </w:t>
      </w:r>
      <w:r w:rsidR="006734A4" w:rsidRPr="001F6DCE">
        <w:t>while</w:t>
      </w:r>
      <w:r w:rsidR="00A537DB" w:rsidRPr="001F6DCE">
        <w:t xml:space="preserve"> focusing on </w:t>
      </w:r>
      <w:r w:rsidR="00024DB4" w:rsidRPr="001F6DCE">
        <w:t xml:space="preserve">the </w:t>
      </w:r>
      <w:r w:rsidR="006734A4" w:rsidRPr="001F6DCE">
        <w:t>design of hospital network optimisation, t</w:t>
      </w:r>
      <w:r w:rsidR="00A537DB" w:rsidRPr="001F6DCE">
        <w:t>he programme is not likely to affect employment of medical or-non medical staff in the system</w:t>
      </w:r>
      <w:r w:rsidR="006734A4" w:rsidRPr="001F6DCE">
        <w:t xml:space="preserve"> during its implementation</w:t>
      </w:r>
      <w:r w:rsidR="00A537DB" w:rsidRPr="001F6DCE">
        <w:t>. However</w:t>
      </w:r>
      <w:r w:rsidR="006477C4" w:rsidRPr="001F6DCE">
        <w:t>,</w:t>
      </w:r>
      <w:r w:rsidR="00A537DB" w:rsidRPr="001F6DCE">
        <w:t xml:space="preserve"> it </w:t>
      </w:r>
      <w:r w:rsidR="006477C4" w:rsidRPr="001F6DCE">
        <w:t xml:space="preserve">might </w:t>
      </w:r>
      <w:r w:rsidR="00A537DB" w:rsidRPr="001F6DCE">
        <w:t>pose significant training and self-learning requirements that will have to be advocated to the personnel</w:t>
      </w:r>
      <w:r w:rsidR="006734A4" w:rsidRPr="001F6DCE">
        <w:t>,</w:t>
      </w:r>
      <w:r w:rsidR="00A537DB" w:rsidRPr="001F6DCE">
        <w:t xml:space="preserve"> as well as supported by the time and resources and properly communicated to the staff.</w:t>
      </w:r>
      <w:r w:rsidR="006477C4" w:rsidRPr="001F6DCE">
        <w:t xml:space="preserve"> </w:t>
      </w:r>
      <w:r w:rsidR="009F2E18" w:rsidRPr="001F6DCE">
        <w:t>For example</w:t>
      </w:r>
      <w:r w:rsidR="006734A4" w:rsidRPr="001F6DCE">
        <w:t>,</w:t>
      </w:r>
      <w:r w:rsidR="009F2E18" w:rsidRPr="001F6DCE">
        <w:t xml:space="preserve"> </w:t>
      </w:r>
      <w:r w:rsidR="006734A4" w:rsidRPr="001F6DCE">
        <w:t xml:space="preserve">establishment of common management of hospitals in Chisinau will </w:t>
      </w:r>
      <w:r w:rsidR="009F2E18" w:rsidRPr="001F6DCE">
        <w:t>require re-engineering of internal business processes. Without proper improvement in the staffing level, work environment, salaries there might be a shift in the workload to nurses who will be also blamed for non-compliance, if any. So</w:t>
      </w:r>
      <w:r w:rsidR="006477C4" w:rsidRPr="001F6DCE">
        <w:t>,</w:t>
      </w:r>
      <w:r w:rsidR="009F2E18" w:rsidRPr="001F6DCE">
        <w:t xml:space="preserve"> new business processes shall be developed in an inclusive manner with having a say, communicated to the personnel with necessary training if required.</w:t>
      </w:r>
    </w:p>
    <w:p w14:paraId="5A3508A5" w14:textId="77777777" w:rsidR="001A6322" w:rsidRPr="001F6DCE" w:rsidRDefault="001A6322" w:rsidP="00A04983">
      <w:pPr>
        <w:pStyle w:val="ListParagraph"/>
        <w:ind w:left="0"/>
        <w:jc w:val="both"/>
        <w:rPr>
          <w:b/>
          <w:u w:val="single"/>
        </w:rPr>
      </w:pPr>
    </w:p>
    <w:p w14:paraId="3F99945B" w14:textId="53C8788E" w:rsidR="00FF51E7" w:rsidRPr="001F6DCE" w:rsidRDefault="00FF51E7" w:rsidP="00F94EBD">
      <w:pPr>
        <w:pStyle w:val="ListParagraph"/>
        <w:numPr>
          <w:ilvl w:val="0"/>
          <w:numId w:val="16"/>
        </w:numPr>
        <w:ind w:left="0" w:firstLine="0"/>
        <w:contextualSpacing w:val="0"/>
        <w:jc w:val="both"/>
      </w:pPr>
      <w:r w:rsidRPr="001F6DCE">
        <w:t xml:space="preserve">Overall, it is difficult to identify specific winners and losers at this stage given that the various reforms supported by the new </w:t>
      </w:r>
      <w:proofErr w:type="spellStart"/>
      <w:r w:rsidR="00CC6741" w:rsidRPr="001F6DCE">
        <w:t>PforR</w:t>
      </w:r>
      <w:proofErr w:type="spellEnd"/>
      <w:r w:rsidR="00CC6741" w:rsidRPr="001F6DCE">
        <w:t xml:space="preserve"> </w:t>
      </w:r>
      <w:r w:rsidRPr="001F6DCE">
        <w:t>will involve agencies across the sector and have various implications for each of the key actors.</w:t>
      </w:r>
      <w:r w:rsidR="006734A4" w:rsidRPr="001F6DCE">
        <w:t xml:space="preserve"> </w:t>
      </w:r>
    </w:p>
    <w:p w14:paraId="01DD4EEA" w14:textId="77777777" w:rsidR="00FF51E7" w:rsidRPr="001F6DCE" w:rsidRDefault="00FF51E7" w:rsidP="00F94EBD">
      <w:pPr>
        <w:pStyle w:val="ListParagraph"/>
        <w:ind w:left="0"/>
        <w:contextualSpacing w:val="0"/>
        <w:jc w:val="both"/>
      </w:pPr>
    </w:p>
    <w:p w14:paraId="2229110B" w14:textId="678C0821" w:rsidR="00FF51E7" w:rsidRPr="001F6DCE" w:rsidRDefault="00FF51E7" w:rsidP="00F94EBD">
      <w:pPr>
        <w:pStyle w:val="ListParagraph"/>
        <w:numPr>
          <w:ilvl w:val="0"/>
          <w:numId w:val="16"/>
        </w:numPr>
        <w:ind w:left="0" w:firstLine="0"/>
        <w:contextualSpacing w:val="0"/>
        <w:jc w:val="both"/>
      </w:pPr>
      <w:r w:rsidRPr="001F6DCE">
        <w:t>The key actors in healthcare sector can be grouped in three categories: (</w:t>
      </w:r>
      <w:r w:rsidR="00CC6741" w:rsidRPr="001F6DCE">
        <w:t>a</w:t>
      </w:r>
      <w:r w:rsidRPr="001F6DCE">
        <w:t xml:space="preserve">) at central level: policy-makers at </w:t>
      </w:r>
      <w:proofErr w:type="spellStart"/>
      <w:r w:rsidR="00AB062A" w:rsidRPr="001F6DCE">
        <w:t>M</w:t>
      </w:r>
      <w:r w:rsidR="006477C4" w:rsidRPr="001F6DCE">
        <w:t>oHLSP</w:t>
      </w:r>
      <w:proofErr w:type="spellEnd"/>
      <w:r w:rsidR="006477C4" w:rsidRPr="001F6DCE">
        <w:t>, CNAM, NPHA</w:t>
      </w:r>
      <w:r w:rsidRPr="001F6DCE">
        <w:t xml:space="preserve"> and other related agencies, and MPs advocating for their electorate inte</w:t>
      </w:r>
      <w:r w:rsidR="00CC6741" w:rsidRPr="001F6DCE">
        <w:t>rests</w:t>
      </w:r>
      <w:r w:rsidR="0053282E" w:rsidRPr="001F6DCE">
        <w:t>;</w:t>
      </w:r>
      <w:r w:rsidR="00CC6741" w:rsidRPr="001F6DCE">
        <w:t xml:space="preserve"> (b</w:t>
      </w:r>
      <w:r w:rsidRPr="001F6DCE">
        <w:t xml:space="preserve">) at </w:t>
      </w:r>
      <w:proofErr w:type="spellStart"/>
      <w:r w:rsidRPr="001F6DCE">
        <w:t>meso</w:t>
      </w:r>
      <w:proofErr w:type="spellEnd"/>
      <w:r w:rsidRPr="001F6DCE">
        <w:t>-level: public and private healthcare providers affected by reforms, i.e. managers and staff in health facilities</w:t>
      </w:r>
      <w:r w:rsidR="0053282E" w:rsidRPr="001F6DCE">
        <w:t xml:space="preserve">; and </w:t>
      </w:r>
      <w:r w:rsidRPr="001F6DCE">
        <w:t>(</w:t>
      </w:r>
      <w:r w:rsidR="00CC6741" w:rsidRPr="001F6DCE">
        <w:t>c</w:t>
      </w:r>
      <w:r w:rsidRPr="001F6DCE">
        <w:t xml:space="preserve">) at micro level: the general public benefitting from </w:t>
      </w:r>
      <w:r w:rsidR="00CC6741" w:rsidRPr="001F6DCE">
        <w:t>i</w:t>
      </w:r>
      <w:r w:rsidR="00731CAC" w:rsidRPr="001F6DCE">
        <w:t>m</w:t>
      </w:r>
      <w:r w:rsidR="00CC6741" w:rsidRPr="001F6DCE">
        <w:t xml:space="preserve">proved equity and quality of </w:t>
      </w:r>
      <w:r w:rsidRPr="001F6DCE">
        <w:t xml:space="preserve">healthcare services. </w:t>
      </w:r>
    </w:p>
    <w:p w14:paraId="1C7FA905" w14:textId="77777777" w:rsidR="00FF51E7" w:rsidRPr="001F6DCE" w:rsidRDefault="00FF51E7" w:rsidP="00F94EBD">
      <w:pPr>
        <w:pStyle w:val="ListParagraph"/>
        <w:ind w:left="0"/>
        <w:contextualSpacing w:val="0"/>
        <w:jc w:val="both"/>
      </w:pPr>
    </w:p>
    <w:p w14:paraId="6883DD03" w14:textId="0220CA76" w:rsidR="00CC6741" w:rsidRPr="001F6DCE" w:rsidRDefault="00FF51E7" w:rsidP="00F94EBD">
      <w:pPr>
        <w:pStyle w:val="ListParagraph"/>
        <w:numPr>
          <w:ilvl w:val="0"/>
          <w:numId w:val="16"/>
        </w:numPr>
        <w:ind w:left="0" w:firstLine="0"/>
        <w:contextualSpacing w:val="0"/>
        <w:jc w:val="both"/>
      </w:pPr>
      <w:r w:rsidRPr="001F6DCE">
        <w:t xml:space="preserve">The Project will affect all three groups, yet the immediate effects will be felt more by the first two categories.  Hospitals and primary care facilities will face internal reorganization </w:t>
      </w:r>
      <w:r w:rsidR="003D5037" w:rsidRPr="001F6DCE">
        <w:t>to</w:t>
      </w:r>
      <w:r w:rsidRPr="001F6DCE">
        <w:t xml:space="preserve"> comply with reform requirements, as well as to ensure their economic and operational efficiency, and technocrats and policy-makers must obtain support in order to implement difficult reforms. However, MPs and other political actors in the short-run may face lobbying from the academic and/or medical society who are negatively impacted by the reform process (hospitals managers forced to reduce acute care beds, medical personnel paid based on </w:t>
      </w:r>
      <w:r w:rsidR="00527433" w:rsidRPr="001F6DCE">
        <w:t xml:space="preserve">the </w:t>
      </w:r>
      <w:r w:rsidRPr="001F6DCE">
        <w:t xml:space="preserve">new P4P schemes, better accountability and transparency of medical institutions and reduced OOPs, </w:t>
      </w:r>
      <w:proofErr w:type="spellStart"/>
      <w:r w:rsidRPr="001F6DCE">
        <w:t>etc</w:t>
      </w:r>
      <w:proofErr w:type="spellEnd"/>
      <w:r w:rsidRPr="001F6DCE">
        <w:t>).</w:t>
      </w:r>
    </w:p>
    <w:p w14:paraId="25C29EC6" w14:textId="77777777" w:rsidR="00527433" w:rsidRPr="001F6DCE" w:rsidRDefault="00527433" w:rsidP="00F94EBD">
      <w:pPr>
        <w:pStyle w:val="ListParagraph"/>
        <w:ind w:left="0"/>
        <w:contextualSpacing w:val="0"/>
        <w:jc w:val="both"/>
      </w:pPr>
    </w:p>
    <w:p w14:paraId="3651CDE0" w14:textId="77777777" w:rsidR="00420B51" w:rsidRPr="001F6DCE" w:rsidRDefault="00FF51E7" w:rsidP="00A04983">
      <w:pPr>
        <w:pStyle w:val="ListParagraph"/>
        <w:numPr>
          <w:ilvl w:val="0"/>
          <w:numId w:val="16"/>
        </w:numPr>
        <w:ind w:left="0" w:firstLine="0"/>
        <w:contextualSpacing w:val="0"/>
        <w:jc w:val="both"/>
      </w:pPr>
      <w:r w:rsidRPr="001F6DCE">
        <w:t>In the longer term, end-users will benefit from improved quality of healthcare services as a result of enhanced services and better monitoring of population’s health outcomes.</w:t>
      </w:r>
    </w:p>
    <w:p w14:paraId="7B53C9D6" w14:textId="77777777" w:rsidR="00B056E5" w:rsidRPr="001F6DCE" w:rsidRDefault="00B056E5">
      <w:pPr>
        <w:rPr>
          <w:b/>
        </w:rPr>
      </w:pPr>
    </w:p>
    <w:p w14:paraId="5873112D" w14:textId="77777777" w:rsidR="00654438" w:rsidRPr="001F6DCE" w:rsidRDefault="00922312" w:rsidP="00F94EBD">
      <w:pPr>
        <w:autoSpaceDE w:val="0"/>
        <w:autoSpaceDN w:val="0"/>
        <w:adjustRightInd w:val="0"/>
        <w:jc w:val="center"/>
        <w:rPr>
          <w:b/>
        </w:rPr>
      </w:pPr>
      <w:r w:rsidRPr="001F6DCE">
        <w:rPr>
          <w:b/>
        </w:rPr>
        <w:t>V</w:t>
      </w:r>
      <w:r w:rsidR="00756EB6" w:rsidRPr="001F6DCE">
        <w:rPr>
          <w:b/>
        </w:rPr>
        <w:t>I</w:t>
      </w:r>
      <w:r w:rsidRPr="001F6DCE">
        <w:rPr>
          <w:b/>
        </w:rPr>
        <w:t>.</w:t>
      </w:r>
      <w:r w:rsidR="00190FE7" w:rsidRPr="001F6DCE">
        <w:rPr>
          <w:b/>
        </w:rPr>
        <w:tab/>
      </w:r>
      <w:r w:rsidRPr="001F6DCE">
        <w:rPr>
          <w:b/>
        </w:rPr>
        <w:t xml:space="preserve">ASSESSMENT OF THE </w:t>
      </w:r>
      <w:r w:rsidR="00654438" w:rsidRPr="001F6DCE">
        <w:rPr>
          <w:b/>
        </w:rPr>
        <w:t>MANAGEMENT SYSTEM IN THE SECTOR</w:t>
      </w:r>
    </w:p>
    <w:p w14:paraId="5166BDB1" w14:textId="77777777" w:rsidR="00654438" w:rsidRPr="001F6DCE" w:rsidRDefault="00654438" w:rsidP="00A04983">
      <w:pPr>
        <w:autoSpaceDE w:val="0"/>
        <w:autoSpaceDN w:val="0"/>
        <w:adjustRightInd w:val="0"/>
        <w:jc w:val="both"/>
        <w:rPr>
          <w:i/>
        </w:rPr>
      </w:pPr>
    </w:p>
    <w:p w14:paraId="6D88210A" w14:textId="77777777" w:rsidR="000755DA" w:rsidRPr="001F6DCE" w:rsidRDefault="000755DA" w:rsidP="00F94EBD">
      <w:pPr>
        <w:pStyle w:val="ListParagraph"/>
        <w:numPr>
          <w:ilvl w:val="0"/>
          <w:numId w:val="11"/>
        </w:numPr>
        <w:autoSpaceDE w:val="0"/>
        <w:autoSpaceDN w:val="0"/>
        <w:adjustRightInd w:val="0"/>
        <w:ind w:hanging="720"/>
        <w:jc w:val="both"/>
        <w:rPr>
          <w:rFonts w:eastAsia="Calibri"/>
          <w:b/>
          <w:lang w:val="en-US"/>
        </w:rPr>
      </w:pPr>
      <w:r w:rsidRPr="001F6DCE">
        <w:rPr>
          <w:b/>
        </w:rPr>
        <w:t>Overall assessment of Environmental Management Syste</w:t>
      </w:r>
      <w:r w:rsidR="00C35E6D" w:rsidRPr="001F6DCE">
        <w:rPr>
          <w:b/>
        </w:rPr>
        <w:t>m in the country</w:t>
      </w:r>
      <w:r w:rsidRPr="001F6DCE">
        <w:rPr>
          <w:b/>
        </w:rPr>
        <w:t xml:space="preserve"> </w:t>
      </w:r>
    </w:p>
    <w:p w14:paraId="1A68727F" w14:textId="77777777" w:rsidR="000755DA" w:rsidRPr="001F6DCE" w:rsidRDefault="000755DA" w:rsidP="00A04983">
      <w:pPr>
        <w:pStyle w:val="ListParagraph"/>
        <w:autoSpaceDE w:val="0"/>
        <w:autoSpaceDN w:val="0"/>
        <w:adjustRightInd w:val="0"/>
        <w:ind w:left="0"/>
        <w:jc w:val="both"/>
        <w:rPr>
          <w:rFonts w:eastAsia="Calibri"/>
          <w:lang w:val="en-US"/>
        </w:rPr>
      </w:pPr>
    </w:p>
    <w:p w14:paraId="17B6772E" w14:textId="7743B4D7" w:rsidR="00C32581" w:rsidRPr="001F6DCE" w:rsidRDefault="000755DA" w:rsidP="00A23190">
      <w:pPr>
        <w:pStyle w:val="ListParagraph"/>
        <w:numPr>
          <w:ilvl w:val="0"/>
          <w:numId w:val="16"/>
        </w:numPr>
        <w:ind w:left="0" w:firstLine="0"/>
        <w:contextualSpacing w:val="0"/>
        <w:jc w:val="both"/>
      </w:pPr>
      <w:r w:rsidRPr="001F6DCE">
        <w:t xml:space="preserve">Overall </w:t>
      </w:r>
      <w:r w:rsidR="00DB71B7" w:rsidRPr="001F6DCE">
        <w:t>Moldova has in place relatively well functioning country’s Environmental Management System</w:t>
      </w:r>
      <w:r w:rsidR="00DB71B7" w:rsidRPr="001F6DCE">
        <w:footnoteReference w:id="19"/>
      </w:r>
      <w:r w:rsidR="00DB71B7" w:rsidRPr="001F6DCE">
        <w:t xml:space="preserve">. Its operation is based on a series of Environmental policies which cover </w:t>
      </w:r>
      <w:r w:rsidR="00DB71B7" w:rsidRPr="001F6DCE">
        <w:lastRenderedPageBreak/>
        <w:t xml:space="preserve">both sectors - environmental protection and health care generally and also in particularly the issues of HCWs and </w:t>
      </w:r>
      <w:proofErr w:type="spellStart"/>
      <w:r w:rsidR="00DB71B7" w:rsidRPr="001F6DCE">
        <w:t>PhWs</w:t>
      </w:r>
      <w:proofErr w:type="spellEnd"/>
      <w:r w:rsidR="006734A4" w:rsidRPr="001F6DCE">
        <w:t>.</w:t>
      </w:r>
      <w:r w:rsidR="00DB71B7" w:rsidRPr="001F6DCE">
        <w:t xml:space="preserve"> The </w:t>
      </w:r>
      <w:r w:rsidR="006734A4" w:rsidRPr="001F6DCE">
        <w:t>Environment</w:t>
      </w:r>
      <w:r w:rsidR="00126B76" w:rsidRPr="001F6DCE">
        <w:t xml:space="preserve"> Strategy 2014-2023 </w:t>
      </w:r>
      <w:r w:rsidR="00DB71B7" w:rsidRPr="001F6DCE">
        <w:t xml:space="preserve">specifies necessary actions for ensuring environmental protection, including issues which have direct implications for human health and relates to prevention of environmental pollution, wastes and toxic wastes management and enforcing EA rules and procedures. The </w:t>
      </w:r>
      <w:proofErr w:type="spellStart"/>
      <w:r w:rsidR="00DB71B7" w:rsidRPr="001F6DCE">
        <w:t>G</w:t>
      </w:r>
      <w:r w:rsidR="0004262E" w:rsidRPr="001F6DCE">
        <w:t>o</w:t>
      </w:r>
      <w:r w:rsidR="00DB71B7" w:rsidRPr="001F6DCE">
        <w:t>M</w:t>
      </w:r>
      <w:proofErr w:type="spellEnd"/>
      <w:r w:rsidR="00DB71B7" w:rsidRPr="001F6DCE">
        <w:t xml:space="preserve"> has also in place several other national policy documents related in particular</w:t>
      </w:r>
      <w:r w:rsidR="0004262E" w:rsidRPr="001F6DCE">
        <w:t>,</w:t>
      </w:r>
      <w:r w:rsidR="00DB71B7" w:rsidRPr="001F6DCE">
        <w:t xml:space="preserve"> to health and environmental issues, including a Health and Environment Action Plan, approved in 2001 and adopted National Strategy for waste management which contains also a section devoted to HCWs management.</w:t>
      </w:r>
    </w:p>
    <w:p w14:paraId="4F5ADFB6" w14:textId="77777777" w:rsidR="00C32581" w:rsidRPr="001F6DCE" w:rsidRDefault="00C32581" w:rsidP="00A23190">
      <w:pPr>
        <w:pStyle w:val="ListParagraph"/>
        <w:ind w:left="0"/>
        <w:contextualSpacing w:val="0"/>
        <w:jc w:val="both"/>
      </w:pPr>
    </w:p>
    <w:p w14:paraId="33FD4156" w14:textId="7B7D9EDA" w:rsidR="00DB71B7" w:rsidRPr="001F6DCE" w:rsidRDefault="00DB71B7" w:rsidP="00A23190">
      <w:pPr>
        <w:pStyle w:val="ListParagraph"/>
        <w:numPr>
          <w:ilvl w:val="0"/>
          <w:numId w:val="16"/>
        </w:numPr>
        <w:ind w:left="0" w:firstLine="0"/>
        <w:contextualSpacing w:val="0"/>
        <w:jc w:val="both"/>
      </w:pPr>
      <w:r w:rsidRPr="001F6DCE">
        <w:t>Furthermore, during last 20 years Moldova has developed a comprehensive new regulatory framework that covers all and environmental and health sector issues, including the environmental protection law (1993) and law on EIA (1996), on solid waste management (1998), of state surveillance of public health (2009), etc. Overall, the quality of designed policy and regulatory documents is adequate. They have been prepared based on best international practices and recommendations proposed by various International Development Institutions as well as Multilateral Environmental treaties. Furthermore, recently the country has started to harmonize its legislation with the EU Directives. At the same time implementation of approved policy documents and environmental legislation overall is qualified as at medium to low level, mostly due to inadequate funding as well as insufficient enforcement capacity of the MOH and the Ministry of Environment.</w:t>
      </w:r>
    </w:p>
    <w:p w14:paraId="15C059DC" w14:textId="77777777" w:rsidR="00FA447C" w:rsidRPr="001F6DCE" w:rsidRDefault="00FA447C" w:rsidP="00A04983">
      <w:pPr>
        <w:jc w:val="both"/>
        <w:rPr>
          <w:i/>
          <w:u w:val="single"/>
        </w:rPr>
      </w:pPr>
    </w:p>
    <w:p w14:paraId="0F4409B1" w14:textId="1D44100D" w:rsidR="006D0D10" w:rsidRPr="001F6DCE" w:rsidRDefault="00654438" w:rsidP="00F94EBD">
      <w:pPr>
        <w:pStyle w:val="ListParagraph"/>
        <w:numPr>
          <w:ilvl w:val="0"/>
          <w:numId w:val="11"/>
        </w:numPr>
        <w:autoSpaceDE w:val="0"/>
        <w:autoSpaceDN w:val="0"/>
        <w:adjustRightInd w:val="0"/>
        <w:ind w:hanging="720"/>
        <w:jc w:val="both"/>
        <w:rPr>
          <w:b/>
        </w:rPr>
      </w:pPr>
      <w:r w:rsidRPr="001F6DCE">
        <w:rPr>
          <w:b/>
        </w:rPr>
        <w:t>Asse</w:t>
      </w:r>
      <w:r w:rsidR="00951DD5" w:rsidRPr="001F6DCE">
        <w:rPr>
          <w:b/>
        </w:rPr>
        <w:t>ss</w:t>
      </w:r>
      <w:r w:rsidRPr="001F6DCE">
        <w:rPr>
          <w:b/>
        </w:rPr>
        <w:t xml:space="preserve">ment </w:t>
      </w:r>
      <w:r w:rsidR="00DC4F5A" w:rsidRPr="001F6DCE">
        <w:rPr>
          <w:b/>
        </w:rPr>
        <w:t xml:space="preserve">of the applicable </w:t>
      </w:r>
      <w:r w:rsidR="000755DA" w:rsidRPr="001F6DCE">
        <w:rPr>
          <w:b/>
        </w:rPr>
        <w:t xml:space="preserve">health </w:t>
      </w:r>
      <w:r w:rsidR="00DC4F5A" w:rsidRPr="001F6DCE">
        <w:rPr>
          <w:b/>
        </w:rPr>
        <w:t>management systems</w:t>
      </w:r>
    </w:p>
    <w:p w14:paraId="40348AB1" w14:textId="77777777" w:rsidR="00CC6741" w:rsidRPr="001F6DCE" w:rsidRDefault="00CC6741" w:rsidP="00A04983">
      <w:pPr>
        <w:jc w:val="both"/>
        <w:rPr>
          <w:i/>
          <w:u w:val="single"/>
        </w:rPr>
      </w:pPr>
    </w:p>
    <w:p w14:paraId="3AB97567" w14:textId="2E9CA904" w:rsidR="00654438" w:rsidRPr="001F6DCE" w:rsidRDefault="00654438" w:rsidP="00F94EBD">
      <w:pPr>
        <w:pStyle w:val="ListParagraph"/>
        <w:numPr>
          <w:ilvl w:val="0"/>
          <w:numId w:val="16"/>
        </w:numPr>
        <w:ind w:left="0" w:firstLine="0"/>
        <w:contextualSpacing w:val="0"/>
        <w:jc w:val="both"/>
      </w:pPr>
      <w:r w:rsidRPr="001F6DCE">
        <w:rPr>
          <w:i/>
        </w:rPr>
        <w:t xml:space="preserve">Political </w:t>
      </w:r>
      <w:r w:rsidR="00436E53" w:rsidRPr="001F6DCE">
        <w:rPr>
          <w:i/>
        </w:rPr>
        <w:t>commitment</w:t>
      </w:r>
      <w:r w:rsidRPr="001F6DCE">
        <w:t>: Instability within the ruling coalition</w:t>
      </w:r>
      <w:r w:rsidR="00436E53" w:rsidRPr="001F6DCE">
        <w:t xml:space="preserve"> during 2014–2016 wa</w:t>
      </w:r>
      <w:r w:rsidRPr="001F6DCE">
        <w:t xml:space="preserve">s one of the major factors affecting implementation of reforms in </w:t>
      </w:r>
      <w:r w:rsidR="00436E53" w:rsidRPr="001F6DCE">
        <w:t xml:space="preserve">healthcare sector in Moldova. Since 2012, there were four changes in the Ministry of Health </w:t>
      </w:r>
      <w:proofErr w:type="gramStart"/>
      <w:r w:rsidR="00436E53" w:rsidRPr="001F6DCE">
        <w:t xml:space="preserve">leadership </w:t>
      </w:r>
      <w:r w:rsidR="00F63456" w:rsidRPr="001F6DCE">
        <w:t xml:space="preserve"> </w:t>
      </w:r>
      <w:r w:rsidR="00436E53" w:rsidRPr="001F6DCE">
        <w:t>which</w:t>
      </w:r>
      <w:proofErr w:type="gramEnd"/>
      <w:r w:rsidR="00436E53" w:rsidRPr="001F6DCE">
        <w:t xml:space="preserve">  </w:t>
      </w:r>
      <w:r w:rsidR="00546D48" w:rsidRPr="001F6DCE">
        <w:t>concluded</w:t>
      </w:r>
      <w:r w:rsidR="00436E53" w:rsidRPr="001F6DCE">
        <w:t xml:space="preserve"> with the merger of social and </w:t>
      </w:r>
      <w:r w:rsidR="00546D48" w:rsidRPr="001F6DCE">
        <w:t xml:space="preserve">health sector ministries in 2017: </w:t>
      </w:r>
      <w:r w:rsidR="00126B76" w:rsidRPr="001F6DCE">
        <w:t xml:space="preserve">the Ministry of Health was merged with the Ministry of labour, social protection and family which resulted in multiple changes in its management and internal structure. </w:t>
      </w:r>
      <w:r w:rsidRPr="001F6DCE">
        <w:t>The current Minister of Health</w:t>
      </w:r>
      <w:r w:rsidR="00126B76" w:rsidRPr="001F6DCE">
        <w:t>, Labour and Social Protection</w:t>
      </w:r>
      <w:r w:rsidRPr="001F6DCE">
        <w:t xml:space="preserve"> </w:t>
      </w:r>
      <w:r w:rsidR="00126B76" w:rsidRPr="001F6DCE">
        <w:t>is coming from healthcare sector and was involved in the reform and establishment of blood transfusion system in Moldova</w:t>
      </w:r>
      <w:r w:rsidRPr="001F6DCE">
        <w:t xml:space="preserve">. Similarly, </w:t>
      </w:r>
      <w:r w:rsidR="00126B76" w:rsidRPr="001F6DCE">
        <w:t xml:space="preserve">during the project implementation </w:t>
      </w:r>
      <w:r w:rsidRPr="001F6DCE">
        <w:t xml:space="preserve">the management of the </w:t>
      </w:r>
      <w:r w:rsidR="00BD66FE" w:rsidRPr="001F6DCE">
        <w:t xml:space="preserve">CNAM </w:t>
      </w:r>
      <w:r w:rsidR="00126B76" w:rsidRPr="001F6DCE">
        <w:t xml:space="preserve">changed, yet most </w:t>
      </w:r>
      <w:r w:rsidR="007B1BA2" w:rsidRPr="001F6DCE">
        <w:t>of its key</w:t>
      </w:r>
      <w:r w:rsidR="0016420A" w:rsidRPr="001F6DCE">
        <w:t xml:space="preserve"> staff was retained and</w:t>
      </w:r>
      <w:r w:rsidRPr="001F6DCE">
        <w:t xml:space="preserve"> </w:t>
      </w:r>
      <w:r w:rsidR="0016420A" w:rsidRPr="001F6DCE">
        <w:t>possess</w:t>
      </w:r>
      <w:r w:rsidRPr="001F6DCE">
        <w:t xml:space="preserve"> solid institutional memory</w:t>
      </w:r>
      <w:r w:rsidR="0016420A" w:rsidRPr="001F6DCE">
        <w:t xml:space="preserve"> and ownership for reforms</w:t>
      </w:r>
      <w:r w:rsidRPr="001F6DCE">
        <w:t xml:space="preserve">. Overall, on the side of </w:t>
      </w:r>
      <w:proofErr w:type="spellStart"/>
      <w:r w:rsidR="00AB062A" w:rsidRPr="001F6DCE">
        <w:t>M</w:t>
      </w:r>
      <w:r w:rsidR="0016420A" w:rsidRPr="001F6DCE">
        <w:t>oHLSP</w:t>
      </w:r>
      <w:proofErr w:type="spellEnd"/>
      <w:r w:rsidRPr="001F6DCE">
        <w:t xml:space="preserve"> and other relevant government stakeholders, there is common understanding and support</w:t>
      </w:r>
      <w:r w:rsidR="00F0036A" w:rsidRPr="001F6DCE">
        <w:t xml:space="preserve"> for the declared reform agenda</w:t>
      </w:r>
      <w:r w:rsidRPr="001F6DCE">
        <w:t xml:space="preserve">. </w:t>
      </w:r>
      <w:r w:rsidR="00436E53" w:rsidRPr="001F6DCE">
        <w:t xml:space="preserve">However, at the sectoral level, </w:t>
      </w:r>
      <w:proofErr w:type="gramStart"/>
      <w:r w:rsidR="00436E53" w:rsidRPr="001F6DCE">
        <w:t>both the</w:t>
      </w:r>
      <w:proofErr w:type="gramEnd"/>
      <w:r w:rsidR="00436E53" w:rsidRPr="001F6DCE">
        <w:t xml:space="preserve"> Ministry of Health, Labour and Social Protection and CNAM recognize the importance of improving service delivery, enhancing efficiency and improving financial protection.</w:t>
      </w:r>
    </w:p>
    <w:p w14:paraId="77D9C6BB" w14:textId="77777777" w:rsidR="000B109F" w:rsidRPr="001F6DCE" w:rsidRDefault="000B109F" w:rsidP="00A04983">
      <w:pPr>
        <w:jc w:val="both"/>
        <w:rPr>
          <w:b/>
        </w:rPr>
      </w:pPr>
    </w:p>
    <w:p w14:paraId="78A9FDB9" w14:textId="4334F0EA" w:rsidR="009D2527" w:rsidRPr="001F6DCE" w:rsidRDefault="009D2527" w:rsidP="00F94EBD">
      <w:pPr>
        <w:pStyle w:val="ListParagraph"/>
        <w:numPr>
          <w:ilvl w:val="0"/>
          <w:numId w:val="16"/>
        </w:numPr>
        <w:ind w:left="0" w:firstLine="0"/>
        <w:contextualSpacing w:val="0"/>
        <w:jc w:val="both"/>
      </w:pPr>
      <w:r w:rsidRPr="001F6DCE">
        <w:t>The Ministry of Health</w:t>
      </w:r>
      <w:r w:rsidR="0016420A" w:rsidRPr="001F6DCE">
        <w:t>, Labour and Social Protection</w:t>
      </w:r>
      <w:r w:rsidRPr="001F6DCE">
        <w:t xml:space="preserve"> </w:t>
      </w:r>
      <w:r w:rsidR="007B1BA2" w:rsidRPr="001F6DCE">
        <w:t xml:space="preserve">under the auspice of Prime Minister embarked upon implementation of key reforms in the following areas: primary </w:t>
      </w:r>
      <w:r w:rsidR="007B1BA2" w:rsidRPr="001F6DCE">
        <w:lastRenderedPageBreak/>
        <w:t>healthcare, public health and hospital sector.</w:t>
      </w:r>
      <w:r w:rsidRPr="001F6DCE">
        <w:t xml:space="preserve"> </w:t>
      </w:r>
      <w:r w:rsidR="007B1BA2" w:rsidRPr="001F6DCE">
        <w:t>In addition</w:t>
      </w:r>
      <w:r w:rsidRPr="001F6DCE">
        <w:t xml:space="preserve">, CNAM </w:t>
      </w:r>
      <w:r w:rsidR="007B1BA2" w:rsidRPr="001F6DCE">
        <w:t xml:space="preserve">continued to implement its </w:t>
      </w:r>
      <w:r w:rsidRPr="001F6DCE">
        <w:t xml:space="preserve">institutional development strategy </w:t>
      </w:r>
      <w:r w:rsidR="007B1BA2" w:rsidRPr="001F6DCE">
        <w:t xml:space="preserve">and went through internal reorganisation in 2017 </w:t>
      </w:r>
      <w:r w:rsidRPr="001F6DCE">
        <w:t xml:space="preserve">that was aimed at institutional strengthening and </w:t>
      </w:r>
      <w:r w:rsidR="007B1BA2" w:rsidRPr="001F6DCE">
        <w:t>efficiency</w:t>
      </w:r>
      <w:r w:rsidRPr="001F6DCE">
        <w:t xml:space="preserve">, but also </w:t>
      </w:r>
      <w:r w:rsidR="007B1BA2" w:rsidRPr="001F6DCE">
        <w:t xml:space="preserve">commenced </w:t>
      </w:r>
      <w:r w:rsidRPr="001F6DCE">
        <w:t>reforms in the field of health financing</w:t>
      </w:r>
      <w:r w:rsidR="007B1BA2" w:rsidRPr="001F6DCE">
        <w:t xml:space="preserve"> and</w:t>
      </w:r>
      <w:r w:rsidRPr="001F6DCE">
        <w:t xml:space="preserve"> access and quality of healthcare. </w:t>
      </w:r>
    </w:p>
    <w:p w14:paraId="2C77A3E9" w14:textId="77777777" w:rsidR="009D2527" w:rsidRPr="001F6DCE" w:rsidRDefault="009D2527" w:rsidP="00F94EBD">
      <w:pPr>
        <w:pStyle w:val="ListParagraph"/>
        <w:ind w:left="0"/>
        <w:contextualSpacing w:val="0"/>
        <w:jc w:val="both"/>
      </w:pPr>
    </w:p>
    <w:p w14:paraId="04D7E54F" w14:textId="3BA69E3E" w:rsidR="009D2527" w:rsidRPr="001F6DCE" w:rsidRDefault="009D2527" w:rsidP="00F94EBD">
      <w:pPr>
        <w:pStyle w:val="ListParagraph"/>
        <w:numPr>
          <w:ilvl w:val="0"/>
          <w:numId w:val="16"/>
        </w:numPr>
        <w:ind w:left="0" w:firstLine="0"/>
        <w:contextualSpacing w:val="0"/>
        <w:jc w:val="both"/>
      </w:pPr>
      <w:r w:rsidRPr="001F6DCE">
        <w:t>The Prime-Minister has re-confirmed the commitment to hospital reform</w:t>
      </w:r>
      <w:r w:rsidR="00CF4B85" w:rsidRPr="001F6DCE">
        <w:t xml:space="preserve"> in the upcoming years</w:t>
      </w:r>
      <w:r w:rsidRPr="001F6DCE">
        <w:t xml:space="preserve">, yet in a careful and gradual manner. </w:t>
      </w:r>
      <w:r w:rsidR="00CF4B85" w:rsidRPr="001F6DCE">
        <w:t xml:space="preserve">In this context, </w:t>
      </w:r>
      <w:proofErr w:type="spellStart"/>
      <w:r w:rsidR="00CF4B85" w:rsidRPr="001F6DCE">
        <w:t>MoHLSP</w:t>
      </w:r>
      <w:proofErr w:type="spellEnd"/>
      <w:r w:rsidR="00CF4B85" w:rsidRPr="001F6DCE">
        <w:t xml:space="preserve"> was reformed and a team of technocratic staff is being hired. </w:t>
      </w:r>
      <w:r w:rsidRPr="001F6DCE">
        <w:t xml:space="preserve">MPs have advocated for a stronger communication policy to mitigate the risk of non-support of reforms by population and political parties in opposition. </w:t>
      </w:r>
    </w:p>
    <w:p w14:paraId="6984BBFF" w14:textId="77777777" w:rsidR="009D2527" w:rsidRPr="001F6DCE" w:rsidRDefault="009D2527" w:rsidP="00F94EBD">
      <w:pPr>
        <w:pStyle w:val="ListParagraph"/>
        <w:ind w:left="0"/>
        <w:contextualSpacing w:val="0"/>
        <w:jc w:val="both"/>
      </w:pPr>
    </w:p>
    <w:p w14:paraId="1E5E7DB6" w14:textId="5A56CFF7" w:rsidR="009D2527" w:rsidRPr="001F6DCE" w:rsidRDefault="00C32581" w:rsidP="00F94EBD">
      <w:pPr>
        <w:pStyle w:val="ListParagraph"/>
        <w:numPr>
          <w:ilvl w:val="0"/>
          <w:numId w:val="16"/>
        </w:numPr>
        <w:ind w:left="0" w:firstLine="0"/>
        <w:contextualSpacing w:val="0"/>
        <w:jc w:val="both"/>
      </w:pPr>
      <w:r w:rsidRPr="001F6DCE">
        <w:t>A</w:t>
      </w:r>
      <w:r w:rsidR="005B694C" w:rsidRPr="001F6DCE">
        <w:t>lthough the situation slightly improved, there are still some</w:t>
      </w:r>
      <w:r w:rsidR="009D2527" w:rsidRPr="001F6DCE">
        <w:t xml:space="preserve"> issue</w:t>
      </w:r>
      <w:r w:rsidR="005B694C" w:rsidRPr="001F6DCE">
        <w:t>s</w:t>
      </w:r>
      <w:r w:rsidR="009D2527" w:rsidRPr="001F6DCE">
        <w:t xml:space="preserve"> of managerial capacity related to prioritizing reform measures and coordinating their implementation across the sector. Weak institutional capacity in the health sector is mainly caused by the lack of robust motivation instruments (i.e. salary scheme and career development mechanisms) to retain healthcare management professionals in the sector. </w:t>
      </w:r>
    </w:p>
    <w:p w14:paraId="2A097A92" w14:textId="77777777" w:rsidR="009D2527" w:rsidRPr="001F6DCE" w:rsidRDefault="009D2527" w:rsidP="00F94EBD">
      <w:pPr>
        <w:pStyle w:val="ListParagraph"/>
        <w:ind w:left="0"/>
        <w:contextualSpacing w:val="0"/>
        <w:jc w:val="both"/>
      </w:pPr>
    </w:p>
    <w:p w14:paraId="48B00982" w14:textId="4594F525" w:rsidR="009D2527" w:rsidRPr="001F6DCE" w:rsidRDefault="009D2527" w:rsidP="00F94EBD">
      <w:pPr>
        <w:pStyle w:val="ListParagraph"/>
        <w:numPr>
          <w:ilvl w:val="0"/>
          <w:numId w:val="16"/>
        </w:numPr>
        <w:ind w:left="0" w:firstLine="0"/>
        <w:contextualSpacing w:val="0"/>
        <w:jc w:val="both"/>
      </w:pPr>
      <w:r w:rsidRPr="001F6DCE">
        <w:rPr>
          <w:i/>
        </w:rPr>
        <w:t>Intergovernmental Relations</w:t>
      </w:r>
      <w:r w:rsidRPr="001F6DCE">
        <w:t xml:space="preserve">: Whilst the </w:t>
      </w:r>
      <w:proofErr w:type="spellStart"/>
      <w:r w:rsidRPr="001F6DCE">
        <w:t>PforR</w:t>
      </w:r>
      <w:proofErr w:type="spellEnd"/>
      <w:r w:rsidRPr="001F6DCE">
        <w:t xml:space="preserve"> as designed will have no direct effect on Local Public Administrations (LPAs), the hospital reform implementation largely depends on co-operation between </w:t>
      </w:r>
      <w:proofErr w:type="spellStart"/>
      <w:r w:rsidR="00ED3950" w:rsidRPr="001F6DCE">
        <w:t>MoHLSP</w:t>
      </w:r>
      <w:proofErr w:type="spellEnd"/>
      <w:r w:rsidR="00ED3950" w:rsidRPr="001F6DCE">
        <w:t xml:space="preserve"> </w:t>
      </w:r>
      <w:r w:rsidRPr="001F6DCE">
        <w:t>and LPAs, who are the founders of Rayon and Municipal hospitals. The strong associations between Rayon’s and Municipal local authorities and the political elite in Chisinau ha</w:t>
      </w:r>
      <w:r w:rsidR="00A0041D" w:rsidRPr="001F6DCE">
        <w:t>s</w:t>
      </w:r>
      <w:r w:rsidRPr="001F6DCE">
        <w:t xml:space="preserve"> to be taken into account, particularly as major hospital overcapacity is concentrated in Chisinau, where these connections are even stronger.</w:t>
      </w:r>
      <w:r w:rsidR="00A0041D" w:rsidRPr="001F6DCE">
        <w:t xml:space="preserve"> </w:t>
      </w:r>
      <w:r w:rsidR="000333D5" w:rsidRPr="001F6DCE">
        <w:t>For the purpose</w:t>
      </w:r>
      <w:r w:rsidR="00DC2227" w:rsidRPr="001F6DCE">
        <w:t xml:space="preserve"> of</w:t>
      </w:r>
      <w:r w:rsidR="000333D5" w:rsidRPr="001F6DCE">
        <w:t xml:space="preserve"> hospital </w:t>
      </w:r>
      <w:r w:rsidR="00DC2227" w:rsidRPr="001F6DCE">
        <w:t>reform</w:t>
      </w:r>
      <w:r w:rsidR="000333D5" w:rsidRPr="001F6DCE">
        <w:t xml:space="preserve">, the </w:t>
      </w:r>
      <w:proofErr w:type="spellStart"/>
      <w:r w:rsidR="000333D5" w:rsidRPr="001F6DCE">
        <w:t>GoM</w:t>
      </w:r>
      <w:proofErr w:type="spellEnd"/>
      <w:r w:rsidR="000333D5" w:rsidRPr="001F6DCE">
        <w:t xml:space="preserve"> intends to centralise </w:t>
      </w:r>
      <w:r w:rsidR="00DC2227" w:rsidRPr="001F6DCE">
        <w:t xml:space="preserve">all </w:t>
      </w:r>
      <w:r w:rsidR="000333D5" w:rsidRPr="001F6DCE">
        <w:t>hospitals</w:t>
      </w:r>
      <w:r w:rsidR="00DC2227" w:rsidRPr="001F6DCE">
        <w:t xml:space="preserve"> (municipal, </w:t>
      </w:r>
      <w:proofErr w:type="spellStart"/>
      <w:r w:rsidR="00DC2227" w:rsidRPr="001F6DCE">
        <w:t>raion’s</w:t>
      </w:r>
      <w:proofErr w:type="spellEnd"/>
      <w:r w:rsidR="00DC2227" w:rsidRPr="001F6DCE">
        <w:t xml:space="preserve"> and departmental)</w:t>
      </w:r>
      <w:r w:rsidR="000333D5" w:rsidRPr="001F6DCE">
        <w:t xml:space="preserve"> under the </w:t>
      </w:r>
      <w:proofErr w:type="spellStart"/>
      <w:r w:rsidR="000333D5" w:rsidRPr="001F6DCE">
        <w:t>MoHLSP</w:t>
      </w:r>
      <w:proofErr w:type="spellEnd"/>
      <w:r w:rsidR="000333D5" w:rsidRPr="001F6DCE">
        <w:t xml:space="preserve"> ownership</w:t>
      </w:r>
      <w:r w:rsidR="00DC2227" w:rsidRPr="001F6DCE">
        <w:t xml:space="preserve"> that is expected to facilitate optimisation and rightsizing process. </w:t>
      </w:r>
    </w:p>
    <w:p w14:paraId="24698B3B" w14:textId="77777777" w:rsidR="009D2527" w:rsidRPr="001F6DCE" w:rsidRDefault="009D2527" w:rsidP="00F94EBD">
      <w:pPr>
        <w:pStyle w:val="ListParagraph"/>
        <w:ind w:left="0"/>
        <w:contextualSpacing w:val="0"/>
        <w:jc w:val="both"/>
      </w:pPr>
    </w:p>
    <w:p w14:paraId="000F2975" w14:textId="5B50FD4A" w:rsidR="009D2527" w:rsidRPr="001F6DCE" w:rsidRDefault="009D2527" w:rsidP="00F94EBD">
      <w:pPr>
        <w:pStyle w:val="ListParagraph"/>
        <w:numPr>
          <w:ilvl w:val="0"/>
          <w:numId w:val="16"/>
        </w:numPr>
        <w:ind w:left="0" w:firstLine="0"/>
        <w:contextualSpacing w:val="0"/>
        <w:jc w:val="both"/>
      </w:pPr>
      <w:r w:rsidRPr="001F6DCE">
        <w:t xml:space="preserve">Furthermore, the </w:t>
      </w:r>
      <w:proofErr w:type="spellStart"/>
      <w:r w:rsidRPr="001F6DCE">
        <w:t>PforR’s</w:t>
      </w:r>
      <w:proofErr w:type="spellEnd"/>
      <w:r w:rsidRPr="001F6DCE">
        <w:t xml:space="preserve"> targeting hospital beds reduction that at least in the short-run will lead to re-profiling of acute care beds into long-term rehabilitation. </w:t>
      </w:r>
      <w:r w:rsidR="00DC2227" w:rsidRPr="001F6DCE">
        <w:t xml:space="preserve">Given that after the merger of </w:t>
      </w:r>
      <w:r w:rsidR="00601EEA" w:rsidRPr="001F6DCE">
        <w:t>two ministries,</w:t>
      </w:r>
      <w:r w:rsidR="00DC2227" w:rsidRPr="001F6DCE">
        <w:t xml:space="preserve"> all social and medical institutions </w:t>
      </w:r>
      <w:r w:rsidR="00601EEA" w:rsidRPr="001F6DCE">
        <w:t>were consolidated</w:t>
      </w:r>
      <w:r w:rsidR="00DC2227" w:rsidRPr="001F6DCE">
        <w:t xml:space="preserve"> </w:t>
      </w:r>
      <w:r w:rsidR="00601EEA" w:rsidRPr="001F6DCE">
        <w:t>under a single ministry,</w:t>
      </w:r>
      <w:r w:rsidRPr="001F6DCE">
        <w:t xml:space="preserve"> </w:t>
      </w:r>
      <w:r w:rsidR="00601EEA" w:rsidRPr="001F6DCE">
        <w:t xml:space="preserve">the </w:t>
      </w:r>
      <w:r w:rsidRPr="001F6DCE">
        <w:t>delineati</w:t>
      </w:r>
      <w:r w:rsidR="00601EEA" w:rsidRPr="001F6DCE">
        <w:t>on of</w:t>
      </w:r>
      <w:r w:rsidRPr="001F6DCE">
        <w:t xml:space="preserve"> social and medical long-term care </w:t>
      </w:r>
      <w:r w:rsidR="00601EEA" w:rsidRPr="001F6DCE">
        <w:t>for the purpose of optimisation can be enhanced</w:t>
      </w:r>
      <w:r w:rsidRPr="001F6DCE">
        <w:t xml:space="preserve">. </w:t>
      </w:r>
    </w:p>
    <w:p w14:paraId="60B62ADE" w14:textId="77777777" w:rsidR="009D2527" w:rsidRPr="001F6DCE" w:rsidRDefault="009D2527" w:rsidP="00A04983">
      <w:pPr>
        <w:jc w:val="both"/>
        <w:rPr>
          <w:b/>
        </w:rPr>
      </w:pPr>
    </w:p>
    <w:p w14:paraId="47977DC9" w14:textId="77777777" w:rsidR="00F94EBD" w:rsidRPr="001F6DCE" w:rsidRDefault="00F94EBD" w:rsidP="00F94EBD">
      <w:pPr>
        <w:pStyle w:val="ListParagraph"/>
        <w:numPr>
          <w:ilvl w:val="0"/>
          <w:numId w:val="16"/>
        </w:numPr>
        <w:ind w:left="0" w:firstLine="0"/>
        <w:contextualSpacing w:val="0"/>
        <w:jc w:val="both"/>
      </w:pPr>
      <w:r w:rsidRPr="001F6DCE">
        <w:rPr>
          <w:i/>
        </w:rPr>
        <w:t xml:space="preserve">Regulatory and fiscal </w:t>
      </w:r>
      <w:r w:rsidRPr="001F6DCE">
        <w:t>issues: The existing laws and regulations aimed at ensuring the division of policy stewardship, service provision and service contracting functions are not fully enforced, which is hindering the implementation of healthcare reforms.</w:t>
      </w:r>
      <w:r w:rsidRPr="001F6DCE">
        <w:rPr>
          <w:rStyle w:val="FootnoteReference"/>
        </w:rPr>
        <w:footnoteReference w:id="20"/>
      </w:r>
      <w:r w:rsidRPr="001F6DCE">
        <w:t xml:space="preserve">  The Law on healthcare as of 1995 despite many amendments remains outdated and needs upgrading and alignment to the EU best practice. </w:t>
      </w:r>
    </w:p>
    <w:p w14:paraId="78C655ED" w14:textId="4D11ECD4" w:rsidR="00F94EBD" w:rsidRPr="001F6DCE" w:rsidRDefault="00F94EBD">
      <w:pPr>
        <w:rPr>
          <w:b/>
        </w:rPr>
      </w:pPr>
    </w:p>
    <w:p w14:paraId="6BDB624D" w14:textId="5B7E1280" w:rsidR="000A6A24" w:rsidRPr="001F6DCE" w:rsidRDefault="007A7D0C" w:rsidP="00F94EBD">
      <w:pPr>
        <w:jc w:val="center"/>
        <w:rPr>
          <w:b/>
        </w:rPr>
      </w:pPr>
      <w:proofErr w:type="gramStart"/>
      <w:r w:rsidRPr="001F6DCE">
        <w:rPr>
          <w:b/>
        </w:rPr>
        <w:t>Figure</w:t>
      </w:r>
      <w:r w:rsidR="00CC6741" w:rsidRPr="001F6DCE">
        <w:rPr>
          <w:b/>
        </w:rPr>
        <w:t xml:space="preserve"> 1.</w:t>
      </w:r>
      <w:proofErr w:type="gramEnd"/>
      <w:r w:rsidR="003A1BF0" w:rsidRPr="001F6DCE">
        <w:rPr>
          <w:b/>
        </w:rPr>
        <w:t xml:space="preserve"> Health System Organisation in the Republic of Moldova</w:t>
      </w:r>
    </w:p>
    <w:p w14:paraId="5A5711E4" w14:textId="43B75EE7" w:rsidR="009A463A" w:rsidRPr="001F6DCE" w:rsidRDefault="003A1BF0" w:rsidP="000A6A24">
      <w:pPr>
        <w:ind w:right="509" w:firstLine="720"/>
        <w:jc w:val="both"/>
        <w:rPr>
          <w:i/>
          <w:u w:val="single"/>
        </w:rPr>
      </w:pPr>
      <w:r w:rsidRPr="001F6DCE">
        <w:rPr>
          <w:i/>
          <w:noProof/>
          <w:u w:val="single"/>
          <w:lang w:val="en-US" w:eastAsia="en-US"/>
        </w:rPr>
        <w:lastRenderedPageBreak/>
        <w:drawing>
          <wp:inline distT="0" distB="0" distL="0" distR="0" wp14:anchorId="728047CE" wp14:editId="2F1B42A0">
            <wp:extent cx="6127273" cy="4338320"/>
            <wp:effectExtent l="0" t="0" r="698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9326" cy="4339774"/>
                    </a:xfrm>
                    <a:prstGeom prst="rect">
                      <a:avLst/>
                    </a:prstGeom>
                    <a:noFill/>
                    <a:ln>
                      <a:noFill/>
                    </a:ln>
                  </pic:spPr>
                </pic:pic>
              </a:graphicData>
            </a:graphic>
          </wp:inline>
        </w:drawing>
      </w:r>
    </w:p>
    <w:p w14:paraId="595643A6" w14:textId="77777777" w:rsidR="00F94EBD" w:rsidRPr="001F6DCE" w:rsidRDefault="00F94EBD" w:rsidP="00A04983">
      <w:pPr>
        <w:jc w:val="both"/>
      </w:pPr>
    </w:p>
    <w:p w14:paraId="5D6E1FC1" w14:textId="77777777" w:rsidR="00654438" w:rsidRPr="001F6DCE" w:rsidRDefault="00654438" w:rsidP="00F94EBD">
      <w:pPr>
        <w:pStyle w:val="ListParagraph"/>
        <w:ind w:left="0"/>
        <w:contextualSpacing w:val="0"/>
        <w:jc w:val="both"/>
      </w:pPr>
    </w:p>
    <w:p w14:paraId="64C510E5" w14:textId="59955C7A" w:rsidR="00654438" w:rsidRPr="001F6DCE" w:rsidRDefault="00654438" w:rsidP="00A23190">
      <w:pPr>
        <w:pStyle w:val="ListParagraph"/>
        <w:numPr>
          <w:ilvl w:val="0"/>
          <w:numId w:val="16"/>
        </w:numPr>
        <w:ind w:left="0" w:firstLine="0"/>
        <w:contextualSpacing w:val="0"/>
        <w:jc w:val="both"/>
      </w:pPr>
      <w:r w:rsidRPr="001F6DCE">
        <w:t xml:space="preserve">The state budget is experiencing a large fiscal deficit </w:t>
      </w:r>
      <w:r w:rsidR="0036109C" w:rsidRPr="001F6DCE">
        <w:t>(</w:t>
      </w:r>
      <w:r w:rsidR="005B6751" w:rsidRPr="001F6DCE">
        <w:t>-3.</w:t>
      </w:r>
      <w:r w:rsidR="0036109C" w:rsidRPr="001F6DCE">
        <w:t>3</w:t>
      </w:r>
      <w:r w:rsidR="00CE09DE" w:rsidRPr="001F6DCE">
        <w:t xml:space="preserve"> </w:t>
      </w:r>
      <w:r w:rsidR="0036109C" w:rsidRPr="001F6DCE">
        <w:t>per cents for 2018</w:t>
      </w:r>
      <w:r w:rsidR="005B6751" w:rsidRPr="001F6DCE">
        <w:t xml:space="preserve"> and -2.2 per cents in 2019</w:t>
      </w:r>
      <w:r w:rsidR="005B6751" w:rsidRPr="001F6DCE">
        <w:rPr>
          <w:rStyle w:val="FootnoteReference"/>
        </w:rPr>
        <w:footnoteReference w:id="21"/>
      </w:r>
      <w:r w:rsidR="00CE09DE" w:rsidRPr="001F6DCE">
        <w:t>)</w:t>
      </w:r>
      <w:r w:rsidR="0036109C" w:rsidRPr="001F6DCE">
        <w:t xml:space="preserve"> </w:t>
      </w:r>
      <w:r w:rsidRPr="001F6DCE">
        <w:t xml:space="preserve">that has implications for the financing of national public health programs. </w:t>
      </w:r>
      <w:r w:rsidR="007500AB" w:rsidRPr="001F6DCE">
        <w:t xml:space="preserve">Partly this </w:t>
      </w:r>
      <w:r w:rsidR="004E54B6" w:rsidRPr="001F6DCE">
        <w:t xml:space="preserve">issue </w:t>
      </w:r>
      <w:r w:rsidR="007500AB" w:rsidRPr="001F6DCE">
        <w:t xml:space="preserve">is resolved through </w:t>
      </w:r>
      <w:r w:rsidR="004E54B6" w:rsidRPr="001F6DCE">
        <w:t xml:space="preserve">participation in the </w:t>
      </w:r>
      <w:r w:rsidR="00A63628" w:rsidRPr="001F6DCE">
        <w:t>joint procurement transaction</w:t>
      </w:r>
      <w:r w:rsidR="004E54B6" w:rsidRPr="001F6DCE">
        <w:t>s</w:t>
      </w:r>
      <w:r w:rsidR="00A63628" w:rsidRPr="001F6DCE">
        <w:t xml:space="preserve"> operationally supported </w:t>
      </w:r>
      <w:r w:rsidR="004E54B6" w:rsidRPr="001F6DCE">
        <w:t>by</w:t>
      </w:r>
      <w:r w:rsidR="00A63628" w:rsidRPr="001F6DCE">
        <w:t xml:space="preserve"> UN agencies. However, such practice is a temporary solution</w:t>
      </w:r>
      <w:r w:rsidR="004E54B6" w:rsidRPr="001F6DCE">
        <w:t xml:space="preserve"> and does not insure sustainability</w:t>
      </w:r>
      <w:r w:rsidR="003B769C" w:rsidRPr="001F6DCE">
        <w:t xml:space="preserve">. </w:t>
      </w:r>
      <w:r w:rsidRPr="001F6DCE">
        <w:t xml:space="preserve">Graduation from the Global Fund and GAVI </w:t>
      </w:r>
      <w:r w:rsidR="00A63628" w:rsidRPr="001F6DCE">
        <w:t>gradually</w:t>
      </w:r>
      <w:r w:rsidRPr="001F6DCE">
        <w:t xml:space="preserve"> transfer</w:t>
      </w:r>
      <w:r w:rsidR="00A63628" w:rsidRPr="001F6DCE">
        <w:t>s</w:t>
      </w:r>
      <w:r w:rsidRPr="001F6DCE">
        <w:t xml:space="preserve"> the financial burden of disease control [provision of free drugs, vaccines etc.] to </w:t>
      </w:r>
      <w:proofErr w:type="spellStart"/>
      <w:r w:rsidR="00ED3950" w:rsidRPr="001F6DCE">
        <w:t>MoHLSP</w:t>
      </w:r>
      <w:proofErr w:type="spellEnd"/>
      <w:r w:rsidR="00ED3950" w:rsidRPr="001F6DCE">
        <w:t xml:space="preserve"> </w:t>
      </w:r>
      <w:r w:rsidRPr="001F6DCE">
        <w:t xml:space="preserve">and CNAM, which may </w:t>
      </w:r>
      <w:r w:rsidR="00ED3950" w:rsidRPr="001F6DCE">
        <w:t xml:space="preserve">contribute </w:t>
      </w:r>
      <w:r w:rsidR="00C24682" w:rsidRPr="001F6DCE">
        <w:t>to</w:t>
      </w:r>
      <w:r w:rsidRPr="001F6DCE">
        <w:t xml:space="preserve"> significant budget deficit in health for the forthcoming years</w:t>
      </w:r>
      <w:r w:rsidR="00F94EBD" w:rsidRPr="001F6DCE">
        <w:t>.</w:t>
      </w:r>
      <w:r w:rsidR="00F94EBD" w:rsidRPr="001F6DCE">
        <w:rPr>
          <w:rStyle w:val="FootnoteReference"/>
        </w:rPr>
        <w:footnoteReference w:id="22"/>
      </w:r>
      <w:r w:rsidR="004E54B6" w:rsidRPr="001F6DCE">
        <w:t xml:space="preserve"> </w:t>
      </w:r>
      <w:r w:rsidR="006B15F3" w:rsidRPr="001F6DCE">
        <w:t xml:space="preserve"> If this would be</w:t>
      </w:r>
      <w:r w:rsidR="00C24682" w:rsidRPr="001F6DCE">
        <w:t xml:space="preserve"> the case, there might be</w:t>
      </w:r>
      <w:r w:rsidR="008A48DC" w:rsidRPr="001F6DCE">
        <w:t xml:space="preserve"> </w:t>
      </w:r>
      <w:r w:rsidR="006B15F3" w:rsidRPr="001F6DCE">
        <w:t xml:space="preserve">high </w:t>
      </w:r>
      <w:r w:rsidR="008A48DC" w:rsidRPr="001F6DCE">
        <w:t xml:space="preserve">risk of </w:t>
      </w:r>
      <w:r w:rsidR="003120A2" w:rsidRPr="001F6DCE">
        <w:t xml:space="preserve">limited health service </w:t>
      </w:r>
      <w:r w:rsidR="008A48DC" w:rsidRPr="001F6DCE">
        <w:t xml:space="preserve">delivery </w:t>
      </w:r>
      <w:r w:rsidR="003120A2" w:rsidRPr="001F6DCE">
        <w:t>not covering actual needs of population.</w:t>
      </w:r>
    </w:p>
    <w:p w14:paraId="7725FC9A" w14:textId="77777777" w:rsidR="00654438" w:rsidRPr="001F6DCE" w:rsidRDefault="00654438" w:rsidP="00F94EBD">
      <w:pPr>
        <w:pStyle w:val="ListParagraph"/>
        <w:ind w:left="0"/>
        <w:contextualSpacing w:val="0"/>
        <w:jc w:val="both"/>
      </w:pPr>
    </w:p>
    <w:p w14:paraId="3217FCD3" w14:textId="52098E88" w:rsidR="00875FAC" w:rsidRPr="001F6DCE" w:rsidRDefault="00654438" w:rsidP="00F94EBD">
      <w:pPr>
        <w:pStyle w:val="ListParagraph"/>
        <w:numPr>
          <w:ilvl w:val="0"/>
          <w:numId w:val="16"/>
        </w:numPr>
        <w:ind w:left="0" w:firstLine="0"/>
        <w:contextualSpacing w:val="0"/>
        <w:jc w:val="both"/>
      </w:pPr>
      <w:r w:rsidRPr="001F6DCE">
        <w:t xml:space="preserve">The </w:t>
      </w:r>
      <w:r w:rsidR="00400E2C" w:rsidRPr="001F6DCE">
        <w:t>G</w:t>
      </w:r>
      <w:r w:rsidRPr="001F6DCE">
        <w:t>overnment</w:t>
      </w:r>
      <w:r w:rsidR="005B6751" w:rsidRPr="001F6DCE">
        <w:t>, CNAM</w:t>
      </w:r>
      <w:r w:rsidRPr="001F6DCE">
        <w:t xml:space="preserve"> and the Ministry of Health</w:t>
      </w:r>
      <w:r w:rsidR="005B6751" w:rsidRPr="001F6DCE">
        <w:t>, Labour and Social Protection</w:t>
      </w:r>
      <w:r w:rsidRPr="001F6DCE">
        <w:t xml:space="preserve"> do have all the tools for planning capital investments in the public infrastructure of</w:t>
      </w:r>
      <w:r w:rsidRPr="001F6DCE">
        <w:rPr>
          <w:szCs w:val="24"/>
        </w:rPr>
        <w:t xml:space="preserve"> the health system, but because of resource constraints at the national level, capital investments are minimal. </w:t>
      </w:r>
      <w:r w:rsidR="00875FAC" w:rsidRPr="001F6DCE">
        <w:rPr>
          <w:szCs w:val="24"/>
        </w:rPr>
        <w:t xml:space="preserve">Nevertheless, the </w:t>
      </w:r>
      <w:r w:rsidR="005C3800" w:rsidRPr="001F6DCE">
        <w:rPr>
          <w:szCs w:val="24"/>
        </w:rPr>
        <w:t xml:space="preserve">equipment procurement and infrastructure upgrade is </w:t>
      </w:r>
      <w:r w:rsidR="008469F8" w:rsidRPr="001F6DCE">
        <w:rPr>
          <w:szCs w:val="24"/>
        </w:rPr>
        <w:t xml:space="preserve">still </w:t>
      </w:r>
      <w:r w:rsidR="005C3800" w:rsidRPr="001F6DCE">
        <w:rPr>
          <w:szCs w:val="24"/>
        </w:rPr>
        <w:t xml:space="preserve">conducted from two main sources: </w:t>
      </w:r>
      <w:r w:rsidR="003120A2" w:rsidRPr="001F6DCE">
        <w:rPr>
          <w:szCs w:val="24"/>
        </w:rPr>
        <w:t xml:space="preserve">the </w:t>
      </w:r>
      <w:r w:rsidR="005C3800" w:rsidRPr="001F6DCE">
        <w:rPr>
          <w:szCs w:val="24"/>
        </w:rPr>
        <w:t>CNAM and bilateral donor</w:t>
      </w:r>
      <w:r w:rsidR="003120A2" w:rsidRPr="001F6DCE">
        <w:rPr>
          <w:szCs w:val="24"/>
        </w:rPr>
        <w:t xml:space="preserve"> financing</w:t>
      </w:r>
      <w:r w:rsidR="005C3800" w:rsidRPr="001F6DCE">
        <w:rPr>
          <w:szCs w:val="24"/>
        </w:rPr>
        <w:t xml:space="preserve">. </w:t>
      </w:r>
    </w:p>
    <w:p w14:paraId="64430D16" w14:textId="77777777" w:rsidR="00875FAC" w:rsidRPr="001F6DCE" w:rsidRDefault="00875FAC" w:rsidP="00A23190">
      <w:pPr>
        <w:pStyle w:val="ListParagraph"/>
      </w:pPr>
    </w:p>
    <w:p w14:paraId="5F943B78" w14:textId="60F7FB05" w:rsidR="00400E2C" w:rsidRPr="001F6DCE" w:rsidRDefault="00654438" w:rsidP="00A23190">
      <w:pPr>
        <w:pStyle w:val="ListParagraph"/>
        <w:numPr>
          <w:ilvl w:val="0"/>
          <w:numId w:val="16"/>
        </w:numPr>
        <w:ind w:left="0" w:firstLine="0"/>
        <w:contextualSpacing w:val="0"/>
        <w:jc w:val="both"/>
        <w:rPr>
          <w:lang w:val="en-US"/>
        </w:rPr>
      </w:pPr>
      <w:r w:rsidRPr="001F6DCE">
        <w:lastRenderedPageBreak/>
        <w:t xml:space="preserve">It shall be mentioned that </w:t>
      </w:r>
      <w:r w:rsidR="00496FA1" w:rsidRPr="001F6DCE">
        <w:t xml:space="preserve">in 2016 </w:t>
      </w:r>
      <w:r w:rsidRPr="001F6DCE">
        <w:t xml:space="preserve">the Court of Accounts </w:t>
      </w:r>
      <w:r w:rsidR="00496FA1" w:rsidRPr="001F6DCE">
        <w:t>A</w:t>
      </w:r>
      <w:r w:rsidRPr="001F6DCE">
        <w:t>udit of</w:t>
      </w:r>
      <w:r w:rsidR="001904F3" w:rsidRPr="001F6DCE">
        <w:t xml:space="preserve"> mandatory health insurance </w:t>
      </w:r>
      <w:proofErr w:type="gramStart"/>
      <w:r w:rsidR="001904F3" w:rsidRPr="001F6DCE">
        <w:t>funds</w:t>
      </w:r>
      <w:r w:rsidRPr="001F6DCE">
        <w:t xml:space="preserve"> </w:t>
      </w:r>
      <w:r w:rsidR="0020305C" w:rsidRPr="001F6DCE">
        <w:t xml:space="preserve"> </w:t>
      </w:r>
      <w:r w:rsidR="001904F3" w:rsidRPr="001F6DCE">
        <w:t>revealed</w:t>
      </w:r>
      <w:proofErr w:type="gramEnd"/>
      <w:r w:rsidR="0020305C" w:rsidRPr="001F6DCE">
        <w:t xml:space="preserve"> </w:t>
      </w:r>
      <w:r w:rsidR="001F4039" w:rsidRPr="001F6DCE">
        <w:t xml:space="preserve">the increase in the revenue collection (in nominal terms) by 0.7 </w:t>
      </w:r>
      <w:proofErr w:type="spellStart"/>
      <w:r w:rsidR="001F4039" w:rsidRPr="001F6DCE">
        <w:t>bln</w:t>
      </w:r>
      <w:proofErr w:type="spellEnd"/>
      <w:r w:rsidR="001F4039" w:rsidRPr="001F6DCE">
        <w:t xml:space="preserve"> MDL</w:t>
      </w:r>
      <w:r w:rsidR="007419AB" w:rsidRPr="001F6DCE">
        <w:t xml:space="preserve"> compared to </w:t>
      </w:r>
      <w:r w:rsidR="0020305C" w:rsidRPr="001F6DCE">
        <w:t xml:space="preserve">2015. </w:t>
      </w:r>
      <w:r w:rsidR="007419AB" w:rsidRPr="001F6DCE">
        <w:t xml:space="preserve">However, </w:t>
      </w:r>
      <w:r w:rsidR="00400E2C" w:rsidRPr="001F6DCE">
        <w:t xml:space="preserve">this increase was on the account of </w:t>
      </w:r>
      <w:r w:rsidR="00324F23" w:rsidRPr="001F6DCE">
        <w:t>growing allocations</w:t>
      </w:r>
      <w:r w:rsidR="00F23AD4" w:rsidRPr="001F6DCE">
        <w:t xml:space="preserve"> from the S</w:t>
      </w:r>
      <w:r w:rsidR="00854CFB" w:rsidRPr="001F6DCE">
        <w:t>tate budget</w:t>
      </w:r>
      <w:r w:rsidR="001904F3" w:rsidRPr="001F6DCE">
        <w:t xml:space="preserve"> as pooling of health insurance premium from payroll and self-insur</w:t>
      </w:r>
      <w:r w:rsidR="00854CFB" w:rsidRPr="001F6DCE">
        <w:t>ance of population</w:t>
      </w:r>
      <w:r w:rsidR="00F23AD4" w:rsidRPr="001F6DCE">
        <w:t xml:space="preserve"> decreased</w:t>
      </w:r>
      <w:r w:rsidR="001904F3" w:rsidRPr="001F6DCE">
        <w:t xml:space="preserve">. </w:t>
      </w:r>
      <w:r w:rsidR="00854CFB" w:rsidRPr="001F6DCE">
        <w:t>Although in nominal terms the allocations from the state budget were growing, the irregularity of transfe</w:t>
      </w:r>
      <w:r w:rsidR="00F23AD4" w:rsidRPr="001F6DCE">
        <w:t xml:space="preserve">rs </w:t>
      </w:r>
      <w:r w:rsidR="005F1E49" w:rsidRPr="001F6DCE">
        <w:t xml:space="preserve">created pressures in managing financial resources </w:t>
      </w:r>
      <w:r w:rsidR="00854CFB" w:rsidRPr="001F6DCE">
        <w:t xml:space="preserve">(i.e. transfers to service providers affected supply of medical institutions with medications and consumables). The same tendency </w:t>
      </w:r>
      <w:r w:rsidR="00292827" w:rsidRPr="001F6DCE">
        <w:t xml:space="preserve">of overall CNAM funding increase maintained in 2017, while the increase was also on the account of </w:t>
      </w:r>
      <w:r w:rsidR="0098723A" w:rsidRPr="001F6DCE">
        <w:t>health insurance premiums collection and</w:t>
      </w:r>
      <w:r w:rsidR="00854CFB" w:rsidRPr="001F6DCE">
        <w:t xml:space="preserve"> </w:t>
      </w:r>
      <w:r w:rsidR="00F23AD4" w:rsidRPr="001F6DCE">
        <w:t xml:space="preserve">self-insured contributions. </w:t>
      </w:r>
      <w:r w:rsidR="00741B52" w:rsidRPr="001F6DCE">
        <w:t>Since 2015, the h</w:t>
      </w:r>
      <w:r w:rsidR="005F1E49" w:rsidRPr="001F6DCE">
        <w:t xml:space="preserve">ealth insurance premium is 9% (4.5% paid equally by employer and employee).              </w:t>
      </w:r>
    </w:p>
    <w:p w14:paraId="56421923" w14:textId="77777777" w:rsidR="00400E2C" w:rsidRPr="001F6DCE" w:rsidRDefault="00400E2C" w:rsidP="00A23190">
      <w:pPr>
        <w:jc w:val="both"/>
      </w:pPr>
    </w:p>
    <w:p w14:paraId="7F6BB86C" w14:textId="1E79B3B3" w:rsidR="00665135" w:rsidRPr="001F6DCE" w:rsidRDefault="00654438" w:rsidP="00F94EBD">
      <w:pPr>
        <w:pStyle w:val="ListParagraph"/>
        <w:numPr>
          <w:ilvl w:val="0"/>
          <w:numId w:val="16"/>
        </w:numPr>
        <w:ind w:left="0" w:firstLine="0"/>
        <w:contextualSpacing w:val="0"/>
        <w:jc w:val="both"/>
      </w:pPr>
      <w:r w:rsidRPr="001F6DCE">
        <w:rPr>
          <w:i/>
          <w:szCs w:val="24"/>
        </w:rPr>
        <w:t xml:space="preserve">Information System </w:t>
      </w:r>
      <w:r w:rsidRPr="001F6DCE">
        <w:t xml:space="preserve">and </w:t>
      </w:r>
      <w:r w:rsidRPr="001F6DCE">
        <w:rPr>
          <w:i/>
        </w:rPr>
        <w:t>Data Collection</w:t>
      </w:r>
      <w:r w:rsidRPr="001F6DCE">
        <w:t xml:space="preserve">: The </w:t>
      </w:r>
      <w:proofErr w:type="spellStart"/>
      <w:r w:rsidRPr="001F6DCE">
        <w:t>PforR</w:t>
      </w:r>
      <w:proofErr w:type="spellEnd"/>
      <w:r w:rsidRPr="001F6DCE">
        <w:t xml:space="preserve"> operation is very much linked to and dependant on the country’s data collection mechanisms: for effective monitoring of payment-for-performance in primary care and hospitals, as well as accurate costing of DRGs availability of computerised data collection is imperative. </w:t>
      </w:r>
    </w:p>
    <w:p w14:paraId="7EBF92C3" w14:textId="14BDB938" w:rsidR="00665135" w:rsidRPr="001F6DCE" w:rsidRDefault="00665135" w:rsidP="00A23190">
      <w:pPr>
        <w:pStyle w:val="ListParagraph"/>
        <w:ind w:left="0"/>
        <w:contextualSpacing w:val="0"/>
        <w:jc w:val="both"/>
      </w:pPr>
      <w:r w:rsidRPr="001F6DCE">
        <w:rPr>
          <w:i/>
          <w:szCs w:val="24"/>
        </w:rPr>
        <w:t xml:space="preserve">                   </w:t>
      </w:r>
    </w:p>
    <w:p w14:paraId="62E6D6E2" w14:textId="671CAF80" w:rsidR="00654438" w:rsidRPr="001F6DCE" w:rsidRDefault="005F1E49" w:rsidP="00F94EBD">
      <w:pPr>
        <w:pStyle w:val="ListParagraph"/>
        <w:numPr>
          <w:ilvl w:val="0"/>
          <w:numId w:val="16"/>
        </w:numPr>
        <w:ind w:left="0" w:firstLine="0"/>
        <w:contextualSpacing w:val="0"/>
        <w:jc w:val="both"/>
      </w:pPr>
      <w:r w:rsidRPr="001F6DCE">
        <w:t xml:space="preserve">In 2014 the </w:t>
      </w:r>
      <w:proofErr w:type="spellStart"/>
      <w:r w:rsidRPr="001F6DCE">
        <w:t>GoM</w:t>
      </w:r>
      <w:proofErr w:type="spellEnd"/>
      <w:r w:rsidRPr="001F6DCE">
        <w:t xml:space="preserve"> developed </w:t>
      </w:r>
      <w:proofErr w:type="gramStart"/>
      <w:r w:rsidRPr="001F6DCE">
        <w:t>a primary</w:t>
      </w:r>
      <w:proofErr w:type="gramEnd"/>
      <w:r w:rsidRPr="001F6DCE">
        <w:t xml:space="preserve"> healthcare software</w:t>
      </w:r>
      <w:r w:rsidR="00665135" w:rsidRPr="001F6DCE">
        <w:t xml:space="preserve"> (including electronic health record) </w:t>
      </w:r>
      <w:r w:rsidR="00665135" w:rsidRPr="001F6DCE">
        <w:rPr>
          <w:i/>
        </w:rPr>
        <w:t>inter alia</w:t>
      </w:r>
      <w:r w:rsidR="00665135" w:rsidRPr="001F6DCE">
        <w:t xml:space="preserve"> to serve as data source to monitor achievement of expected results. However, it is </w:t>
      </w:r>
      <w:r w:rsidRPr="001F6DCE">
        <w:t>still not deployed due to data security issues and it is expected to be</w:t>
      </w:r>
      <w:r w:rsidR="00665135" w:rsidRPr="001F6DCE">
        <w:t xml:space="preserve"> fully operational in 2020. In parallel, the </w:t>
      </w:r>
      <w:proofErr w:type="spellStart"/>
      <w:r w:rsidR="00665135" w:rsidRPr="001F6DCE">
        <w:t>GoM</w:t>
      </w:r>
      <w:proofErr w:type="spellEnd"/>
      <w:r w:rsidR="00665135" w:rsidRPr="001F6DCE">
        <w:t xml:space="preserve"> embarked upon implementation of hospital information management system in </w:t>
      </w:r>
      <w:r w:rsidR="00E16388" w:rsidRPr="001F6DCE">
        <w:t xml:space="preserve">15 </w:t>
      </w:r>
      <w:r w:rsidR="00665135" w:rsidRPr="001F6DCE">
        <w:t xml:space="preserve">tertiary care institutions. </w:t>
      </w:r>
      <w:r w:rsidR="00F32C87" w:rsidRPr="001F6DCE">
        <w:t xml:space="preserve">It is important that there is a communication </w:t>
      </w:r>
      <w:r w:rsidR="00307C1B" w:rsidRPr="001F6DCE">
        <w:t>(</w:t>
      </w:r>
      <w:r w:rsidR="00F32C87" w:rsidRPr="001F6DCE">
        <w:t>interoperability</w:t>
      </w:r>
      <w:r w:rsidR="00307C1B" w:rsidRPr="001F6DCE">
        <w:t>)</w:t>
      </w:r>
      <w:r w:rsidR="00F32C87" w:rsidRPr="001F6DCE">
        <w:t xml:space="preserve"> between the two systems to enable </w:t>
      </w:r>
      <w:r w:rsidR="005F6312" w:rsidRPr="001F6DCE">
        <w:t>exchange of data and better monitoring of patients’</w:t>
      </w:r>
      <w:r w:rsidR="0076673C" w:rsidRPr="001F6DCE">
        <w:t xml:space="preserve"> health outcomes. </w:t>
      </w:r>
      <w:r w:rsidR="000753F6" w:rsidRPr="001F6DCE">
        <w:t xml:space="preserve">The law on </w:t>
      </w:r>
      <w:r w:rsidR="00C81370" w:rsidRPr="001F6DCE">
        <w:t xml:space="preserve">data exchange and </w:t>
      </w:r>
      <w:r w:rsidR="000753F6" w:rsidRPr="001F6DCE">
        <w:t xml:space="preserve">interoperability is </w:t>
      </w:r>
      <w:r w:rsidR="00C81370" w:rsidRPr="001F6DCE">
        <w:t>under the</w:t>
      </w:r>
      <w:r w:rsidR="000753F6" w:rsidRPr="001F6DCE">
        <w:t xml:space="preserve"> Parliament</w:t>
      </w:r>
      <w:r w:rsidR="00C81370" w:rsidRPr="001F6DCE">
        <w:t xml:space="preserve">’ </w:t>
      </w:r>
      <w:r w:rsidR="000753F6" w:rsidRPr="001F6DCE">
        <w:t xml:space="preserve">examination. </w:t>
      </w:r>
    </w:p>
    <w:p w14:paraId="4CCE8D05" w14:textId="77777777" w:rsidR="00654438" w:rsidRPr="001F6DCE" w:rsidRDefault="00654438" w:rsidP="00F94EBD">
      <w:pPr>
        <w:pStyle w:val="ListParagraph"/>
        <w:ind w:left="0"/>
        <w:contextualSpacing w:val="0"/>
        <w:jc w:val="both"/>
      </w:pPr>
    </w:p>
    <w:p w14:paraId="0CF2A04E" w14:textId="6B1AD955" w:rsidR="000D4C1F" w:rsidRPr="001F6DCE" w:rsidRDefault="00654438" w:rsidP="00B913EF">
      <w:pPr>
        <w:pStyle w:val="ListParagraph"/>
        <w:numPr>
          <w:ilvl w:val="0"/>
          <w:numId w:val="16"/>
        </w:numPr>
        <w:ind w:left="0" w:firstLine="0"/>
        <w:contextualSpacing w:val="0"/>
        <w:jc w:val="both"/>
        <w:rPr>
          <w:i/>
          <w:u w:val="single"/>
        </w:rPr>
      </w:pPr>
      <w:r w:rsidRPr="001F6DCE">
        <w:t xml:space="preserve">Compared to other sectors, </w:t>
      </w:r>
      <w:r w:rsidR="001F068F" w:rsidRPr="001F6DCE">
        <w:t>h</w:t>
      </w:r>
      <w:r w:rsidRPr="001F6DCE">
        <w:t>ealth</w:t>
      </w:r>
      <w:r w:rsidR="001F068F" w:rsidRPr="001F6DCE">
        <w:t>care</w:t>
      </w:r>
      <w:r w:rsidR="00C10D2A" w:rsidRPr="001F6DCE">
        <w:t xml:space="preserve"> </w:t>
      </w:r>
      <w:r w:rsidRPr="001F6DCE">
        <w:t xml:space="preserve">is better positioned in terms of institutional capacity for reforms. However, concerns remain regarding the technical and managerial ability within institutions to implement reforms. </w:t>
      </w:r>
      <w:r w:rsidR="00C81370" w:rsidRPr="001F6DCE">
        <w:t xml:space="preserve">In addition, in the context of the whole Government restructuring, </w:t>
      </w:r>
      <w:r w:rsidR="00C945A7" w:rsidRPr="001F6DCE">
        <w:t>namely</w:t>
      </w:r>
      <w:r w:rsidR="00C81370" w:rsidRPr="001F6DCE">
        <w:t xml:space="preserve"> </w:t>
      </w:r>
      <w:r w:rsidR="00C945A7" w:rsidRPr="001F6DCE">
        <w:t>considering</w:t>
      </w:r>
      <w:r w:rsidR="00FA5DC6" w:rsidRPr="001F6DCE">
        <w:t xml:space="preserve"> </w:t>
      </w:r>
      <w:r w:rsidR="00C81370" w:rsidRPr="001F6DCE">
        <w:t xml:space="preserve">the merger of the Ministry of Health and Ministry of Social </w:t>
      </w:r>
      <w:r w:rsidR="00FA5DC6" w:rsidRPr="001F6DCE">
        <w:t>P</w:t>
      </w:r>
      <w:r w:rsidR="00C81370" w:rsidRPr="001F6DCE">
        <w:t xml:space="preserve">rotection, </w:t>
      </w:r>
      <w:r w:rsidR="00FA5DC6" w:rsidRPr="001F6DCE">
        <w:t>L</w:t>
      </w:r>
      <w:r w:rsidR="00C81370" w:rsidRPr="001F6DCE">
        <w:t>abour and Family, compounded with restructuring of other</w:t>
      </w:r>
      <w:r w:rsidR="00C945A7" w:rsidRPr="001F6DCE">
        <w:t xml:space="preserve"> </w:t>
      </w:r>
      <w:r w:rsidR="00C81370" w:rsidRPr="001F6DCE">
        <w:t>agencies in health</w:t>
      </w:r>
      <w:r w:rsidR="00C945A7" w:rsidRPr="001F6DCE">
        <w:t>care</w:t>
      </w:r>
      <w:r w:rsidR="00C81370" w:rsidRPr="001F6DCE">
        <w:t xml:space="preserve"> </w:t>
      </w:r>
      <w:r w:rsidR="00C945A7" w:rsidRPr="001F6DCE">
        <w:t>sector</w:t>
      </w:r>
      <w:r w:rsidR="00C81370" w:rsidRPr="001F6DCE">
        <w:t xml:space="preserve">, </w:t>
      </w:r>
      <w:r w:rsidR="00C945A7" w:rsidRPr="001F6DCE">
        <w:t>maintaining</w:t>
      </w:r>
      <w:r w:rsidR="00C81370" w:rsidRPr="001F6DCE">
        <w:t xml:space="preserve"> of institutional memory and </w:t>
      </w:r>
      <w:r w:rsidR="00C945A7" w:rsidRPr="001F6DCE">
        <w:t xml:space="preserve">expertise for consistent and coherent reforms implementation might be a challenge. </w:t>
      </w:r>
      <w:r w:rsidRPr="001F6DCE">
        <w:t xml:space="preserve">Therefore, it is imperative </w:t>
      </w:r>
      <w:r w:rsidR="001F068F" w:rsidRPr="001F6DCE">
        <w:t>that within the IPF component of the</w:t>
      </w:r>
      <w:r w:rsidRPr="001F6DCE">
        <w:t xml:space="preserve"> </w:t>
      </w:r>
      <w:proofErr w:type="spellStart"/>
      <w:r w:rsidRPr="001F6DCE">
        <w:t>PforR</w:t>
      </w:r>
      <w:proofErr w:type="spellEnd"/>
      <w:r w:rsidRPr="001F6DCE">
        <w:t xml:space="preserve"> operation TA activities</w:t>
      </w:r>
      <w:r w:rsidR="001F068F" w:rsidRPr="001F6DCE">
        <w:t xml:space="preserve"> are of high quality and delivered in time</w:t>
      </w:r>
      <w:r w:rsidR="00DA29DA" w:rsidRPr="001F6DCE">
        <w:t xml:space="preserve">. </w:t>
      </w:r>
    </w:p>
    <w:p w14:paraId="52FC8C5A" w14:textId="77777777" w:rsidR="00FA447C" w:rsidRPr="001F6DCE" w:rsidRDefault="00FA447C" w:rsidP="00A04983">
      <w:pPr>
        <w:jc w:val="both"/>
        <w:rPr>
          <w:b/>
        </w:rPr>
      </w:pPr>
    </w:p>
    <w:p w14:paraId="3DA1457E" w14:textId="77777777" w:rsidR="006D0D10" w:rsidRPr="001F6DCE" w:rsidRDefault="00DC4F5A" w:rsidP="00F94EBD">
      <w:pPr>
        <w:pStyle w:val="ListParagraph"/>
        <w:numPr>
          <w:ilvl w:val="0"/>
          <w:numId w:val="11"/>
        </w:numPr>
        <w:autoSpaceDE w:val="0"/>
        <w:autoSpaceDN w:val="0"/>
        <w:adjustRightInd w:val="0"/>
        <w:ind w:hanging="720"/>
        <w:jc w:val="both"/>
        <w:rPr>
          <w:b/>
        </w:rPr>
      </w:pPr>
      <w:r w:rsidRPr="001F6DCE">
        <w:rPr>
          <w:b/>
        </w:rPr>
        <w:t xml:space="preserve">Coordination Mechanisms </w:t>
      </w:r>
      <w:r w:rsidR="00C10D2A" w:rsidRPr="001F6DCE">
        <w:rPr>
          <w:b/>
        </w:rPr>
        <w:t>a</w:t>
      </w:r>
      <w:r w:rsidRPr="001F6DCE">
        <w:rPr>
          <w:b/>
        </w:rPr>
        <w:t>mong Stakeholders</w:t>
      </w:r>
    </w:p>
    <w:p w14:paraId="6EF3C2B8" w14:textId="77777777" w:rsidR="00CC6741" w:rsidRPr="001F6DCE" w:rsidRDefault="00CC6741" w:rsidP="00A04983">
      <w:pPr>
        <w:jc w:val="both"/>
      </w:pPr>
    </w:p>
    <w:p w14:paraId="188205C8" w14:textId="2752A3B4" w:rsidR="00573823" w:rsidRPr="001F6DCE" w:rsidRDefault="00573823" w:rsidP="00F94EBD">
      <w:pPr>
        <w:pStyle w:val="ListParagraph"/>
        <w:numPr>
          <w:ilvl w:val="0"/>
          <w:numId w:val="16"/>
        </w:numPr>
        <w:ind w:left="0" w:firstLine="0"/>
        <w:contextualSpacing w:val="0"/>
        <w:jc w:val="both"/>
      </w:pPr>
      <w:r w:rsidRPr="001F6DCE">
        <w:t>In 2009, the Ministry of Health</w:t>
      </w:r>
      <w:r w:rsidR="00C945A7" w:rsidRPr="001F6DCE">
        <w:t xml:space="preserve"> (currently, </w:t>
      </w:r>
      <w:proofErr w:type="spellStart"/>
      <w:r w:rsidR="00C945A7" w:rsidRPr="001F6DCE">
        <w:t>MoHLSP</w:t>
      </w:r>
      <w:proofErr w:type="spellEnd"/>
      <w:r w:rsidR="00C945A7" w:rsidRPr="001F6DCE">
        <w:t>)</w:t>
      </w:r>
      <w:r w:rsidRPr="001F6DCE">
        <w:t xml:space="preserve"> set up the Health Sector Coordination Council for External Assistance, and from 2010 it has operated in line with the Governmental Regulation on the Institutional Framework and Coordination Mechanism of the External Assistance provided to the Republic of Moldova by International Organizations and Donor Countries. Similar councils exist in all ministries and their purpose is to increase the efficiency, efficacy and sustainability of external assistance through better coordination throughout the process of planning and implementing programmes.</w:t>
      </w:r>
    </w:p>
    <w:p w14:paraId="4F2483BA" w14:textId="77777777" w:rsidR="007D7454" w:rsidRPr="001F6DCE" w:rsidRDefault="007D7454" w:rsidP="00F94EBD">
      <w:pPr>
        <w:pStyle w:val="ListParagraph"/>
        <w:ind w:left="0"/>
        <w:contextualSpacing w:val="0"/>
        <w:jc w:val="both"/>
      </w:pPr>
    </w:p>
    <w:p w14:paraId="3F5C9831" w14:textId="0601FA9A" w:rsidR="00AE61EE" w:rsidRPr="001F6DCE" w:rsidRDefault="000430DC" w:rsidP="00A23190">
      <w:pPr>
        <w:pStyle w:val="ListParagraph"/>
        <w:numPr>
          <w:ilvl w:val="0"/>
          <w:numId w:val="16"/>
        </w:numPr>
        <w:ind w:left="0" w:firstLine="0"/>
        <w:contextualSpacing w:val="0"/>
        <w:jc w:val="both"/>
      </w:pPr>
      <w:r w:rsidRPr="001F6DCE">
        <w:t xml:space="preserve">The Health Sector Coordination Council for External Assistance is a consultative organ created on the partnership principle and responsible for the planning and monitoring of external </w:t>
      </w:r>
      <w:r w:rsidRPr="001F6DCE">
        <w:lastRenderedPageBreak/>
        <w:t xml:space="preserve">assistance projects and programmes in the health sector. </w:t>
      </w:r>
      <w:r w:rsidR="005E1119" w:rsidRPr="001F6DCE">
        <w:t>The healt</w:t>
      </w:r>
      <w:r w:rsidR="00C945A7" w:rsidRPr="001F6DCE">
        <w:t>h sector coordination council i</w:t>
      </w:r>
      <w:r w:rsidR="005E1119" w:rsidRPr="001F6DCE">
        <w:t>s chaired by the Ministry of Health</w:t>
      </w:r>
      <w:r w:rsidR="00C945A7" w:rsidRPr="001F6DCE">
        <w:t>, Labour and Social Protection</w:t>
      </w:r>
      <w:r w:rsidR="005E1119" w:rsidRPr="001F6DCE">
        <w:t xml:space="preserve"> and co-chaired by the World Health Organisation. However, after the merger of two ministries –</w:t>
      </w:r>
      <w:r w:rsidR="0099480B" w:rsidRPr="001F6DCE">
        <w:t xml:space="preserve"> the Ministry of H</w:t>
      </w:r>
      <w:r w:rsidR="005E1119" w:rsidRPr="001F6DCE">
        <w:t xml:space="preserve">ealth and </w:t>
      </w:r>
      <w:r w:rsidR="00AE61EE" w:rsidRPr="001F6DCE">
        <w:t xml:space="preserve">the Ministry of Labour, social Protection and Family the mechanisms for external assistance coordination will be maintained in the same format. </w:t>
      </w:r>
    </w:p>
    <w:p w14:paraId="3589F80B" w14:textId="77777777" w:rsidR="00AE61EE" w:rsidRPr="001F6DCE" w:rsidRDefault="00AE61EE" w:rsidP="00A23190">
      <w:pPr>
        <w:pStyle w:val="ListParagraph"/>
      </w:pPr>
    </w:p>
    <w:p w14:paraId="46DE47A5" w14:textId="1050068C" w:rsidR="000430DC" w:rsidRPr="001F6DCE" w:rsidRDefault="000430DC" w:rsidP="00A23190">
      <w:pPr>
        <w:pStyle w:val="ListParagraph"/>
        <w:numPr>
          <w:ilvl w:val="0"/>
          <w:numId w:val="16"/>
        </w:numPr>
        <w:ind w:left="0" w:firstLine="0"/>
        <w:contextualSpacing w:val="0"/>
        <w:jc w:val="both"/>
      </w:pPr>
      <w:r w:rsidRPr="001F6DCE">
        <w:t>The Minister of Health</w:t>
      </w:r>
      <w:r w:rsidR="00DA29DA" w:rsidRPr="001F6DCE">
        <w:t>, Labour and Social Protection</w:t>
      </w:r>
      <w:r w:rsidRPr="001F6DCE">
        <w:t xml:space="preserve"> </w:t>
      </w:r>
      <w:r w:rsidR="00AE61EE" w:rsidRPr="001F6DCE">
        <w:t xml:space="preserve">will continue to </w:t>
      </w:r>
      <w:r w:rsidRPr="001F6DCE">
        <w:t xml:space="preserve">chair the Council and the WHO representative is co-chair. The heads of </w:t>
      </w:r>
      <w:proofErr w:type="spellStart"/>
      <w:r w:rsidRPr="001F6DCE">
        <w:t>M</w:t>
      </w:r>
      <w:r w:rsidR="00AE61EE" w:rsidRPr="001F6DCE">
        <w:t>oHLSP</w:t>
      </w:r>
      <w:proofErr w:type="spellEnd"/>
      <w:r w:rsidRPr="001F6DCE">
        <w:t xml:space="preserve"> subdivisions responsible for the development, monitoring and evaluation of </w:t>
      </w:r>
      <w:r w:rsidR="001E7787" w:rsidRPr="001F6DCE">
        <w:t xml:space="preserve">specific healthcare </w:t>
      </w:r>
      <w:r w:rsidRPr="001F6DCE">
        <w:t>policies are members of the Council, as are representatives of donors active in the health sector</w:t>
      </w:r>
      <w:r w:rsidR="001E7787" w:rsidRPr="001F6DCE">
        <w:t xml:space="preserve">, Ministry of Finance, state Chancellery </w:t>
      </w:r>
      <w:r w:rsidRPr="001F6DCE">
        <w:t>and representatives of other relevant institutions. The Council meets as often as necessary, but at least once per quarter. At the Council meetings, priorities for assistance to the sector (including project proposals) are formulated, ensuring complementarity and avoiding duplication. Draft strategies and action plans are discussed, as well as health expenditure strategies related to the integration into the national public budget of planned actions and financial resources under external support. The Ministry of Health</w:t>
      </w:r>
      <w:r w:rsidR="001E7787" w:rsidRPr="001F6DCE">
        <w:t>, Labour and Social Protection</w:t>
      </w:r>
      <w:r w:rsidRPr="001F6DCE">
        <w:t xml:space="preserve"> develops annual monitoring reports on externally funded projects and programmes implemented in the health sector, which are presented at the Council’s meeting.</w:t>
      </w:r>
    </w:p>
    <w:p w14:paraId="586F4CF2" w14:textId="77777777" w:rsidR="00567648" w:rsidRPr="001F6DCE" w:rsidRDefault="00567648" w:rsidP="00A04983">
      <w:pPr>
        <w:jc w:val="both"/>
        <w:rPr>
          <w:i/>
          <w:szCs w:val="24"/>
          <w:u w:val="single"/>
        </w:rPr>
      </w:pPr>
    </w:p>
    <w:p w14:paraId="004BC541" w14:textId="367B13A5" w:rsidR="00DA5A42" w:rsidRPr="001F6DCE" w:rsidRDefault="00DA5A42" w:rsidP="00A23190">
      <w:pPr>
        <w:pStyle w:val="ListParagraph"/>
        <w:numPr>
          <w:ilvl w:val="0"/>
          <w:numId w:val="16"/>
        </w:numPr>
        <w:ind w:left="0" w:firstLine="0"/>
        <w:contextualSpacing w:val="0"/>
        <w:jc w:val="both"/>
      </w:pPr>
      <w:r w:rsidRPr="001F6DCE">
        <w:rPr>
          <w:szCs w:val="24"/>
        </w:rPr>
        <w:t xml:space="preserve">In terms of inter-sectorial cooperation with other line ministries, in implementation of its policy reforms the Ministry </w:t>
      </w:r>
      <w:r w:rsidRPr="001F6DCE">
        <w:t>of Health</w:t>
      </w:r>
      <w:r w:rsidR="00A6044F" w:rsidRPr="001F6DCE">
        <w:t>, Labour and Social Protection</w:t>
      </w:r>
      <w:r w:rsidRPr="001F6DCE">
        <w:t xml:space="preserve"> co-operates with the Ministry of Agriculture,</w:t>
      </w:r>
      <w:r w:rsidR="00E323C5" w:rsidRPr="001F6DCE">
        <w:t xml:space="preserve"> Regional D</w:t>
      </w:r>
      <w:r w:rsidR="00A6044F" w:rsidRPr="001F6DCE">
        <w:t>evelopment and Environment,</w:t>
      </w:r>
      <w:r w:rsidRPr="001F6DCE">
        <w:t xml:space="preserve"> Ministry of Education, </w:t>
      </w:r>
      <w:r w:rsidR="00A6044F" w:rsidRPr="001F6DCE">
        <w:t xml:space="preserve">Culture and Research </w:t>
      </w:r>
      <w:r w:rsidRPr="001F6DCE">
        <w:t xml:space="preserve">and the results of </w:t>
      </w:r>
      <w:proofErr w:type="spellStart"/>
      <w:r w:rsidR="00AB062A" w:rsidRPr="001F6DCE">
        <w:t>M</w:t>
      </w:r>
      <w:r w:rsidR="00A6044F" w:rsidRPr="001F6DCE">
        <w:t>oHLSP</w:t>
      </w:r>
      <w:proofErr w:type="spellEnd"/>
      <w:r w:rsidRPr="001F6DCE">
        <w:t xml:space="preserve"> activity are often dependant on how well this cooperation works. </w:t>
      </w:r>
      <w:r w:rsidR="00A6044F" w:rsidRPr="001F6DCE">
        <w:t xml:space="preserve">The </w:t>
      </w:r>
      <w:r w:rsidR="00EB1763" w:rsidRPr="001F6DCE">
        <w:t xml:space="preserve">merger of the </w:t>
      </w:r>
      <w:r w:rsidR="00E323C5" w:rsidRPr="001F6DCE">
        <w:t>health and social sector</w:t>
      </w:r>
      <w:r w:rsidR="00EB1763" w:rsidRPr="001F6DCE">
        <w:t xml:space="preserve"> ministries provides an opportunity for </w:t>
      </w:r>
      <w:r w:rsidR="00181658" w:rsidRPr="001F6DCE">
        <w:t xml:space="preserve">ensuring a better synergy and </w:t>
      </w:r>
      <w:r w:rsidR="00EB1763" w:rsidRPr="001F6DCE">
        <w:t>elimination of overlaps in terms of provision an</w:t>
      </w:r>
      <w:r w:rsidR="00181658" w:rsidRPr="001F6DCE">
        <w:t>d reimbursement of long-term care</w:t>
      </w:r>
      <w:r w:rsidR="00EB1763" w:rsidRPr="001F6DCE">
        <w:t xml:space="preserve"> </w:t>
      </w:r>
      <w:r w:rsidR="00181658" w:rsidRPr="001F6DCE">
        <w:t>(</w:t>
      </w:r>
      <w:r w:rsidR="00EB1763" w:rsidRPr="001F6DCE">
        <w:t xml:space="preserve">rehabilitation </w:t>
      </w:r>
      <w:r w:rsidR="00181658" w:rsidRPr="001F6DCE">
        <w:t>and home care)</w:t>
      </w:r>
      <w:r w:rsidR="00EB1763" w:rsidRPr="001F6DCE">
        <w:t xml:space="preserve"> and grea</w:t>
      </w:r>
      <w:r w:rsidR="00181658" w:rsidRPr="001F6DCE">
        <w:t xml:space="preserve">ter integration of provision at </w:t>
      </w:r>
      <w:r w:rsidR="00EB1763" w:rsidRPr="001F6DCE">
        <w:t xml:space="preserve">various </w:t>
      </w:r>
      <w:r w:rsidR="00305A4C" w:rsidRPr="001F6DCE">
        <w:t xml:space="preserve">health care </w:t>
      </w:r>
      <w:r w:rsidR="00EB1763" w:rsidRPr="001F6DCE">
        <w:t>levels</w:t>
      </w:r>
      <w:r w:rsidR="00305A4C" w:rsidRPr="001F6DCE">
        <w:t xml:space="preserve">. </w:t>
      </w:r>
      <w:r w:rsidRPr="001F6DCE">
        <w:t xml:space="preserve">For instance, some rehabilitation services for patients </w:t>
      </w:r>
      <w:r w:rsidR="00305A4C" w:rsidRPr="001F6DCE">
        <w:t>we</w:t>
      </w:r>
      <w:r w:rsidRPr="001F6DCE">
        <w:t xml:space="preserve">re being contracted by CNAM, whereas the same services </w:t>
      </w:r>
      <w:r w:rsidR="00305A4C" w:rsidRPr="001F6DCE">
        <w:t xml:space="preserve">were </w:t>
      </w:r>
      <w:r w:rsidRPr="001F6DCE">
        <w:t xml:space="preserve">covered by the </w:t>
      </w:r>
      <w:proofErr w:type="spellStart"/>
      <w:r w:rsidRPr="001F6DCE">
        <w:t>MoLSPF</w:t>
      </w:r>
      <w:proofErr w:type="spellEnd"/>
      <w:r w:rsidRPr="001F6DCE">
        <w:t xml:space="preserve"> budget. Alternatively, implementation of many public health </w:t>
      </w:r>
      <w:proofErr w:type="gramStart"/>
      <w:r w:rsidRPr="001F6DCE">
        <w:t>programme</w:t>
      </w:r>
      <w:proofErr w:type="gramEnd"/>
      <w:r w:rsidRPr="001F6DCE">
        <w:t xml:space="preserve"> like tobacco control programme if to be successful shall combine efforts of the Ministry of Education, </w:t>
      </w:r>
      <w:r w:rsidR="00181658" w:rsidRPr="001F6DCE">
        <w:t>Culture and R</w:t>
      </w:r>
      <w:r w:rsidR="00305A4C" w:rsidRPr="001F6DCE">
        <w:t>esearch</w:t>
      </w:r>
      <w:r w:rsidR="00E80EED" w:rsidRPr="001F6DCE">
        <w:t>, the</w:t>
      </w:r>
      <w:r w:rsidR="00305A4C" w:rsidRPr="001F6DCE">
        <w:t xml:space="preserve"> </w:t>
      </w:r>
      <w:r w:rsidRPr="001F6DCE">
        <w:t xml:space="preserve">Ministry of Finance and </w:t>
      </w:r>
      <w:r w:rsidR="00E80EED" w:rsidRPr="001F6DCE">
        <w:t xml:space="preserve">the </w:t>
      </w:r>
      <w:r w:rsidRPr="001F6DCE">
        <w:t>Ministry of Health</w:t>
      </w:r>
      <w:r w:rsidR="00305A4C" w:rsidRPr="001F6DCE">
        <w:t>, Labour and Social Protection</w:t>
      </w:r>
      <w:r w:rsidRPr="001F6DCE">
        <w:t xml:space="preserve">. </w:t>
      </w:r>
      <w:r w:rsidR="00083D3A" w:rsidRPr="001F6DCE">
        <w:t xml:space="preserve">Consequently, </w:t>
      </w:r>
      <w:r w:rsidR="00305A4C" w:rsidRPr="001F6DCE">
        <w:t xml:space="preserve">further </w:t>
      </w:r>
      <w:r w:rsidR="00083D3A" w:rsidRPr="001F6DCE">
        <w:t xml:space="preserve">strengthening of cross-sectoral co-operation and </w:t>
      </w:r>
      <w:r w:rsidR="00305A4C" w:rsidRPr="001F6DCE">
        <w:t xml:space="preserve">better </w:t>
      </w:r>
      <w:r w:rsidR="00083D3A" w:rsidRPr="001F6DCE">
        <w:t xml:space="preserve">coordination mechanism is imperative for implementation of many activities in the field of health care. </w:t>
      </w:r>
      <w:r w:rsidRPr="001F6DCE">
        <w:t xml:space="preserve"> </w:t>
      </w:r>
    </w:p>
    <w:p w14:paraId="2AAD66B4" w14:textId="4424E29D" w:rsidR="00B47E12" w:rsidRPr="001F6DCE" w:rsidRDefault="00B47E12" w:rsidP="00A23190">
      <w:pPr>
        <w:pStyle w:val="ListParagraph"/>
        <w:numPr>
          <w:ilvl w:val="0"/>
          <w:numId w:val="16"/>
        </w:numPr>
        <w:ind w:left="0" w:firstLine="0"/>
        <w:contextualSpacing w:val="0"/>
        <w:jc w:val="both"/>
      </w:pPr>
      <w:r w:rsidRPr="001F6DCE">
        <w:t xml:space="preserve">In 2017 the </w:t>
      </w:r>
      <w:proofErr w:type="spellStart"/>
      <w:r w:rsidRPr="001F6DCE">
        <w:t>GoM</w:t>
      </w:r>
      <w:proofErr w:type="spellEnd"/>
      <w:r w:rsidRPr="001F6DCE">
        <w:t xml:space="preserve"> established Centre for Reforms Implementation (Mr. </w:t>
      </w:r>
      <w:proofErr w:type="spellStart"/>
      <w:r w:rsidRPr="001F6DCE">
        <w:t>Iurie</w:t>
      </w:r>
      <w:proofErr w:type="spellEnd"/>
      <w:r w:rsidRPr="001F6DCE">
        <w:t xml:space="preserve"> </w:t>
      </w:r>
      <w:proofErr w:type="spellStart"/>
      <w:r w:rsidRPr="001F6DCE">
        <w:t>Ciocanu</w:t>
      </w:r>
      <w:proofErr w:type="spellEnd"/>
      <w:r w:rsidRPr="001F6DCE">
        <w:t xml:space="preserve">, Director) with the purpose to design and implement central public administration reform. However, after the Government reorganisation in late 2017 the CRI continued to be involved heavily in the policy dialogue between the </w:t>
      </w:r>
      <w:proofErr w:type="spellStart"/>
      <w:r w:rsidRPr="001F6DCE">
        <w:t>GoM</w:t>
      </w:r>
      <w:proofErr w:type="spellEnd"/>
      <w:r w:rsidRPr="001F6DCE">
        <w:t xml:space="preserve"> and Parliament in the field of public finance and public administration. Given the importance of reforms supported by the current </w:t>
      </w:r>
      <w:proofErr w:type="spellStart"/>
      <w:r w:rsidRPr="001F6DCE">
        <w:t>PforR</w:t>
      </w:r>
      <w:proofErr w:type="spellEnd"/>
      <w:r w:rsidR="005F0999" w:rsidRPr="001F6DCE">
        <w:t xml:space="preserve"> (</w:t>
      </w:r>
      <w:r w:rsidR="000010C9" w:rsidRPr="001F6DCE">
        <w:t xml:space="preserve">e.g. </w:t>
      </w:r>
      <w:r w:rsidR="005F0999" w:rsidRPr="001F6DCE">
        <w:t xml:space="preserve">hospital optimisation, </w:t>
      </w:r>
      <w:r w:rsidR="000010C9" w:rsidRPr="001F6DCE">
        <w:t xml:space="preserve">performance-based payment in </w:t>
      </w:r>
      <w:r w:rsidR="005F0999" w:rsidRPr="001F6DCE">
        <w:t xml:space="preserve">primary healthcare </w:t>
      </w:r>
      <w:r w:rsidR="000010C9" w:rsidRPr="001F6DCE">
        <w:t>and hospitals</w:t>
      </w:r>
      <w:r w:rsidRPr="001F6DCE">
        <w:t xml:space="preserve">, </w:t>
      </w:r>
      <w:proofErr w:type="spellStart"/>
      <w:r w:rsidR="000010C9" w:rsidRPr="001F6DCE">
        <w:t>etc</w:t>
      </w:r>
      <w:proofErr w:type="spellEnd"/>
      <w:r w:rsidR="000010C9" w:rsidRPr="001F6DCE">
        <w:t xml:space="preserve">) </w:t>
      </w:r>
      <w:r w:rsidRPr="001F6DCE">
        <w:t xml:space="preserve">the </w:t>
      </w:r>
      <w:proofErr w:type="spellStart"/>
      <w:r w:rsidRPr="001F6DCE">
        <w:t>MoHLSP</w:t>
      </w:r>
      <w:proofErr w:type="spellEnd"/>
      <w:r w:rsidRPr="001F6DCE">
        <w:t xml:space="preserve"> shall extend its coordination to ensure </w:t>
      </w:r>
      <w:r w:rsidR="000010C9" w:rsidRPr="001F6DCE">
        <w:t xml:space="preserve">common vision on the reforms and support in promoting of those reforms which would affect public administrations (namely, hospital centralisation under </w:t>
      </w:r>
      <w:proofErr w:type="spellStart"/>
      <w:r w:rsidR="000010C9" w:rsidRPr="001F6DCE">
        <w:t>MoHLSP</w:t>
      </w:r>
      <w:proofErr w:type="spellEnd"/>
      <w:r w:rsidR="000010C9" w:rsidRPr="001F6DCE">
        <w:t xml:space="preserve"> and their downsizing). </w:t>
      </w:r>
    </w:p>
    <w:p w14:paraId="75DAEE28" w14:textId="77777777" w:rsidR="00DA5A42" w:rsidRPr="001F6DCE" w:rsidRDefault="00DA5A42" w:rsidP="00F94EBD">
      <w:pPr>
        <w:pStyle w:val="ListParagraph"/>
        <w:ind w:left="0"/>
        <w:contextualSpacing w:val="0"/>
        <w:jc w:val="both"/>
      </w:pPr>
    </w:p>
    <w:p w14:paraId="73C9D970" w14:textId="11C891F1" w:rsidR="00D85EA7" w:rsidRPr="001F6DCE" w:rsidRDefault="002F7A47" w:rsidP="00A23190">
      <w:pPr>
        <w:pStyle w:val="ListParagraph"/>
        <w:numPr>
          <w:ilvl w:val="0"/>
          <w:numId w:val="16"/>
        </w:numPr>
        <w:ind w:left="0" w:firstLine="0"/>
        <w:contextualSpacing w:val="0"/>
        <w:jc w:val="both"/>
      </w:pPr>
      <w:r w:rsidRPr="001F6DCE">
        <w:t xml:space="preserve">In </w:t>
      </w:r>
      <w:r w:rsidR="00856233" w:rsidRPr="001F6DCE">
        <w:t>20</w:t>
      </w:r>
      <w:r w:rsidR="0070754F" w:rsidRPr="001F6DCE">
        <w:t>12</w:t>
      </w:r>
      <w:r w:rsidR="00856233" w:rsidRPr="001F6DCE">
        <w:t xml:space="preserve"> </w:t>
      </w:r>
      <w:r w:rsidR="0070754F" w:rsidRPr="001F6DCE">
        <w:t xml:space="preserve">the </w:t>
      </w:r>
      <w:r w:rsidR="00043449" w:rsidRPr="001F6DCE">
        <w:t>Government approved NCD S</w:t>
      </w:r>
      <w:r w:rsidR="0070754F" w:rsidRPr="001F6DCE">
        <w:t xml:space="preserve">trategy </w:t>
      </w:r>
      <w:r w:rsidR="00372B33" w:rsidRPr="001F6DCE">
        <w:t>2012-2020</w:t>
      </w:r>
      <w:r w:rsidRPr="001F6DCE">
        <w:t xml:space="preserve"> </w:t>
      </w:r>
      <w:r w:rsidR="00372B33" w:rsidRPr="001F6DCE">
        <w:t>based on the evaluation of</w:t>
      </w:r>
      <w:r w:rsidRPr="001F6DCE">
        <w:t xml:space="preserve"> epidemiological situation regarding non</w:t>
      </w:r>
      <w:r w:rsidR="009A2CD7" w:rsidRPr="001F6DCE">
        <w:t>-</w:t>
      </w:r>
      <w:r w:rsidRPr="001F6DCE">
        <w:t xml:space="preserve">communicable diseases and </w:t>
      </w:r>
      <w:r w:rsidR="00E80EED" w:rsidRPr="001F6DCE">
        <w:t xml:space="preserve">identified </w:t>
      </w:r>
      <w:r w:rsidRPr="001F6DCE">
        <w:t xml:space="preserve">priority </w:t>
      </w:r>
      <w:r w:rsidRPr="001F6DCE">
        <w:lastRenderedPageBreak/>
        <w:t xml:space="preserve">conditions </w:t>
      </w:r>
      <w:r w:rsidR="00E80EED" w:rsidRPr="001F6DCE">
        <w:t xml:space="preserve">that have </w:t>
      </w:r>
      <w:r w:rsidRPr="001F6DCE">
        <w:t>a negative impact on public health</w:t>
      </w:r>
      <w:r w:rsidR="00856233" w:rsidRPr="001F6DCE">
        <w:rPr>
          <w:rStyle w:val="FootnoteReference"/>
        </w:rPr>
        <w:footnoteReference w:id="23"/>
      </w:r>
      <w:r w:rsidRPr="001F6DCE">
        <w:t xml:space="preserve">. </w:t>
      </w:r>
      <w:r w:rsidR="00B913EF" w:rsidRPr="001F6DCE">
        <w:t>Besides that</w:t>
      </w:r>
      <w:r w:rsidR="00856233" w:rsidRPr="001F6DCE">
        <w:t xml:space="preserve">, the </w:t>
      </w:r>
      <w:r w:rsidR="00B913EF" w:rsidRPr="001F6DCE">
        <w:t>SDC</w:t>
      </w:r>
      <w:r w:rsidR="00856233" w:rsidRPr="001F6DCE">
        <w:t xml:space="preserve"> </w:t>
      </w:r>
      <w:r w:rsidR="00D85EA7" w:rsidRPr="001F6DCE">
        <w:t xml:space="preserve">allocated financing for the </w:t>
      </w:r>
      <w:r w:rsidR="00B913EF" w:rsidRPr="001F6DCE">
        <w:t xml:space="preserve">Reduction of Non-Communicable Diseases Burden (2016-2020) </w:t>
      </w:r>
      <w:r w:rsidR="008104D7" w:rsidRPr="001F6DCE">
        <w:t xml:space="preserve">which focuses on </w:t>
      </w:r>
      <w:r w:rsidR="00043449" w:rsidRPr="001F6DCE">
        <w:t>(</w:t>
      </w:r>
      <w:proofErr w:type="spellStart"/>
      <w:r w:rsidR="00043449" w:rsidRPr="001F6DCE">
        <w:t>i</w:t>
      </w:r>
      <w:proofErr w:type="spellEnd"/>
      <w:r w:rsidR="00043449" w:rsidRPr="001F6DCE">
        <w:t xml:space="preserve">) decentralised and integrated management of NCDs (ii) enhanced access to NCD-related integrated care in 10 pilot </w:t>
      </w:r>
      <w:proofErr w:type="spellStart"/>
      <w:r w:rsidR="00043449" w:rsidRPr="001F6DCE">
        <w:t>raions</w:t>
      </w:r>
      <w:proofErr w:type="spellEnd"/>
      <w:r w:rsidR="00043449" w:rsidRPr="001F6DCE">
        <w:t xml:space="preserve"> (iii) improvement of behavioural patterns in the </w:t>
      </w:r>
      <w:r w:rsidR="00BB0198" w:rsidRPr="001F6DCE">
        <w:t xml:space="preserve">experimental area. </w:t>
      </w:r>
    </w:p>
    <w:p w14:paraId="0BA91E6F" w14:textId="77777777" w:rsidR="00B67157" w:rsidRPr="001F6DCE" w:rsidRDefault="00B67157" w:rsidP="00A23190">
      <w:pPr>
        <w:pStyle w:val="ListParagraph"/>
      </w:pPr>
    </w:p>
    <w:p w14:paraId="1EE7CF5C" w14:textId="05D1C91B" w:rsidR="0071549B" w:rsidRPr="001F6DCE" w:rsidRDefault="0071549B" w:rsidP="00F94EBD">
      <w:pPr>
        <w:pStyle w:val="ListParagraph"/>
        <w:numPr>
          <w:ilvl w:val="0"/>
          <w:numId w:val="16"/>
        </w:numPr>
        <w:ind w:left="0" w:firstLine="0"/>
        <w:contextualSpacing w:val="0"/>
        <w:jc w:val="both"/>
      </w:pPr>
      <w:r w:rsidRPr="001F6DCE">
        <w:t xml:space="preserve">A biannual National Report on the Environment and Health </w:t>
      </w:r>
      <w:r w:rsidR="007A436D" w:rsidRPr="001F6DCE">
        <w:t>is being</w:t>
      </w:r>
      <w:r w:rsidRPr="001F6DCE">
        <w:t xml:space="preserve"> prepared jointly </w:t>
      </w:r>
      <w:r w:rsidR="00CC6741" w:rsidRPr="001F6DCE">
        <w:t xml:space="preserve">by </w:t>
      </w:r>
      <w:r w:rsidR="007A436D" w:rsidRPr="001F6DCE">
        <w:t>NPHA</w:t>
      </w:r>
      <w:r w:rsidR="00CC6741" w:rsidRPr="001F6DCE">
        <w:t xml:space="preserve"> and </w:t>
      </w:r>
      <w:r w:rsidRPr="001F6DCE">
        <w:t xml:space="preserve">the Ministry of </w:t>
      </w:r>
      <w:r w:rsidR="007A436D" w:rsidRPr="001F6DCE">
        <w:t xml:space="preserve">Agriculture, Regional Development and </w:t>
      </w:r>
      <w:r w:rsidRPr="001F6DCE">
        <w:t xml:space="preserve">Environment. Apart from this, the results of air quality monitoring are made public quarterly by the joint monitoring system of the </w:t>
      </w:r>
      <w:r w:rsidR="007A436D" w:rsidRPr="001F6DCE">
        <w:t xml:space="preserve">NPHA </w:t>
      </w:r>
      <w:r w:rsidRPr="001F6DCE">
        <w:t>and the “</w:t>
      </w:r>
      <w:proofErr w:type="spellStart"/>
      <w:r w:rsidRPr="001F6DCE">
        <w:t>Hydrometeo</w:t>
      </w:r>
      <w:proofErr w:type="spellEnd"/>
      <w:r w:rsidRPr="001F6DCE">
        <w:t xml:space="preserve">” service under the Ministry </w:t>
      </w:r>
      <w:r w:rsidR="007A436D" w:rsidRPr="001F6DCE">
        <w:t xml:space="preserve">of Agriculture, Regional Development and </w:t>
      </w:r>
      <w:r w:rsidRPr="001F6DCE">
        <w:t xml:space="preserve">Environment. The monitoring of water quality is also carried out jointly by the </w:t>
      </w:r>
      <w:r w:rsidR="007A436D" w:rsidRPr="001F6DCE">
        <w:t>NPHA</w:t>
      </w:r>
      <w:r w:rsidRPr="001F6DCE">
        <w:t>, “</w:t>
      </w:r>
      <w:proofErr w:type="spellStart"/>
      <w:r w:rsidRPr="001F6DCE">
        <w:t>Hydrometeo</w:t>
      </w:r>
      <w:proofErr w:type="spellEnd"/>
      <w:r w:rsidRPr="001F6DCE">
        <w:t xml:space="preserve">” and the Ecological Inspectorate of the Ministry of </w:t>
      </w:r>
      <w:r w:rsidR="007A436D" w:rsidRPr="001F6DCE">
        <w:t xml:space="preserve">Agriculture, Regional Development and </w:t>
      </w:r>
      <w:r w:rsidRPr="001F6DCE">
        <w:t xml:space="preserve">Environment. </w:t>
      </w:r>
      <w:r w:rsidR="007A436D" w:rsidRPr="001F6DCE">
        <w:t xml:space="preserve">NPHA </w:t>
      </w:r>
      <w:r w:rsidRPr="001F6DCE">
        <w:t>is responsible for monitoring the quality of drinking-water</w:t>
      </w:r>
      <w:r w:rsidR="00F63456" w:rsidRPr="001F6DCE">
        <w:t>,</w:t>
      </w:r>
      <w:r w:rsidRPr="001F6DCE">
        <w:rPr>
          <w:rStyle w:val="FootnoteReference"/>
        </w:rPr>
        <w:footnoteReference w:id="24"/>
      </w:r>
      <w:r w:rsidRPr="001F6DCE">
        <w:t xml:space="preserve"> surface water and water in recreational areas.</w:t>
      </w:r>
    </w:p>
    <w:p w14:paraId="3E0AC747" w14:textId="77777777" w:rsidR="0071549B" w:rsidRPr="001F6DCE" w:rsidRDefault="0071549B" w:rsidP="00A04983">
      <w:pPr>
        <w:jc w:val="both"/>
      </w:pPr>
    </w:p>
    <w:p w14:paraId="703EBF45" w14:textId="17043416" w:rsidR="001D3C35" w:rsidRPr="001F6DCE" w:rsidRDefault="00CC6741" w:rsidP="00A23190">
      <w:pPr>
        <w:pStyle w:val="ListParagraph"/>
        <w:numPr>
          <w:ilvl w:val="0"/>
          <w:numId w:val="16"/>
        </w:numPr>
        <w:ind w:left="0" w:firstLine="0"/>
        <w:contextualSpacing w:val="0"/>
        <w:jc w:val="both"/>
      </w:pPr>
      <w:r w:rsidRPr="001F6DCE">
        <w:t xml:space="preserve">The surveillance of occupational health and workplace </w:t>
      </w:r>
      <w:r w:rsidR="00DD33F3" w:rsidRPr="001F6DCE">
        <w:t>is</w:t>
      </w:r>
      <w:r w:rsidRPr="001F6DCE">
        <w:t xml:space="preserve"> carried out by the </w:t>
      </w:r>
      <w:r w:rsidR="00982120" w:rsidRPr="001F6DCE">
        <w:t xml:space="preserve">National </w:t>
      </w:r>
      <w:r w:rsidRPr="001F6DCE">
        <w:t>P</w:t>
      </w:r>
      <w:r w:rsidR="00E722BE" w:rsidRPr="001F6DCE">
        <w:t xml:space="preserve">ublic </w:t>
      </w:r>
      <w:r w:rsidRPr="001F6DCE">
        <w:t>H</w:t>
      </w:r>
      <w:r w:rsidR="00E722BE" w:rsidRPr="001F6DCE">
        <w:t xml:space="preserve">ealth </w:t>
      </w:r>
      <w:r w:rsidR="00982120" w:rsidRPr="001F6DCE">
        <w:t xml:space="preserve">Agency </w:t>
      </w:r>
      <w:r w:rsidRPr="001F6DCE">
        <w:t xml:space="preserve">in collaboration with the Labour Inspectorate under the Ministry of </w:t>
      </w:r>
      <w:r w:rsidR="00982120" w:rsidRPr="001F6DCE">
        <w:t xml:space="preserve">Health, </w:t>
      </w:r>
      <w:r w:rsidRPr="001F6DCE">
        <w:t xml:space="preserve">Labour, </w:t>
      </w:r>
      <w:proofErr w:type="gramStart"/>
      <w:r w:rsidRPr="001F6DCE">
        <w:t>Social</w:t>
      </w:r>
      <w:proofErr w:type="gramEnd"/>
      <w:r w:rsidRPr="001F6DCE">
        <w:t xml:space="preserve"> Protection.</w:t>
      </w:r>
      <w:r w:rsidR="00E722BE" w:rsidRPr="001F6DCE">
        <w:t xml:space="preserve"> </w:t>
      </w:r>
    </w:p>
    <w:p w14:paraId="0138BD2F" w14:textId="77777777" w:rsidR="00982120" w:rsidRPr="001F6DCE" w:rsidRDefault="00982120" w:rsidP="00A23190">
      <w:pPr>
        <w:pStyle w:val="ListParagraph"/>
      </w:pPr>
    </w:p>
    <w:p w14:paraId="1080845A" w14:textId="12CB73B3" w:rsidR="00FE030D" w:rsidRPr="001F6DCE" w:rsidRDefault="00502B38" w:rsidP="00F94EBD">
      <w:pPr>
        <w:pStyle w:val="ListParagraph"/>
        <w:numPr>
          <w:ilvl w:val="0"/>
          <w:numId w:val="16"/>
        </w:numPr>
        <w:ind w:left="0" w:firstLine="0"/>
        <w:contextualSpacing w:val="0"/>
        <w:jc w:val="both"/>
      </w:pPr>
      <w:r w:rsidRPr="001F6DCE">
        <w:t>In 201</w:t>
      </w:r>
      <w:r w:rsidR="00621EB9" w:rsidRPr="001F6DCE">
        <w:t>3</w:t>
      </w:r>
      <w:r w:rsidRPr="001F6DCE">
        <w:t xml:space="preserve"> the Government of Moldova established </w:t>
      </w:r>
      <w:r w:rsidR="00621EB9" w:rsidRPr="001F6DCE">
        <w:t>National Food Security Agency to ensure</w:t>
      </w:r>
      <w:r w:rsidRPr="001F6DCE">
        <w:t xml:space="preserve"> Sanitary-veterinary </w:t>
      </w:r>
      <w:r w:rsidR="00621EB9" w:rsidRPr="001F6DCE">
        <w:t xml:space="preserve">monitoring </w:t>
      </w:r>
      <w:r w:rsidRPr="001F6DCE">
        <w:t xml:space="preserve">and Safety of Products of Animal Origin Agency under the Ministry of Agriculture and Food Industry (). The surveillance of food safety and quality is carried out jointly by the </w:t>
      </w:r>
      <w:r w:rsidR="005C41CF" w:rsidRPr="001F6DCE">
        <w:t>NPHA</w:t>
      </w:r>
      <w:r w:rsidRPr="001F6DCE">
        <w:t xml:space="preserve">, the Food </w:t>
      </w:r>
      <w:r w:rsidR="00C10D2A" w:rsidRPr="001F6DCE">
        <w:t>Security</w:t>
      </w:r>
      <w:r w:rsidRPr="001F6DCE">
        <w:t xml:space="preserve"> Agency, and the </w:t>
      </w:r>
      <w:r w:rsidR="007E6F4E" w:rsidRPr="001F6DCE">
        <w:t>Agency</w:t>
      </w:r>
      <w:r w:rsidRPr="001F6DCE">
        <w:t xml:space="preserve"> for Consumer Protection</w:t>
      </w:r>
      <w:r w:rsidR="007E6F4E" w:rsidRPr="001F6DCE">
        <w:t xml:space="preserve"> and Market Surveillance</w:t>
      </w:r>
      <w:r w:rsidRPr="001F6DCE">
        <w:t xml:space="preserve">. </w:t>
      </w:r>
      <w:r w:rsidR="007E6F4E" w:rsidRPr="001F6DCE">
        <w:t>T</w:t>
      </w:r>
      <w:r w:rsidRPr="001F6DCE">
        <w:t xml:space="preserve">here are many overlaps between the mandates of the </w:t>
      </w:r>
      <w:r w:rsidR="007E6F4E" w:rsidRPr="001F6DCE">
        <w:t>National</w:t>
      </w:r>
      <w:r w:rsidRPr="001F6DCE">
        <w:t xml:space="preserve"> Public </w:t>
      </w:r>
      <w:r w:rsidR="007E6F4E" w:rsidRPr="001F6DCE">
        <w:t>Health Agency</w:t>
      </w:r>
      <w:r w:rsidRPr="001F6DCE">
        <w:t xml:space="preserve"> and </w:t>
      </w:r>
      <w:r w:rsidR="007E6F4E" w:rsidRPr="001F6DCE">
        <w:t>the</w:t>
      </w:r>
      <w:r w:rsidRPr="001F6DCE">
        <w:t xml:space="preserve"> Food Security Agency with regard to health </w:t>
      </w:r>
      <w:r w:rsidR="00534427" w:rsidRPr="001F6DCE">
        <w:t>protection</w:t>
      </w:r>
      <w:r w:rsidRPr="001F6DCE">
        <w:t xml:space="preserve">. </w:t>
      </w:r>
    </w:p>
    <w:p w14:paraId="2D621A5B" w14:textId="77777777" w:rsidR="00FA447C" w:rsidRPr="001F6DCE" w:rsidRDefault="00FA447C" w:rsidP="00A04983">
      <w:pPr>
        <w:jc w:val="both"/>
      </w:pPr>
    </w:p>
    <w:p w14:paraId="2799EE9A" w14:textId="77777777" w:rsidR="00C80254" w:rsidRPr="001F6DCE" w:rsidRDefault="005F443E" w:rsidP="00F94EBD">
      <w:pPr>
        <w:jc w:val="both"/>
        <w:rPr>
          <w:b/>
          <w:szCs w:val="24"/>
        </w:rPr>
      </w:pPr>
      <w:r w:rsidRPr="001F6DCE">
        <w:rPr>
          <w:b/>
          <w:szCs w:val="24"/>
        </w:rPr>
        <w:t>Brief consideration of the borrower’s more recent experience relevant for the Program</w:t>
      </w:r>
    </w:p>
    <w:p w14:paraId="57633FBE" w14:textId="77777777" w:rsidR="00E8311F" w:rsidRPr="001F6DCE" w:rsidRDefault="00E8311F" w:rsidP="00A04983">
      <w:pPr>
        <w:tabs>
          <w:tab w:val="left" w:pos="0"/>
        </w:tabs>
        <w:jc w:val="both"/>
      </w:pPr>
    </w:p>
    <w:p w14:paraId="159145E6" w14:textId="77777777" w:rsidR="00F03970" w:rsidRPr="001F6DCE" w:rsidRDefault="00F03970" w:rsidP="00F94EBD">
      <w:pPr>
        <w:pStyle w:val="ListParagraph"/>
        <w:numPr>
          <w:ilvl w:val="0"/>
          <w:numId w:val="16"/>
        </w:numPr>
        <w:ind w:left="0" w:firstLine="0"/>
        <w:contextualSpacing w:val="0"/>
        <w:jc w:val="both"/>
      </w:pPr>
      <w:r w:rsidRPr="001F6DCE">
        <w:t xml:space="preserve">Major </w:t>
      </w:r>
      <w:r w:rsidR="00730042" w:rsidRPr="001F6DCE">
        <w:t xml:space="preserve">structural </w:t>
      </w:r>
      <w:r w:rsidRPr="001F6DCE">
        <w:t>reform</w:t>
      </w:r>
      <w:r w:rsidR="00730042" w:rsidRPr="001F6DCE">
        <w:t>s</w:t>
      </w:r>
      <w:r w:rsidRPr="001F6DCE">
        <w:t xml:space="preserve"> of the health care system started in 2001 with creation of </w:t>
      </w:r>
      <w:r w:rsidR="004C6625" w:rsidRPr="001F6DCE">
        <w:t xml:space="preserve">CNAM </w:t>
      </w:r>
      <w:r w:rsidRPr="001F6DCE">
        <w:t xml:space="preserve">and introduction of Mandatory Health Insurance at national level in 2004, followed by primary care reform, family medicine promotion and hospital network optimization. </w:t>
      </w:r>
      <w:r w:rsidR="00730042" w:rsidRPr="001F6DCE">
        <w:t xml:space="preserve">Although, there is still much to be done and </w:t>
      </w:r>
      <w:r w:rsidR="00CF61BE" w:rsidRPr="001F6DCE">
        <w:t xml:space="preserve">in recent years </w:t>
      </w:r>
      <w:r w:rsidR="00730042" w:rsidRPr="001F6DCE">
        <w:t>the reform pace has been r</w:t>
      </w:r>
      <w:r w:rsidR="00397F67" w:rsidRPr="001F6DCE">
        <w:t>ather</w:t>
      </w:r>
      <w:r w:rsidR="00730042" w:rsidRPr="001F6DCE">
        <w:t xml:space="preserve"> slow.</w:t>
      </w:r>
    </w:p>
    <w:p w14:paraId="01335549" w14:textId="77777777" w:rsidR="007D7454" w:rsidRPr="001F6DCE" w:rsidRDefault="007D7454" w:rsidP="00F94EBD">
      <w:pPr>
        <w:pStyle w:val="ListParagraph"/>
        <w:ind w:left="0"/>
        <w:contextualSpacing w:val="0"/>
        <w:jc w:val="both"/>
      </w:pPr>
    </w:p>
    <w:p w14:paraId="295B84FF" w14:textId="19E45573" w:rsidR="00502B38" w:rsidRPr="001F6DCE" w:rsidRDefault="002D19D4" w:rsidP="00F94EBD">
      <w:pPr>
        <w:pStyle w:val="ListParagraph"/>
        <w:numPr>
          <w:ilvl w:val="0"/>
          <w:numId w:val="16"/>
        </w:numPr>
        <w:ind w:left="0" w:firstLine="0"/>
        <w:contextualSpacing w:val="0"/>
        <w:jc w:val="both"/>
      </w:pPr>
      <w:r w:rsidRPr="001F6DCE">
        <w:t xml:space="preserve">The </w:t>
      </w:r>
      <w:proofErr w:type="spellStart"/>
      <w:r w:rsidR="00A6482B" w:rsidRPr="001F6DCE">
        <w:t>GoM</w:t>
      </w:r>
      <w:proofErr w:type="spellEnd"/>
      <w:r w:rsidR="00A6482B" w:rsidRPr="001F6DCE">
        <w:t xml:space="preserve"> implemented</w:t>
      </w:r>
      <w:r w:rsidRPr="001F6DCE">
        <w:t xml:space="preserve"> Health Services and Social Assistance project (2007-2014) the primary objective of the project </w:t>
      </w:r>
      <w:r w:rsidR="00323E23" w:rsidRPr="001F6DCE">
        <w:t>wa</w:t>
      </w:r>
      <w:r w:rsidRPr="001F6DCE">
        <w:t>s to support the Government's program to increase access to quality and efficient health and improve efficiency of social assistance services for the Moldovan population in line with the MT</w:t>
      </w:r>
      <w:r w:rsidR="00304EF0" w:rsidRPr="001F6DCE">
        <w:t>B</w:t>
      </w:r>
      <w:r w:rsidRPr="001F6DCE">
        <w:t xml:space="preserve">F for 2007-09. </w:t>
      </w:r>
    </w:p>
    <w:p w14:paraId="3709FC50" w14:textId="77777777" w:rsidR="007D7454" w:rsidRPr="001F6DCE" w:rsidRDefault="007D7454" w:rsidP="00F94EBD">
      <w:pPr>
        <w:pStyle w:val="ListParagraph"/>
        <w:ind w:left="0"/>
        <w:contextualSpacing w:val="0"/>
        <w:jc w:val="both"/>
      </w:pPr>
    </w:p>
    <w:p w14:paraId="15214798" w14:textId="707CF5E3" w:rsidR="00730042" w:rsidRPr="001F6DCE" w:rsidRDefault="00502B38" w:rsidP="00F94EBD">
      <w:pPr>
        <w:pStyle w:val="ListParagraph"/>
        <w:numPr>
          <w:ilvl w:val="0"/>
          <w:numId w:val="16"/>
        </w:numPr>
        <w:ind w:left="0" w:firstLine="0"/>
        <w:contextualSpacing w:val="0"/>
        <w:jc w:val="both"/>
      </w:pPr>
      <w:r w:rsidRPr="001F6DCE">
        <w:t xml:space="preserve">Under the Health Services and Social Assistance project, the Bank has </w:t>
      </w:r>
      <w:r w:rsidR="00323E23" w:rsidRPr="001F6DCE">
        <w:t xml:space="preserve">institutionalised national health accounts and </w:t>
      </w:r>
      <w:r w:rsidRPr="001F6DCE">
        <w:t>conducted three rounds of survey (Health Module based on household budget survey: 2008, 2010, 2012</w:t>
      </w:r>
      <w:r w:rsidR="00612EC1" w:rsidRPr="001F6DCE">
        <w:t xml:space="preserve">) </w:t>
      </w:r>
      <w:r w:rsidRPr="001F6DCE">
        <w:t>aimed at monitoring public satisfaction with healthcare services, access to health</w:t>
      </w:r>
      <w:r w:rsidR="00612EC1" w:rsidRPr="001F6DCE">
        <w:t xml:space="preserve"> </w:t>
      </w:r>
      <w:r w:rsidRPr="001F6DCE">
        <w:t xml:space="preserve">care etc. The Bank’s team will consider how to best monitor these healthcare indicators in the future. </w:t>
      </w:r>
      <w:r w:rsidR="00EF12FE" w:rsidRPr="001F6DCE">
        <w:t>Upon its completion, t</w:t>
      </w:r>
      <w:r w:rsidR="00304EF0" w:rsidRPr="001F6DCE">
        <w:t xml:space="preserve">he project has been ranked as moderately satisfactory. </w:t>
      </w:r>
      <w:r w:rsidR="00015709" w:rsidRPr="001F6DCE">
        <w:t xml:space="preserve">Many of the activities initiated under this project have been continued </w:t>
      </w:r>
      <w:r w:rsidR="00015709" w:rsidRPr="001F6DCE">
        <w:lastRenderedPageBreak/>
        <w:t xml:space="preserve">either by the Bank’s operation, or by </w:t>
      </w:r>
      <w:r w:rsidR="00EF12FE" w:rsidRPr="001F6DCE">
        <w:t xml:space="preserve">donors’ support: HBS health module study, DRGs mechanism refining/costing, strengthening of P4P mechanism in primary care, hospital optimisation, etc. </w:t>
      </w:r>
    </w:p>
    <w:p w14:paraId="6013EF06" w14:textId="77777777" w:rsidR="004F7B9E" w:rsidRPr="001F6DCE" w:rsidRDefault="004F7B9E" w:rsidP="00A23190">
      <w:pPr>
        <w:pStyle w:val="ListParagraph"/>
      </w:pPr>
    </w:p>
    <w:p w14:paraId="5D286A08" w14:textId="54295EEF" w:rsidR="00E8311F" w:rsidRPr="001F6DCE" w:rsidRDefault="002D19D4" w:rsidP="00F94EBD">
      <w:pPr>
        <w:pStyle w:val="ListParagraph"/>
        <w:numPr>
          <w:ilvl w:val="0"/>
          <w:numId w:val="16"/>
        </w:numPr>
        <w:ind w:left="0" w:firstLine="0"/>
        <w:contextualSpacing w:val="0"/>
        <w:jc w:val="both"/>
      </w:pPr>
      <w:r w:rsidRPr="001F6DCE">
        <w:t xml:space="preserve">In addition to the IDA credit provided by the Bank, several donors including IDA, EU, </w:t>
      </w:r>
      <w:r w:rsidR="00015709" w:rsidRPr="001F6DCE">
        <w:t xml:space="preserve">SDC, </w:t>
      </w:r>
      <w:r w:rsidRPr="001F6DCE">
        <w:t>CEB</w:t>
      </w:r>
      <w:r w:rsidR="00015709" w:rsidRPr="001F6DCE">
        <w:t>, JICA, TIKA</w:t>
      </w:r>
      <w:r w:rsidRPr="001F6DCE">
        <w:t xml:space="preserve"> and relevant UN agencies, through coordinated but parallel financed operations, support the Government initiatives in </w:t>
      </w:r>
      <w:r w:rsidR="00015709" w:rsidRPr="001F6DCE">
        <w:t>health care</w:t>
      </w:r>
      <w:r w:rsidRPr="001F6DCE">
        <w:t>.</w:t>
      </w:r>
    </w:p>
    <w:p w14:paraId="7278A525" w14:textId="77777777" w:rsidR="00CC6741" w:rsidRPr="001F6DCE" w:rsidRDefault="00CC6741" w:rsidP="00F94EBD">
      <w:pPr>
        <w:pStyle w:val="ListParagraph"/>
        <w:ind w:left="0"/>
        <w:contextualSpacing w:val="0"/>
        <w:jc w:val="both"/>
      </w:pPr>
    </w:p>
    <w:p w14:paraId="50978EF3" w14:textId="677588DD" w:rsidR="00B978EB" w:rsidRPr="001F6DCE" w:rsidRDefault="00CC6741" w:rsidP="00F94EBD">
      <w:pPr>
        <w:pStyle w:val="ListParagraph"/>
        <w:numPr>
          <w:ilvl w:val="0"/>
          <w:numId w:val="16"/>
        </w:numPr>
        <w:ind w:left="0" w:firstLine="0"/>
        <w:contextualSpacing w:val="0"/>
        <w:jc w:val="both"/>
        <w:rPr>
          <w:szCs w:val="24"/>
        </w:rPr>
      </w:pPr>
      <w:bookmarkStart w:id="8" w:name="_Hlk507814578"/>
      <w:r w:rsidRPr="001F6DCE">
        <w:t xml:space="preserve">There was no formal assessment of the achievements </w:t>
      </w:r>
      <w:r w:rsidR="00B978EB" w:rsidRPr="001F6DCE">
        <w:t xml:space="preserve">under the National </w:t>
      </w:r>
      <w:r w:rsidR="00145417" w:rsidRPr="001F6DCE">
        <w:t>H</w:t>
      </w:r>
      <w:r w:rsidR="00B978EB" w:rsidRPr="001F6DCE">
        <w:t xml:space="preserve">ealth </w:t>
      </w:r>
      <w:r w:rsidR="00145417" w:rsidRPr="001F6DCE">
        <w:t>S</w:t>
      </w:r>
      <w:r w:rsidR="00B978EB" w:rsidRPr="001F6DCE">
        <w:t xml:space="preserve">ector Development </w:t>
      </w:r>
      <w:r w:rsidR="00145417" w:rsidRPr="001F6DCE">
        <w:t>S</w:t>
      </w:r>
      <w:r w:rsidR="00B978EB" w:rsidRPr="001F6DCE">
        <w:t xml:space="preserve">trategy (2007-2017) </w:t>
      </w:r>
      <w:r w:rsidR="00145417" w:rsidRPr="001F6DCE">
        <w:t>so far,</w:t>
      </w:r>
      <w:r w:rsidRPr="001F6DCE">
        <w:t xml:space="preserve"> but generally sp</w:t>
      </w:r>
      <w:r w:rsidR="00B978EB" w:rsidRPr="001F6DCE">
        <w:t>eaking, key achievements could be summarised as follows: (</w:t>
      </w:r>
      <w:proofErr w:type="spellStart"/>
      <w:r w:rsidR="00B978EB" w:rsidRPr="001F6DCE">
        <w:t>i</w:t>
      </w:r>
      <w:proofErr w:type="spellEnd"/>
      <w:r w:rsidR="00B978EB" w:rsidRPr="001F6DCE">
        <w:t xml:space="preserve">) </w:t>
      </w:r>
      <w:r w:rsidR="008A5FD1" w:rsidRPr="001F6DCE">
        <w:t>widening the services available to the uninsured</w:t>
      </w:r>
      <w:r w:rsidR="00D96D3F" w:rsidRPr="001F6DCE">
        <w:t xml:space="preserve"> </w:t>
      </w:r>
      <w:r w:rsidR="008A5FD1" w:rsidRPr="001F6DCE">
        <w:t>and increasing</w:t>
      </w:r>
      <w:r w:rsidR="008A5FD1" w:rsidRPr="001F6DCE">
        <w:rPr>
          <w:szCs w:val="24"/>
        </w:rPr>
        <w:t xml:space="preserve"> financial protection for vulnerable groups</w:t>
      </w:r>
      <w:r w:rsidR="007F2F5F" w:rsidRPr="001F6DCE">
        <w:rPr>
          <w:szCs w:val="24"/>
        </w:rPr>
        <w:t xml:space="preserve"> </w:t>
      </w:r>
      <w:r w:rsidR="007F2F5F" w:rsidRPr="001F6DCE">
        <w:t>(inter alia inclusion of new drugs to benefit package)</w:t>
      </w:r>
      <w:r w:rsidR="008A5FD1" w:rsidRPr="001F6DCE">
        <w:rPr>
          <w:szCs w:val="24"/>
        </w:rPr>
        <w:t>, (ii) implementing modern provider payment mechanisms (diagnostic-related groups) for hospitals,</w:t>
      </w:r>
      <w:r w:rsidR="00D96D3F" w:rsidRPr="001F6DCE">
        <w:rPr>
          <w:szCs w:val="24"/>
        </w:rPr>
        <w:t xml:space="preserve"> (iii) development of performance-based payment in hospital and primary healthcare</w:t>
      </w:r>
      <w:r w:rsidR="007F2F5F" w:rsidRPr="001F6DCE">
        <w:rPr>
          <w:szCs w:val="24"/>
        </w:rPr>
        <w:t>,</w:t>
      </w:r>
      <w:r w:rsidR="00D96D3F" w:rsidRPr="001F6DCE">
        <w:rPr>
          <w:szCs w:val="24"/>
        </w:rPr>
        <w:t xml:space="preserve"> (iv</w:t>
      </w:r>
      <w:r w:rsidR="008A5FD1" w:rsidRPr="001F6DCE">
        <w:rPr>
          <w:szCs w:val="24"/>
        </w:rPr>
        <w:t xml:space="preserve">) improving PHC infrastructure and granting autonomy </w:t>
      </w:r>
      <w:r w:rsidR="00322BEB" w:rsidRPr="001F6DCE">
        <w:rPr>
          <w:szCs w:val="24"/>
        </w:rPr>
        <w:t>to stimulate</w:t>
      </w:r>
      <w:r w:rsidR="008A5FD1" w:rsidRPr="001F6DCE">
        <w:rPr>
          <w:szCs w:val="24"/>
        </w:rPr>
        <w:t xml:space="preserve"> gate keepin</w:t>
      </w:r>
      <w:r w:rsidR="00322BEB" w:rsidRPr="001F6DCE">
        <w:rPr>
          <w:szCs w:val="24"/>
        </w:rPr>
        <w:t>g functions of</w:t>
      </w:r>
      <w:r w:rsidR="00D96D3F" w:rsidRPr="001F6DCE">
        <w:rPr>
          <w:szCs w:val="24"/>
        </w:rPr>
        <w:t xml:space="preserve"> PHC providers, (</w:t>
      </w:r>
      <w:r w:rsidR="008A5FD1" w:rsidRPr="001F6DCE">
        <w:rPr>
          <w:szCs w:val="24"/>
        </w:rPr>
        <w:t xml:space="preserve">v) </w:t>
      </w:r>
      <w:r w:rsidR="00322BEB" w:rsidRPr="001F6DCE">
        <w:rPr>
          <w:szCs w:val="24"/>
        </w:rPr>
        <w:t xml:space="preserve">enabling environment for and </w:t>
      </w:r>
      <w:r w:rsidR="008A5FD1" w:rsidRPr="001F6DCE">
        <w:rPr>
          <w:szCs w:val="24"/>
        </w:rPr>
        <w:t>introducing public-private partnerships, (v) introducing reference pricing and centralized (pooled) procurement of essential medicines for public facilities and (vi) approving the National Programs for Tobacco Control and Reduction of Alcohol Consumption</w:t>
      </w:r>
      <w:r w:rsidR="008A5FD1" w:rsidRPr="001F6DCE">
        <w:rPr>
          <w:rStyle w:val="FootnoteReference"/>
          <w:szCs w:val="24"/>
        </w:rPr>
        <w:footnoteReference w:id="25"/>
      </w:r>
      <w:r w:rsidR="007F2F5F" w:rsidRPr="001F6DCE">
        <w:rPr>
          <w:szCs w:val="24"/>
        </w:rPr>
        <w:t>, gradual increase in tobacco taxation</w:t>
      </w:r>
      <w:r w:rsidR="008A5FD1" w:rsidRPr="001F6DCE">
        <w:rPr>
          <w:szCs w:val="24"/>
        </w:rPr>
        <w:t>.</w:t>
      </w:r>
      <w:r w:rsidR="00C53D48" w:rsidRPr="001F6DCE">
        <w:rPr>
          <w:color w:val="FF0000"/>
          <w:szCs w:val="24"/>
        </w:rPr>
        <w:t xml:space="preserve"> </w:t>
      </w:r>
      <w:r w:rsidR="00C53D48" w:rsidRPr="001F6DCE">
        <w:rPr>
          <w:szCs w:val="24"/>
        </w:rPr>
        <w:t>The latter are in line with, respectively, the WHO Framework Convention for Tobacco Control and the WHO European action plan to reduce the harmful use of alcohol 2012–2020.</w:t>
      </w:r>
      <w:r w:rsidR="00737432" w:rsidRPr="001F6DCE">
        <w:rPr>
          <w:szCs w:val="24"/>
        </w:rPr>
        <w:t xml:space="preserve"> In terms of public health, Moldova made some progress in terms of life expectancy at birth, improved mother and child health, and decreased TB incidence and mortality rates. </w:t>
      </w:r>
    </w:p>
    <w:p w14:paraId="24E73B31" w14:textId="77777777" w:rsidR="00B978EB" w:rsidRPr="001F6DCE" w:rsidRDefault="00B978EB" w:rsidP="00B978EB">
      <w:pPr>
        <w:pStyle w:val="ListParagraph"/>
      </w:pPr>
    </w:p>
    <w:bookmarkEnd w:id="8"/>
    <w:p w14:paraId="64BD3641" w14:textId="3A929C73" w:rsidR="00B11D36" w:rsidRPr="001F6DCE" w:rsidRDefault="00CC6741" w:rsidP="00A04983">
      <w:pPr>
        <w:pStyle w:val="ListParagraph"/>
        <w:numPr>
          <w:ilvl w:val="0"/>
          <w:numId w:val="16"/>
        </w:numPr>
        <w:ind w:left="0" w:firstLine="0"/>
        <w:contextualSpacing w:val="0"/>
        <w:jc w:val="both"/>
        <w:rPr>
          <w:szCs w:val="24"/>
        </w:rPr>
      </w:pPr>
      <w:r w:rsidRPr="001F6DCE">
        <w:rPr>
          <w:szCs w:val="24"/>
        </w:rPr>
        <w:t>As of</w:t>
      </w:r>
      <w:r w:rsidR="00A27588" w:rsidRPr="001F6DCE">
        <w:rPr>
          <w:szCs w:val="24"/>
        </w:rPr>
        <w:t xml:space="preserve"> 201</w:t>
      </w:r>
      <w:r w:rsidR="00567154" w:rsidRPr="001F6DCE">
        <w:rPr>
          <w:szCs w:val="24"/>
        </w:rPr>
        <w:t>7</w:t>
      </w:r>
      <w:r w:rsidR="00A27588" w:rsidRPr="001F6DCE">
        <w:rPr>
          <w:szCs w:val="24"/>
        </w:rPr>
        <w:t xml:space="preserve"> health insurance coverage of the population increased to </w:t>
      </w:r>
      <w:r w:rsidR="00684C55" w:rsidRPr="001F6DCE">
        <w:rPr>
          <w:szCs w:val="24"/>
        </w:rPr>
        <w:t>8</w:t>
      </w:r>
      <w:r w:rsidR="00567154" w:rsidRPr="001F6DCE">
        <w:rPr>
          <w:szCs w:val="24"/>
        </w:rPr>
        <w:t>6</w:t>
      </w:r>
      <w:r w:rsidR="00AB062A" w:rsidRPr="001F6DCE">
        <w:rPr>
          <w:szCs w:val="24"/>
        </w:rPr>
        <w:t xml:space="preserve"> percent</w:t>
      </w:r>
      <w:r w:rsidR="00772962" w:rsidRPr="001F6DCE">
        <w:rPr>
          <w:szCs w:val="24"/>
        </w:rPr>
        <w:t xml:space="preserve"> </w:t>
      </w:r>
      <w:r w:rsidR="00D13359" w:rsidRPr="001F6DCE">
        <w:rPr>
          <w:szCs w:val="24"/>
        </w:rPr>
        <w:t>which</w:t>
      </w:r>
      <w:r w:rsidR="00772962" w:rsidRPr="001F6DCE">
        <w:rPr>
          <w:szCs w:val="24"/>
        </w:rPr>
        <w:t xml:space="preserve"> represents significant </w:t>
      </w:r>
      <w:r w:rsidR="00772962" w:rsidRPr="001F6DCE">
        <w:t xml:space="preserve">increase since the introduction of social health insurance in </w:t>
      </w:r>
      <w:r w:rsidR="00772962" w:rsidRPr="001F6DCE">
        <w:rPr>
          <w:szCs w:val="24"/>
        </w:rPr>
        <w:t>2004</w:t>
      </w:r>
      <w:r w:rsidR="00A27588" w:rsidRPr="001F6DCE">
        <w:rPr>
          <w:szCs w:val="24"/>
        </w:rPr>
        <w:t xml:space="preserve">. Through further strengthening and increasing the autonomy of the primary health care sector, </w:t>
      </w:r>
      <w:r w:rsidR="00D13359" w:rsidRPr="001F6DCE">
        <w:rPr>
          <w:szCs w:val="24"/>
        </w:rPr>
        <w:t xml:space="preserve">279 </w:t>
      </w:r>
      <w:r w:rsidR="00A27588" w:rsidRPr="001F6DCE">
        <w:rPr>
          <w:szCs w:val="24"/>
        </w:rPr>
        <w:t xml:space="preserve">health centres across the country have signed financial contracts directly with the National Health Insurance Company. In </w:t>
      </w:r>
      <w:r w:rsidR="00BC1B08" w:rsidRPr="001F6DCE">
        <w:rPr>
          <w:szCs w:val="24"/>
        </w:rPr>
        <w:t>2013</w:t>
      </w:r>
      <w:r w:rsidR="00B11D36" w:rsidRPr="001F6DCE">
        <w:rPr>
          <w:szCs w:val="24"/>
        </w:rPr>
        <w:t>-2014</w:t>
      </w:r>
      <w:r w:rsidR="00A27588" w:rsidRPr="001F6DCE">
        <w:rPr>
          <w:szCs w:val="24"/>
        </w:rPr>
        <w:t xml:space="preserve">, </w:t>
      </w:r>
      <w:r w:rsidR="00B11D36" w:rsidRPr="001F6DCE">
        <w:rPr>
          <w:szCs w:val="24"/>
        </w:rPr>
        <w:t xml:space="preserve">some </w:t>
      </w:r>
      <w:r w:rsidR="00A27588" w:rsidRPr="001F6DCE">
        <w:rPr>
          <w:szCs w:val="24"/>
        </w:rPr>
        <w:t>78 primary health centres were repaired and equipped. This has allowed access to quality health services for one million people.</w:t>
      </w:r>
      <w:r w:rsidR="00DA6DB6" w:rsidRPr="001F6DCE">
        <w:rPr>
          <w:szCs w:val="24"/>
        </w:rPr>
        <w:t xml:space="preserve"> </w:t>
      </w:r>
      <w:r w:rsidR="00B11D36" w:rsidRPr="001F6DCE">
        <w:rPr>
          <w:szCs w:val="24"/>
        </w:rPr>
        <w:t xml:space="preserve">In addition, the Ministry of Health, Labour and Social Protection revised P4P scheme in family medicine and has introduced youth-friendly services financed by CNAM through primary care. </w:t>
      </w:r>
    </w:p>
    <w:p w14:paraId="2E371578" w14:textId="77777777" w:rsidR="00B11D36" w:rsidRPr="001F6DCE" w:rsidRDefault="00B11D36" w:rsidP="00A23190">
      <w:pPr>
        <w:pStyle w:val="ListParagraph"/>
        <w:ind w:left="0"/>
        <w:contextualSpacing w:val="0"/>
        <w:jc w:val="both"/>
        <w:rPr>
          <w:szCs w:val="24"/>
        </w:rPr>
      </w:pPr>
    </w:p>
    <w:p w14:paraId="0FFEF4DC" w14:textId="0002E6BB" w:rsidR="00B11D36" w:rsidRPr="001F6DCE" w:rsidRDefault="00B11D36" w:rsidP="00A04983">
      <w:pPr>
        <w:pStyle w:val="ListParagraph"/>
        <w:numPr>
          <w:ilvl w:val="0"/>
          <w:numId w:val="16"/>
        </w:numPr>
        <w:ind w:left="0" w:firstLine="0"/>
        <w:contextualSpacing w:val="0"/>
        <w:jc w:val="both"/>
        <w:rPr>
          <w:szCs w:val="24"/>
        </w:rPr>
      </w:pPr>
      <w:r w:rsidRPr="001F6DCE">
        <w:rPr>
          <w:szCs w:val="24"/>
        </w:rPr>
        <w:t xml:space="preserve">In 2015, CNAM jointly with </w:t>
      </w:r>
      <w:proofErr w:type="spellStart"/>
      <w:r w:rsidRPr="001F6DCE">
        <w:rPr>
          <w:szCs w:val="24"/>
        </w:rPr>
        <w:t>MoHLSP</w:t>
      </w:r>
      <w:proofErr w:type="spellEnd"/>
      <w:r w:rsidRPr="001F6DCE">
        <w:rPr>
          <w:szCs w:val="24"/>
        </w:rPr>
        <w:t xml:space="preserve"> revised the list of compensated medications extending the list of free drugs for children </w:t>
      </w:r>
      <w:r w:rsidR="00E8209F" w:rsidRPr="001F6DCE">
        <w:rPr>
          <w:szCs w:val="24"/>
        </w:rPr>
        <w:t xml:space="preserve">and extending the compensated </w:t>
      </w:r>
      <w:r w:rsidR="00952A43" w:rsidRPr="001F6DCE">
        <w:rPr>
          <w:szCs w:val="24"/>
        </w:rPr>
        <w:t>rates</w:t>
      </w:r>
      <w:r w:rsidR="00E8209F" w:rsidRPr="001F6DCE">
        <w:rPr>
          <w:szCs w:val="24"/>
        </w:rPr>
        <w:t xml:space="preserve"> for anti-hypertensive medications</w:t>
      </w:r>
      <w:r w:rsidR="00392CD0" w:rsidRPr="001F6DCE">
        <w:rPr>
          <w:szCs w:val="24"/>
        </w:rPr>
        <w:t xml:space="preserve"> to address the high prevalence of respiratory diseases </w:t>
      </w:r>
      <w:r w:rsidR="00952A43" w:rsidRPr="001F6DCE">
        <w:rPr>
          <w:szCs w:val="24"/>
        </w:rPr>
        <w:t xml:space="preserve">amongst children under 5 years old </w:t>
      </w:r>
      <w:r w:rsidR="00392CD0" w:rsidRPr="001F6DCE">
        <w:rPr>
          <w:szCs w:val="24"/>
        </w:rPr>
        <w:t>and cardio-vascular mortality</w:t>
      </w:r>
      <w:r w:rsidR="00952A43" w:rsidRPr="001F6DCE">
        <w:rPr>
          <w:szCs w:val="24"/>
        </w:rPr>
        <w:t xml:space="preserve"> amongst adults</w:t>
      </w:r>
      <w:r w:rsidR="00392CD0" w:rsidRPr="001F6DCE">
        <w:rPr>
          <w:szCs w:val="24"/>
        </w:rPr>
        <w:t xml:space="preserve">.  </w:t>
      </w:r>
    </w:p>
    <w:p w14:paraId="0CF5B5EA" w14:textId="2588BF12" w:rsidR="00B11D36" w:rsidRPr="001F6DCE" w:rsidRDefault="00B11D36" w:rsidP="00A23190">
      <w:pPr>
        <w:pStyle w:val="ListParagraph"/>
        <w:ind w:left="0"/>
        <w:contextualSpacing w:val="0"/>
        <w:jc w:val="both"/>
        <w:rPr>
          <w:szCs w:val="24"/>
        </w:rPr>
      </w:pPr>
    </w:p>
    <w:p w14:paraId="775AD50E" w14:textId="0A16E079" w:rsidR="00F94EBD" w:rsidRPr="001F6DCE" w:rsidRDefault="00392CD0" w:rsidP="00A04983">
      <w:pPr>
        <w:pStyle w:val="ListParagraph"/>
        <w:numPr>
          <w:ilvl w:val="0"/>
          <w:numId w:val="16"/>
        </w:numPr>
        <w:ind w:left="0" w:firstLine="0"/>
        <w:contextualSpacing w:val="0"/>
        <w:jc w:val="both"/>
        <w:rPr>
          <w:szCs w:val="24"/>
        </w:rPr>
      </w:pPr>
      <w:r w:rsidRPr="001F6DCE">
        <w:rPr>
          <w:szCs w:val="24"/>
        </w:rPr>
        <w:t>During 2013-2016</w:t>
      </w:r>
      <w:r w:rsidR="00E8311F" w:rsidRPr="001F6DCE">
        <w:rPr>
          <w:szCs w:val="24"/>
        </w:rPr>
        <w:t xml:space="preserve"> policy dialogue among health sector stakeholders and development partners focused on priority issues related to tobacco control policies and hospital sector governance and regionalization. Also on the agenda were </w:t>
      </w:r>
      <w:r w:rsidRPr="001F6DCE">
        <w:rPr>
          <w:szCs w:val="24"/>
        </w:rPr>
        <w:t xml:space="preserve">primary healthcare strengthening, </w:t>
      </w:r>
      <w:r w:rsidR="00E8311F" w:rsidRPr="001F6DCE">
        <w:rPr>
          <w:szCs w:val="24"/>
        </w:rPr>
        <w:lastRenderedPageBreak/>
        <w:t>decentralization of public services, health services efficiency and quality, health financing and local authorities’ and community involvement.</w:t>
      </w:r>
    </w:p>
    <w:p w14:paraId="72AC6E72" w14:textId="77777777" w:rsidR="00F94EBD" w:rsidRPr="001F6DCE" w:rsidRDefault="00F94EBD" w:rsidP="00F94EBD">
      <w:pPr>
        <w:pStyle w:val="ListParagraph"/>
        <w:rPr>
          <w:szCs w:val="24"/>
        </w:rPr>
      </w:pPr>
    </w:p>
    <w:p w14:paraId="5C160F10" w14:textId="40071C8E" w:rsidR="00654438" w:rsidRPr="001F6DCE" w:rsidRDefault="00CF61BE" w:rsidP="00A04983">
      <w:pPr>
        <w:pStyle w:val="ListParagraph"/>
        <w:numPr>
          <w:ilvl w:val="0"/>
          <w:numId w:val="16"/>
        </w:numPr>
        <w:ind w:left="0" w:firstLine="0"/>
        <w:contextualSpacing w:val="0"/>
        <w:jc w:val="both"/>
        <w:rPr>
          <w:szCs w:val="24"/>
        </w:rPr>
      </w:pPr>
      <w:r w:rsidRPr="001F6DCE">
        <w:rPr>
          <w:szCs w:val="24"/>
        </w:rPr>
        <w:t>In the past the Ministry of Health</w:t>
      </w:r>
      <w:r w:rsidR="00952A43" w:rsidRPr="001F6DCE">
        <w:rPr>
          <w:szCs w:val="24"/>
        </w:rPr>
        <w:t>, Labour and Social Protection</w:t>
      </w:r>
      <w:r w:rsidRPr="001F6DCE">
        <w:rPr>
          <w:szCs w:val="24"/>
        </w:rPr>
        <w:t xml:space="preserve"> has been benefitting from healthcare budget support assistance provided by the European Commission and is therefore familiar with some features pertaining to the </w:t>
      </w:r>
      <w:proofErr w:type="spellStart"/>
      <w:r w:rsidRPr="001F6DCE">
        <w:rPr>
          <w:szCs w:val="24"/>
        </w:rPr>
        <w:t>P</w:t>
      </w:r>
      <w:r w:rsidR="00487658" w:rsidRPr="001F6DCE">
        <w:rPr>
          <w:szCs w:val="24"/>
        </w:rPr>
        <w:t>for</w:t>
      </w:r>
      <w:r w:rsidRPr="001F6DCE">
        <w:rPr>
          <w:szCs w:val="24"/>
        </w:rPr>
        <w:t>R</w:t>
      </w:r>
      <w:proofErr w:type="spellEnd"/>
      <w:r w:rsidRPr="001F6DCE">
        <w:rPr>
          <w:szCs w:val="24"/>
        </w:rPr>
        <w:t xml:space="preserve"> instrument. Furthermore, in </w:t>
      </w:r>
      <w:r w:rsidR="00FB5691" w:rsidRPr="001F6DCE">
        <w:rPr>
          <w:szCs w:val="24"/>
        </w:rPr>
        <w:t>recent</w:t>
      </w:r>
      <w:r w:rsidRPr="001F6DCE">
        <w:rPr>
          <w:szCs w:val="24"/>
        </w:rPr>
        <w:t xml:space="preserve"> years the World Bank </w:t>
      </w:r>
      <w:r w:rsidR="00952A43" w:rsidRPr="001F6DCE">
        <w:rPr>
          <w:szCs w:val="24"/>
        </w:rPr>
        <w:t xml:space="preserve">implemented </w:t>
      </w:r>
      <w:r w:rsidRPr="001F6DCE">
        <w:rPr>
          <w:szCs w:val="24"/>
        </w:rPr>
        <w:t>two results-based fina</w:t>
      </w:r>
      <w:r w:rsidR="00B9428D" w:rsidRPr="001F6DCE">
        <w:rPr>
          <w:szCs w:val="24"/>
        </w:rPr>
        <w:t xml:space="preserve">ncing projects in social assistance and education sectors in Moldova. However, the transition from an input-based to a results-based operation </w:t>
      </w:r>
      <w:r w:rsidR="00952A43" w:rsidRPr="001F6DCE">
        <w:rPr>
          <w:szCs w:val="24"/>
        </w:rPr>
        <w:t xml:space="preserve">is </w:t>
      </w:r>
      <w:r w:rsidR="00FB5691" w:rsidRPr="001F6DCE">
        <w:rPr>
          <w:szCs w:val="24"/>
        </w:rPr>
        <w:t xml:space="preserve">proved to </w:t>
      </w:r>
      <w:r w:rsidR="00B9428D" w:rsidRPr="001F6DCE">
        <w:rPr>
          <w:szCs w:val="24"/>
        </w:rPr>
        <w:t xml:space="preserve">be </w:t>
      </w:r>
      <w:r w:rsidR="00952A43" w:rsidRPr="001F6DCE">
        <w:rPr>
          <w:szCs w:val="24"/>
        </w:rPr>
        <w:t xml:space="preserve">still </w:t>
      </w:r>
      <w:r w:rsidR="00B9428D" w:rsidRPr="001F6DCE">
        <w:rPr>
          <w:szCs w:val="24"/>
        </w:rPr>
        <w:t xml:space="preserve">an issue particularly </w:t>
      </w:r>
      <w:r w:rsidR="00FB5691" w:rsidRPr="001F6DCE">
        <w:rPr>
          <w:szCs w:val="24"/>
        </w:rPr>
        <w:t xml:space="preserve">as </w:t>
      </w:r>
      <w:r w:rsidR="00B9428D" w:rsidRPr="001F6DCE">
        <w:rPr>
          <w:szCs w:val="24"/>
        </w:rPr>
        <w:t xml:space="preserve">healthcare sector is governed by a specific </w:t>
      </w:r>
      <w:r w:rsidR="00526F50" w:rsidRPr="001F6DCE">
        <w:rPr>
          <w:szCs w:val="24"/>
        </w:rPr>
        <w:t xml:space="preserve">health insurance </w:t>
      </w:r>
      <w:r w:rsidR="00B9428D" w:rsidRPr="001F6DCE">
        <w:rPr>
          <w:szCs w:val="24"/>
        </w:rPr>
        <w:t xml:space="preserve">funding allocation mechanism </w:t>
      </w:r>
      <w:r w:rsidR="00526F50" w:rsidRPr="001F6DCE">
        <w:rPr>
          <w:szCs w:val="24"/>
        </w:rPr>
        <w:t>a</w:t>
      </w:r>
      <w:r w:rsidR="00B9428D" w:rsidRPr="001F6DCE">
        <w:rPr>
          <w:szCs w:val="24"/>
        </w:rPr>
        <w:t xml:space="preserve">nd the budgetary rules for funds allocation are subject to change. </w:t>
      </w:r>
      <w:r w:rsidR="00FB5691" w:rsidRPr="001F6DCE">
        <w:rPr>
          <w:szCs w:val="24"/>
        </w:rPr>
        <w:t>To compare</w:t>
      </w:r>
      <w:r w:rsidR="002E182B" w:rsidRPr="001F6DCE">
        <w:rPr>
          <w:szCs w:val="24"/>
        </w:rPr>
        <w:t xml:space="preserve">, the EU direct budget support was </w:t>
      </w:r>
      <w:r w:rsidR="003E3E24" w:rsidRPr="001F6DCE">
        <w:rPr>
          <w:szCs w:val="24"/>
        </w:rPr>
        <w:t xml:space="preserve">underpinned by the EU-funded technical assistance component channelled through </w:t>
      </w:r>
      <w:proofErr w:type="gramStart"/>
      <w:r w:rsidR="003E3E24" w:rsidRPr="001F6DCE">
        <w:rPr>
          <w:szCs w:val="24"/>
        </w:rPr>
        <w:t>WHO</w:t>
      </w:r>
      <w:proofErr w:type="gramEnd"/>
      <w:r w:rsidR="003E3E24" w:rsidRPr="001F6DCE">
        <w:rPr>
          <w:szCs w:val="24"/>
        </w:rPr>
        <w:t xml:space="preserve">. </w:t>
      </w:r>
      <w:r w:rsidR="00D14D36" w:rsidRPr="001F6DCE">
        <w:rPr>
          <w:szCs w:val="24"/>
        </w:rPr>
        <w:t xml:space="preserve">Yet, in case when </w:t>
      </w:r>
      <w:r w:rsidR="00813D44" w:rsidRPr="001F6DCE">
        <w:rPr>
          <w:szCs w:val="24"/>
        </w:rPr>
        <w:t>the</w:t>
      </w:r>
      <w:r w:rsidR="00D32AD6" w:rsidRPr="001F6DCE">
        <w:rPr>
          <w:szCs w:val="24"/>
        </w:rPr>
        <w:t xml:space="preserve">re is limited </w:t>
      </w:r>
      <w:r w:rsidR="00D14D36" w:rsidRPr="001F6DCE">
        <w:rPr>
          <w:szCs w:val="24"/>
        </w:rPr>
        <w:t>capacity for manag</w:t>
      </w:r>
      <w:r w:rsidR="00D32AD6" w:rsidRPr="001F6DCE">
        <w:rPr>
          <w:szCs w:val="24"/>
        </w:rPr>
        <w:t>ing</w:t>
      </w:r>
      <w:r w:rsidR="00D14D36" w:rsidRPr="001F6DCE">
        <w:rPr>
          <w:szCs w:val="24"/>
        </w:rPr>
        <w:t xml:space="preserve"> technical assistance, </w:t>
      </w:r>
      <w:r w:rsidR="00D32AD6" w:rsidRPr="001F6DCE">
        <w:rPr>
          <w:szCs w:val="24"/>
        </w:rPr>
        <w:t>the</w:t>
      </w:r>
      <w:r w:rsidR="00813D44" w:rsidRPr="001F6DCE">
        <w:rPr>
          <w:szCs w:val="24"/>
        </w:rPr>
        <w:t xml:space="preserve"> budget support part of the operation linked to technical assistance</w:t>
      </w:r>
      <w:r w:rsidR="00D32AD6" w:rsidRPr="001F6DCE">
        <w:rPr>
          <w:szCs w:val="24"/>
        </w:rPr>
        <w:t xml:space="preserve"> might become a challenge</w:t>
      </w:r>
      <w:r w:rsidR="00813D44" w:rsidRPr="001F6DCE">
        <w:rPr>
          <w:szCs w:val="24"/>
        </w:rPr>
        <w:t xml:space="preserve">.  </w:t>
      </w:r>
    </w:p>
    <w:p w14:paraId="554CB832" w14:textId="77777777" w:rsidR="00654438" w:rsidRPr="001F6DCE" w:rsidRDefault="00654438" w:rsidP="00A04983">
      <w:pPr>
        <w:jc w:val="both"/>
        <w:rPr>
          <w:szCs w:val="24"/>
        </w:rPr>
      </w:pPr>
    </w:p>
    <w:p w14:paraId="7B4338C4" w14:textId="77777777" w:rsidR="005F443E" w:rsidRPr="001F6DCE" w:rsidRDefault="005F443E" w:rsidP="00A04983">
      <w:pPr>
        <w:jc w:val="both"/>
        <w:rPr>
          <w:b/>
          <w:szCs w:val="24"/>
        </w:rPr>
      </w:pPr>
      <w:r w:rsidRPr="001F6DCE">
        <w:rPr>
          <w:b/>
          <w:szCs w:val="24"/>
        </w:rPr>
        <w:t xml:space="preserve">Current practices, legal and institutional framework securing social accountability </w:t>
      </w:r>
      <w:r w:rsidR="0075747E" w:rsidRPr="001F6DCE">
        <w:rPr>
          <w:b/>
          <w:szCs w:val="24"/>
        </w:rPr>
        <w:t>on the Health Sector</w:t>
      </w:r>
    </w:p>
    <w:p w14:paraId="5CE5B8E7" w14:textId="77777777" w:rsidR="000A6A24" w:rsidRPr="001F6DCE" w:rsidRDefault="000A6A24" w:rsidP="000A6A24">
      <w:pPr>
        <w:pStyle w:val="ListParagraph"/>
        <w:ind w:left="0"/>
        <w:jc w:val="both"/>
        <w:rPr>
          <w:i/>
          <w:szCs w:val="24"/>
          <w:u w:val="single"/>
        </w:rPr>
      </w:pPr>
    </w:p>
    <w:p w14:paraId="73F35FF0" w14:textId="77777777" w:rsidR="0075747E" w:rsidRPr="001F6DCE" w:rsidRDefault="0075747E" w:rsidP="00F94EBD">
      <w:pPr>
        <w:jc w:val="both"/>
        <w:rPr>
          <w:b/>
          <w:i/>
          <w:szCs w:val="24"/>
        </w:rPr>
      </w:pPr>
      <w:r w:rsidRPr="001F6DCE">
        <w:rPr>
          <w:b/>
          <w:i/>
          <w:szCs w:val="24"/>
        </w:rPr>
        <w:t xml:space="preserve">Public participation </w:t>
      </w:r>
    </w:p>
    <w:p w14:paraId="5AB47B36" w14:textId="77777777" w:rsidR="0071549B" w:rsidRPr="001F6DCE" w:rsidRDefault="0071549B" w:rsidP="00A04983">
      <w:pPr>
        <w:jc w:val="both"/>
        <w:rPr>
          <w:b/>
          <w:szCs w:val="24"/>
        </w:rPr>
      </w:pPr>
    </w:p>
    <w:p w14:paraId="6222BF76" w14:textId="6BDF4628" w:rsidR="009C1013" w:rsidRPr="001F6DCE" w:rsidRDefault="0075747E" w:rsidP="00A23190">
      <w:pPr>
        <w:pStyle w:val="ListParagraph"/>
        <w:numPr>
          <w:ilvl w:val="0"/>
          <w:numId w:val="16"/>
        </w:numPr>
        <w:ind w:left="0" w:firstLine="0"/>
        <w:contextualSpacing w:val="0"/>
        <w:jc w:val="both"/>
        <w:rPr>
          <w:szCs w:val="24"/>
        </w:rPr>
      </w:pPr>
      <w:r w:rsidRPr="001F6DCE">
        <w:rPr>
          <w:szCs w:val="24"/>
        </w:rPr>
        <w:t xml:space="preserve">According to the 2005 Law on Patient Rights and Responsibilities, all decisions of economic, administrative or social character with a potential influence or impact on the population’s health status, at the national or local level, should take into consideration public opinion. Patients have a collective right to be represented at all levels of health system and to be involved in the process of decision-making regarding the planning and evaluation of services, including the breadth, quality and delivery mode of services provided. Citizens of the Republic of Moldova, patients’ organizations and NGOs can participate in the development of health policies and programmes, as well as in setting priorities and criteria for resource allocations. </w:t>
      </w:r>
      <w:r w:rsidR="000848B9" w:rsidRPr="001F6DCE">
        <w:rPr>
          <w:szCs w:val="24"/>
        </w:rPr>
        <w:t xml:space="preserve">For instance, design and implementation of tobacco control legislation was heavily supported by the civil society which </w:t>
      </w:r>
      <w:r w:rsidR="0029251B" w:rsidRPr="001F6DCE">
        <w:rPr>
          <w:szCs w:val="24"/>
        </w:rPr>
        <w:t>prevented</w:t>
      </w:r>
      <w:r w:rsidR="00C43C0E" w:rsidRPr="001F6DCE">
        <w:rPr>
          <w:szCs w:val="24"/>
        </w:rPr>
        <w:t xml:space="preserve"> few attempts to reverse some of the legal provisions of anti-tobacco law. </w:t>
      </w:r>
    </w:p>
    <w:p w14:paraId="4D8CC5ED" w14:textId="77777777" w:rsidR="0075747E" w:rsidRPr="001F6DCE" w:rsidRDefault="0075747E">
      <w:pPr>
        <w:pStyle w:val="ListParagraph"/>
        <w:ind w:left="0"/>
        <w:contextualSpacing w:val="0"/>
        <w:jc w:val="both"/>
        <w:rPr>
          <w:szCs w:val="24"/>
        </w:rPr>
      </w:pPr>
    </w:p>
    <w:p w14:paraId="2C920591" w14:textId="54C98775" w:rsidR="005647E3" w:rsidRPr="001F6DCE" w:rsidRDefault="0075747E" w:rsidP="00A23190">
      <w:pPr>
        <w:pStyle w:val="ListParagraph"/>
        <w:numPr>
          <w:ilvl w:val="0"/>
          <w:numId w:val="16"/>
        </w:numPr>
        <w:ind w:left="0" w:firstLine="0"/>
        <w:contextualSpacing w:val="0"/>
        <w:jc w:val="both"/>
        <w:rPr>
          <w:szCs w:val="24"/>
        </w:rPr>
      </w:pPr>
      <w:r w:rsidRPr="001F6DCE">
        <w:rPr>
          <w:szCs w:val="24"/>
        </w:rPr>
        <w:t xml:space="preserve">The means for public participation in the health system was only developed in 2010, when, in order to increase transparency in the development of legal and regulatory documents, the Ministry of Health, </w:t>
      </w:r>
      <w:r w:rsidR="0029251B" w:rsidRPr="001F6DCE">
        <w:rPr>
          <w:szCs w:val="24"/>
        </w:rPr>
        <w:t xml:space="preserve">Labour and Social Protection </w:t>
      </w:r>
      <w:r w:rsidRPr="001F6DCE">
        <w:rPr>
          <w:szCs w:val="24"/>
        </w:rPr>
        <w:t xml:space="preserve">along with other government authorities, developed internal rules for ensuring transparency in the decision-making process, in line with Governmental Decision On the Actions for the Implementation of Law No. 239-XVI from 13 November 2008 Regarding the Transparency in the Decision-making Process (No. 96, 16 February 2010). These rules include the regulation of information, consultation and participation in the process of developing and approving decisions, the contact details of the coordinator of the public consultation process, and the list of interested and informed parties, which includes most of the NGOs active in the field of health. </w:t>
      </w:r>
      <w:r w:rsidR="0029251B" w:rsidRPr="001F6DCE">
        <w:rPr>
          <w:szCs w:val="24"/>
        </w:rPr>
        <w:t>For instance</w:t>
      </w:r>
      <w:r w:rsidR="00531259" w:rsidRPr="001F6DCE">
        <w:rPr>
          <w:szCs w:val="24"/>
        </w:rPr>
        <w:t xml:space="preserve">, </w:t>
      </w:r>
      <w:r w:rsidR="00531259" w:rsidRPr="001F6DCE">
        <w:rPr>
          <w:lang w:eastAsia="hr-HR"/>
        </w:rPr>
        <w:t xml:space="preserve">when new piece of legislation is drafted, the civil society is consulted by means of placing the draft papers on the </w:t>
      </w:r>
      <w:proofErr w:type="spellStart"/>
      <w:r w:rsidR="00531259" w:rsidRPr="001F6DCE">
        <w:rPr>
          <w:lang w:eastAsia="hr-HR"/>
        </w:rPr>
        <w:t>MoHLSP</w:t>
      </w:r>
      <w:proofErr w:type="spellEnd"/>
      <w:r w:rsidR="00531259" w:rsidRPr="001F6DCE">
        <w:rPr>
          <w:lang w:eastAsia="hr-HR"/>
        </w:rPr>
        <w:t xml:space="preserve"> website and on the transparency portal </w:t>
      </w:r>
      <w:hyperlink r:id="rId15" w:history="1">
        <w:r w:rsidR="00531259" w:rsidRPr="001F6DCE">
          <w:rPr>
            <w:color w:val="0070C0"/>
            <w:u w:val="single"/>
            <w:lang w:eastAsia="hr-HR"/>
          </w:rPr>
          <w:t>www.particip.gov.md</w:t>
        </w:r>
      </w:hyperlink>
      <w:r w:rsidR="00531259" w:rsidRPr="001F6DCE">
        <w:rPr>
          <w:lang w:eastAsia="hr-HR"/>
        </w:rPr>
        <w:t>.</w:t>
      </w:r>
    </w:p>
    <w:p w14:paraId="78EC57CD" w14:textId="77777777" w:rsidR="00FE6F26" w:rsidRPr="001F6DCE" w:rsidRDefault="00FE6F26" w:rsidP="00A04983">
      <w:pPr>
        <w:jc w:val="both"/>
        <w:rPr>
          <w:szCs w:val="24"/>
        </w:rPr>
      </w:pPr>
    </w:p>
    <w:p w14:paraId="1DF1424B" w14:textId="12F66302" w:rsidR="00F94EBD" w:rsidRPr="001F6DCE" w:rsidRDefault="0029251B" w:rsidP="00F94EBD">
      <w:pPr>
        <w:pStyle w:val="ListParagraph"/>
        <w:numPr>
          <w:ilvl w:val="0"/>
          <w:numId w:val="16"/>
        </w:numPr>
        <w:ind w:left="0" w:firstLine="0"/>
        <w:contextualSpacing w:val="0"/>
        <w:jc w:val="both"/>
        <w:rPr>
          <w:szCs w:val="24"/>
        </w:rPr>
      </w:pPr>
      <w:r w:rsidRPr="001F6DCE">
        <w:lastRenderedPageBreak/>
        <w:t>Besides, t</w:t>
      </w:r>
      <w:r w:rsidR="00554358" w:rsidRPr="001F6DCE">
        <w:t xml:space="preserve">he websites of the </w:t>
      </w:r>
      <w:proofErr w:type="spellStart"/>
      <w:r w:rsidR="00494A96" w:rsidRPr="001F6DCE">
        <w:t>MoHLSP</w:t>
      </w:r>
      <w:proofErr w:type="spellEnd"/>
      <w:r w:rsidR="00494A96" w:rsidRPr="001F6DCE">
        <w:t xml:space="preserve"> </w:t>
      </w:r>
      <w:r w:rsidR="00554358" w:rsidRPr="001F6DCE">
        <w:t xml:space="preserve">and the CNAM are good examples of transparency with all relevant health information posted and communicated to the public. This provides a good start for real public dialogue </w:t>
      </w:r>
      <w:r w:rsidR="00554358" w:rsidRPr="001F6DCE">
        <w:rPr>
          <w:szCs w:val="24"/>
        </w:rPr>
        <w:t xml:space="preserve">on the impact of the Programme. </w:t>
      </w:r>
    </w:p>
    <w:p w14:paraId="4B890399" w14:textId="77777777" w:rsidR="00F94EBD" w:rsidRPr="001F6DCE" w:rsidRDefault="00F94EBD" w:rsidP="00F94EBD">
      <w:pPr>
        <w:pStyle w:val="ListParagraph"/>
        <w:ind w:left="0"/>
        <w:contextualSpacing w:val="0"/>
        <w:jc w:val="both"/>
        <w:rPr>
          <w:szCs w:val="24"/>
        </w:rPr>
      </w:pPr>
    </w:p>
    <w:p w14:paraId="625BE1F1" w14:textId="5CD81297" w:rsidR="00243F97" w:rsidRPr="001F6DCE" w:rsidRDefault="00EB2B8B" w:rsidP="00F94EBD">
      <w:pPr>
        <w:pStyle w:val="ListParagraph"/>
        <w:numPr>
          <w:ilvl w:val="0"/>
          <w:numId w:val="16"/>
        </w:numPr>
        <w:ind w:left="0" w:firstLine="0"/>
        <w:contextualSpacing w:val="0"/>
        <w:jc w:val="both"/>
        <w:rPr>
          <w:szCs w:val="24"/>
        </w:rPr>
      </w:pPr>
      <w:r w:rsidRPr="001F6DCE">
        <w:rPr>
          <w:szCs w:val="24"/>
        </w:rPr>
        <w:t>Furthermore, the Government-wide initiative to disclose all data, except the sensitive one, to general public is being implemented and by now the Ministry of Health made available more than 180 datasets for free use by CS on the website:</w:t>
      </w:r>
      <w:r w:rsidR="000A66B4" w:rsidRPr="001F6DCE">
        <w:rPr>
          <w:szCs w:val="24"/>
        </w:rPr>
        <w:t xml:space="preserve"> </w:t>
      </w:r>
      <w:hyperlink r:id="rId16" w:history="1">
        <w:r w:rsidR="00554358" w:rsidRPr="001F6DCE">
          <w:rPr>
            <w:color w:val="0070C0"/>
            <w:szCs w:val="24"/>
            <w:u w:val="single"/>
          </w:rPr>
          <w:t>http://data.gov.md/raw/category/3</w:t>
        </w:r>
      </w:hyperlink>
      <w:r w:rsidR="00554358" w:rsidRPr="001F6DCE">
        <w:rPr>
          <w:szCs w:val="24"/>
        </w:rPr>
        <w:t>. However, due to inconsistency with some data caused either by different calculation modalities of the same indicator and different data collection modalities, or unavailability of computerised records</w:t>
      </w:r>
      <w:r w:rsidR="00F94EBD" w:rsidRPr="001F6DCE">
        <w:rPr>
          <w:szCs w:val="24"/>
        </w:rPr>
        <w:t>, some data remains undisclosed.</w:t>
      </w:r>
    </w:p>
    <w:p w14:paraId="79F7C0D3" w14:textId="77777777" w:rsidR="00F94EBD" w:rsidRPr="001F6DCE" w:rsidRDefault="00F94EBD" w:rsidP="00F94EBD">
      <w:pPr>
        <w:pStyle w:val="ListParagraph"/>
        <w:ind w:left="0"/>
        <w:contextualSpacing w:val="0"/>
        <w:jc w:val="both"/>
        <w:rPr>
          <w:szCs w:val="24"/>
        </w:rPr>
      </w:pPr>
    </w:p>
    <w:p w14:paraId="30AD5C88" w14:textId="11410EA9" w:rsidR="00F94EBD" w:rsidRPr="001F6DCE" w:rsidRDefault="00243F97" w:rsidP="00A04983">
      <w:pPr>
        <w:pStyle w:val="ListParagraph"/>
        <w:numPr>
          <w:ilvl w:val="0"/>
          <w:numId w:val="16"/>
        </w:numPr>
        <w:ind w:left="0" w:firstLine="0"/>
        <w:contextualSpacing w:val="0"/>
        <w:jc w:val="both"/>
      </w:pPr>
      <w:r w:rsidRPr="001F6DCE">
        <w:rPr>
          <w:szCs w:val="24"/>
        </w:rPr>
        <w:t>Further improvements in social accountability in the health care system, both in implementation of the foreseen reforms and in the functioning of the reformed system are needed. Some initiatives to that effect are already</w:t>
      </w:r>
      <w:r w:rsidRPr="001F6DCE">
        <w:t xml:space="preserve"> underway. For example, participatory approach has been applied in the preparation and development of the National Health System Development Strategy 2008-2017 with a series of consultations meetings and public debates held country wide. This practice has been replicated through a series of policy consultations on the elaboration of the new Healthcare Strategy 2020</w:t>
      </w:r>
      <w:r w:rsidR="0002768E" w:rsidRPr="001F6DCE">
        <w:t xml:space="preserve"> and </w:t>
      </w:r>
      <w:r w:rsidR="00434290" w:rsidRPr="001F6DCE">
        <w:t xml:space="preserve">it </w:t>
      </w:r>
      <w:r w:rsidR="0002768E" w:rsidRPr="001F6DCE">
        <w:t>is currently utilised for the Government-wide Strategy Moldova 2030.</w:t>
      </w:r>
    </w:p>
    <w:p w14:paraId="05C3AD3E" w14:textId="77777777" w:rsidR="00F94EBD" w:rsidRPr="001F6DCE" w:rsidRDefault="00F94EBD" w:rsidP="00F94EBD">
      <w:pPr>
        <w:pStyle w:val="ListParagraph"/>
      </w:pPr>
    </w:p>
    <w:p w14:paraId="6C56E2E9" w14:textId="67B80ADF" w:rsidR="00C23AE4" w:rsidRPr="001F6DCE" w:rsidRDefault="00554358" w:rsidP="00A04983">
      <w:pPr>
        <w:pStyle w:val="ListParagraph"/>
        <w:numPr>
          <w:ilvl w:val="0"/>
          <w:numId w:val="16"/>
        </w:numPr>
        <w:ind w:left="0" w:firstLine="0"/>
        <w:contextualSpacing w:val="0"/>
        <w:jc w:val="both"/>
        <w:rPr>
          <w:szCs w:val="24"/>
        </w:rPr>
      </w:pPr>
      <w:r w:rsidRPr="001F6DCE">
        <w:t>The Ministry of Health</w:t>
      </w:r>
      <w:r w:rsidR="005E02CC" w:rsidRPr="001F6DCE">
        <w:t>, Labour and Social Protection</w:t>
      </w:r>
      <w:r w:rsidRPr="001F6DCE">
        <w:t xml:space="preserve"> with support from WHO </w:t>
      </w:r>
      <w:r w:rsidR="005E02CC" w:rsidRPr="001F6DCE">
        <w:t xml:space="preserve">has </w:t>
      </w:r>
      <w:r w:rsidRPr="001F6DCE">
        <w:t xml:space="preserve">organised public consultation workshops aimed at raising public awareness on hospital regionalisation concept and getting feedback on the proposed hospital reform plans. In particular, during October – November, 2013 </w:t>
      </w:r>
      <w:proofErr w:type="spellStart"/>
      <w:r w:rsidR="00F115EC" w:rsidRPr="001F6DCE">
        <w:t>MoHLSP</w:t>
      </w:r>
      <w:proofErr w:type="spellEnd"/>
      <w:r w:rsidR="00F115EC" w:rsidRPr="001F6DCE">
        <w:t xml:space="preserve"> </w:t>
      </w:r>
      <w:r w:rsidRPr="001F6DCE">
        <w:t>organized three regional field trips to the north, south and the centre of Moldova and involved in the policy consultation process about 300 persons representing local authorities, medical institutions, CSOs and mass media.</w:t>
      </w:r>
      <w:r w:rsidR="009372D1" w:rsidRPr="001F6DCE">
        <w:t xml:space="preserve"> </w:t>
      </w:r>
      <w:r w:rsidRPr="001F6DCE">
        <w:t>The results of this consultation process identified a need to have a complex planning for capital investments, regulatory adjustment and human resource strategies, but also a need for greater empowerment to the change agents and for implementation support</w:t>
      </w:r>
      <w:r w:rsidR="00F63456" w:rsidRPr="001F6DCE">
        <w:t>.</w:t>
      </w:r>
      <w:r w:rsidR="005E02CC" w:rsidRPr="001F6DCE">
        <w:t xml:space="preserve"> </w:t>
      </w:r>
    </w:p>
    <w:p w14:paraId="392D796D" w14:textId="77777777" w:rsidR="00C23AE4" w:rsidRPr="001F6DCE" w:rsidRDefault="00C23AE4" w:rsidP="00A23190">
      <w:pPr>
        <w:pStyle w:val="ListParagraph"/>
        <w:ind w:left="0"/>
        <w:contextualSpacing w:val="0"/>
        <w:jc w:val="both"/>
        <w:rPr>
          <w:szCs w:val="24"/>
        </w:rPr>
      </w:pPr>
    </w:p>
    <w:p w14:paraId="226EC80E" w14:textId="6BBD327F" w:rsidR="00243F97" w:rsidRPr="001F6DCE" w:rsidRDefault="00C23AE4" w:rsidP="00A04983">
      <w:pPr>
        <w:pStyle w:val="ListParagraph"/>
        <w:numPr>
          <w:ilvl w:val="0"/>
          <w:numId w:val="16"/>
        </w:numPr>
        <w:ind w:left="0" w:firstLine="0"/>
        <w:contextualSpacing w:val="0"/>
        <w:jc w:val="both"/>
        <w:rPr>
          <w:szCs w:val="24"/>
        </w:rPr>
      </w:pPr>
      <w:r w:rsidRPr="001F6DCE">
        <w:t>However, o</w:t>
      </w:r>
      <w:r w:rsidR="005E02CC" w:rsidRPr="001F6DCE">
        <w:t xml:space="preserve">rganisation of subsequent public consultation on hospital reform proved to </w:t>
      </w:r>
      <w:r w:rsidR="00A546CE" w:rsidRPr="001F6DCE">
        <w:t xml:space="preserve">produce positive and constructive results only when carefully planned and well-organised in terms of content/message delivery. For instance, public discussion of a draft of hospital reform concept created various tensions in the society due to lack of a shared vision amongst all key stakeholders for the reform implementation and different interpretation of hospital optimisation concept approach put pressure to the </w:t>
      </w:r>
      <w:proofErr w:type="spellStart"/>
      <w:r w:rsidR="00A546CE" w:rsidRPr="001F6DCE">
        <w:t>GoM</w:t>
      </w:r>
      <w:proofErr w:type="spellEnd"/>
      <w:r w:rsidR="00A546CE" w:rsidRPr="001F6DCE">
        <w:t xml:space="preserve"> that led to temporary suspension of the reform</w:t>
      </w:r>
      <w:r w:rsidRPr="001F6DCE">
        <w:t xml:space="preserve">. </w:t>
      </w:r>
    </w:p>
    <w:p w14:paraId="6EB725F2" w14:textId="77777777" w:rsidR="009372D1" w:rsidRPr="001F6DCE" w:rsidRDefault="009372D1" w:rsidP="00A23190">
      <w:pPr>
        <w:pStyle w:val="ListParagraph"/>
        <w:ind w:left="0"/>
        <w:contextualSpacing w:val="0"/>
        <w:jc w:val="both"/>
        <w:rPr>
          <w:szCs w:val="24"/>
        </w:rPr>
      </w:pPr>
    </w:p>
    <w:p w14:paraId="0EFD7FA8" w14:textId="3E5E3B32" w:rsidR="0075747E" w:rsidRPr="001F6DCE" w:rsidRDefault="009372D1" w:rsidP="00A23190">
      <w:pPr>
        <w:pStyle w:val="ListParagraph"/>
        <w:numPr>
          <w:ilvl w:val="0"/>
          <w:numId w:val="16"/>
        </w:numPr>
        <w:ind w:left="0" w:firstLine="0"/>
        <w:contextualSpacing w:val="0"/>
        <w:jc w:val="both"/>
      </w:pPr>
      <w:r w:rsidRPr="001F6DCE">
        <w:rPr>
          <w:szCs w:val="24"/>
        </w:rPr>
        <w:t xml:space="preserve">In 2013 Moldova’s Government opted-out for the participation in the Global Partnership for Social Accountability which allowed for the World Bank </w:t>
      </w:r>
      <w:r w:rsidR="00C37F9F" w:rsidRPr="001F6DCE">
        <w:rPr>
          <w:szCs w:val="24"/>
        </w:rPr>
        <w:t xml:space="preserve">Group </w:t>
      </w:r>
      <w:r w:rsidR="002F0E81" w:rsidRPr="001F6DCE">
        <w:rPr>
          <w:szCs w:val="24"/>
        </w:rPr>
        <w:t xml:space="preserve">to provide </w:t>
      </w:r>
      <w:r w:rsidRPr="001F6DCE">
        <w:rPr>
          <w:szCs w:val="24"/>
        </w:rPr>
        <w:t xml:space="preserve">support </w:t>
      </w:r>
      <w:r w:rsidR="002F0E81" w:rsidRPr="001F6DCE">
        <w:rPr>
          <w:szCs w:val="24"/>
        </w:rPr>
        <w:t xml:space="preserve">directly </w:t>
      </w:r>
      <w:r w:rsidRPr="001F6DCE">
        <w:rPr>
          <w:szCs w:val="24"/>
        </w:rPr>
        <w:t xml:space="preserve">to the </w:t>
      </w:r>
      <w:r w:rsidR="002F0E81" w:rsidRPr="001F6DCE">
        <w:rPr>
          <w:szCs w:val="24"/>
        </w:rPr>
        <w:t>civil society organisations</w:t>
      </w:r>
      <w:r w:rsidR="00C37F9F" w:rsidRPr="001F6DCE">
        <w:rPr>
          <w:szCs w:val="24"/>
        </w:rPr>
        <w:t xml:space="preserve"> thus ensuring impartial and independent policy dialogue between the Government and its people. The project supported</w:t>
      </w:r>
      <w:r w:rsidR="002F0E81" w:rsidRPr="001F6DCE">
        <w:rPr>
          <w:szCs w:val="24"/>
        </w:rPr>
        <w:t xml:space="preserve"> implementation of actions aimed at </w:t>
      </w:r>
      <w:r w:rsidR="00C37F9F" w:rsidRPr="001F6DCE">
        <w:rPr>
          <w:szCs w:val="24"/>
        </w:rPr>
        <w:t>empowerment of citizens to participate effectively and efficiently in the</w:t>
      </w:r>
      <w:r w:rsidR="002F0E81" w:rsidRPr="001F6DCE">
        <w:rPr>
          <w:szCs w:val="24"/>
        </w:rPr>
        <w:t xml:space="preserve"> policy dialogue between the </w:t>
      </w:r>
      <w:proofErr w:type="spellStart"/>
      <w:r w:rsidR="002F0E81" w:rsidRPr="001F6DCE">
        <w:rPr>
          <w:szCs w:val="24"/>
        </w:rPr>
        <w:t>Go</w:t>
      </w:r>
      <w:r w:rsidR="00C37F9F" w:rsidRPr="001F6DCE">
        <w:rPr>
          <w:szCs w:val="24"/>
        </w:rPr>
        <w:t>M</w:t>
      </w:r>
      <w:proofErr w:type="spellEnd"/>
      <w:r w:rsidR="002F0E81" w:rsidRPr="001F6DCE">
        <w:rPr>
          <w:szCs w:val="24"/>
        </w:rPr>
        <w:t xml:space="preserve"> and its citizens</w:t>
      </w:r>
      <w:r w:rsidR="00C37F9F" w:rsidRPr="001F6DCE">
        <w:rPr>
          <w:szCs w:val="24"/>
        </w:rPr>
        <w:t xml:space="preserve"> and i</w:t>
      </w:r>
      <w:r w:rsidR="00B14141" w:rsidRPr="001F6DCE">
        <w:rPr>
          <w:szCs w:val="24"/>
        </w:rPr>
        <w:t xml:space="preserve">n 2014 </w:t>
      </w:r>
      <w:r w:rsidR="00C37F9F" w:rsidRPr="001F6DCE">
        <w:rPr>
          <w:szCs w:val="24"/>
        </w:rPr>
        <w:t>it</w:t>
      </w:r>
      <w:r w:rsidR="00B14141" w:rsidRPr="001F6DCE">
        <w:rPr>
          <w:szCs w:val="24"/>
        </w:rPr>
        <w:t xml:space="preserve"> was tailored to </w:t>
      </w:r>
      <w:r w:rsidR="00C37F9F" w:rsidRPr="001F6DCE">
        <w:rPr>
          <w:szCs w:val="24"/>
        </w:rPr>
        <w:t xml:space="preserve">Moldova’s </w:t>
      </w:r>
      <w:r w:rsidR="00B14141" w:rsidRPr="001F6DCE">
        <w:rPr>
          <w:szCs w:val="24"/>
        </w:rPr>
        <w:t xml:space="preserve">healthcare sector needs. As a </w:t>
      </w:r>
      <w:r w:rsidR="00E85654" w:rsidRPr="001F6DCE">
        <w:rPr>
          <w:szCs w:val="24"/>
        </w:rPr>
        <w:t>result, Moldova’s</w:t>
      </w:r>
      <w:r w:rsidR="004C3393" w:rsidRPr="001F6DCE">
        <w:t xml:space="preserve"> NGO Centre for Policies and Research in Healthcare (PAS Centre) obtained a grant to (</w:t>
      </w:r>
      <w:proofErr w:type="spellStart"/>
      <w:r w:rsidR="004C3393" w:rsidRPr="001F6DCE">
        <w:t>i</w:t>
      </w:r>
      <w:proofErr w:type="spellEnd"/>
      <w:r w:rsidR="004C3393" w:rsidRPr="001F6DCE">
        <w:t xml:space="preserve">) support hospital reform through empowerment of citizens to choose secondary care institution based on raising awareness about key hospital performance </w:t>
      </w:r>
      <w:r w:rsidR="00713837" w:rsidRPr="001F6DCE">
        <w:t>indicators (</w:t>
      </w:r>
      <w:r w:rsidR="004C3393" w:rsidRPr="001F6DCE">
        <w:t xml:space="preserve">ii) </w:t>
      </w:r>
      <w:r w:rsidR="00713837" w:rsidRPr="001F6DCE">
        <w:t xml:space="preserve">performing </w:t>
      </w:r>
      <w:r w:rsidR="00713837" w:rsidRPr="001F6DCE">
        <w:lastRenderedPageBreak/>
        <w:t xml:space="preserve">audit of primary healthcare performance </w:t>
      </w:r>
      <w:r w:rsidR="00C37F9F" w:rsidRPr="001F6DCE">
        <w:t xml:space="preserve">and raising awareness of patients about the public health profile in their </w:t>
      </w:r>
      <w:proofErr w:type="spellStart"/>
      <w:r w:rsidR="00C37F9F" w:rsidRPr="001F6DCE">
        <w:t>raions</w:t>
      </w:r>
      <w:proofErr w:type="spellEnd"/>
      <w:r w:rsidR="00C37F9F" w:rsidRPr="001F6DCE">
        <w:t xml:space="preserve"> (compared to their peers) and the healthcare services delivered for population. This initiative is also measuring the level of satisfaction of patients with health care in their region. This project is expected to go hand in hand with the </w:t>
      </w:r>
      <w:proofErr w:type="spellStart"/>
      <w:r w:rsidR="00C37F9F" w:rsidRPr="001F6DCE">
        <w:t>PforR</w:t>
      </w:r>
      <w:proofErr w:type="spellEnd"/>
      <w:r w:rsidR="00C37F9F" w:rsidRPr="001F6DCE">
        <w:t xml:space="preserve"> and is planned to be completed in September 2019. </w:t>
      </w:r>
    </w:p>
    <w:p w14:paraId="27992C2C" w14:textId="77777777" w:rsidR="004C3393" w:rsidRPr="001F6DCE" w:rsidRDefault="004C3393" w:rsidP="00A23190">
      <w:pPr>
        <w:pStyle w:val="ListParagraph"/>
        <w:ind w:left="0"/>
        <w:contextualSpacing w:val="0"/>
        <w:jc w:val="both"/>
      </w:pPr>
    </w:p>
    <w:p w14:paraId="2E16F6D8" w14:textId="77777777" w:rsidR="00243F97" w:rsidRPr="001F6DCE" w:rsidRDefault="00243F97" w:rsidP="00F94EBD">
      <w:pPr>
        <w:jc w:val="both"/>
        <w:rPr>
          <w:b/>
          <w:i/>
        </w:rPr>
      </w:pPr>
      <w:r w:rsidRPr="001F6DCE">
        <w:rPr>
          <w:b/>
          <w:i/>
        </w:rPr>
        <w:t>Grievance mechanism (mediation, claims) and Responsiveness in the healthcare</w:t>
      </w:r>
    </w:p>
    <w:p w14:paraId="420899C1" w14:textId="77777777" w:rsidR="00C80254" w:rsidRPr="001F6DCE" w:rsidRDefault="00C80254" w:rsidP="00A04983">
      <w:pPr>
        <w:jc w:val="both"/>
      </w:pPr>
    </w:p>
    <w:p w14:paraId="5EFF606C" w14:textId="6DC1F5F1" w:rsidR="00C80254" w:rsidRPr="001F6DCE" w:rsidRDefault="00C80254" w:rsidP="00F94EBD">
      <w:pPr>
        <w:pStyle w:val="ListParagraph"/>
        <w:numPr>
          <w:ilvl w:val="0"/>
          <w:numId w:val="16"/>
        </w:numPr>
        <w:ind w:left="0" w:firstLine="0"/>
        <w:contextualSpacing w:val="0"/>
        <w:jc w:val="both"/>
      </w:pPr>
      <w:r w:rsidRPr="001F6DCE">
        <w:t>Moldovan legislation has sufficient provisions for petitions and complaints submission and the Ministry of Health</w:t>
      </w:r>
      <w:r w:rsidR="00B14141" w:rsidRPr="001F6DCE">
        <w:t>, Labour and Social Protection</w:t>
      </w:r>
      <w:r w:rsidRPr="001F6DCE">
        <w:t xml:space="preserve"> established the channel for complaint submission in electronic format. However</w:t>
      </w:r>
      <w:r w:rsidR="00494A96" w:rsidRPr="001F6DCE">
        <w:t>,</w:t>
      </w:r>
      <w:r w:rsidRPr="001F6DCE">
        <w:t xml:space="preserve"> the </w:t>
      </w:r>
      <w:proofErr w:type="spellStart"/>
      <w:r w:rsidR="00B14141" w:rsidRPr="001F6DCE">
        <w:t>MoHLSP</w:t>
      </w:r>
      <w:proofErr w:type="spellEnd"/>
      <w:r w:rsidRPr="001F6DCE">
        <w:t xml:space="preserve"> has neither specialized unit for dealing with patient complaints nor it has system in place to monitor cases of infringement of patient rights and their review in courts. Furthermore, the current approach to complaints handling within the </w:t>
      </w:r>
      <w:proofErr w:type="spellStart"/>
      <w:r w:rsidR="004E7A40" w:rsidRPr="001F6DCE">
        <w:t>MoHLSP</w:t>
      </w:r>
      <w:proofErr w:type="spellEnd"/>
      <w:r w:rsidR="004E7A40" w:rsidRPr="001F6DCE">
        <w:t xml:space="preserve"> </w:t>
      </w:r>
      <w:r w:rsidRPr="001F6DCE">
        <w:t xml:space="preserve">as stipulated in the Law on Petitions (no 190 of 19.07. 1994) has a deleterious effect on </w:t>
      </w:r>
      <w:r w:rsidR="00207FAA" w:rsidRPr="001F6DCE">
        <w:t xml:space="preserve">Ministry’s </w:t>
      </w:r>
      <w:r w:rsidRPr="001F6DCE">
        <w:t>institutional capacity as in some cases it leads to up to 70</w:t>
      </w:r>
      <w:r w:rsidR="00AB062A" w:rsidRPr="001F6DCE">
        <w:t xml:space="preserve"> percent</w:t>
      </w:r>
      <w:r w:rsidRPr="001F6DCE">
        <w:t xml:space="preserve"> of staff working day being devoted to dealing with petitions. The situation is similar in other Ministries, so the elimination of this inefficiency shall be lifted to and adopted at a higher governmental level. </w:t>
      </w:r>
    </w:p>
    <w:p w14:paraId="0622EAE0" w14:textId="77777777" w:rsidR="00C80254" w:rsidRPr="001F6DCE" w:rsidRDefault="00C80254" w:rsidP="00A04983">
      <w:pPr>
        <w:pStyle w:val="ListParagraph"/>
        <w:ind w:left="0"/>
        <w:jc w:val="both"/>
        <w:rPr>
          <w:i/>
          <w:u w:val="single"/>
        </w:rPr>
      </w:pPr>
    </w:p>
    <w:p w14:paraId="04994C79" w14:textId="77777777" w:rsidR="00F94EBD" w:rsidRPr="001F6DCE" w:rsidRDefault="0075747E" w:rsidP="00A04983">
      <w:pPr>
        <w:pStyle w:val="ListParagraph"/>
        <w:numPr>
          <w:ilvl w:val="0"/>
          <w:numId w:val="16"/>
        </w:numPr>
        <w:ind w:left="0" w:firstLine="0"/>
        <w:contextualSpacing w:val="0"/>
        <w:jc w:val="both"/>
      </w:pPr>
      <w:r w:rsidRPr="001F6DCE">
        <w:t>According to the 1995 Law on Health</w:t>
      </w:r>
      <w:r w:rsidR="007842C5" w:rsidRPr="001F6DCE">
        <w:t xml:space="preserve"> Care</w:t>
      </w:r>
      <w:r w:rsidRPr="001F6DCE">
        <w:t xml:space="preserve">, the patient has the right to request a professional review to be conducted in the established way and to compensation for moral and material prejudice following inadequate health care. </w:t>
      </w:r>
      <w:r w:rsidR="00554358" w:rsidRPr="001F6DCE">
        <w:t xml:space="preserve">Patients’ requests or complaints are examined in the framework of the Law on Petitions (1994) according to which both the patient or his/her legal representative and the health care provider against which the complaint is being made are informed about the outcome of the review and the decision taken. If the patient or his/her legal representative disagrees with the outcome, they can address their complaint to an independent commission for professional medical expertise, which is created ad hoc by ministerial order. </w:t>
      </w:r>
    </w:p>
    <w:p w14:paraId="0817812C" w14:textId="77777777" w:rsidR="00F94EBD" w:rsidRPr="001F6DCE" w:rsidRDefault="00F94EBD" w:rsidP="00F94EBD">
      <w:pPr>
        <w:pStyle w:val="ListParagraph"/>
      </w:pPr>
    </w:p>
    <w:p w14:paraId="08C325D7" w14:textId="45050727" w:rsidR="00F94EBD" w:rsidRPr="001F6DCE" w:rsidRDefault="0075747E" w:rsidP="00A04983">
      <w:pPr>
        <w:pStyle w:val="ListParagraph"/>
        <w:numPr>
          <w:ilvl w:val="0"/>
          <w:numId w:val="16"/>
        </w:numPr>
        <w:ind w:left="0" w:firstLine="0"/>
        <w:contextualSpacing w:val="0"/>
        <w:jc w:val="both"/>
      </w:pPr>
      <w:r w:rsidRPr="001F6DCE">
        <w:t xml:space="preserve">The 2005 Law on Patient Rights and Responsibilities stipulates also that the patient or his/her legal representative may institute legal procedures against health service providers where their actions have led to the infringement of the individual rights of the patient, as well as against public authorities and responsible individuals involved in decisions or actions leading to the infringement of his/her social rights as provided by the legislation. </w:t>
      </w:r>
      <w:r w:rsidR="007842C5" w:rsidRPr="001F6DCE">
        <w:t>De jure, t</w:t>
      </w:r>
      <w:r w:rsidRPr="001F6DCE">
        <w:t>he patient</w:t>
      </w:r>
      <w:r w:rsidR="00106D75" w:rsidRPr="001F6DCE">
        <w:t>s</w:t>
      </w:r>
      <w:r w:rsidRPr="001F6DCE">
        <w:t xml:space="preserve"> </w:t>
      </w:r>
      <w:r w:rsidR="00106D75" w:rsidRPr="001F6DCE">
        <w:t>are</w:t>
      </w:r>
      <w:r w:rsidRPr="001F6DCE">
        <w:t xml:space="preserve"> entitled to have their complaints examined and resolved in a prompt</w:t>
      </w:r>
      <w:r w:rsidR="00106D75" w:rsidRPr="001F6DCE">
        <w:t xml:space="preserve"> way. </w:t>
      </w:r>
      <w:r w:rsidR="007842C5" w:rsidRPr="001F6DCE">
        <w:t xml:space="preserve">In reality, often many of patient’s rights are being infringed and the telephone green line established by the </w:t>
      </w:r>
      <w:proofErr w:type="spellStart"/>
      <w:r w:rsidR="00207FAA" w:rsidRPr="001F6DCE">
        <w:t>MoHLSP</w:t>
      </w:r>
      <w:proofErr w:type="spellEnd"/>
      <w:r w:rsidR="00207FAA" w:rsidRPr="001F6DCE">
        <w:t xml:space="preserve"> </w:t>
      </w:r>
      <w:r w:rsidR="007842C5" w:rsidRPr="001F6DCE">
        <w:t>is the only way to file a claim, if any.</w:t>
      </w:r>
    </w:p>
    <w:p w14:paraId="418F6D11" w14:textId="77777777" w:rsidR="00F94EBD" w:rsidRPr="001F6DCE" w:rsidRDefault="00F94EBD" w:rsidP="00F94EBD">
      <w:pPr>
        <w:pStyle w:val="ListParagraph"/>
      </w:pPr>
    </w:p>
    <w:p w14:paraId="3657F55A" w14:textId="6CF02C85" w:rsidR="00F94EBD" w:rsidRPr="001F6DCE" w:rsidRDefault="0075747E" w:rsidP="00A04983">
      <w:pPr>
        <w:pStyle w:val="ListParagraph"/>
        <w:numPr>
          <w:ilvl w:val="0"/>
          <w:numId w:val="16"/>
        </w:numPr>
        <w:ind w:left="0" w:firstLine="0"/>
        <w:contextualSpacing w:val="0"/>
        <w:jc w:val="both"/>
      </w:pPr>
      <w:r w:rsidRPr="001F6DCE">
        <w:t>Although the legislation stipulates the rights of patients to complain to territorial health authorities (which only exist in Chisinau, Balti and Gagauz-</w:t>
      </w:r>
      <w:proofErr w:type="spellStart"/>
      <w:r w:rsidRPr="001F6DCE">
        <w:t>Yeri</w:t>
      </w:r>
      <w:proofErr w:type="spellEnd"/>
      <w:r w:rsidRPr="001F6DCE">
        <w:t xml:space="preserve">), the </w:t>
      </w:r>
      <w:r w:rsidR="003160B7" w:rsidRPr="001F6DCE">
        <w:t>CNAM</w:t>
      </w:r>
      <w:r w:rsidRPr="001F6DCE">
        <w:t xml:space="preserve">, medical and pharmaceutical facilities, professional doctors’ associations, patients’ associations and public associations for the protection of health service users’ rights, </w:t>
      </w:r>
      <w:r w:rsidR="007842C5" w:rsidRPr="001F6DCE">
        <w:t xml:space="preserve">due to non-existence of integrated claim processing mechanism </w:t>
      </w:r>
      <w:r w:rsidRPr="001F6DCE">
        <w:t>patients prefer to address their petitions directly to th</w:t>
      </w:r>
      <w:r w:rsidR="00F94EBD" w:rsidRPr="001F6DCE">
        <w:t xml:space="preserve">e </w:t>
      </w:r>
      <w:proofErr w:type="spellStart"/>
      <w:r w:rsidR="00207FAA" w:rsidRPr="001F6DCE">
        <w:t>MoHLSP</w:t>
      </w:r>
      <w:proofErr w:type="spellEnd"/>
      <w:r w:rsidR="00F94EBD" w:rsidRPr="001F6DCE">
        <w:t>.</w:t>
      </w:r>
    </w:p>
    <w:p w14:paraId="676C3ECE" w14:textId="77777777" w:rsidR="00F94EBD" w:rsidRPr="001F6DCE" w:rsidRDefault="00F94EBD" w:rsidP="00F94EBD">
      <w:pPr>
        <w:pStyle w:val="ListParagraph"/>
      </w:pPr>
    </w:p>
    <w:p w14:paraId="3EB25F1F" w14:textId="77777777" w:rsidR="00F94EBD" w:rsidRPr="001F6DCE" w:rsidRDefault="00AC148B" w:rsidP="00A04983">
      <w:pPr>
        <w:pStyle w:val="ListParagraph"/>
        <w:numPr>
          <w:ilvl w:val="0"/>
          <w:numId w:val="16"/>
        </w:numPr>
        <w:ind w:left="0" w:firstLine="0"/>
        <w:contextualSpacing w:val="0"/>
        <w:jc w:val="both"/>
      </w:pPr>
      <w:r w:rsidRPr="001F6DCE">
        <w:t>Patients u</w:t>
      </w:r>
      <w:r w:rsidR="0075747E" w:rsidRPr="001F6DCE">
        <w:t xml:space="preserve">sually address their petition in writing, but it is now possible to do this electronically. Petitions are examined by the relevant bodies within 30 days, or within 15 days </w:t>
      </w:r>
      <w:r w:rsidR="0075747E" w:rsidRPr="001F6DCE">
        <w:lastRenderedPageBreak/>
        <w:t xml:space="preserve">from the registration date for those that do not need an additional review and analysis; the final decision should be communicated immediately to the petitioner. In exceptional cases, the examination term can be prolonged by the manager of the respective body for up to one more month and the petitioner is informed of this. </w:t>
      </w:r>
    </w:p>
    <w:p w14:paraId="5BF7EC85" w14:textId="77777777" w:rsidR="00F94EBD" w:rsidRPr="001F6DCE" w:rsidRDefault="00F94EBD" w:rsidP="00F94EBD">
      <w:pPr>
        <w:pStyle w:val="ListParagraph"/>
      </w:pPr>
    </w:p>
    <w:p w14:paraId="5139965D" w14:textId="54E8E3D9" w:rsidR="00106D75" w:rsidRPr="001F6DCE" w:rsidRDefault="0075747E" w:rsidP="00A04983">
      <w:pPr>
        <w:pStyle w:val="ListParagraph"/>
        <w:numPr>
          <w:ilvl w:val="0"/>
          <w:numId w:val="16"/>
        </w:numPr>
        <w:ind w:left="0" w:firstLine="0"/>
        <w:contextualSpacing w:val="0"/>
        <w:jc w:val="both"/>
      </w:pPr>
      <w:r w:rsidRPr="001F6DCE">
        <w:t xml:space="preserve">Some patients address complaints regarding inadequate health care to public associations for the protection of the rights of health service users. These associations draft a petition to the </w:t>
      </w:r>
      <w:proofErr w:type="spellStart"/>
      <w:r w:rsidR="000A2E24" w:rsidRPr="001F6DCE">
        <w:t>MoHLSP</w:t>
      </w:r>
      <w:proofErr w:type="spellEnd"/>
      <w:r w:rsidR="000A2E24" w:rsidRPr="001F6DCE">
        <w:t xml:space="preserve"> </w:t>
      </w:r>
      <w:r w:rsidRPr="001F6DCE">
        <w:t xml:space="preserve">and/or the other health authorities or medical/pharmaceutical facilities involved, and bring the matter to court where there is a disagreement with the results of review and the decision taken. Therefore, the role of public associations for patient rights is increasing; moreover, there are cases when, based on such appeals, the courts have issued sanctions (including financial ones) for harm to the petitioner’s health. </w:t>
      </w:r>
    </w:p>
    <w:p w14:paraId="294A44C7" w14:textId="77777777" w:rsidR="00604F14" w:rsidRPr="001F6DCE" w:rsidRDefault="00604F14" w:rsidP="00A04983">
      <w:pPr>
        <w:jc w:val="both"/>
      </w:pPr>
    </w:p>
    <w:p w14:paraId="213D5BB7" w14:textId="0579EDA7" w:rsidR="009771C4" w:rsidRPr="001F6DCE" w:rsidRDefault="0075747E" w:rsidP="00F94EBD">
      <w:pPr>
        <w:pStyle w:val="ListParagraph"/>
        <w:numPr>
          <w:ilvl w:val="0"/>
          <w:numId w:val="16"/>
        </w:numPr>
        <w:ind w:left="0" w:firstLine="0"/>
        <w:contextualSpacing w:val="0"/>
        <w:jc w:val="both"/>
      </w:pPr>
      <w:r w:rsidRPr="001F6DCE">
        <w:t xml:space="preserve">In 2009, the </w:t>
      </w:r>
      <w:proofErr w:type="spellStart"/>
      <w:r w:rsidR="00D052F5" w:rsidRPr="001F6DCE">
        <w:t>MoHLSP</w:t>
      </w:r>
      <w:proofErr w:type="spellEnd"/>
      <w:r w:rsidRPr="001F6DCE">
        <w:t xml:space="preserve"> developed a draft Law on Civil Liability Insurance that was examined and commented on by the other ministries involved, but its progress was stopped because the implementation of such a law might have generated legal and financial problems. </w:t>
      </w:r>
    </w:p>
    <w:p w14:paraId="49F431A7" w14:textId="77777777" w:rsidR="009771C4" w:rsidRPr="001F6DCE" w:rsidRDefault="009771C4" w:rsidP="00F94EBD">
      <w:pPr>
        <w:pStyle w:val="ListParagraph"/>
        <w:ind w:left="0"/>
        <w:contextualSpacing w:val="0"/>
        <w:jc w:val="both"/>
      </w:pPr>
    </w:p>
    <w:p w14:paraId="3821BA05" w14:textId="319ECFC6" w:rsidR="00106D75" w:rsidRPr="001F6DCE" w:rsidRDefault="009771C4" w:rsidP="00F94EBD">
      <w:pPr>
        <w:pStyle w:val="ListParagraph"/>
        <w:numPr>
          <w:ilvl w:val="0"/>
          <w:numId w:val="16"/>
        </w:numPr>
        <w:ind w:left="0" w:firstLine="0"/>
        <w:contextualSpacing w:val="0"/>
        <w:jc w:val="both"/>
      </w:pPr>
      <w:r w:rsidRPr="001F6DCE">
        <w:t xml:space="preserve">In 2008 USAID project supported the </w:t>
      </w:r>
      <w:proofErr w:type="spellStart"/>
      <w:r w:rsidR="00D052F5" w:rsidRPr="001F6DCE">
        <w:t>MoHLSP</w:t>
      </w:r>
      <w:proofErr w:type="spellEnd"/>
      <w:r w:rsidR="00D052F5" w:rsidRPr="001F6DCE">
        <w:t xml:space="preserve"> </w:t>
      </w:r>
      <w:r w:rsidRPr="001F6DCE">
        <w:t xml:space="preserve">in drafting a law on </w:t>
      </w:r>
      <w:proofErr w:type="spellStart"/>
      <w:r w:rsidRPr="001F6DCE">
        <w:t>malpraxis</w:t>
      </w:r>
      <w:proofErr w:type="spellEnd"/>
      <w:r w:rsidRPr="001F6DCE">
        <w:t xml:space="preserve"> which provided for t</w:t>
      </w:r>
      <w:r w:rsidR="0075747E" w:rsidRPr="001F6DCE">
        <w:t xml:space="preserve">he creation of a special fund to cover compensation awards to patients </w:t>
      </w:r>
      <w:r w:rsidRPr="001F6DCE">
        <w:t xml:space="preserve">affected by medical mistake </w:t>
      </w:r>
      <w:r w:rsidR="0075747E" w:rsidRPr="001F6DCE">
        <w:t>has also been discussed, but this idea was abandoned</w:t>
      </w:r>
      <w:r w:rsidR="00F63456" w:rsidRPr="001F6DCE">
        <w:t>,</w:t>
      </w:r>
      <w:r w:rsidR="0075747E" w:rsidRPr="001F6DCE">
        <w:t xml:space="preserve"> as well because of the fiscal constraints resulting from the global economic crisis in 2008–2009</w:t>
      </w:r>
      <w:r w:rsidR="00D052F5" w:rsidRPr="001F6DCE">
        <w:t>,</w:t>
      </w:r>
      <w:r w:rsidRPr="001F6DCE">
        <w:t xml:space="preserve"> and some political aspects</w:t>
      </w:r>
      <w:r w:rsidR="0075747E" w:rsidRPr="001F6DCE">
        <w:t xml:space="preserve">. </w:t>
      </w:r>
      <w:r w:rsidR="00251470" w:rsidRPr="001F6DCE">
        <w:t xml:space="preserve">However, in the context of </w:t>
      </w:r>
      <w:r w:rsidR="00014FA8" w:rsidRPr="001F6DCE">
        <w:rPr>
          <w:lang w:val="en-US"/>
        </w:rPr>
        <w:t>increased</w:t>
      </w:r>
      <w:r w:rsidR="00E42504" w:rsidRPr="001F6DCE">
        <w:rPr>
          <w:lang w:val="en-US"/>
        </w:rPr>
        <w:t xml:space="preserve"> number of </w:t>
      </w:r>
      <w:proofErr w:type="spellStart"/>
      <w:r w:rsidR="00E42504" w:rsidRPr="001F6DCE">
        <w:t>malpraxis</w:t>
      </w:r>
      <w:proofErr w:type="spellEnd"/>
      <w:r w:rsidR="00E42504" w:rsidRPr="001F6DCE">
        <w:t xml:space="preserve"> </w:t>
      </w:r>
      <w:r w:rsidR="00251470" w:rsidRPr="001F6DCE">
        <w:t xml:space="preserve">cases in </w:t>
      </w:r>
      <w:r w:rsidR="00E42504" w:rsidRPr="001F6DCE">
        <w:t>several</w:t>
      </w:r>
      <w:r w:rsidR="00251470" w:rsidRPr="001F6DCE">
        <w:t xml:space="preserve"> public hospitals, </w:t>
      </w:r>
      <w:r w:rsidR="006D386C" w:rsidRPr="001F6DCE">
        <w:t xml:space="preserve">the need to regulate this area </w:t>
      </w:r>
      <w:r w:rsidR="00E42504" w:rsidRPr="001F6DCE">
        <w:t>was set as a priority for 2018</w:t>
      </w:r>
      <w:r w:rsidR="00251470" w:rsidRPr="001F6DCE">
        <w:t xml:space="preserve">. </w:t>
      </w:r>
    </w:p>
    <w:p w14:paraId="00EA304E" w14:textId="77777777" w:rsidR="009771C4" w:rsidRPr="001F6DCE" w:rsidRDefault="009771C4" w:rsidP="00F94EBD">
      <w:pPr>
        <w:pStyle w:val="ListParagraph"/>
        <w:ind w:left="0"/>
        <w:contextualSpacing w:val="0"/>
        <w:jc w:val="both"/>
      </w:pPr>
    </w:p>
    <w:p w14:paraId="334BD5B0" w14:textId="3B6FA8F4" w:rsidR="0075747E" w:rsidRPr="001F6DCE" w:rsidRDefault="009771C4" w:rsidP="00F94EBD">
      <w:pPr>
        <w:pStyle w:val="ListParagraph"/>
        <w:numPr>
          <w:ilvl w:val="0"/>
          <w:numId w:val="16"/>
        </w:numPr>
        <w:ind w:left="0" w:firstLine="0"/>
        <w:contextualSpacing w:val="0"/>
        <w:jc w:val="both"/>
      </w:pPr>
      <w:r w:rsidRPr="001F6DCE">
        <w:t>Currently, t</w:t>
      </w:r>
      <w:r w:rsidR="0075747E" w:rsidRPr="001F6DCE">
        <w:t>he Ministry of Health</w:t>
      </w:r>
      <w:r w:rsidR="003433D3" w:rsidRPr="001F6DCE">
        <w:t>, Labour and Social Protection</w:t>
      </w:r>
      <w:r w:rsidR="0075747E" w:rsidRPr="001F6DCE">
        <w:t xml:space="preserve"> has no system in place to monitor cases of infringement of patient rights and their review in courts.</w:t>
      </w:r>
      <w:r w:rsidRPr="001F6DCE">
        <w:t xml:space="preserve"> </w:t>
      </w:r>
    </w:p>
    <w:p w14:paraId="7F518100" w14:textId="77777777" w:rsidR="009771C4" w:rsidRPr="001F6DCE" w:rsidRDefault="009771C4" w:rsidP="00F94EBD">
      <w:pPr>
        <w:pStyle w:val="ListParagraph"/>
        <w:ind w:left="0"/>
        <w:contextualSpacing w:val="0"/>
        <w:jc w:val="both"/>
      </w:pPr>
    </w:p>
    <w:p w14:paraId="74CECDF4" w14:textId="4ECCB760" w:rsidR="00554358" w:rsidRPr="001F6DCE" w:rsidRDefault="00554358" w:rsidP="00F94EBD">
      <w:pPr>
        <w:pStyle w:val="ListParagraph"/>
        <w:numPr>
          <w:ilvl w:val="0"/>
          <w:numId w:val="16"/>
        </w:numPr>
        <w:ind w:left="0" w:firstLine="0"/>
        <w:contextualSpacing w:val="0"/>
        <w:jc w:val="both"/>
      </w:pPr>
      <w:r w:rsidRPr="001F6DCE">
        <w:t xml:space="preserve">Patient satisfaction surveys as part of the HBS Health module funded under the Health Services and Social Assistance project </w:t>
      </w:r>
      <w:r w:rsidR="003433D3" w:rsidRPr="001F6DCE">
        <w:t xml:space="preserve">and continued under the Health Transformation </w:t>
      </w:r>
      <w:r w:rsidR="00C26D8B" w:rsidRPr="001F6DCE">
        <w:t>Operation have</w:t>
      </w:r>
      <w:r w:rsidRPr="001F6DCE">
        <w:t xml:space="preserve"> been conducted and the results of the last survey conducted in 201</w:t>
      </w:r>
      <w:r w:rsidR="00C26D8B" w:rsidRPr="001F6DCE">
        <w:t>7</w:t>
      </w:r>
      <w:r w:rsidRPr="001F6DCE">
        <w:t xml:space="preserve"> showed that the majority of patients dissatisfaction is associated with a physical conditions </w:t>
      </w:r>
      <w:r w:rsidR="00E1227A" w:rsidRPr="001F6DCE">
        <w:t xml:space="preserve">of the medical facilities </w:t>
      </w:r>
      <w:r w:rsidRPr="001F6DCE">
        <w:t xml:space="preserve">(sanitary block, rooms, water supply, food) and </w:t>
      </w:r>
      <w:r w:rsidR="00E1227A" w:rsidRPr="001F6DCE">
        <w:t xml:space="preserve">high </w:t>
      </w:r>
      <w:r w:rsidRPr="001F6DCE">
        <w:t>out of pocket payments.</w:t>
      </w:r>
    </w:p>
    <w:p w14:paraId="33805BD4" w14:textId="77777777" w:rsidR="00E1227A" w:rsidRPr="001F6DCE" w:rsidRDefault="00E1227A" w:rsidP="00A23190">
      <w:pPr>
        <w:pStyle w:val="ListParagraph"/>
      </w:pPr>
    </w:p>
    <w:p w14:paraId="018A7A04" w14:textId="6AB024DE" w:rsidR="00E1227A" w:rsidRPr="001F6DCE" w:rsidRDefault="00E1227A" w:rsidP="00F94EBD">
      <w:pPr>
        <w:pStyle w:val="ListParagraph"/>
        <w:numPr>
          <w:ilvl w:val="0"/>
          <w:numId w:val="16"/>
        </w:numPr>
        <w:ind w:left="0" w:firstLine="0"/>
        <w:contextualSpacing w:val="0"/>
        <w:jc w:val="both"/>
      </w:pPr>
      <w:r w:rsidRPr="001F6DCE">
        <w:t xml:space="preserve">In 2015 CNAM </w:t>
      </w:r>
      <w:r w:rsidR="00D266E0" w:rsidRPr="001F6DCE">
        <w:t>(</w:t>
      </w:r>
      <w:r w:rsidRPr="001F6DCE">
        <w:t>with the support from WHO</w:t>
      </w:r>
      <w:r w:rsidR="00BF43BE" w:rsidRPr="001F6DCE">
        <w:t xml:space="preserve"> and SDC</w:t>
      </w:r>
      <w:r w:rsidR="00D266E0" w:rsidRPr="001F6DCE">
        <w:t>)</w:t>
      </w:r>
      <w:r w:rsidRPr="001F6DCE">
        <w:t xml:space="preserve"> conducted </w:t>
      </w:r>
      <w:r w:rsidR="00233C1D" w:rsidRPr="001F6DCE">
        <w:t xml:space="preserve">patient’s satisfaction survey </w:t>
      </w:r>
      <w:r w:rsidR="008F1865" w:rsidRPr="001F6DCE">
        <w:t xml:space="preserve">aimed at </w:t>
      </w:r>
      <w:r w:rsidR="00AB102D" w:rsidRPr="001F6DCE">
        <w:t>monitoring the overall satisfaction with health</w:t>
      </w:r>
      <w:r w:rsidR="00D266E0" w:rsidRPr="001F6DCE">
        <w:t xml:space="preserve"> </w:t>
      </w:r>
      <w:r w:rsidR="00AB102D" w:rsidRPr="001F6DCE">
        <w:t>care</w:t>
      </w:r>
      <w:r w:rsidR="00D266E0" w:rsidRPr="001F6DCE">
        <w:t xml:space="preserve"> delivery</w:t>
      </w:r>
      <w:r w:rsidR="00AB102D" w:rsidRPr="001F6DCE">
        <w:t xml:space="preserve">, the </w:t>
      </w:r>
      <w:r w:rsidR="00D266E0" w:rsidRPr="001F6DCE">
        <w:t xml:space="preserve">awareness about patient’s rights under MHI and the CNAM’s mandate. </w:t>
      </w:r>
      <w:r w:rsidR="000F1DB1" w:rsidRPr="001F6DCE">
        <w:t xml:space="preserve">This survey is to be repeatedly conducted in late 2018 and will feed into the health policy dialogue. </w:t>
      </w:r>
    </w:p>
    <w:p w14:paraId="3CBFEFEB" w14:textId="77777777" w:rsidR="00554358" w:rsidRPr="001F6DCE" w:rsidRDefault="00554358" w:rsidP="00F94EBD">
      <w:pPr>
        <w:pStyle w:val="ListParagraph"/>
        <w:ind w:left="0"/>
        <w:contextualSpacing w:val="0"/>
        <w:jc w:val="both"/>
      </w:pPr>
    </w:p>
    <w:p w14:paraId="43C8308D" w14:textId="12F5B2A8" w:rsidR="003D7B03" w:rsidRPr="001F6DCE" w:rsidRDefault="003D7B03" w:rsidP="00F94EBD">
      <w:pPr>
        <w:pStyle w:val="ListParagraph"/>
        <w:numPr>
          <w:ilvl w:val="0"/>
          <w:numId w:val="16"/>
        </w:numPr>
        <w:ind w:left="0" w:firstLine="0"/>
        <w:contextualSpacing w:val="0"/>
        <w:jc w:val="both"/>
        <w:rPr>
          <w:lang w:val="ro-RO"/>
        </w:rPr>
      </w:pPr>
      <w:r w:rsidRPr="001F6DCE">
        <w:t xml:space="preserve">In addition to the above-mentioned </w:t>
      </w:r>
      <w:r w:rsidR="001048CC" w:rsidRPr="001F6DCE">
        <w:t>complaint</w:t>
      </w:r>
      <w:r w:rsidR="001048CC" w:rsidRPr="001F6DCE">
        <w:rPr>
          <w:lang w:val="ro-RO"/>
        </w:rPr>
        <w:t xml:space="preserve"> </w:t>
      </w:r>
      <w:proofErr w:type="spellStart"/>
      <w:r w:rsidRPr="001F6DCE">
        <w:rPr>
          <w:lang w:val="ro-RO"/>
        </w:rPr>
        <w:t>mechanism</w:t>
      </w:r>
      <w:proofErr w:type="spellEnd"/>
      <w:r w:rsidRPr="001F6DCE">
        <w:rPr>
          <w:lang w:val="ro-RO"/>
        </w:rPr>
        <w:t xml:space="preserve">, CNAM </w:t>
      </w:r>
      <w:proofErr w:type="spellStart"/>
      <w:r w:rsidR="00C724A2" w:rsidRPr="001F6DCE">
        <w:rPr>
          <w:lang w:val="ro-RO"/>
        </w:rPr>
        <w:t>has</w:t>
      </w:r>
      <w:proofErr w:type="spellEnd"/>
      <w:r w:rsidRPr="001F6DCE">
        <w:rPr>
          <w:lang w:val="ro-RO"/>
        </w:rPr>
        <w:t xml:space="preserve"> </w:t>
      </w:r>
      <w:proofErr w:type="spellStart"/>
      <w:r w:rsidRPr="001F6DCE">
        <w:rPr>
          <w:lang w:val="ro-RO"/>
        </w:rPr>
        <w:t>install</w:t>
      </w:r>
      <w:r w:rsidR="00C724A2" w:rsidRPr="001F6DCE">
        <w:rPr>
          <w:lang w:val="ro-RO"/>
        </w:rPr>
        <w:t>ed</w:t>
      </w:r>
      <w:proofErr w:type="spellEnd"/>
      <w:r w:rsidRPr="001F6DCE">
        <w:rPr>
          <w:lang w:val="ro-RO"/>
        </w:rPr>
        <w:t xml:space="preserve"> a hotline service </w:t>
      </w:r>
      <w:proofErr w:type="spellStart"/>
      <w:r w:rsidRPr="001F6DCE">
        <w:rPr>
          <w:lang w:val="ro-RO"/>
        </w:rPr>
        <w:t>that</w:t>
      </w:r>
      <w:proofErr w:type="spellEnd"/>
      <w:r w:rsidRPr="001F6DCE">
        <w:rPr>
          <w:lang w:val="ro-RO"/>
        </w:rPr>
        <w:t xml:space="preserve"> </w:t>
      </w:r>
      <w:proofErr w:type="spellStart"/>
      <w:r w:rsidRPr="001F6DCE">
        <w:rPr>
          <w:lang w:val="ro-RO"/>
        </w:rPr>
        <w:t>will</w:t>
      </w:r>
      <w:proofErr w:type="spellEnd"/>
      <w:r w:rsidRPr="001F6DCE">
        <w:rPr>
          <w:lang w:val="ro-RO"/>
        </w:rPr>
        <w:t xml:space="preserve"> </w:t>
      </w:r>
      <w:proofErr w:type="spellStart"/>
      <w:r w:rsidR="00DB71B7" w:rsidRPr="001F6DCE">
        <w:rPr>
          <w:lang w:val="ro-RO"/>
        </w:rPr>
        <w:t>provide</w:t>
      </w:r>
      <w:proofErr w:type="spellEnd"/>
      <w:r w:rsidR="00DB71B7" w:rsidRPr="001F6DCE">
        <w:rPr>
          <w:lang w:val="ro-RO"/>
        </w:rPr>
        <w:t xml:space="preserve"> </w:t>
      </w:r>
      <w:proofErr w:type="spellStart"/>
      <w:proofErr w:type="gramStart"/>
      <w:r w:rsidR="00DB71B7" w:rsidRPr="001F6DCE">
        <w:rPr>
          <w:lang w:val="ro-RO"/>
        </w:rPr>
        <w:t>various</w:t>
      </w:r>
      <w:proofErr w:type="spellEnd"/>
      <w:r w:rsidR="00DB71B7" w:rsidRPr="001F6DCE">
        <w:rPr>
          <w:lang w:val="ro-RO"/>
        </w:rPr>
        <w:t xml:space="preserve"> </w:t>
      </w:r>
      <w:proofErr w:type="spellStart"/>
      <w:r w:rsidR="00DB71B7" w:rsidRPr="001F6DCE">
        <w:rPr>
          <w:lang w:val="ro-RO"/>
        </w:rPr>
        <w:t>information</w:t>
      </w:r>
      <w:proofErr w:type="spellEnd"/>
      <w:proofErr w:type="gramEnd"/>
      <w:r w:rsidR="00DB71B7" w:rsidRPr="001F6DCE">
        <w:rPr>
          <w:lang w:val="ro-RO"/>
        </w:rPr>
        <w:t xml:space="preserve"> </w:t>
      </w:r>
      <w:proofErr w:type="spellStart"/>
      <w:r w:rsidR="00DB71B7" w:rsidRPr="001F6DCE">
        <w:rPr>
          <w:lang w:val="ro-RO"/>
        </w:rPr>
        <w:t>to</w:t>
      </w:r>
      <w:proofErr w:type="spellEnd"/>
      <w:r w:rsidR="00DB71B7" w:rsidRPr="001F6DCE">
        <w:rPr>
          <w:lang w:val="ro-RO"/>
        </w:rPr>
        <w:t xml:space="preserve"> </w:t>
      </w:r>
      <w:proofErr w:type="spellStart"/>
      <w:r w:rsidRPr="001F6DCE">
        <w:rPr>
          <w:lang w:val="ro-RO"/>
        </w:rPr>
        <w:t>the</w:t>
      </w:r>
      <w:proofErr w:type="spellEnd"/>
      <w:r w:rsidRPr="001F6DCE">
        <w:rPr>
          <w:lang w:val="ro-RO"/>
        </w:rPr>
        <w:t xml:space="preserve"> </w:t>
      </w:r>
      <w:proofErr w:type="spellStart"/>
      <w:r w:rsidRPr="001F6DCE">
        <w:rPr>
          <w:lang w:val="ro-RO"/>
        </w:rPr>
        <w:t>patients</w:t>
      </w:r>
      <w:proofErr w:type="spellEnd"/>
      <w:r w:rsidRPr="001F6DCE">
        <w:rPr>
          <w:lang w:val="ro-RO"/>
        </w:rPr>
        <w:t xml:space="preserve">, </w:t>
      </w:r>
      <w:proofErr w:type="spellStart"/>
      <w:r w:rsidRPr="001F6DCE">
        <w:rPr>
          <w:lang w:val="ro-RO"/>
        </w:rPr>
        <w:t>including</w:t>
      </w:r>
      <w:proofErr w:type="spellEnd"/>
      <w:r w:rsidRPr="001F6DCE">
        <w:rPr>
          <w:lang w:val="ro-RO"/>
        </w:rPr>
        <w:t xml:space="preserve"> </w:t>
      </w:r>
      <w:proofErr w:type="spellStart"/>
      <w:r w:rsidR="00AD09DA" w:rsidRPr="001F6DCE">
        <w:rPr>
          <w:lang w:val="ro-RO"/>
        </w:rPr>
        <w:t>claims</w:t>
      </w:r>
      <w:proofErr w:type="spellEnd"/>
      <w:r w:rsidR="00AD09DA" w:rsidRPr="001F6DCE">
        <w:rPr>
          <w:lang w:val="ro-RO"/>
        </w:rPr>
        <w:t xml:space="preserve"> </w:t>
      </w:r>
      <w:proofErr w:type="spellStart"/>
      <w:r w:rsidR="00AD09DA" w:rsidRPr="001F6DCE">
        <w:rPr>
          <w:lang w:val="ro-RO"/>
        </w:rPr>
        <w:t>with</w:t>
      </w:r>
      <w:proofErr w:type="spellEnd"/>
      <w:r w:rsidR="00AD09DA" w:rsidRPr="001F6DCE">
        <w:rPr>
          <w:lang w:val="ro-RO"/>
        </w:rPr>
        <w:t xml:space="preserve"> </w:t>
      </w:r>
      <w:proofErr w:type="spellStart"/>
      <w:r w:rsidR="00AD09DA" w:rsidRPr="001F6DCE">
        <w:rPr>
          <w:lang w:val="ro-RO"/>
        </w:rPr>
        <w:t>regard</w:t>
      </w:r>
      <w:proofErr w:type="spellEnd"/>
      <w:r w:rsidR="00AD09DA" w:rsidRPr="001F6DCE">
        <w:rPr>
          <w:lang w:val="ro-RO"/>
        </w:rPr>
        <w:t xml:space="preserve"> </w:t>
      </w:r>
      <w:proofErr w:type="spellStart"/>
      <w:r w:rsidR="00AD09DA" w:rsidRPr="001F6DCE">
        <w:rPr>
          <w:lang w:val="ro-RO"/>
        </w:rPr>
        <w:t>to</w:t>
      </w:r>
      <w:proofErr w:type="spellEnd"/>
      <w:r w:rsidR="00AD09DA" w:rsidRPr="001F6DCE">
        <w:rPr>
          <w:lang w:val="ro-RO"/>
        </w:rPr>
        <w:t xml:space="preserve"> quality of care </w:t>
      </w:r>
      <w:proofErr w:type="spellStart"/>
      <w:r w:rsidR="008E1908" w:rsidRPr="001F6DCE">
        <w:rPr>
          <w:lang w:val="ro-RO"/>
        </w:rPr>
        <w:t>and</w:t>
      </w:r>
      <w:proofErr w:type="spellEnd"/>
      <w:r w:rsidR="008E1908" w:rsidRPr="001F6DCE">
        <w:rPr>
          <w:lang w:val="ro-RO"/>
        </w:rPr>
        <w:t>/</w:t>
      </w:r>
      <w:r w:rsidR="00AD09DA" w:rsidRPr="001F6DCE">
        <w:rPr>
          <w:lang w:val="ro-RO"/>
        </w:rPr>
        <w:t xml:space="preserve">or </w:t>
      </w:r>
      <w:proofErr w:type="spellStart"/>
      <w:r w:rsidR="00AD09DA" w:rsidRPr="001F6DCE">
        <w:rPr>
          <w:lang w:val="ro-RO"/>
        </w:rPr>
        <w:t>out-of-pocket</w:t>
      </w:r>
      <w:proofErr w:type="spellEnd"/>
      <w:r w:rsidR="00AD09DA" w:rsidRPr="001F6DCE">
        <w:rPr>
          <w:lang w:val="ro-RO"/>
        </w:rPr>
        <w:t xml:space="preserve"> </w:t>
      </w:r>
      <w:proofErr w:type="spellStart"/>
      <w:r w:rsidR="00AD09DA" w:rsidRPr="001F6DCE">
        <w:rPr>
          <w:lang w:val="ro-RO"/>
        </w:rPr>
        <w:t>payments</w:t>
      </w:r>
      <w:proofErr w:type="spellEnd"/>
      <w:r w:rsidR="00AD09DA" w:rsidRPr="001F6DCE">
        <w:rPr>
          <w:lang w:val="ro-RO"/>
        </w:rPr>
        <w:t xml:space="preserve"> </w:t>
      </w:r>
      <w:proofErr w:type="spellStart"/>
      <w:r w:rsidR="00AD09DA" w:rsidRPr="001F6DCE">
        <w:rPr>
          <w:lang w:val="ro-RO"/>
        </w:rPr>
        <w:t>starting</w:t>
      </w:r>
      <w:proofErr w:type="spellEnd"/>
      <w:r w:rsidR="00AD09DA" w:rsidRPr="001F6DCE">
        <w:rPr>
          <w:lang w:val="ro-RO"/>
        </w:rPr>
        <w:t xml:space="preserve"> </w:t>
      </w:r>
      <w:proofErr w:type="spellStart"/>
      <w:r w:rsidR="00487658" w:rsidRPr="001F6DCE">
        <w:rPr>
          <w:lang w:val="ro-RO"/>
        </w:rPr>
        <w:t>from</w:t>
      </w:r>
      <w:proofErr w:type="spellEnd"/>
      <w:r w:rsidRPr="001F6DCE">
        <w:rPr>
          <w:lang w:val="ro-RO"/>
        </w:rPr>
        <w:t xml:space="preserve"> </w:t>
      </w:r>
      <w:proofErr w:type="spellStart"/>
      <w:r w:rsidRPr="001F6DCE">
        <w:rPr>
          <w:lang w:val="ro-RO"/>
        </w:rPr>
        <w:t>January</w:t>
      </w:r>
      <w:proofErr w:type="spellEnd"/>
      <w:r w:rsidRPr="001F6DCE">
        <w:rPr>
          <w:lang w:val="ro-RO"/>
        </w:rPr>
        <w:t xml:space="preserve"> 2014</w:t>
      </w:r>
      <w:r w:rsidR="00AD09DA" w:rsidRPr="001F6DCE">
        <w:rPr>
          <w:lang w:val="ro-RO"/>
        </w:rPr>
        <w:t xml:space="preserve"> (a </w:t>
      </w:r>
      <w:proofErr w:type="spellStart"/>
      <w:r w:rsidR="00AD09DA" w:rsidRPr="001F6DCE">
        <w:rPr>
          <w:lang w:val="ro-RO"/>
        </w:rPr>
        <w:t>project</w:t>
      </w:r>
      <w:proofErr w:type="spellEnd"/>
      <w:r w:rsidR="00AD09DA" w:rsidRPr="001F6DCE">
        <w:rPr>
          <w:lang w:val="ro-RO"/>
        </w:rPr>
        <w:t xml:space="preserve"> </w:t>
      </w:r>
      <w:proofErr w:type="spellStart"/>
      <w:r w:rsidR="00AD09DA" w:rsidRPr="001F6DCE">
        <w:rPr>
          <w:lang w:val="ro-RO"/>
        </w:rPr>
        <w:t>financed</w:t>
      </w:r>
      <w:proofErr w:type="spellEnd"/>
      <w:r w:rsidR="00AD09DA" w:rsidRPr="001F6DCE">
        <w:rPr>
          <w:lang w:val="ro-RO"/>
        </w:rPr>
        <w:t xml:space="preserve"> </w:t>
      </w:r>
      <w:proofErr w:type="spellStart"/>
      <w:r w:rsidR="00AD09DA" w:rsidRPr="001F6DCE">
        <w:rPr>
          <w:lang w:val="ro-RO"/>
        </w:rPr>
        <w:t>by</w:t>
      </w:r>
      <w:proofErr w:type="spellEnd"/>
      <w:r w:rsidR="00AD09DA" w:rsidRPr="001F6DCE">
        <w:rPr>
          <w:lang w:val="ro-RO"/>
        </w:rPr>
        <w:t xml:space="preserve"> Estonian </w:t>
      </w:r>
      <w:proofErr w:type="spellStart"/>
      <w:r w:rsidR="00AD09DA" w:rsidRPr="001F6DCE">
        <w:rPr>
          <w:lang w:val="ro-RO"/>
        </w:rPr>
        <w:t>government</w:t>
      </w:r>
      <w:proofErr w:type="spellEnd"/>
      <w:r w:rsidR="00AD09DA" w:rsidRPr="001F6DCE">
        <w:rPr>
          <w:lang w:val="ro-RO"/>
        </w:rPr>
        <w:t>).</w:t>
      </w:r>
      <w:r w:rsidRPr="001F6DCE">
        <w:rPr>
          <w:lang w:val="ro-RO"/>
        </w:rPr>
        <w:t xml:space="preserve"> </w:t>
      </w:r>
      <w:proofErr w:type="spellStart"/>
      <w:r w:rsidR="00205A2E" w:rsidRPr="001F6DCE">
        <w:rPr>
          <w:lang w:val="ro-RO"/>
        </w:rPr>
        <w:t>Besides</w:t>
      </w:r>
      <w:proofErr w:type="spellEnd"/>
      <w:r w:rsidR="00205A2E" w:rsidRPr="001F6DCE">
        <w:rPr>
          <w:lang w:val="ro-RO"/>
        </w:rPr>
        <w:t xml:space="preserve"> </w:t>
      </w:r>
      <w:proofErr w:type="spellStart"/>
      <w:r w:rsidR="00205A2E" w:rsidRPr="001F6DCE">
        <w:rPr>
          <w:lang w:val="ro-RO"/>
        </w:rPr>
        <w:t>this</w:t>
      </w:r>
      <w:proofErr w:type="spellEnd"/>
      <w:r w:rsidR="00205A2E" w:rsidRPr="001F6DCE">
        <w:rPr>
          <w:lang w:val="ro-RO"/>
        </w:rPr>
        <w:t xml:space="preserve">, CNAM </w:t>
      </w:r>
      <w:proofErr w:type="spellStart"/>
      <w:r w:rsidR="00205A2E" w:rsidRPr="001F6DCE">
        <w:rPr>
          <w:lang w:val="ro-RO"/>
        </w:rPr>
        <w:t>introduced</w:t>
      </w:r>
      <w:proofErr w:type="spellEnd"/>
      <w:r w:rsidR="00205A2E" w:rsidRPr="001F6DCE">
        <w:rPr>
          <w:lang w:val="ro-RO"/>
        </w:rPr>
        <w:t xml:space="preserve"> </w:t>
      </w:r>
      <w:proofErr w:type="spellStart"/>
      <w:r w:rsidR="00205A2E" w:rsidRPr="001F6DCE">
        <w:rPr>
          <w:lang w:val="ro-RO"/>
        </w:rPr>
        <w:t>sanctioning</w:t>
      </w:r>
      <w:proofErr w:type="spellEnd"/>
      <w:r w:rsidR="00205A2E" w:rsidRPr="001F6DCE">
        <w:rPr>
          <w:lang w:val="ro-RO"/>
        </w:rPr>
        <w:t xml:space="preserve"> </w:t>
      </w:r>
      <w:proofErr w:type="spellStart"/>
      <w:r w:rsidR="00205A2E" w:rsidRPr="001F6DCE">
        <w:rPr>
          <w:lang w:val="ro-RO"/>
        </w:rPr>
        <w:t>mechnaism</w:t>
      </w:r>
      <w:proofErr w:type="spellEnd"/>
      <w:r w:rsidR="00205A2E" w:rsidRPr="001F6DCE">
        <w:rPr>
          <w:lang w:val="ro-RO"/>
        </w:rPr>
        <w:t xml:space="preserve"> for medical </w:t>
      </w:r>
      <w:proofErr w:type="spellStart"/>
      <w:r w:rsidR="00205A2E" w:rsidRPr="001F6DCE">
        <w:rPr>
          <w:lang w:val="ro-RO"/>
        </w:rPr>
        <w:t>institutions</w:t>
      </w:r>
      <w:proofErr w:type="spellEnd"/>
      <w:r w:rsidR="00205A2E" w:rsidRPr="001F6DCE">
        <w:rPr>
          <w:lang w:val="ro-RO"/>
        </w:rPr>
        <w:t xml:space="preserve"> </w:t>
      </w:r>
      <w:proofErr w:type="spellStart"/>
      <w:r w:rsidR="00205A2E" w:rsidRPr="001F6DCE">
        <w:rPr>
          <w:lang w:val="ro-RO"/>
        </w:rPr>
        <w:t>which</w:t>
      </w:r>
      <w:proofErr w:type="spellEnd"/>
      <w:r w:rsidR="00205A2E" w:rsidRPr="001F6DCE">
        <w:rPr>
          <w:lang w:val="ro-RO"/>
        </w:rPr>
        <w:t xml:space="preserve"> are  </w:t>
      </w:r>
      <w:proofErr w:type="spellStart"/>
      <w:r w:rsidR="000004F9" w:rsidRPr="001F6DCE">
        <w:rPr>
          <w:lang w:val="ro-RO"/>
        </w:rPr>
        <w:t>inducing</w:t>
      </w:r>
      <w:proofErr w:type="spellEnd"/>
      <w:r w:rsidR="00205A2E" w:rsidRPr="001F6DCE">
        <w:rPr>
          <w:lang w:val="ro-RO"/>
        </w:rPr>
        <w:t xml:space="preserve"> </w:t>
      </w:r>
      <w:proofErr w:type="spellStart"/>
      <w:r w:rsidR="00205A2E" w:rsidRPr="001F6DCE">
        <w:rPr>
          <w:lang w:val="ro-RO"/>
        </w:rPr>
        <w:t>patients</w:t>
      </w:r>
      <w:proofErr w:type="spellEnd"/>
      <w:r w:rsidR="00205A2E" w:rsidRPr="001F6DCE">
        <w:rPr>
          <w:lang w:val="ro-RO"/>
        </w:rPr>
        <w:t xml:space="preserve"> </w:t>
      </w:r>
      <w:proofErr w:type="spellStart"/>
      <w:r w:rsidR="00205A2E" w:rsidRPr="001F6DCE">
        <w:rPr>
          <w:lang w:val="ro-RO"/>
        </w:rPr>
        <w:t>to</w:t>
      </w:r>
      <w:proofErr w:type="spellEnd"/>
      <w:r w:rsidR="00205A2E" w:rsidRPr="001F6DCE">
        <w:rPr>
          <w:lang w:val="ro-RO"/>
        </w:rPr>
        <w:t xml:space="preserve"> procure </w:t>
      </w:r>
      <w:proofErr w:type="spellStart"/>
      <w:r w:rsidR="00205A2E" w:rsidRPr="001F6DCE">
        <w:rPr>
          <w:lang w:val="ro-RO"/>
        </w:rPr>
        <w:t>drugs</w:t>
      </w:r>
      <w:proofErr w:type="spellEnd"/>
      <w:r w:rsidR="00205A2E" w:rsidRPr="001F6DCE">
        <w:rPr>
          <w:lang w:val="ro-RO"/>
        </w:rPr>
        <w:t xml:space="preserve"> </w:t>
      </w:r>
      <w:proofErr w:type="spellStart"/>
      <w:r w:rsidR="000004F9" w:rsidRPr="001F6DCE">
        <w:rPr>
          <w:lang w:val="ro-RO"/>
        </w:rPr>
        <w:t>and</w:t>
      </w:r>
      <w:proofErr w:type="spellEnd"/>
      <w:r w:rsidR="000004F9" w:rsidRPr="001F6DCE">
        <w:rPr>
          <w:lang w:val="ro-RO"/>
        </w:rPr>
        <w:t>/</w:t>
      </w:r>
      <w:r w:rsidR="00205A2E" w:rsidRPr="001F6DCE">
        <w:rPr>
          <w:lang w:val="ro-RO"/>
        </w:rPr>
        <w:t xml:space="preserve">or </w:t>
      </w:r>
      <w:proofErr w:type="spellStart"/>
      <w:r w:rsidR="00205A2E" w:rsidRPr="001F6DCE">
        <w:rPr>
          <w:lang w:val="ro-RO"/>
        </w:rPr>
        <w:t>consumables</w:t>
      </w:r>
      <w:proofErr w:type="spellEnd"/>
      <w:r w:rsidR="00205A2E" w:rsidRPr="001F6DCE">
        <w:rPr>
          <w:lang w:val="ro-RO"/>
        </w:rPr>
        <w:t xml:space="preserve"> for</w:t>
      </w:r>
      <w:r w:rsidR="000004F9" w:rsidRPr="001F6DCE">
        <w:rPr>
          <w:lang w:val="ro-RO"/>
        </w:rPr>
        <w:t xml:space="preserve"> </w:t>
      </w:r>
      <w:proofErr w:type="spellStart"/>
      <w:r w:rsidR="000004F9" w:rsidRPr="001F6DCE">
        <w:rPr>
          <w:lang w:val="ro-RO"/>
        </w:rPr>
        <w:t>their</w:t>
      </w:r>
      <w:proofErr w:type="spellEnd"/>
      <w:r w:rsidR="00205A2E" w:rsidRPr="001F6DCE">
        <w:rPr>
          <w:lang w:val="ro-RO"/>
        </w:rPr>
        <w:t xml:space="preserve"> </w:t>
      </w:r>
      <w:proofErr w:type="spellStart"/>
      <w:r w:rsidR="00205A2E" w:rsidRPr="001F6DCE">
        <w:rPr>
          <w:lang w:val="ro-RO"/>
        </w:rPr>
        <w:t>inpatient</w:t>
      </w:r>
      <w:proofErr w:type="spellEnd"/>
      <w:r w:rsidR="00205A2E" w:rsidRPr="001F6DCE">
        <w:rPr>
          <w:lang w:val="ro-RO"/>
        </w:rPr>
        <w:t xml:space="preserve"> care. </w:t>
      </w:r>
      <w:proofErr w:type="spellStart"/>
      <w:r w:rsidR="00205A2E" w:rsidRPr="001F6DCE">
        <w:rPr>
          <w:lang w:val="ro-RO"/>
        </w:rPr>
        <w:t>If</w:t>
      </w:r>
      <w:proofErr w:type="spellEnd"/>
      <w:r w:rsidR="00205A2E" w:rsidRPr="001F6DCE">
        <w:rPr>
          <w:lang w:val="ro-RO"/>
        </w:rPr>
        <w:t xml:space="preserve"> </w:t>
      </w:r>
      <w:proofErr w:type="spellStart"/>
      <w:r w:rsidR="00205A2E" w:rsidRPr="001F6DCE">
        <w:rPr>
          <w:lang w:val="ro-RO"/>
        </w:rPr>
        <w:t>a</w:t>
      </w:r>
      <w:r w:rsidR="000004F9" w:rsidRPr="001F6DCE">
        <w:rPr>
          <w:lang w:val="ro-RO"/>
        </w:rPr>
        <w:t>ny</w:t>
      </w:r>
      <w:proofErr w:type="spellEnd"/>
      <w:r w:rsidR="00205A2E" w:rsidRPr="001F6DCE">
        <w:rPr>
          <w:lang w:val="ro-RO"/>
        </w:rPr>
        <w:t xml:space="preserve"> </w:t>
      </w:r>
      <w:proofErr w:type="spellStart"/>
      <w:r w:rsidR="00205A2E" w:rsidRPr="001F6DCE">
        <w:rPr>
          <w:lang w:val="ro-RO"/>
        </w:rPr>
        <w:t>patient</w:t>
      </w:r>
      <w:proofErr w:type="spellEnd"/>
      <w:r w:rsidR="00205A2E" w:rsidRPr="001F6DCE">
        <w:rPr>
          <w:lang w:val="ro-RO"/>
        </w:rPr>
        <w:t xml:space="preserve"> </w:t>
      </w:r>
      <w:proofErr w:type="spellStart"/>
      <w:r w:rsidR="00205A2E" w:rsidRPr="001F6DCE">
        <w:rPr>
          <w:lang w:val="ro-RO"/>
        </w:rPr>
        <w:t>can</w:t>
      </w:r>
      <w:proofErr w:type="spellEnd"/>
      <w:r w:rsidR="00205A2E" w:rsidRPr="001F6DCE">
        <w:rPr>
          <w:lang w:val="ro-RO"/>
        </w:rPr>
        <w:t xml:space="preserve"> prove</w:t>
      </w:r>
      <w:r w:rsidR="000004F9" w:rsidRPr="001F6DCE">
        <w:rPr>
          <w:lang w:val="ro-RO"/>
        </w:rPr>
        <w:t xml:space="preserve"> (</w:t>
      </w:r>
      <w:proofErr w:type="spellStart"/>
      <w:r w:rsidR="000004F9" w:rsidRPr="001F6DCE">
        <w:rPr>
          <w:lang w:val="ro-RO"/>
        </w:rPr>
        <w:t>receipt</w:t>
      </w:r>
      <w:proofErr w:type="spellEnd"/>
      <w:r w:rsidR="000004F9" w:rsidRPr="001F6DCE">
        <w:rPr>
          <w:lang w:val="ro-RO"/>
        </w:rPr>
        <w:t>)</w:t>
      </w:r>
      <w:r w:rsidR="00205A2E" w:rsidRPr="001F6DCE">
        <w:rPr>
          <w:lang w:val="ro-RO"/>
        </w:rPr>
        <w:t xml:space="preserve"> </w:t>
      </w:r>
      <w:proofErr w:type="spellStart"/>
      <w:r w:rsidR="00205A2E" w:rsidRPr="001F6DCE">
        <w:rPr>
          <w:lang w:val="ro-RO"/>
        </w:rPr>
        <w:t>that</w:t>
      </w:r>
      <w:proofErr w:type="spellEnd"/>
      <w:r w:rsidR="00205A2E" w:rsidRPr="001F6DCE">
        <w:rPr>
          <w:lang w:val="ro-RO"/>
        </w:rPr>
        <w:t xml:space="preserve"> </w:t>
      </w:r>
      <w:r w:rsidR="000004F9" w:rsidRPr="001F6DCE">
        <w:rPr>
          <w:lang w:val="ro-RO"/>
        </w:rPr>
        <w:t>s/</w:t>
      </w:r>
      <w:proofErr w:type="spellStart"/>
      <w:r w:rsidR="00205A2E" w:rsidRPr="001F6DCE">
        <w:rPr>
          <w:lang w:val="ro-RO"/>
        </w:rPr>
        <w:t>he</w:t>
      </w:r>
      <w:proofErr w:type="spellEnd"/>
      <w:r w:rsidR="00205A2E" w:rsidRPr="001F6DCE">
        <w:rPr>
          <w:lang w:val="ro-RO"/>
        </w:rPr>
        <w:t xml:space="preserve"> </w:t>
      </w:r>
      <w:proofErr w:type="spellStart"/>
      <w:r w:rsidR="00205A2E" w:rsidRPr="001F6DCE">
        <w:rPr>
          <w:lang w:val="ro-RO"/>
        </w:rPr>
        <w:t>procured</w:t>
      </w:r>
      <w:proofErr w:type="spellEnd"/>
      <w:r w:rsidR="00205A2E" w:rsidRPr="001F6DCE">
        <w:rPr>
          <w:lang w:val="ro-RO"/>
        </w:rPr>
        <w:t xml:space="preserve"> </w:t>
      </w:r>
      <w:proofErr w:type="spellStart"/>
      <w:r w:rsidR="00205A2E" w:rsidRPr="001F6DCE">
        <w:rPr>
          <w:lang w:val="ro-RO"/>
        </w:rPr>
        <w:t>medications</w:t>
      </w:r>
      <w:proofErr w:type="spellEnd"/>
      <w:r w:rsidR="00205A2E" w:rsidRPr="001F6DCE">
        <w:rPr>
          <w:lang w:val="ro-RO"/>
        </w:rPr>
        <w:t xml:space="preserve"> for </w:t>
      </w:r>
      <w:proofErr w:type="spellStart"/>
      <w:r w:rsidR="00205A2E" w:rsidRPr="001F6DCE">
        <w:rPr>
          <w:lang w:val="ro-RO"/>
        </w:rPr>
        <w:t>treatment</w:t>
      </w:r>
      <w:proofErr w:type="spellEnd"/>
      <w:r w:rsidR="00205A2E" w:rsidRPr="001F6DCE">
        <w:rPr>
          <w:lang w:val="ro-RO"/>
        </w:rPr>
        <w:t xml:space="preserve"> </w:t>
      </w:r>
      <w:proofErr w:type="spellStart"/>
      <w:r w:rsidR="00205A2E" w:rsidRPr="001F6DCE">
        <w:rPr>
          <w:lang w:val="ro-RO"/>
        </w:rPr>
        <w:t>while</w:t>
      </w:r>
      <w:proofErr w:type="spellEnd"/>
      <w:r w:rsidR="00205A2E" w:rsidRPr="001F6DCE">
        <w:rPr>
          <w:lang w:val="ro-RO"/>
        </w:rPr>
        <w:t xml:space="preserve"> </w:t>
      </w:r>
      <w:proofErr w:type="spellStart"/>
      <w:r w:rsidR="00205A2E" w:rsidRPr="001F6DCE">
        <w:rPr>
          <w:lang w:val="ro-RO"/>
        </w:rPr>
        <w:t>staying</w:t>
      </w:r>
      <w:proofErr w:type="spellEnd"/>
      <w:r w:rsidR="00205A2E" w:rsidRPr="001F6DCE">
        <w:rPr>
          <w:lang w:val="ro-RO"/>
        </w:rPr>
        <w:t xml:space="preserve"> in </w:t>
      </w:r>
      <w:proofErr w:type="spellStart"/>
      <w:r w:rsidR="00205A2E" w:rsidRPr="001F6DCE">
        <w:rPr>
          <w:lang w:val="ro-RO"/>
        </w:rPr>
        <w:t>the</w:t>
      </w:r>
      <w:proofErr w:type="spellEnd"/>
      <w:r w:rsidR="00205A2E" w:rsidRPr="001F6DCE">
        <w:rPr>
          <w:lang w:val="ro-RO"/>
        </w:rPr>
        <w:t xml:space="preserve"> </w:t>
      </w:r>
      <w:proofErr w:type="spellStart"/>
      <w:r w:rsidR="00205A2E" w:rsidRPr="001F6DCE">
        <w:rPr>
          <w:lang w:val="ro-RO"/>
        </w:rPr>
        <w:t>hospital</w:t>
      </w:r>
      <w:proofErr w:type="spellEnd"/>
      <w:r w:rsidR="00205A2E" w:rsidRPr="001F6DCE">
        <w:rPr>
          <w:lang w:val="ro-RO"/>
        </w:rPr>
        <w:t xml:space="preserve">, </w:t>
      </w:r>
      <w:r w:rsidR="000004F9" w:rsidRPr="001F6DCE">
        <w:rPr>
          <w:lang w:val="ro-RO"/>
        </w:rPr>
        <w:t xml:space="preserve">CNAM </w:t>
      </w:r>
      <w:proofErr w:type="spellStart"/>
      <w:r w:rsidR="000004F9" w:rsidRPr="001F6DCE">
        <w:rPr>
          <w:lang w:val="ro-RO"/>
        </w:rPr>
        <w:t>will</w:t>
      </w:r>
      <w:proofErr w:type="spellEnd"/>
      <w:r w:rsidR="000004F9" w:rsidRPr="001F6DCE">
        <w:rPr>
          <w:lang w:val="ro-RO"/>
        </w:rPr>
        <w:t xml:space="preserve"> </w:t>
      </w:r>
      <w:proofErr w:type="spellStart"/>
      <w:r w:rsidR="000004F9" w:rsidRPr="001F6DCE">
        <w:rPr>
          <w:lang w:val="ro-RO"/>
        </w:rPr>
        <w:t>not</w:t>
      </w:r>
      <w:proofErr w:type="spellEnd"/>
      <w:r w:rsidR="000004F9" w:rsidRPr="001F6DCE">
        <w:rPr>
          <w:lang w:val="ro-RO"/>
        </w:rPr>
        <w:t xml:space="preserve"> </w:t>
      </w:r>
      <w:proofErr w:type="spellStart"/>
      <w:r w:rsidR="000004F9" w:rsidRPr="001F6DCE">
        <w:rPr>
          <w:lang w:val="ro-RO"/>
        </w:rPr>
        <w:t>remburse</w:t>
      </w:r>
      <w:proofErr w:type="spellEnd"/>
      <w:r w:rsidR="000004F9" w:rsidRPr="001F6DCE">
        <w:rPr>
          <w:lang w:val="ro-RO"/>
        </w:rPr>
        <w:t xml:space="preserve"> </w:t>
      </w:r>
      <w:proofErr w:type="spellStart"/>
      <w:r w:rsidR="000004F9" w:rsidRPr="001F6DCE">
        <w:rPr>
          <w:lang w:val="ro-RO"/>
        </w:rPr>
        <w:t>the</w:t>
      </w:r>
      <w:proofErr w:type="spellEnd"/>
      <w:r w:rsidR="000004F9" w:rsidRPr="001F6DCE">
        <w:rPr>
          <w:lang w:val="ro-RO"/>
        </w:rPr>
        <w:t xml:space="preserve"> </w:t>
      </w:r>
      <w:proofErr w:type="spellStart"/>
      <w:r w:rsidR="000004F9" w:rsidRPr="001F6DCE">
        <w:rPr>
          <w:lang w:val="ro-RO"/>
        </w:rPr>
        <w:t>whole</w:t>
      </w:r>
      <w:proofErr w:type="spellEnd"/>
      <w:r w:rsidR="000004F9" w:rsidRPr="001F6DCE">
        <w:rPr>
          <w:lang w:val="ro-RO"/>
        </w:rPr>
        <w:t xml:space="preserve"> </w:t>
      </w:r>
      <w:proofErr w:type="spellStart"/>
      <w:r w:rsidR="000004F9" w:rsidRPr="001F6DCE">
        <w:rPr>
          <w:lang w:val="ro-RO"/>
        </w:rPr>
        <w:t>amount</w:t>
      </w:r>
      <w:proofErr w:type="spellEnd"/>
      <w:r w:rsidR="000004F9" w:rsidRPr="001F6DCE">
        <w:rPr>
          <w:lang w:val="ro-RO"/>
        </w:rPr>
        <w:t xml:space="preserve"> per </w:t>
      </w:r>
      <w:proofErr w:type="spellStart"/>
      <w:r w:rsidR="000004F9" w:rsidRPr="001F6DCE">
        <w:rPr>
          <w:lang w:val="ro-RO"/>
        </w:rPr>
        <w:t>this</w:t>
      </w:r>
      <w:proofErr w:type="spellEnd"/>
      <w:r w:rsidR="000004F9" w:rsidRPr="001F6DCE">
        <w:rPr>
          <w:lang w:val="ro-RO"/>
        </w:rPr>
        <w:t xml:space="preserve"> specific </w:t>
      </w:r>
      <w:proofErr w:type="spellStart"/>
      <w:r w:rsidR="000004F9" w:rsidRPr="001F6DCE">
        <w:rPr>
          <w:lang w:val="ro-RO"/>
        </w:rPr>
        <w:t>treated</w:t>
      </w:r>
      <w:proofErr w:type="spellEnd"/>
      <w:r w:rsidR="000004F9" w:rsidRPr="001F6DCE">
        <w:rPr>
          <w:lang w:val="ro-RO"/>
        </w:rPr>
        <w:t xml:space="preserve"> case. </w:t>
      </w:r>
      <w:r w:rsidR="00D4003F" w:rsidRPr="001F6DCE">
        <w:rPr>
          <w:lang w:val="ro-RO"/>
        </w:rPr>
        <w:t xml:space="preserve">At </w:t>
      </w:r>
      <w:proofErr w:type="spellStart"/>
      <w:r w:rsidR="00D4003F" w:rsidRPr="001F6DCE">
        <w:rPr>
          <w:lang w:val="ro-RO"/>
        </w:rPr>
        <w:t>the</w:t>
      </w:r>
      <w:proofErr w:type="spellEnd"/>
      <w:r w:rsidR="00D4003F" w:rsidRPr="001F6DCE">
        <w:rPr>
          <w:lang w:val="ro-RO"/>
        </w:rPr>
        <w:t xml:space="preserve"> </w:t>
      </w:r>
      <w:r w:rsidR="00D4003F" w:rsidRPr="001F6DCE">
        <w:rPr>
          <w:lang w:val="ro-RO"/>
        </w:rPr>
        <w:lastRenderedPageBreak/>
        <w:t xml:space="preserve">same </w:t>
      </w:r>
      <w:proofErr w:type="spellStart"/>
      <w:r w:rsidR="00D4003F" w:rsidRPr="001F6DCE">
        <w:rPr>
          <w:lang w:val="ro-RO"/>
        </w:rPr>
        <w:t>time</w:t>
      </w:r>
      <w:proofErr w:type="spellEnd"/>
      <w:r w:rsidR="00D4003F" w:rsidRPr="001F6DCE">
        <w:rPr>
          <w:lang w:val="ro-RO"/>
        </w:rPr>
        <w:t xml:space="preserve">, in </w:t>
      </w:r>
      <w:proofErr w:type="spellStart"/>
      <w:r w:rsidR="00D4003F" w:rsidRPr="001F6DCE">
        <w:rPr>
          <w:lang w:val="ro-RO"/>
        </w:rPr>
        <w:t>order</w:t>
      </w:r>
      <w:proofErr w:type="spellEnd"/>
      <w:r w:rsidR="00D4003F" w:rsidRPr="001F6DCE">
        <w:rPr>
          <w:lang w:val="ro-RO"/>
        </w:rPr>
        <w:t xml:space="preserve"> </w:t>
      </w:r>
      <w:proofErr w:type="spellStart"/>
      <w:r w:rsidR="00D4003F" w:rsidRPr="001F6DCE">
        <w:rPr>
          <w:lang w:val="ro-RO"/>
        </w:rPr>
        <w:t>to</w:t>
      </w:r>
      <w:proofErr w:type="spellEnd"/>
      <w:r w:rsidR="00D4003F" w:rsidRPr="001F6DCE">
        <w:rPr>
          <w:lang w:val="ro-RO"/>
        </w:rPr>
        <w:t xml:space="preserve"> </w:t>
      </w:r>
      <w:proofErr w:type="spellStart"/>
      <w:r w:rsidR="00D4003F" w:rsidRPr="001F6DCE">
        <w:rPr>
          <w:lang w:val="ro-RO"/>
        </w:rPr>
        <w:t>avoid</w:t>
      </w:r>
      <w:proofErr w:type="spellEnd"/>
      <w:r w:rsidR="00D4003F" w:rsidRPr="001F6DCE">
        <w:rPr>
          <w:lang w:val="ro-RO"/>
        </w:rPr>
        <w:t xml:space="preserve"> </w:t>
      </w:r>
      <w:proofErr w:type="spellStart"/>
      <w:r w:rsidR="00D4003F" w:rsidRPr="001F6DCE">
        <w:rPr>
          <w:lang w:val="ro-RO"/>
        </w:rPr>
        <w:t>shortage</w:t>
      </w:r>
      <w:proofErr w:type="spellEnd"/>
      <w:r w:rsidR="00D4003F" w:rsidRPr="001F6DCE">
        <w:rPr>
          <w:lang w:val="ro-RO"/>
        </w:rPr>
        <w:t xml:space="preserve"> of </w:t>
      </w:r>
      <w:proofErr w:type="spellStart"/>
      <w:r w:rsidR="00D4003F" w:rsidRPr="001F6DCE">
        <w:rPr>
          <w:lang w:val="ro-RO"/>
        </w:rPr>
        <w:t>medications</w:t>
      </w:r>
      <w:proofErr w:type="spellEnd"/>
      <w:r w:rsidR="00D4003F" w:rsidRPr="001F6DCE">
        <w:rPr>
          <w:lang w:val="ro-RO"/>
        </w:rPr>
        <w:t xml:space="preserve"> in </w:t>
      </w:r>
      <w:proofErr w:type="spellStart"/>
      <w:r w:rsidR="00D4003F" w:rsidRPr="001F6DCE">
        <w:rPr>
          <w:lang w:val="ro-RO"/>
        </w:rPr>
        <w:t>stock</w:t>
      </w:r>
      <w:proofErr w:type="spellEnd"/>
      <w:r w:rsidR="00D4003F" w:rsidRPr="001F6DCE">
        <w:rPr>
          <w:lang w:val="ro-RO"/>
        </w:rPr>
        <w:t xml:space="preserve"> at </w:t>
      </w:r>
      <w:proofErr w:type="spellStart"/>
      <w:r w:rsidR="00D4003F" w:rsidRPr="001F6DCE">
        <w:rPr>
          <w:lang w:val="ro-RO"/>
        </w:rPr>
        <w:t>hospitals</w:t>
      </w:r>
      <w:proofErr w:type="spellEnd"/>
      <w:r w:rsidR="00D4003F" w:rsidRPr="001F6DCE">
        <w:rPr>
          <w:lang w:val="ro-RO"/>
        </w:rPr>
        <w:t xml:space="preserve">, </w:t>
      </w:r>
      <w:proofErr w:type="spellStart"/>
      <w:r w:rsidR="00D4003F" w:rsidRPr="001F6DCE">
        <w:rPr>
          <w:lang w:val="ro-RO"/>
        </w:rPr>
        <w:t>the</w:t>
      </w:r>
      <w:proofErr w:type="spellEnd"/>
      <w:r w:rsidR="00D4003F" w:rsidRPr="001F6DCE">
        <w:rPr>
          <w:lang w:val="ro-RO"/>
        </w:rPr>
        <w:t xml:space="preserve"> </w:t>
      </w:r>
      <w:proofErr w:type="spellStart"/>
      <w:r w:rsidR="00D4003F" w:rsidRPr="001F6DCE">
        <w:rPr>
          <w:lang w:val="ro-RO"/>
        </w:rPr>
        <w:t>GoM</w:t>
      </w:r>
      <w:proofErr w:type="spellEnd"/>
      <w:r w:rsidR="00D4003F" w:rsidRPr="001F6DCE">
        <w:rPr>
          <w:lang w:val="ro-RO"/>
        </w:rPr>
        <w:t xml:space="preserve"> </w:t>
      </w:r>
      <w:proofErr w:type="spellStart"/>
      <w:r w:rsidR="00D4003F" w:rsidRPr="001F6DCE">
        <w:rPr>
          <w:lang w:val="ro-RO"/>
        </w:rPr>
        <w:t>tightened</w:t>
      </w:r>
      <w:proofErr w:type="spellEnd"/>
      <w:r w:rsidR="00D4003F" w:rsidRPr="001F6DCE">
        <w:rPr>
          <w:lang w:val="ro-RO"/>
        </w:rPr>
        <w:t xml:space="preserve"> contract </w:t>
      </w:r>
      <w:proofErr w:type="spellStart"/>
      <w:r w:rsidR="00D4003F" w:rsidRPr="001F6DCE">
        <w:rPr>
          <w:lang w:val="ro-RO"/>
        </w:rPr>
        <w:t>provisions</w:t>
      </w:r>
      <w:proofErr w:type="spellEnd"/>
      <w:r w:rsidR="00D4003F" w:rsidRPr="001F6DCE">
        <w:rPr>
          <w:lang w:val="ro-RO"/>
        </w:rPr>
        <w:t xml:space="preserve"> for drug </w:t>
      </w:r>
      <w:proofErr w:type="spellStart"/>
      <w:r w:rsidR="00D4003F" w:rsidRPr="001F6DCE">
        <w:rPr>
          <w:lang w:val="ro-RO"/>
        </w:rPr>
        <w:t>suppliers</w:t>
      </w:r>
      <w:proofErr w:type="spellEnd"/>
      <w:r w:rsidR="00D4003F" w:rsidRPr="001F6DCE">
        <w:rPr>
          <w:lang w:val="ro-RO"/>
        </w:rPr>
        <w:t xml:space="preserve"> </w:t>
      </w:r>
      <w:proofErr w:type="spellStart"/>
      <w:r w:rsidR="00D4003F" w:rsidRPr="001F6DCE">
        <w:rPr>
          <w:lang w:val="ro-RO"/>
        </w:rPr>
        <w:t>introducing</w:t>
      </w:r>
      <w:proofErr w:type="spellEnd"/>
      <w:r w:rsidR="00D4003F" w:rsidRPr="001F6DCE">
        <w:rPr>
          <w:lang w:val="ro-RO"/>
        </w:rPr>
        <w:t xml:space="preserve"> </w:t>
      </w:r>
      <w:proofErr w:type="spellStart"/>
      <w:r w:rsidR="00D4003F" w:rsidRPr="001F6DCE">
        <w:rPr>
          <w:lang w:val="ro-RO"/>
        </w:rPr>
        <w:t>sanctions</w:t>
      </w:r>
      <w:proofErr w:type="spellEnd"/>
      <w:r w:rsidR="00D4003F" w:rsidRPr="001F6DCE">
        <w:rPr>
          <w:lang w:val="ro-RO"/>
        </w:rPr>
        <w:t xml:space="preserve"> in case of </w:t>
      </w:r>
      <w:proofErr w:type="spellStart"/>
      <w:r w:rsidR="00D4003F" w:rsidRPr="001F6DCE">
        <w:rPr>
          <w:lang w:val="ro-RO"/>
        </w:rPr>
        <w:t>delayed</w:t>
      </w:r>
      <w:proofErr w:type="spellEnd"/>
      <w:r w:rsidR="00D4003F" w:rsidRPr="001F6DCE">
        <w:rPr>
          <w:lang w:val="ro-RO"/>
        </w:rPr>
        <w:t xml:space="preserve"> </w:t>
      </w:r>
      <w:proofErr w:type="spellStart"/>
      <w:r w:rsidR="00D4003F" w:rsidRPr="001F6DCE">
        <w:rPr>
          <w:lang w:val="ro-RO"/>
        </w:rPr>
        <w:t>delivery</w:t>
      </w:r>
      <w:proofErr w:type="spellEnd"/>
      <w:r w:rsidR="00D4003F" w:rsidRPr="001F6DCE">
        <w:rPr>
          <w:lang w:val="ro-RO"/>
        </w:rPr>
        <w:t xml:space="preserve">. </w:t>
      </w:r>
    </w:p>
    <w:p w14:paraId="71FB7A92" w14:textId="77777777" w:rsidR="0075747E" w:rsidRPr="001F6DCE" w:rsidRDefault="0075747E" w:rsidP="00A04983">
      <w:pPr>
        <w:jc w:val="both"/>
        <w:rPr>
          <w:lang w:val="ro-RO"/>
        </w:rPr>
      </w:pPr>
    </w:p>
    <w:p w14:paraId="579A1BB6" w14:textId="77777777" w:rsidR="0075747E" w:rsidRPr="001F6DCE" w:rsidRDefault="00B705FA" w:rsidP="000A6A24">
      <w:pPr>
        <w:pStyle w:val="ListParagraph"/>
        <w:ind w:left="0"/>
        <w:jc w:val="both"/>
        <w:rPr>
          <w:b/>
          <w:i/>
        </w:rPr>
      </w:pPr>
      <w:r w:rsidRPr="001F6DCE">
        <w:rPr>
          <w:b/>
          <w:i/>
        </w:rPr>
        <w:t>Accountability</w:t>
      </w:r>
    </w:p>
    <w:p w14:paraId="4E260BE1" w14:textId="77777777" w:rsidR="00B705FA" w:rsidRPr="001F6DCE" w:rsidRDefault="00B705FA" w:rsidP="00A04983">
      <w:pPr>
        <w:jc w:val="both"/>
      </w:pPr>
    </w:p>
    <w:p w14:paraId="24A28CC2" w14:textId="47373820" w:rsidR="00304EF0" w:rsidRPr="001F6DCE" w:rsidRDefault="00304EF0" w:rsidP="00F94EBD">
      <w:pPr>
        <w:pStyle w:val="ListParagraph"/>
        <w:numPr>
          <w:ilvl w:val="0"/>
          <w:numId w:val="16"/>
        </w:numPr>
        <w:ind w:left="0" w:firstLine="0"/>
        <w:contextualSpacing w:val="0"/>
        <w:jc w:val="both"/>
        <w:rPr>
          <w:lang w:val="ro-RO"/>
        </w:rPr>
      </w:pPr>
      <w:r w:rsidRPr="001F6DCE">
        <w:t xml:space="preserve">The health sector is characterized by the existence of different interest groups lobbying for certain reforms. In terms of political economy, </w:t>
      </w:r>
      <w:r w:rsidR="00D4003F" w:rsidRPr="001F6DCE">
        <w:t xml:space="preserve">at the time of project preparation </w:t>
      </w:r>
      <w:r w:rsidRPr="001F6DCE">
        <w:t xml:space="preserve">the health sector </w:t>
      </w:r>
      <w:r w:rsidR="00D4003F" w:rsidRPr="001F6DCE">
        <w:t>wa</w:t>
      </w:r>
      <w:r w:rsidRPr="001F6DCE">
        <w:t xml:space="preserve">s largely influenced by the key players from Liberal-Democrat party (PLDM) who </w:t>
      </w:r>
      <w:proofErr w:type="spellStart"/>
      <w:r w:rsidRPr="001F6DCE">
        <w:rPr>
          <w:lang w:val="ro-RO"/>
        </w:rPr>
        <w:t>occup</w:t>
      </w:r>
      <w:r w:rsidR="00D4003F" w:rsidRPr="001F6DCE">
        <w:rPr>
          <w:lang w:val="ro-RO"/>
        </w:rPr>
        <w:t>ied</w:t>
      </w:r>
      <w:proofErr w:type="spellEnd"/>
      <w:r w:rsidRPr="001F6DCE">
        <w:rPr>
          <w:lang w:val="ro-RO"/>
        </w:rPr>
        <w:t xml:space="preserve"> important </w:t>
      </w:r>
      <w:proofErr w:type="spellStart"/>
      <w:r w:rsidRPr="001F6DCE">
        <w:rPr>
          <w:lang w:val="ro-RO"/>
        </w:rPr>
        <w:t>positions</w:t>
      </w:r>
      <w:proofErr w:type="spellEnd"/>
      <w:r w:rsidRPr="001F6DCE">
        <w:rPr>
          <w:lang w:val="ro-RO"/>
        </w:rPr>
        <w:t xml:space="preserve"> </w:t>
      </w:r>
      <w:proofErr w:type="spellStart"/>
      <w:r w:rsidRPr="001F6DCE">
        <w:rPr>
          <w:lang w:val="ro-RO"/>
        </w:rPr>
        <w:t>across</w:t>
      </w:r>
      <w:proofErr w:type="spellEnd"/>
      <w:r w:rsidRPr="001F6DCE">
        <w:rPr>
          <w:lang w:val="ro-RO"/>
        </w:rPr>
        <w:t xml:space="preserve"> </w:t>
      </w:r>
      <w:proofErr w:type="spellStart"/>
      <w:r w:rsidRPr="001F6DCE">
        <w:rPr>
          <w:lang w:val="ro-RO"/>
        </w:rPr>
        <w:t>the</w:t>
      </w:r>
      <w:proofErr w:type="spellEnd"/>
      <w:r w:rsidRPr="001F6DCE">
        <w:rPr>
          <w:lang w:val="ro-RO"/>
        </w:rPr>
        <w:t xml:space="preserve"> </w:t>
      </w:r>
      <w:proofErr w:type="spellStart"/>
      <w:r w:rsidRPr="001F6DCE">
        <w:rPr>
          <w:lang w:val="ro-RO"/>
        </w:rPr>
        <w:t>health</w:t>
      </w:r>
      <w:proofErr w:type="spellEnd"/>
      <w:r w:rsidRPr="001F6DCE">
        <w:rPr>
          <w:lang w:val="ro-RO"/>
        </w:rPr>
        <w:t xml:space="preserve"> </w:t>
      </w:r>
      <w:proofErr w:type="spellStart"/>
      <w:r w:rsidRPr="001F6DCE">
        <w:rPr>
          <w:lang w:val="ro-RO"/>
        </w:rPr>
        <w:t>system</w:t>
      </w:r>
      <w:proofErr w:type="spellEnd"/>
      <w:r w:rsidRPr="001F6DCE">
        <w:rPr>
          <w:lang w:val="ro-RO"/>
        </w:rPr>
        <w:t xml:space="preserve">: </w:t>
      </w:r>
      <w:proofErr w:type="spellStart"/>
      <w:r w:rsidR="00D4003F" w:rsidRPr="001F6DCE">
        <w:rPr>
          <w:lang w:val="ro-RO"/>
        </w:rPr>
        <w:t>s</w:t>
      </w:r>
      <w:r w:rsidRPr="001F6DCE">
        <w:rPr>
          <w:lang w:val="ro-RO"/>
        </w:rPr>
        <w:t>ectoral</w:t>
      </w:r>
      <w:proofErr w:type="spellEnd"/>
      <w:r w:rsidRPr="001F6DCE">
        <w:rPr>
          <w:lang w:val="ro-RO"/>
        </w:rPr>
        <w:t xml:space="preserve"> </w:t>
      </w:r>
      <w:proofErr w:type="spellStart"/>
      <w:r w:rsidRPr="001F6DCE">
        <w:rPr>
          <w:lang w:val="ro-RO"/>
        </w:rPr>
        <w:t>parliamentary</w:t>
      </w:r>
      <w:proofErr w:type="spellEnd"/>
      <w:r w:rsidRPr="001F6DCE">
        <w:rPr>
          <w:lang w:val="ro-RO"/>
        </w:rPr>
        <w:t xml:space="preserve"> </w:t>
      </w:r>
      <w:proofErr w:type="spellStart"/>
      <w:r w:rsidRPr="001F6DCE">
        <w:rPr>
          <w:lang w:val="ro-RO"/>
        </w:rPr>
        <w:t>committee</w:t>
      </w:r>
      <w:proofErr w:type="spellEnd"/>
      <w:r w:rsidRPr="001F6DCE">
        <w:rPr>
          <w:lang w:val="ro-RO"/>
        </w:rPr>
        <w:t xml:space="preserve">, </w:t>
      </w:r>
      <w:proofErr w:type="spellStart"/>
      <w:r w:rsidRPr="001F6DCE">
        <w:rPr>
          <w:lang w:val="ro-RO"/>
        </w:rPr>
        <w:t>Ministry</w:t>
      </w:r>
      <w:proofErr w:type="spellEnd"/>
      <w:r w:rsidRPr="001F6DCE">
        <w:rPr>
          <w:lang w:val="ro-RO"/>
        </w:rPr>
        <w:t xml:space="preserve"> of </w:t>
      </w:r>
      <w:proofErr w:type="spellStart"/>
      <w:r w:rsidRPr="001F6DCE">
        <w:rPr>
          <w:lang w:val="ro-RO"/>
        </w:rPr>
        <w:t>Health</w:t>
      </w:r>
      <w:proofErr w:type="spellEnd"/>
      <w:r w:rsidR="00B202FD" w:rsidRPr="001F6DCE">
        <w:rPr>
          <w:lang w:val="ro-RO"/>
        </w:rPr>
        <w:t xml:space="preserve"> (</w:t>
      </w:r>
      <w:proofErr w:type="spellStart"/>
      <w:r w:rsidR="00B202FD" w:rsidRPr="001F6DCE">
        <w:rPr>
          <w:lang w:val="ro-RO"/>
        </w:rPr>
        <w:t>MoHLSP</w:t>
      </w:r>
      <w:proofErr w:type="spellEnd"/>
      <w:r w:rsidR="00B202FD" w:rsidRPr="001F6DCE">
        <w:rPr>
          <w:lang w:val="ro-RO"/>
        </w:rPr>
        <w:t>)</w:t>
      </w:r>
      <w:r w:rsidRPr="001F6DCE">
        <w:rPr>
          <w:lang w:val="ro-RO"/>
        </w:rPr>
        <w:t xml:space="preserve">, </w:t>
      </w:r>
      <w:proofErr w:type="spellStart"/>
      <w:r w:rsidRPr="001F6DCE">
        <w:rPr>
          <w:lang w:val="ro-RO"/>
        </w:rPr>
        <w:t>Drugs</w:t>
      </w:r>
      <w:proofErr w:type="spellEnd"/>
      <w:r w:rsidRPr="001F6DCE">
        <w:rPr>
          <w:lang w:val="ro-RO"/>
        </w:rPr>
        <w:t xml:space="preserve"> Agency</w:t>
      </w:r>
      <w:r w:rsidR="00B202FD" w:rsidRPr="001F6DCE">
        <w:rPr>
          <w:lang w:val="ro-RO"/>
        </w:rPr>
        <w:t xml:space="preserve"> (NADME)</w:t>
      </w:r>
      <w:r w:rsidRPr="001F6DCE">
        <w:rPr>
          <w:lang w:val="ro-RO"/>
        </w:rPr>
        <w:t xml:space="preserve">, important </w:t>
      </w:r>
      <w:proofErr w:type="spellStart"/>
      <w:r w:rsidRPr="001F6DCE">
        <w:rPr>
          <w:lang w:val="ro-RO"/>
        </w:rPr>
        <w:t>opinion-makers</w:t>
      </w:r>
      <w:proofErr w:type="spellEnd"/>
      <w:r w:rsidRPr="001F6DCE">
        <w:rPr>
          <w:lang w:val="ro-RO"/>
        </w:rPr>
        <w:t xml:space="preserve"> </w:t>
      </w:r>
      <w:proofErr w:type="spellStart"/>
      <w:r w:rsidRPr="001F6DCE">
        <w:rPr>
          <w:lang w:val="ro-RO"/>
        </w:rPr>
        <w:t>from</w:t>
      </w:r>
      <w:proofErr w:type="spellEnd"/>
      <w:r w:rsidRPr="001F6DCE">
        <w:rPr>
          <w:lang w:val="ro-RO"/>
        </w:rPr>
        <w:t xml:space="preserve"> medical </w:t>
      </w:r>
      <w:proofErr w:type="spellStart"/>
      <w:r w:rsidRPr="001F6DCE">
        <w:rPr>
          <w:lang w:val="ro-RO"/>
        </w:rPr>
        <w:t>society</w:t>
      </w:r>
      <w:proofErr w:type="spellEnd"/>
      <w:r w:rsidRPr="001F6DCE">
        <w:rPr>
          <w:lang w:val="ro-RO"/>
        </w:rPr>
        <w:t xml:space="preserve"> etc. </w:t>
      </w:r>
      <w:proofErr w:type="spellStart"/>
      <w:r w:rsidR="00D4003F" w:rsidRPr="001F6DCE">
        <w:rPr>
          <w:lang w:val="ro-RO"/>
        </w:rPr>
        <w:t>However</w:t>
      </w:r>
      <w:proofErr w:type="spellEnd"/>
      <w:r w:rsidR="00D4003F" w:rsidRPr="001F6DCE">
        <w:rPr>
          <w:lang w:val="ro-RO"/>
        </w:rPr>
        <w:t xml:space="preserve">, in </w:t>
      </w:r>
      <w:proofErr w:type="spellStart"/>
      <w:r w:rsidR="00D4003F" w:rsidRPr="001F6DCE">
        <w:rPr>
          <w:lang w:val="ro-RO"/>
        </w:rPr>
        <w:t>the</w:t>
      </w:r>
      <w:proofErr w:type="spellEnd"/>
      <w:r w:rsidR="00D4003F" w:rsidRPr="001F6DCE">
        <w:rPr>
          <w:lang w:val="ro-RO"/>
        </w:rPr>
        <w:t xml:space="preserve"> </w:t>
      </w:r>
      <w:proofErr w:type="spellStart"/>
      <w:r w:rsidR="00D4003F" w:rsidRPr="001F6DCE">
        <w:rPr>
          <w:lang w:val="ro-RO"/>
        </w:rPr>
        <w:t>aftermath</w:t>
      </w:r>
      <w:proofErr w:type="spellEnd"/>
      <w:r w:rsidR="00D4003F" w:rsidRPr="001F6DCE">
        <w:rPr>
          <w:lang w:val="ro-RO"/>
        </w:rPr>
        <w:t xml:space="preserve"> of </w:t>
      </w:r>
      <w:proofErr w:type="spellStart"/>
      <w:r w:rsidR="00D4003F" w:rsidRPr="001F6DCE">
        <w:rPr>
          <w:lang w:val="ro-RO"/>
        </w:rPr>
        <w:t>changing</w:t>
      </w:r>
      <w:proofErr w:type="spellEnd"/>
      <w:r w:rsidR="00D4003F" w:rsidRPr="001F6DCE">
        <w:rPr>
          <w:lang w:val="ro-RO"/>
        </w:rPr>
        <w:t xml:space="preserve"> </w:t>
      </w:r>
      <w:proofErr w:type="spellStart"/>
      <w:r w:rsidR="00D4003F" w:rsidRPr="001F6DCE">
        <w:rPr>
          <w:lang w:val="ro-RO"/>
        </w:rPr>
        <w:t>the</w:t>
      </w:r>
      <w:proofErr w:type="spellEnd"/>
      <w:r w:rsidR="00D4003F" w:rsidRPr="001F6DCE">
        <w:rPr>
          <w:lang w:val="ro-RO"/>
        </w:rPr>
        <w:t xml:space="preserve"> </w:t>
      </w:r>
      <w:proofErr w:type="spellStart"/>
      <w:r w:rsidR="00D4003F" w:rsidRPr="001F6DCE">
        <w:rPr>
          <w:lang w:val="ro-RO"/>
        </w:rPr>
        <w:t>powers</w:t>
      </w:r>
      <w:proofErr w:type="spellEnd"/>
      <w:r w:rsidR="00D4003F" w:rsidRPr="001F6DCE">
        <w:rPr>
          <w:lang w:val="ro-RO"/>
        </w:rPr>
        <w:t xml:space="preserve"> on </w:t>
      </w:r>
      <w:proofErr w:type="spellStart"/>
      <w:r w:rsidR="00D4003F" w:rsidRPr="001F6DCE">
        <w:rPr>
          <w:lang w:val="ro-RO"/>
        </w:rPr>
        <w:t>the</w:t>
      </w:r>
      <w:proofErr w:type="spellEnd"/>
      <w:r w:rsidR="00D4003F" w:rsidRPr="001F6DCE">
        <w:rPr>
          <w:lang w:val="ro-RO"/>
        </w:rPr>
        <w:t xml:space="preserve"> po</w:t>
      </w:r>
      <w:r w:rsidR="005E5DEC" w:rsidRPr="001F6DCE">
        <w:rPr>
          <w:lang w:val="ro-RO"/>
        </w:rPr>
        <w:t xml:space="preserve">litical arena, </w:t>
      </w:r>
      <w:proofErr w:type="spellStart"/>
      <w:r w:rsidR="005E5DEC" w:rsidRPr="001F6DCE">
        <w:rPr>
          <w:lang w:val="ro-RO"/>
        </w:rPr>
        <w:t>the</w:t>
      </w:r>
      <w:proofErr w:type="spellEnd"/>
      <w:r w:rsidR="005E5DEC" w:rsidRPr="001F6DCE">
        <w:rPr>
          <w:lang w:val="ro-RO"/>
        </w:rPr>
        <w:t xml:space="preserve"> management in </w:t>
      </w:r>
      <w:proofErr w:type="spellStart"/>
      <w:r w:rsidR="00D4003F" w:rsidRPr="001F6DCE">
        <w:rPr>
          <w:lang w:val="ro-RO"/>
        </w:rPr>
        <w:t>most</w:t>
      </w:r>
      <w:proofErr w:type="spellEnd"/>
      <w:r w:rsidR="00D4003F" w:rsidRPr="001F6DCE">
        <w:rPr>
          <w:lang w:val="ro-RO"/>
        </w:rPr>
        <w:t xml:space="preserve"> of </w:t>
      </w:r>
      <w:r w:rsidR="00B202FD" w:rsidRPr="001F6DCE">
        <w:rPr>
          <w:lang w:val="ro-RO"/>
        </w:rPr>
        <w:t xml:space="preserve">public </w:t>
      </w:r>
      <w:proofErr w:type="spellStart"/>
      <w:r w:rsidR="005E5DEC" w:rsidRPr="001F6DCE">
        <w:rPr>
          <w:lang w:val="ro-RO"/>
        </w:rPr>
        <w:t>health</w:t>
      </w:r>
      <w:r w:rsidR="00B202FD" w:rsidRPr="001F6DCE">
        <w:rPr>
          <w:lang w:val="ro-RO"/>
        </w:rPr>
        <w:t>care</w:t>
      </w:r>
      <w:proofErr w:type="spellEnd"/>
      <w:r w:rsidR="00B202FD" w:rsidRPr="001F6DCE">
        <w:rPr>
          <w:lang w:val="ro-RO"/>
        </w:rPr>
        <w:t xml:space="preserve"> </w:t>
      </w:r>
      <w:proofErr w:type="spellStart"/>
      <w:r w:rsidR="00B202FD" w:rsidRPr="001F6DCE">
        <w:rPr>
          <w:lang w:val="ro-RO"/>
        </w:rPr>
        <w:t>institutions</w:t>
      </w:r>
      <w:proofErr w:type="spellEnd"/>
      <w:r w:rsidR="00B202FD" w:rsidRPr="001F6DCE">
        <w:rPr>
          <w:lang w:val="ro-RO"/>
        </w:rPr>
        <w:t xml:space="preserve"> </w:t>
      </w:r>
      <w:proofErr w:type="spellStart"/>
      <w:r w:rsidR="00B202FD" w:rsidRPr="001F6DCE">
        <w:rPr>
          <w:lang w:val="ro-RO"/>
        </w:rPr>
        <w:t>belongs</w:t>
      </w:r>
      <w:proofErr w:type="spellEnd"/>
      <w:r w:rsidR="00B202FD" w:rsidRPr="001F6DCE">
        <w:rPr>
          <w:lang w:val="ro-RO"/>
        </w:rPr>
        <w:t xml:space="preserve"> </w:t>
      </w:r>
      <w:proofErr w:type="spellStart"/>
      <w:r w:rsidR="00B202FD" w:rsidRPr="001F6DCE">
        <w:rPr>
          <w:lang w:val="ro-RO"/>
        </w:rPr>
        <w:t>to</w:t>
      </w:r>
      <w:proofErr w:type="spellEnd"/>
      <w:r w:rsidR="00B202FD" w:rsidRPr="001F6DCE">
        <w:rPr>
          <w:lang w:val="ro-RO"/>
        </w:rPr>
        <w:t xml:space="preserve"> </w:t>
      </w:r>
      <w:proofErr w:type="spellStart"/>
      <w:r w:rsidR="00B202FD" w:rsidRPr="001F6DCE">
        <w:rPr>
          <w:lang w:val="ro-RO"/>
        </w:rPr>
        <w:t>technocrat</w:t>
      </w:r>
      <w:proofErr w:type="spellEnd"/>
      <w:r w:rsidR="00B202FD" w:rsidRPr="001F6DCE">
        <w:rPr>
          <w:lang w:val="ro-RO"/>
        </w:rPr>
        <w:t xml:space="preserve"> staff. </w:t>
      </w:r>
    </w:p>
    <w:p w14:paraId="0AFEB609" w14:textId="77777777" w:rsidR="00AD09DA" w:rsidRPr="001F6DCE" w:rsidRDefault="00AD09DA" w:rsidP="00F94EBD">
      <w:pPr>
        <w:pStyle w:val="ListParagraph"/>
        <w:ind w:left="0"/>
        <w:contextualSpacing w:val="0"/>
        <w:jc w:val="both"/>
        <w:rPr>
          <w:lang w:val="ro-RO"/>
        </w:rPr>
      </w:pPr>
    </w:p>
    <w:p w14:paraId="689A3CA7" w14:textId="2C70FFA3" w:rsidR="00567648" w:rsidRPr="001F6DCE" w:rsidRDefault="00B202FD" w:rsidP="00F94EBD">
      <w:pPr>
        <w:pStyle w:val="ListParagraph"/>
        <w:numPr>
          <w:ilvl w:val="0"/>
          <w:numId w:val="16"/>
        </w:numPr>
        <w:ind w:left="0" w:firstLine="0"/>
        <w:contextualSpacing w:val="0"/>
        <w:jc w:val="both"/>
        <w:rPr>
          <w:lang w:val="ro-RO"/>
        </w:rPr>
      </w:pPr>
      <w:proofErr w:type="spellStart"/>
      <w:r w:rsidRPr="001F6DCE">
        <w:rPr>
          <w:lang w:val="ro-RO"/>
        </w:rPr>
        <w:t>Nevertheless</w:t>
      </w:r>
      <w:proofErr w:type="spellEnd"/>
      <w:r w:rsidRPr="001F6DCE">
        <w:rPr>
          <w:lang w:val="ro-RO"/>
        </w:rPr>
        <w:t xml:space="preserve">, </w:t>
      </w:r>
      <w:proofErr w:type="spellStart"/>
      <w:r w:rsidRPr="001F6DCE">
        <w:rPr>
          <w:lang w:val="ro-RO"/>
        </w:rPr>
        <w:t>v</w:t>
      </w:r>
      <w:r w:rsidR="00304EF0" w:rsidRPr="001F6DCE">
        <w:rPr>
          <w:lang w:val="ro-RO"/>
        </w:rPr>
        <w:t>ested</w:t>
      </w:r>
      <w:proofErr w:type="spellEnd"/>
      <w:r w:rsidR="00304EF0" w:rsidRPr="001F6DCE">
        <w:rPr>
          <w:lang w:val="ro-RO"/>
        </w:rPr>
        <w:t xml:space="preserve"> </w:t>
      </w:r>
      <w:proofErr w:type="spellStart"/>
      <w:r w:rsidR="00304EF0" w:rsidRPr="001F6DCE">
        <w:rPr>
          <w:lang w:val="ro-RO"/>
        </w:rPr>
        <w:t>interests</w:t>
      </w:r>
      <w:proofErr w:type="spellEnd"/>
      <w:r w:rsidR="00304EF0" w:rsidRPr="001F6DCE">
        <w:rPr>
          <w:lang w:val="ro-RO"/>
        </w:rPr>
        <w:t xml:space="preserve"> </w:t>
      </w:r>
      <w:proofErr w:type="spellStart"/>
      <w:r w:rsidRPr="001F6DCE">
        <w:rPr>
          <w:lang w:val="ro-RO"/>
        </w:rPr>
        <w:t>still</w:t>
      </w:r>
      <w:proofErr w:type="spellEnd"/>
      <w:r w:rsidRPr="001F6DCE">
        <w:rPr>
          <w:lang w:val="ro-RO"/>
        </w:rPr>
        <w:t xml:space="preserve"> </w:t>
      </w:r>
      <w:r w:rsidR="00304EF0" w:rsidRPr="001F6DCE">
        <w:rPr>
          <w:lang w:val="ro-RO"/>
        </w:rPr>
        <w:t xml:space="preserve">play a major role in </w:t>
      </w:r>
      <w:proofErr w:type="spellStart"/>
      <w:r w:rsidR="00304EF0" w:rsidRPr="001F6DCE">
        <w:rPr>
          <w:lang w:val="ro-RO"/>
        </w:rPr>
        <w:t>the</w:t>
      </w:r>
      <w:proofErr w:type="spellEnd"/>
      <w:r w:rsidR="00304EF0" w:rsidRPr="001F6DCE">
        <w:rPr>
          <w:lang w:val="ro-RO"/>
        </w:rPr>
        <w:t xml:space="preserve"> </w:t>
      </w:r>
      <w:proofErr w:type="spellStart"/>
      <w:r w:rsidR="00304EF0" w:rsidRPr="001F6DCE">
        <w:rPr>
          <w:lang w:val="ro-RO"/>
        </w:rPr>
        <w:t>implementation</w:t>
      </w:r>
      <w:proofErr w:type="spellEnd"/>
      <w:r w:rsidR="00304EF0" w:rsidRPr="001F6DCE">
        <w:rPr>
          <w:lang w:val="ro-RO"/>
        </w:rPr>
        <w:t xml:space="preserve"> of </w:t>
      </w:r>
      <w:proofErr w:type="spellStart"/>
      <w:r w:rsidR="00304EF0" w:rsidRPr="001F6DCE">
        <w:rPr>
          <w:lang w:val="ro-RO"/>
        </w:rPr>
        <w:t>health</w:t>
      </w:r>
      <w:proofErr w:type="spellEnd"/>
      <w:r w:rsidR="00304EF0" w:rsidRPr="001F6DCE">
        <w:rPr>
          <w:lang w:val="ro-RO"/>
        </w:rPr>
        <w:t xml:space="preserve"> </w:t>
      </w:r>
      <w:proofErr w:type="spellStart"/>
      <w:r w:rsidR="00304EF0" w:rsidRPr="001F6DCE">
        <w:rPr>
          <w:lang w:val="ro-RO"/>
        </w:rPr>
        <w:t>reforms</w:t>
      </w:r>
      <w:proofErr w:type="spellEnd"/>
      <w:r w:rsidR="00304EF0" w:rsidRPr="001F6DCE">
        <w:rPr>
          <w:lang w:val="ro-RO"/>
        </w:rPr>
        <w:t xml:space="preserve">. </w:t>
      </w:r>
      <w:proofErr w:type="spellStart"/>
      <w:r w:rsidR="00304EF0" w:rsidRPr="001F6DCE">
        <w:rPr>
          <w:lang w:val="ro-RO"/>
        </w:rPr>
        <w:t>Reforms</w:t>
      </w:r>
      <w:proofErr w:type="spellEnd"/>
      <w:r w:rsidR="00304EF0" w:rsidRPr="001F6DCE">
        <w:rPr>
          <w:lang w:val="ro-RO"/>
        </w:rPr>
        <w:t xml:space="preserve"> </w:t>
      </w:r>
      <w:proofErr w:type="spellStart"/>
      <w:r w:rsidR="00304EF0" w:rsidRPr="001F6DCE">
        <w:rPr>
          <w:lang w:val="ro-RO"/>
        </w:rPr>
        <w:t>that</w:t>
      </w:r>
      <w:proofErr w:type="spellEnd"/>
      <w:r w:rsidR="00304EF0" w:rsidRPr="001F6DCE">
        <w:rPr>
          <w:lang w:val="ro-RO"/>
        </w:rPr>
        <w:t xml:space="preserve"> </w:t>
      </w:r>
      <w:proofErr w:type="spellStart"/>
      <w:r w:rsidR="00304EF0" w:rsidRPr="001F6DCE">
        <w:rPr>
          <w:lang w:val="ro-RO"/>
        </w:rPr>
        <w:t>may</w:t>
      </w:r>
      <w:proofErr w:type="spellEnd"/>
      <w:r w:rsidR="00304EF0" w:rsidRPr="001F6DCE">
        <w:rPr>
          <w:lang w:val="ro-RO"/>
        </w:rPr>
        <w:t xml:space="preserve"> </w:t>
      </w:r>
      <w:proofErr w:type="spellStart"/>
      <w:r w:rsidR="00304EF0" w:rsidRPr="001F6DCE">
        <w:rPr>
          <w:lang w:val="ro-RO"/>
        </w:rPr>
        <w:t>lead</w:t>
      </w:r>
      <w:proofErr w:type="spellEnd"/>
      <w:r w:rsidR="00304EF0" w:rsidRPr="001F6DCE">
        <w:rPr>
          <w:lang w:val="ro-RO"/>
        </w:rPr>
        <w:t xml:space="preserve"> </w:t>
      </w:r>
      <w:proofErr w:type="spellStart"/>
      <w:r w:rsidR="00304EF0" w:rsidRPr="001F6DCE">
        <w:rPr>
          <w:lang w:val="ro-RO"/>
        </w:rPr>
        <w:t>to</w:t>
      </w:r>
      <w:proofErr w:type="spellEnd"/>
      <w:r w:rsidR="00304EF0" w:rsidRPr="001F6DCE">
        <w:rPr>
          <w:lang w:val="ro-RO"/>
        </w:rPr>
        <w:t xml:space="preserve"> </w:t>
      </w:r>
      <w:proofErr w:type="spellStart"/>
      <w:r w:rsidR="00304EF0" w:rsidRPr="001F6DCE">
        <w:rPr>
          <w:lang w:val="ro-RO"/>
        </w:rPr>
        <w:t>profits</w:t>
      </w:r>
      <w:proofErr w:type="spellEnd"/>
      <w:r w:rsidR="00304EF0" w:rsidRPr="001F6DCE">
        <w:rPr>
          <w:lang w:val="ro-RO"/>
        </w:rPr>
        <w:t xml:space="preserve"> for private </w:t>
      </w:r>
      <w:proofErr w:type="spellStart"/>
      <w:r w:rsidR="00304EF0" w:rsidRPr="001F6DCE">
        <w:rPr>
          <w:lang w:val="ro-RO"/>
        </w:rPr>
        <w:t>businesses</w:t>
      </w:r>
      <w:proofErr w:type="spellEnd"/>
      <w:r w:rsidR="00304EF0" w:rsidRPr="001F6DCE">
        <w:rPr>
          <w:lang w:val="ro-RO"/>
        </w:rPr>
        <w:t xml:space="preserve"> </w:t>
      </w:r>
      <w:proofErr w:type="spellStart"/>
      <w:r w:rsidR="00304EF0" w:rsidRPr="001F6DCE">
        <w:rPr>
          <w:lang w:val="ro-RO"/>
        </w:rPr>
        <w:t>tend</w:t>
      </w:r>
      <w:proofErr w:type="spellEnd"/>
      <w:r w:rsidR="00304EF0" w:rsidRPr="001F6DCE">
        <w:rPr>
          <w:lang w:val="ro-RO"/>
        </w:rPr>
        <w:t xml:space="preserve"> </w:t>
      </w:r>
      <w:proofErr w:type="spellStart"/>
      <w:r w:rsidR="00304EF0" w:rsidRPr="001F6DCE">
        <w:rPr>
          <w:lang w:val="ro-RO"/>
        </w:rPr>
        <w:t>to</w:t>
      </w:r>
      <w:proofErr w:type="spellEnd"/>
      <w:r w:rsidR="00304EF0" w:rsidRPr="001F6DCE">
        <w:rPr>
          <w:lang w:val="ro-RO"/>
        </w:rPr>
        <w:t xml:space="preserve"> </w:t>
      </w:r>
      <w:proofErr w:type="spellStart"/>
      <w:r w:rsidR="00304EF0" w:rsidRPr="001F6DCE">
        <w:rPr>
          <w:lang w:val="ro-RO"/>
        </w:rPr>
        <w:t>be</w:t>
      </w:r>
      <w:proofErr w:type="spellEnd"/>
      <w:r w:rsidR="00304EF0" w:rsidRPr="001F6DCE">
        <w:rPr>
          <w:lang w:val="ro-RO"/>
        </w:rPr>
        <w:t xml:space="preserve"> </w:t>
      </w:r>
      <w:proofErr w:type="spellStart"/>
      <w:r w:rsidR="00304EF0" w:rsidRPr="001F6DCE">
        <w:rPr>
          <w:lang w:val="ro-RO"/>
        </w:rPr>
        <w:t>implemented</w:t>
      </w:r>
      <w:proofErr w:type="spellEnd"/>
      <w:r w:rsidR="00304EF0" w:rsidRPr="001F6DCE">
        <w:rPr>
          <w:lang w:val="ro-RO"/>
        </w:rPr>
        <w:t xml:space="preserve"> </w:t>
      </w:r>
      <w:proofErr w:type="spellStart"/>
      <w:r w:rsidR="00304EF0" w:rsidRPr="001F6DCE">
        <w:rPr>
          <w:lang w:val="ro-RO"/>
        </w:rPr>
        <w:t>with</w:t>
      </w:r>
      <w:proofErr w:type="spellEnd"/>
      <w:r w:rsidR="00304EF0" w:rsidRPr="001F6DCE">
        <w:rPr>
          <w:lang w:val="ro-RO"/>
        </w:rPr>
        <w:t xml:space="preserve"> more </w:t>
      </w:r>
      <w:proofErr w:type="spellStart"/>
      <w:r w:rsidR="00304EF0" w:rsidRPr="001F6DCE">
        <w:rPr>
          <w:lang w:val="ro-RO"/>
        </w:rPr>
        <w:t>vigor</w:t>
      </w:r>
      <w:proofErr w:type="spellEnd"/>
      <w:r w:rsidR="00304EF0" w:rsidRPr="001F6DCE">
        <w:rPr>
          <w:lang w:val="ro-RO"/>
        </w:rPr>
        <w:t xml:space="preserve">: e.g. </w:t>
      </w:r>
      <w:proofErr w:type="spellStart"/>
      <w:r w:rsidR="00304EF0" w:rsidRPr="001F6DCE">
        <w:rPr>
          <w:lang w:val="ro-RO"/>
        </w:rPr>
        <w:t>implementation</w:t>
      </w:r>
      <w:proofErr w:type="spellEnd"/>
      <w:r w:rsidR="00304EF0" w:rsidRPr="001F6DCE">
        <w:rPr>
          <w:lang w:val="ro-RO"/>
        </w:rPr>
        <w:t xml:space="preserve"> of PPP </w:t>
      </w:r>
      <w:proofErr w:type="spellStart"/>
      <w:r w:rsidR="00304EF0" w:rsidRPr="001F6DCE">
        <w:rPr>
          <w:lang w:val="ro-RO"/>
        </w:rPr>
        <w:t>schemes</w:t>
      </w:r>
      <w:proofErr w:type="spellEnd"/>
      <w:r w:rsidR="00304EF0" w:rsidRPr="001F6DCE">
        <w:rPr>
          <w:lang w:val="ro-RO"/>
        </w:rPr>
        <w:t xml:space="preserve"> </w:t>
      </w:r>
      <w:proofErr w:type="spellStart"/>
      <w:r w:rsidR="00304EF0" w:rsidRPr="001F6DCE">
        <w:rPr>
          <w:lang w:val="ro-RO"/>
        </w:rPr>
        <w:t>even</w:t>
      </w:r>
      <w:proofErr w:type="spellEnd"/>
      <w:r w:rsidR="00304EF0" w:rsidRPr="001F6DCE">
        <w:rPr>
          <w:lang w:val="ro-RO"/>
        </w:rPr>
        <w:t xml:space="preserve"> in </w:t>
      </w:r>
      <w:proofErr w:type="spellStart"/>
      <w:r w:rsidR="00304EF0" w:rsidRPr="001F6DCE">
        <w:rPr>
          <w:lang w:val="ro-RO"/>
        </w:rPr>
        <w:t>areas</w:t>
      </w:r>
      <w:proofErr w:type="spellEnd"/>
      <w:r w:rsidR="00304EF0" w:rsidRPr="001F6DCE">
        <w:rPr>
          <w:lang w:val="ro-RO"/>
        </w:rPr>
        <w:t xml:space="preserve"> </w:t>
      </w:r>
      <w:proofErr w:type="spellStart"/>
      <w:r w:rsidR="00304EF0" w:rsidRPr="001F6DCE">
        <w:rPr>
          <w:lang w:val="ro-RO"/>
        </w:rPr>
        <w:t>where</w:t>
      </w:r>
      <w:proofErr w:type="spellEnd"/>
      <w:r w:rsidR="00304EF0" w:rsidRPr="001F6DCE">
        <w:rPr>
          <w:lang w:val="ro-RO"/>
        </w:rPr>
        <w:t xml:space="preserve"> </w:t>
      </w:r>
      <w:proofErr w:type="spellStart"/>
      <w:r w:rsidR="00304EF0" w:rsidRPr="001F6DCE">
        <w:rPr>
          <w:lang w:val="ro-RO"/>
        </w:rPr>
        <w:t>the</w:t>
      </w:r>
      <w:proofErr w:type="spellEnd"/>
      <w:r w:rsidR="00304EF0" w:rsidRPr="001F6DCE">
        <w:rPr>
          <w:lang w:val="ro-RO"/>
        </w:rPr>
        <w:t xml:space="preserve"> </w:t>
      </w:r>
      <w:proofErr w:type="spellStart"/>
      <w:r w:rsidR="00304EF0" w:rsidRPr="001F6DCE">
        <w:rPr>
          <w:lang w:val="ro-RO"/>
        </w:rPr>
        <w:t>use</w:t>
      </w:r>
      <w:proofErr w:type="spellEnd"/>
      <w:r w:rsidR="00304EF0" w:rsidRPr="001F6DCE">
        <w:rPr>
          <w:lang w:val="ro-RO"/>
        </w:rPr>
        <w:t xml:space="preserve"> of public </w:t>
      </w:r>
      <w:proofErr w:type="spellStart"/>
      <w:r w:rsidR="00304EF0" w:rsidRPr="001F6DCE">
        <w:rPr>
          <w:lang w:val="ro-RO"/>
        </w:rPr>
        <w:t>funding</w:t>
      </w:r>
      <w:proofErr w:type="spellEnd"/>
      <w:r w:rsidR="00304EF0" w:rsidRPr="001F6DCE">
        <w:rPr>
          <w:lang w:val="ro-RO"/>
        </w:rPr>
        <w:t xml:space="preserve"> </w:t>
      </w:r>
      <w:proofErr w:type="spellStart"/>
      <w:r w:rsidR="00304EF0" w:rsidRPr="001F6DCE">
        <w:rPr>
          <w:lang w:val="ro-RO"/>
        </w:rPr>
        <w:t>would</w:t>
      </w:r>
      <w:proofErr w:type="spellEnd"/>
      <w:r w:rsidR="00304EF0" w:rsidRPr="001F6DCE">
        <w:rPr>
          <w:lang w:val="ro-RO"/>
        </w:rPr>
        <w:t xml:space="preserve"> </w:t>
      </w:r>
      <w:proofErr w:type="spellStart"/>
      <w:r w:rsidR="00304EF0" w:rsidRPr="001F6DCE">
        <w:rPr>
          <w:lang w:val="ro-RO"/>
        </w:rPr>
        <w:t>be</w:t>
      </w:r>
      <w:proofErr w:type="spellEnd"/>
      <w:r w:rsidR="00304EF0" w:rsidRPr="001F6DCE">
        <w:rPr>
          <w:lang w:val="ro-RO"/>
        </w:rPr>
        <w:t xml:space="preserve"> more </w:t>
      </w:r>
      <w:proofErr w:type="spellStart"/>
      <w:r w:rsidR="00304EF0" w:rsidRPr="001F6DCE">
        <w:rPr>
          <w:lang w:val="ro-RO"/>
        </w:rPr>
        <w:t>cost-efficient</w:t>
      </w:r>
      <w:proofErr w:type="spellEnd"/>
      <w:r w:rsidR="00304EF0" w:rsidRPr="001F6DCE">
        <w:rPr>
          <w:lang w:val="ro-RO"/>
        </w:rPr>
        <w:t xml:space="preserve">, or </w:t>
      </w:r>
      <w:proofErr w:type="spellStart"/>
      <w:r w:rsidR="00304EF0" w:rsidRPr="001F6DCE">
        <w:rPr>
          <w:lang w:val="ro-RO"/>
        </w:rPr>
        <w:t>undertaking</w:t>
      </w:r>
      <w:proofErr w:type="spellEnd"/>
      <w:r w:rsidR="00304EF0" w:rsidRPr="001F6DCE">
        <w:rPr>
          <w:lang w:val="ro-RO"/>
        </w:rPr>
        <w:t xml:space="preserve"> </w:t>
      </w:r>
      <w:proofErr w:type="spellStart"/>
      <w:r w:rsidR="00304EF0" w:rsidRPr="001F6DCE">
        <w:rPr>
          <w:lang w:val="ro-RO"/>
        </w:rPr>
        <w:t>activities</w:t>
      </w:r>
      <w:proofErr w:type="spellEnd"/>
      <w:r w:rsidR="00304EF0" w:rsidRPr="001F6DCE">
        <w:rPr>
          <w:lang w:val="ro-RO"/>
        </w:rPr>
        <w:t xml:space="preserve"> </w:t>
      </w:r>
      <w:proofErr w:type="spellStart"/>
      <w:r w:rsidR="00304EF0" w:rsidRPr="001F6DCE">
        <w:rPr>
          <w:lang w:val="ro-RO"/>
        </w:rPr>
        <w:t>that</w:t>
      </w:r>
      <w:proofErr w:type="spellEnd"/>
      <w:r w:rsidR="00304EF0" w:rsidRPr="001F6DCE">
        <w:rPr>
          <w:lang w:val="ro-RO"/>
        </w:rPr>
        <w:t xml:space="preserve"> </w:t>
      </w:r>
      <w:proofErr w:type="spellStart"/>
      <w:r w:rsidR="00304EF0" w:rsidRPr="001F6DCE">
        <w:rPr>
          <w:lang w:val="ro-RO"/>
        </w:rPr>
        <w:t>require</w:t>
      </w:r>
      <w:proofErr w:type="spellEnd"/>
      <w:r w:rsidR="00304EF0" w:rsidRPr="001F6DCE">
        <w:rPr>
          <w:lang w:val="ro-RO"/>
        </w:rPr>
        <w:t xml:space="preserve"> </w:t>
      </w:r>
      <w:proofErr w:type="spellStart"/>
      <w:r w:rsidR="00304EF0" w:rsidRPr="001F6DCE">
        <w:rPr>
          <w:lang w:val="ro-RO"/>
        </w:rPr>
        <w:t>infrastructure</w:t>
      </w:r>
      <w:proofErr w:type="spellEnd"/>
      <w:r w:rsidR="00304EF0" w:rsidRPr="001F6DCE">
        <w:rPr>
          <w:lang w:val="ro-RO"/>
        </w:rPr>
        <w:t xml:space="preserve"> </w:t>
      </w:r>
      <w:proofErr w:type="spellStart"/>
      <w:r w:rsidR="00304EF0" w:rsidRPr="001F6DCE">
        <w:rPr>
          <w:lang w:val="ro-RO"/>
        </w:rPr>
        <w:t>construction</w:t>
      </w:r>
      <w:proofErr w:type="spellEnd"/>
      <w:r w:rsidR="00304EF0" w:rsidRPr="001F6DCE">
        <w:rPr>
          <w:lang w:val="ro-RO"/>
        </w:rPr>
        <w:t xml:space="preserve"> </w:t>
      </w:r>
      <w:proofErr w:type="spellStart"/>
      <w:r w:rsidR="00304EF0" w:rsidRPr="001F6DCE">
        <w:rPr>
          <w:lang w:val="ro-RO"/>
        </w:rPr>
        <w:t>and</w:t>
      </w:r>
      <w:proofErr w:type="spellEnd"/>
      <w:r w:rsidR="00304EF0" w:rsidRPr="001F6DCE">
        <w:rPr>
          <w:lang w:val="ro-RO"/>
        </w:rPr>
        <w:t xml:space="preserve">/or </w:t>
      </w:r>
      <w:proofErr w:type="spellStart"/>
      <w:r w:rsidR="00304EF0" w:rsidRPr="001F6DCE">
        <w:rPr>
          <w:lang w:val="ro-RO"/>
        </w:rPr>
        <w:t>procurement</w:t>
      </w:r>
      <w:proofErr w:type="spellEnd"/>
      <w:r w:rsidR="00304EF0" w:rsidRPr="001F6DCE">
        <w:rPr>
          <w:lang w:val="ro-RO"/>
        </w:rPr>
        <w:t xml:space="preserve"> of medical or IT </w:t>
      </w:r>
      <w:proofErr w:type="spellStart"/>
      <w:r w:rsidR="00304EF0" w:rsidRPr="001F6DCE">
        <w:rPr>
          <w:lang w:val="ro-RO"/>
        </w:rPr>
        <w:t>equipment</w:t>
      </w:r>
      <w:proofErr w:type="spellEnd"/>
      <w:r w:rsidR="00304EF0" w:rsidRPr="001F6DCE">
        <w:rPr>
          <w:lang w:val="ro-RO"/>
        </w:rPr>
        <w:t xml:space="preserve"> etc.</w:t>
      </w:r>
    </w:p>
    <w:p w14:paraId="0015B427" w14:textId="77777777" w:rsidR="001048CC" w:rsidRPr="001F6DCE" w:rsidRDefault="001048CC" w:rsidP="00F94EBD">
      <w:pPr>
        <w:pStyle w:val="ListParagraph"/>
        <w:ind w:left="0"/>
        <w:contextualSpacing w:val="0"/>
        <w:jc w:val="both"/>
        <w:rPr>
          <w:lang w:val="ro-RO"/>
        </w:rPr>
      </w:pPr>
    </w:p>
    <w:p w14:paraId="5BACFBB5" w14:textId="060BEC28" w:rsidR="002422AE" w:rsidRPr="001F6DCE" w:rsidRDefault="001048CC" w:rsidP="00A04983">
      <w:pPr>
        <w:pStyle w:val="ListParagraph"/>
        <w:numPr>
          <w:ilvl w:val="0"/>
          <w:numId w:val="16"/>
        </w:numPr>
        <w:ind w:left="0" w:firstLine="0"/>
        <w:contextualSpacing w:val="0"/>
        <w:jc w:val="both"/>
        <w:rPr>
          <w:lang w:val="ro-RO"/>
        </w:rPr>
      </w:pPr>
      <w:r w:rsidRPr="001F6DCE">
        <w:rPr>
          <w:lang w:val="ro-RO"/>
        </w:rPr>
        <w:t xml:space="preserve">In case of </w:t>
      </w:r>
      <w:proofErr w:type="spellStart"/>
      <w:r w:rsidRPr="001F6DCE">
        <w:rPr>
          <w:lang w:val="ro-RO"/>
        </w:rPr>
        <w:t>corruption</w:t>
      </w:r>
      <w:proofErr w:type="spellEnd"/>
      <w:r w:rsidRPr="001F6DCE">
        <w:rPr>
          <w:lang w:val="ro-RO"/>
        </w:rPr>
        <w:t xml:space="preserve"> at medical </w:t>
      </w:r>
      <w:proofErr w:type="spellStart"/>
      <w:r w:rsidRPr="001F6DCE">
        <w:rPr>
          <w:lang w:val="ro-RO"/>
        </w:rPr>
        <w:t>institutions</w:t>
      </w:r>
      <w:proofErr w:type="spellEnd"/>
      <w:r w:rsidRPr="001F6DCE">
        <w:rPr>
          <w:lang w:val="ro-RO"/>
        </w:rPr>
        <w:t xml:space="preserve"> of </w:t>
      </w:r>
      <w:proofErr w:type="spellStart"/>
      <w:r w:rsidRPr="001F6DCE">
        <w:rPr>
          <w:lang w:val="ro-RO"/>
        </w:rPr>
        <w:t>any</w:t>
      </w:r>
      <w:proofErr w:type="spellEnd"/>
      <w:r w:rsidRPr="001F6DCE">
        <w:rPr>
          <w:lang w:val="ro-RO"/>
        </w:rPr>
        <w:t xml:space="preserve"> </w:t>
      </w:r>
      <w:proofErr w:type="spellStart"/>
      <w:r w:rsidRPr="001F6DCE">
        <w:rPr>
          <w:lang w:val="ro-RO"/>
        </w:rPr>
        <w:t>level</w:t>
      </w:r>
      <w:proofErr w:type="spellEnd"/>
      <w:r w:rsidRPr="001F6DCE">
        <w:rPr>
          <w:lang w:val="ro-RO"/>
        </w:rPr>
        <w:t xml:space="preserve">, </w:t>
      </w:r>
      <w:proofErr w:type="spellStart"/>
      <w:r w:rsidRPr="001F6DCE">
        <w:rPr>
          <w:lang w:val="ro-RO"/>
        </w:rPr>
        <w:t>the</w:t>
      </w:r>
      <w:proofErr w:type="spellEnd"/>
      <w:r w:rsidRPr="001F6DCE">
        <w:rPr>
          <w:lang w:val="ro-RO"/>
        </w:rPr>
        <w:t xml:space="preserve"> </w:t>
      </w:r>
      <w:proofErr w:type="spellStart"/>
      <w:r w:rsidRPr="001F6DCE">
        <w:rPr>
          <w:lang w:val="ro-RO"/>
        </w:rPr>
        <w:t>complaint</w:t>
      </w:r>
      <w:proofErr w:type="spellEnd"/>
      <w:r w:rsidRPr="001F6DCE">
        <w:rPr>
          <w:lang w:val="ro-RO"/>
        </w:rPr>
        <w:t xml:space="preserve"> </w:t>
      </w:r>
      <w:proofErr w:type="spellStart"/>
      <w:r w:rsidRPr="001F6DCE">
        <w:rPr>
          <w:lang w:val="ro-RO"/>
        </w:rPr>
        <w:t>is</w:t>
      </w:r>
      <w:proofErr w:type="spellEnd"/>
      <w:r w:rsidRPr="001F6DCE">
        <w:rPr>
          <w:lang w:val="ro-RO"/>
        </w:rPr>
        <w:t xml:space="preserve"> </w:t>
      </w:r>
      <w:proofErr w:type="spellStart"/>
      <w:r w:rsidRPr="001F6DCE">
        <w:rPr>
          <w:lang w:val="ro-RO"/>
        </w:rPr>
        <w:t>usually</w:t>
      </w:r>
      <w:proofErr w:type="spellEnd"/>
      <w:r w:rsidRPr="001F6DCE">
        <w:rPr>
          <w:lang w:val="ro-RO"/>
        </w:rPr>
        <w:t xml:space="preserve"> </w:t>
      </w:r>
      <w:proofErr w:type="spellStart"/>
      <w:r w:rsidRPr="001F6DCE">
        <w:rPr>
          <w:lang w:val="ro-RO"/>
        </w:rPr>
        <w:t>being</w:t>
      </w:r>
      <w:proofErr w:type="spellEnd"/>
      <w:r w:rsidRPr="001F6DCE">
        <w:rPr>
          <w:lang w:val="ro-RO"/>
        </w:rPr>
        <w:t xml:space="preserve"> </w:t>
      </w:r>
      <w:proofErr w:type="spellStart"/>
      <w:r w:rsidRPr="001F6DCE">
        <w:rPr>
          <w:lang w:val="ro-RO"/>
        </w:rPr>
        <w:t>submitted</w:t>
      </w:r>
      <w:proofErr w:type="spellEnd"/>
      <w:r w:rsidRPr="001F6DCE">
        <w:rPr>
          <w:lang w:val="ro-RO"/>
        </w:rPr>
        <w:t xml:space="preserve"> </w:t>
      </w:r>
      <w:proofErr w:type="spellStart"/>
      <w:r w:rsidRPr="001F6DCE">
        <w:rPr>
          <w:lang w:val="ro-RO"/>
        </w:rPr>
        <w:t>to</w:t>
      </w:r>
      <w:proofErr w:type="spellEnd"/>
      <w:r w:rsidRPr="001F6DCE">
        <w:rPr>
          <w:lang w:val="ro-RO"/>
        </w:rPr>
        <w:t xml:space="preserve"> </w:t>
      </w:r>
      <w:proofErr w:type="spellStart"/>
      <w:r w:rsidRPr="001F6DCE">
        <w:rPr>
          <w:lang w:val="ro-RO"/>
        </w:rPr>
        <w:t>the</w:t>
      </w:r>
      <w:proofErr w:type="spellEnd"/>
      <w:r w:rsidRPr="001F6DCE">
        <w:rPr>
          <w:lang w:val="ro-RO"/>
        </w:rPr>
        <w:t xml:space="preserve"> National </w:t>
      </w:r>
      <w:proofErr w:type="spellStart"/>
      <w:r w:rsidRPr="001F6DCE">
        <w:rPr>
          <w:lang w:val="ro-RO"/>
        </w:rPr>
        <w:t>Anticorruption</w:t>
      </w:r>
      <w:proofErr w:type="spellEnd"/>
      <w:r w:rsidRPr="001F6DCE">
        <w:rPr>
          <w:lang w:val="ro-RO"/>
        </w:rPr>
        <w:t xml:space="preserve"> Centre (CNA) </w:t>
      </w:r>
      <w:proofErr w:type="spellStart"/>
      <w:r w:rsidRPr="001F6DCE">
        <w:rPr>
          <w:lang w:val="ro-RO"/>
        </w:rPr>
        <w:t>that</w:t>
      </w:r>
      <w:proofErr w:type="spellEnd"/>
      <w:r w:rsidRPr="001F6DCE">
        <w:rPr>
          <w:lang w:val="ro-RO"/>
        </w:rPr>
        <w:t xml:space="preserve"> in case of solid </w:t>
      </w:r>
      <w:proofErr w:type="spellStart"/>
      <w:r w:rsidRPr="001F6DCE">
        <w:rPr>
          <w:lang w:val="ro-RO"/>
        </w:rPr>
        <w:t>facts</w:t>
      </w:r>
      <w:proofErr w:type="spellEnd"/>
      <w:r w:rsidRPr="001F6DCE">
        <w:rPr>
          <w:lang w:val="ro-RO"/>
        </w:rPr>
        <w:t xml:space="preserve"> </w:t>
      </w:r>
      <w:proofErr w:type="spellStart"/>
      <w:r w:rsidRPr="001F6DCE">
        <w:rPr>
          <w:lang w:val="ro-RO"/>
        </w:rPr>
        <w:t>takes</w:t>
      </w:r>
      <w:proofErr w:type="spellEnd"/>
      <w:r w:rsidRPr="001F6DCE">
        <w:rPr>
          <w:lang w:val="ro-RO"/>
        </w:rPr>
        <w:t xml:space="preserve"> it </w:t>
      </w:r>
      <w:proofErr w:type="spellStart"/>
      <w:r w:rsidRPr="001F6DCE">
        <w:rPr>
          <w:lang w:val="ro-RO"/>
        </w:rPr>
        <w:t>further</w:t>
      </w:r>
      <w:proofErr w:type="spellEnd"/>
      <w:r w:rsidRPr="001F6DCE">
        <w:rPr>
          <w:lang w:val="ro-RO"/>
        </w:rPr>
        <w:t xml:space="preserve"> for </w:t>
      </w:r>
      <w:proofErr w:type="spellStart"/>
      <w:r w:rsidRPr="001F6DCE">
        <w:rPr>
          <w:lang w:val="ro-RO"/>
        </w:rPr>
        <w:t>investigation</w:t>
      </w:r>
      <w:proofErr w:type="spellEnd"/>
      <w:r w:rsidRPr="001F6DCE">
        <w:rPr>
          <w:lang w:val="ro-RO"/>
        </w:rPr>
        <w:t xml:space="preserve">. </w:t>
      </w:r>
      <w:proofErr w:type="spellStart"/>
      <w:r w:rsidR="00B202FD" w:rsidRPr="001F6DCE">
        <w:rPr>
          <w:lang w:val="ro-RO"/>
        </w:rPr>
        <w:t>During</w:t>
      </w:r>
      <w:proofErr w:type="spellEnd"/>
      <w:r w:rsidR="00B202FD" w:rsidRPr="001F6DCE">
        <w:rPr>
          <w:lang w:val="ro-RO"/>
        </w:rPr>
        <w:t xml:space="preserve"> </w:t>
      </w:r>
      <w:r w:rsidRPr="001F6DCE">
        <w:rPr>
          <w:lang w:val="ro-RO"/>
        </w:rPr>
        <w:t>2013</w:t>
      </w:r>
      <w:r w:rsidR="00B202FD" w:rsidRPr="001F6DCE">
        <w:rPr>
          <w:lang w:val="ro-RO"/>
        </w:rPr>
        <w:t>-2014</w:t>
      </w:r>
      <w:r w:rsidRPr="001F6DCE">
        <w:rPr>
          <w:lang w:val="ro-RO"/>
        </w:rPr>
        <w:t xml:space="preserve">, </w:t>
      </w:r>
      <w:proofErr w:type="spellStart"/>
      <w:r w:rsidRPr="001F6DCE">
        <w:rPr>
          <w:lang w:val="ro-RO"/>
        </w:rPr>
        <w:t>the</w:t>
      </w:r>
      <w:proofErr w:type="spellEnd"/>
      <w:r w:rsidRPr="001F6DCE">
        <w:rPr>
          <w:lang w:val="ro-RO"/>
        </w:rPr>
        <w:t xml:space="preserve"> National An</w:t>
      </w:r>
      <w:proofErr w:type="spellStart"/>
      <w:r w:rsidRPr="001F6DCE">
        <w:t>ticorruption</w:t>
      </w:r>
      <w:proofErr w:type="spellEnd"/>
      <w:r w:rsidRPr="001F6DCE">
        <w:t xml:space="preserve"> Centre has launched 11 penal cases related to informal/illegal payments in healthcare. </w:t>
      </w:r>
    </w:p>
    <w:p w14:paraId="164129CC" w14:textId="77777777" w:rsidR="002422AE" w:rsidRPr="001F6DCE" w:rsidRDefault="002422AE" w:rsidP="002422AE">
      <w:pPr>
        <w:pStyle w:val="ListParagraph"/>
        <w:rPr>
          <w:lang w:val="ro-RO"/>
        </w:rPr>
      </w:pPr>
    </w:p>
    <w:p w14:paraId="5CED2C75" w14:textId="7EA2C46F" w:rsidR="001048CC" w:rsidRPr="001F6DCE" w:rsidRDefault="001048CC" w:rsidP="00A04983">
      <w:pPr>
        <w:pStyle w:val="ListParagraph"/>
        <w:numPr>
          <w:ilvl w:val="0"/>
          <w:numId w:val="16"/>
        </w:numPr>
        <w:ind w:left="0" w:firstLine="0"/>
        <w:contextualSpacing w:val="0"/>
        <w:jc w:val="both"/>
        <w:rPr>
          <w:lang w:val="ro-RO"/>
        </w:rPr>
      </w:pPr>
      <w:proofErr w:type="spellStart"/>
      <w:r w:rsidRPr="001F6DCE">
        <w:rPr>
          <w:lang w:val="ro-RO"/>
        </w:rPr>
        <w:t>Interesting</w:t>
      </w:r>
      <w:proofErr w:type="spellEnd"/>
      <w:r w:rsidRPr="001F6DCE">
        <w:rPr>
          <w:lang w:val="ro-RO"/>
        </w:rPr>
        <w:t xml:space="preserve"> </w:t>
      </w:r>
      <w:proofErr w:type="spellStart"/>
      <w:r w:rsidRPr="001F6DCE">
        <w:rPr>
          <w:lang w:val="ro-RO"/>
        </w:rPr>
        <w:t>is</w:t>
      </w:r>
      <w:proofErr w:type="spellEnd"/>
      <w:r w:rsidRPr="001F6DCE">
        <w:rPr>
          <w:lang w:val="ro-RO"/>
        </w:rPr>
        <w:t xml:space="preserve"> </w:t>
      </w:r>
      <w:proofErr w:type="spellStart"/>
      <w:r w:rsidRPr="001F6DCE">
        <w:rPr>
          <w:lang w:val="ro-RO"/>
        </w:rPr>
        <w:t>the</w:t>
      </w:r>
      <w:proofErr w:type="spellEnd"/>
      <w:r w:rsidRPr="001F6DCE">
        <w:rPr>
          <w:lang w:val="ro-RO"/>
        </w:rPr>
        <w:t xml:space="preserve"> </w:t>
      </w:r>
      <w:proofErr w:type="spellStart"/>
      <w:r w:rsidRPr="001F6DCE">
        <w:rPr>
          <w:lang w:val="ro-RO"/>
        </w:rPr>
        <w:t>fact</w:t>
      </w:r>
      <w:proofErr w:type="spellEnd"/>
      <w:r w:rsidRPr="001F6DCE">
        <w:rPr>
          <w:lang w:val="ro-RO"/>
        </w:rPr>
        <w:t xml:space="preserve"> </w:t>
      </w:r>
      <w:proofErr w:type="spellStart"/>
      <w:r w:rsidRPr="001F6DCE">
        <w:rPr>
          <w:lang w:val="ro-RO"/>
        </w:rPr>
        <w:t>that</w:t>
      </w:r>
      <w:proofErr w:type="spellEnd"/>
      <w:r w:rsidRPr="001F6DCE">
        <w:rPr>
          <w:lang w:val="ro-RO"/>
        </w:rPr>
        <w:t xml:space="preserve"> </w:t>
      </w:r>
      <w:r w:rsidR="007155C8" w:rsidRPr="001F6DCE">
        <w:rPr>
          <w:lang w:val="ro-RO"/>
        </w:rPr>
        <w:t>50</w:t>
      </w:r>
      <w:r w:rsidR="00AB062A" w:rsidRPr="001F6DCE">
        <w:rPr>
          <w:lang w:val="ro-RO"/>
        </w:rPr>
        <w:t xml:space="preserve"> </w:t>
      </w:r>
      <w:proofErr w:type="spellStart"/>
      <w:r w:rsidR="00AB062A" w:rsidRPr="001F6DCE">
        <w:rPr>
          <w:lang w:val="ro-RO"/>
        </w:rPr>
        <w:t>percent</w:t>
      </w:r>
      <w:proofErr w:type="spellEnd"/>
      <w:r w:rsidRPr="001F6DCE">
        <w:rPr>
          <w:lang w:val="ro-RO"/>
        </w:rPr>
        <w:t xml:space="preserve"> of </w:t>
      </w:r>
      <w:proofErr w:type="spellStart"/>
      <w:r w:rsidRPr="001F6DCE">
        <w:rPr>
          <w:lang w:val="ro-RO"/>
        </w:rPr>
        <w:t>population</w:t>
      </w:r>
      <w:proofErr w:type="spellEnd"/>
      <w:r w:rsidRPr="001F6DCE">
        <w:rPr>
          <w:lang w:val="ro-RO"/>
        </w:rPr>
        <w:t xml:space="preserve"> in case of </w:t>
      </w:r>
      <w:proofErr w:type="spellStart"/>
      <w:r w:rsidRPr="001F6DCE">
        <w:rPr>
          <w:lang w:val="ro-RO"/>
        </w:rPr>
        <w:t>bribe</w:t>
      </w:r>
      <w:proofErr w:type="spellEnd"/>
      <w:r w:rsidRPr="001F6DCE">
        <w:rPr>
          <w:lang w:val="ro-RO"/>
        </w:rPr>
        <w:t xml:space="preserve"> </w:t>
      </w:r>
      <w:proofErr w:type="spellStart"/>
      <w:r w:rsidRPr="001F6DCE">
        <w:rPr>
          <w:lang w:val="ro-RO"/>
        </w:rPr>
        <w:t>request</w:t>
      </w:r>
      <w:proofErr w:type="spellEnd"/>
      <w:r w:rsidRPr="001F6DCE">
        <w:rPr>
          <w:lang w:val="ro-RO"/>
        </w:rPr>
        <w:t xml:space="preserve"> </w:t>
      </w:r>
      <w:proofErr w:type="spellStart"/>
      <w:r w:rsidRPr="001F6DCE">
        <w:rPr>
          <w:lang w:val="ro-RO"/>
        </w:rPr>
        <w:t>would</w:t>
      </w:r>
      <w:proofErr w:type="spellEnd"/>
      <w:r w:rsidRPr="001F6DCE">
        <w:rPr>
          <w:lang w:val="ro-RO"/>
        </w:rPr>
        <w:t xml:space="preserve"> </w:t>
      </w:r>
      <w:proofErr w:type="spellStart"/>
      <w:r w:rsidR="007155C8" w:rsidRPr="001F6DCE">
        <w:rPr>
          <w:lang w:val="ro-RO"/>
        </w:rPr>
        <w:t>like</w:t>
      </w:r>
      <w:proofErr w:type="spellEnd"/>
      <w:r w:rsidR="007155C8" w:rsidRPr="001F6DCE">
        <w:rPr>
          <w:lang w:val="ro-RO"/>
        </w:rPr>
        <w:t xml:space="preserve"> </w:t>
      </w:r>
      <w:proofErr w:type="spellStart"/>
      <w:r w:rsidR="007155C8" w:rsidRPr="001F6DCE">
        <w:rPr>
          <w:lang w:val="ro-RO"/>
        </w:rPr>
        <w:t>to</w:t>
      </w:r>
      <w:proofErr w:type="spellEnd"/>
      <w:r w:rsidR="007155C8" w:rsidRPr="001F6DCE">
        <w:rPr>
          <w:lang w:val="ro-RO"/>
        </w:rPr>
        <w:t xml:space="preserve"> </w:t>
      </w:r>
      <w:r w:rsidRPr="001F6DCE">
        <w:rPr>
          <w:lang w:val="ro-RO"/>
        </w:rPr>
        <w:t xml:space="preserve">file a </w:t>
      </w:r>
      <w:proofErr w:type="spellStart"/>
      <w:r w:rsidRPr="001F6DCE">
        <w:rPr>
          <w:lang w:val="ro-RO"/>
        </w:rPr>
        <w:t>claim</w:t>
      </w:r>
      <w:proofErr w:type="spellEnd"/>
      <w:r w:rsidRPr="001F6DCE">
        <w:rPr>
          <w:lang w:val="ro-RO"/>
        </w:rPr>
        <w:t xml:space="preserve"> </w:t>
      </w:r>
      <w:proofErr w:type="spellStart"/>
      <w:r w:rsidRPr="001F6DCE">
        <w:rPr>
          <w:lang w:val="ro-RO"/>
        </w:rPr>
        <w:t>to</w:t>
      </w:r>
      <w:proofErr w:type="spellEnd"/>
      <w:r w:rsidRPr="001F6DCE">
        <w:rPr>
          <w:lang w:val="ro-RO"/>
        </w:rPr>
        <w:t xml:space="preserve"> </w:t>
      </w:r>
      <w:proofErr w:type="spellStart"/>
      <w:r w:rsidRPr="001F6DCE">
        <w:rPr>
          <w:lang w:val="ro-RO"/>
        </w:rPr>
        <w:t>the</w:t>
      </w:r>
      <w:proofErr w:type="spellEnd"/>
      <w:r w:rsidRPr="001F6DCE">
        <w:rPr>
          <w:lang w:val="ro-RO"/>
        </w:rPr>
        <w:t xml:space="preserve"> respective </w:t>
      </w:r>
      <w:proofErr w:type="spellStart"/>
      <w:r w:rsidRPr="001F6DCE">
        <w:rPr>
          <w:lang w:val="ro-RO"/>
        </w:rPr>
        <w:t>institution</w:t>
      </w:r>
      <w:proofErr w:type="spellEnd"/>
      <w:r w:rsidRPr="001F6DCE">
        <w:rPr>
          <w:lang w:val="ro-RO"/>
        </w:rPr>
        <w:t xml:space="preserve">, </w:t>
      </w:r>
      <w:proofErr w:type="spellStart"/>
      <w:r w:rsidRPr="001F6DCE">
        <w:rPr>
          <w:lang w:val="ro-RO"/>
        </w:rPr>
        <w:t>and</w:t>
      </w:r>
      <w:proofErr w:type="spellEnd"/>
      <w:r w:rsidRPr="001F6DCE">
        <w:rPr>
          <w:lang w:val="ro-RO"/>
        </w:rPr>
        <w:t xml:space="preserve"> </w:t>
      </w:r>
      <w:proofErr w:type="spellStart"/>
      <w:r w:rsidR="007155C8" w:rsidRPr="001F6DCE">
        <w:rPr>
          <w:lang w:val="ro-RO"/>
        </w:rPr>
        <w:t>every</w:t>
      </w:r>
      <w:proofErr w:type="spellEnd"/>
      <w:r w:rsidR="007155C8" w:rsidRPr="001F6DCE">
        <w:rPr>
          <w:lang w:val="ro-RO"/>
        </w:rPr>
        <w:t xml:space="preserve"> </w:t>
      </w:r>
      <w:proofErr w:type="spellStart"/>
      <w:r w:rsidR="007155C8" w:rsidRPr="001F6DCE">
        <w:rPr>
          <w:lang w:val="ro-RO"/>
        </w:rPr>
        <w:t>one</w:t>
      </w:r>
      <w:proofErr w:type="spellEnd"/>
      <w:r w:rsidR="007155C8" w:rsidRPr="001F6DCE">
        <w:rPr>
          <w:lang w:val="ro-RO"/>
        </w:rPr>
        <w:t xml:space="preserve"> out of ten </w:t>
      </w:r>
      <w:proofErr w:type="spellStart"/>
      <w:r w:rsidR="007155C8" w:rsidRPr="001F6DCE">
        <w:rPr>
          <w:lang w:val="ro-RO"/>
        </w:rPr>
        <w:t>people</w:t>
      </w:r>
      <w:proofErr w:type="spellEnd"/>
      <w:r w:rsidR="007155C8" w:rsidRPr="001F6DCE">
        <w:rPr>
          <w:lang w:val="ro-RO"/>
        </w:rPr>
        <w:t xml:space="preserve"> </w:t>
      </w:r>
      <w:proofErr w:type="spellStart"/>
      <w:r w:rsidR="007155C8" w:rsidRPr="001F6DCE">
        <w:rPr>
          <w:lang w:val="ro-RO"/>
        </w:rPr>
        <w:t>willing</w:t>
      </w:r>
      <w:proofErr w:type="spellEnd"/>
      <w:r w:rsidR="007155C8" w:rsidRPr="001F6DCE">
        <w:rPr>
          <w:lang w:val="ro-RO"/>
        </w:rPr>
        <w:t xml:space="preserve"> </w:t>
      </w:r>
      <w:proofErr w:type="spellStart"/>
      <w:r w:rsidR="007155C8" w:rsidRPr="001F6DCE">
        <w:rPr>
          <w:lang w:val="ro-RO"/>
        </w:rPr>
        <w:t>to</w:t>
      </w:r>
      <w:proofErr w:type="spellEnd"/>
      <w:r w:rsidR="007155C8" w:rsidRPr="001F6DCE">
        <w:rPr>
          <w:lang w:val="ro-RO"/>
        </w:rPr>
        <w:t xml:space="preserve"> </w:t>
      </w:r>
      <w:proofErr w:type="spellStart"/>
      <w:r w:rsidR="007155C8" w:rsidRPr="001F6DCE">
        <w:rPr>
          <w:lang w:val="ro-RO"/>
        </w:rPr>
        <w:t>complain</w:t>
      </w:r>
      <w:proofErr w:type="spellEnd"/>
      <w:r w:rsidR="007155C8" w:rsidRPr="001F6DCE">
        <w:rPr>
          <w:lang w:val="ro-RO"/>
        </w:rPr>
        <w:t xml:space="preserve"> </w:t>
      </w:r>
      <w:proofErr w:type="spellStart"/>
      <w:r w:rsidR="007155C8" w:rsidRPr="001F6DCE">
        <w:rPr>
          <w:lang w:val="ro-RO"/>
        </w:rPr>
        <w:t>would</w:t>
      </w:r>
      <w:proofErr w:type="spellEnd"/>
      <w:r w:rsidR="007155C8" w:rsidRPr="001F6DCE">
        <w:rPr>
          <w:lang w:val="ro-RO"/>
        </w:rPr>
        <w:t xml:space="preserve"> </w:t>
      </w:r>
      <w:proofErr w:type="spellStart"/>
      <w:r w:rsidR="007155C8" w:rsidRPr="001F6DCE">
        <w:rPr>
          <w:lang w:val="ro-RO"/>
        </w:rPr>
        <w:t>rather</w:t>
      </w:r>
      <w:proofErr w:type="spellEnd"/>
      <w:r w:rsidR="007155C8" w:rsidRPr="001F6DCE">
        <w:rPr>
          <w:lang w:val="ro-RO"/>
        </w:rPr>
        <w:t xml:space="preserve"> do </w:t>
      </w:r>
      <w:proofErr w:type="spellStart"/>
      <w:r w:rsidR="007155C8" w:rsidRPr="001F6DCE">
        <w:rPr>
          <w:lang w:val="ro-RO"/>
        </w:rPr>
        <w:t>so</w:t>
      </w:r>
      <w:proofErr w:type="spellEnd"/>
      <w:r w:rsidR="007155C8" w:rsidRPr="001F6DCE">
        <w:rPr>
          <w:lang w:val="ro-RO"/>
        </w:rPr>
        <w:t xml:space="preserve"> </w:t>
      </w:r>
      <w:proofErr w:type="spellStart"/>
      <w:r w:rsidR="007155C8" w:rsidRPr="001F6DCE">
        <w:rPr>
          <w:lang w:val="ro-RO"/>
        </w:rPr>
        <w:t>by</w:t>
      </w:r>
      <w:proofErr w:type="spellEnd"/>
      <w:r w:rsidR="007155C8" w:rsidRPr="001F6DCE">
        <w:rPr>
          <w:lang w:val="ro-RO"/>
        </w:rPr>
        <w:t xml:space="preserve"> </w:t>
      </w:r>
      <w:proofErr w:type="spellStart"/>
      <w:r w:rsidR="007155C8" w:rsidRPr="001F6DCE">
        <w:rPr>
          <w:lang w:val="ro-RO"/>
        </w:rPr>
        <w:t>addressing</w:t>
      </w:r>
      <w:proofErr w:type="spellEnd"/>
      <w:r w:rsidR="007155C8" w:rsidRPr="001F6DCE">
        <w:rPr>
          <w:lang w:val="ro-RO"/>
        </w:rPr>
        <w:t xml:space="preserve"> relevant </w:t>
      </w:r>
      <w:proofErr w:type="spellStart"/>
      <w:r w:rsidR="007155C8" w:rsidRPr="001F6DCE">
        <w:rPr>
          <w:lang w:val="ro-RO"/>
        </w:rPr>
        <w:t>request</w:t>
      </w:r>
      <w:proofErr w:type="spellEnd"/>
      <w:r w:rsidR="007155C8" w:rsidRPr="001F6DCE">
        <w:rPr>
          <w:lang w:val="ro-RO"/>
        </w:rPr>
        <w:t xml:space="preserve"> </w:t>
      </w:r>
      <w:proofErr w:type="spellStart"/>
      <w:r w:rsidR="007155C8" w:rsidRPr="001F6DCE">
        <w:rPr>
          <w:lang w:val="ro-RO"/>
        </w:rPr>
        <w:t>to</w:t>
      </w:r>
      <w:proofErr w:type="spellEnd"/>
      <w:r w:rsidR="007155C8" w:rsidRPr="001F6DCE">
        <w:rPr>
          <w:lang w:val="ro-RO"/>
        </w:rPr>
        <w:t xml:space="preserve"> a doctor, </w:t>
      </w:r>
      <w:proofErr w:type="spellStart"/>
      <w:r w:rsidR="007155C8" w:rsidRPr="001F6DCE">
        <w:rPr>
          <w:lang w:val="ro-RO"/>
        </w:rPr>
        <w:t>while</w:t>
      </w:r>
      <w:proofErr w:type="spellEnd"/>
      <w:r w:rsidR="007155C8" w:rsidRPr="001F6DCE">
        <w:rPr>
          <w:lang w:val="ro-RO"/>
        </w:rPr>
        <w:t xml:space="preserve"> </w:t>
      </w:r>
      <w:proofErr w:type="spellStart"/>
      <w:r w:rsidR="007155C8" w:rsidRPr="001F6DCE">
        <w:rPr>
          <w:lang w:val="ro-RO"/>
        </w:rPr>
        <w:t>every</w:t>
      </w:r>
      <w:proofErr w:type="spellEnd"/>
      <w:r w:rsidR="007155C8" w:rsidRPr="001F6DCE">
        <w:rPr>
          <w:lang w:val="ro-RO"/>
        </w:rPr>
        <w:t xml:space="preserve"> </w:t>
      </w:r>
      <w:proofErr w:type="spellStart"/>
      <w:r w:rsidR="007155C8" w:rsidRPr="001F6DCE">
        <w:rPr>
          <w:lang w:val="ro-RO"/>
        </w:rPr>
        <w:t>fifth</w:t>
      </w:r>
      <w:proofErr w:type="spellEnd"/>
      <w:r w:rsidR="007155C8" w:rsidRPr="001F6DCE">
        <w:rPr>
          <w:lang w:val="ro-RO"/>
        </w:rPr>
        <w:t xml:space="preserve"> </w:t>
      </w:r>
      <w:proofErr w:type="spellStart"/>
      <w:r w:rsidR="007155C8" w:rsidRPr="001F6DCE">
        <w:rPr>
          <w:lang w:val="ro-RO"/>
        </w:rPr>
        <w:t>person</w:t>
      </w:r>
      <w:proofErr w:type="spellEnd"/>
      <w:r w:rsidR="007155C8" w:rsidRPr="001F6DCE">
        <w:rPr>
          <w:lang w:val="ro-RO"/>
        </w:rPr>
        <w:t xml:space="preserve"> </w:t>
      </w:r>
      <w:r w:rsidRPr="001F6DCE">
        <w:rPr>
          <w:lang w:val="ro-RO"/>
        </w:rPr>
        <w:t xml:space="preserve">- </w:t>
      </w:r>
      <w:proofErr w:type="spellStart"/>
      <w:r w:rsidRPr="001F6DCE">
        <w:rPr>
          <w:lang w:val="ro-RO"/>
        </w:rPr>
        <w:t>by</w:t>
      </w:r>
      <w:proofErr w:type="spellEnd"/>
      <w:r w:rsidRPr="001F6DCE">
        <w:rPr>
          <w:lang w:val="ro-RO"/>
        </w:rPr>
        <w:t xml:space="preserve"> </w:t>
      </w:r>
      <w:proofErr w:type="spellStart"/>
      <w:r w:rsidRPr="001F6DCE">
        <w:rPr>
          <w:lang w:val="ro-RO"/>
        </w:rPr>
        <w:t>contacting</w:t>
      </w:r>
      <w:proofErr w:type="spellEnd"/>
      <w:r w:rsidRPr="001F6DCE">
        <w:rPr>
          <w:lang w:val="ro-RO"/>
        </w:rPr>
        <w:t xml:space="preserve"> </w:t>
      </w:r>
      <w:proofErr w:type="spellStart"/>
      <w:r w:rsidRPr="001F6DCE">
        <w:rPr>
          <w:lang w:val="ro-RO"/>
        </w:rPr>
        <w:t>the</w:t>
      </w:r>
      <w:proofErr w:type="spellEnd"/>
      <w:r w:rsidRPr="001F6DCE">
        <w:rPr>
          <w:lang w:val="ro-RO"/>
        </w:rPr>
        <w:t xml:space="preserve"> </w:t>
      </w:r>
      <w:proofErr w:type="spellStart"/>
      <w:r w:rsidRPr="001F6DCE">
        <w:rPr>
          <w:lang w:val="ro-RO"/>
        </w:rPr>
        <w:t>Ministry</w:t>
      </w:r>
      <w:proofErr w:type="spellEnd"/>
      <w:r w:rsidRPr="001F6DCE">
        <w:rPr>
          <w:lang w:val="ro-RO"/>
        </w:rPr>
        <w:t xml:space="preserve"> of </w:t>
      </w:r>
      <w:proofErr w:type="spellStart"/>
      <w:r w:rsidRPr="001F6DCE">
        <w:rPr>
          <w:lang w:val="ro-RO"/>
        </w:rPr>
        <w:t>Health</w:t>
      </w:r>
      <w:proofErr w:type="spellEnd"/>
      <w:r w:rsidR="00B202FD" w:rsidRPr="001F6DCE">
        <w:rPr>
          <w:lang w:val="ro-RO"/>
        </w:rPr>
        <w:t xml:space="preserve">, </w:t>
      </w:r>
      <w:proofErr w:type="spellStart"/>
      <w:r w:rsidR="00B202FD" w:rsidRPr="001F6DCE">
        <w:rPr>
          <w:lang w:val="ro-RO"/>
        </w:rPr>
        <w:t>Labour</w:t>
      </w:r>
      <w:proofErr w:type="spellEnd"/>
      <w:r w:rsidR="00B202FD" w:rsidRPr="001F6DCE">
        <w:rPr>
          <w:lang w:val="ro-RO"/>
        </w:rPr>
        <w:t xml:space="preserve"> </w:t>
      </w:r>
      <w:proofErr w:type="spellStart"/>
      <w:r w:rsidR="00B202FD" w:rsidRPr="001F6DCE">
        <w:rPr>
          <w:lang w:val="ro-RO"/>
        </w:rPr>
        <w:t>and</w:t>
      </w:r>
      <w:proofErr w:type="spellEnd"/>
      <w:r w:rsidR="00B202FD" w:rsidRPr="001F6DCE">
        <w:rPr>
          <w:lang w:val="ro-RO"/>
        </w:rPr>
        <w:t xml:space="preserve"> Social </w:t>
      </w:r>
      <w:proofErr w:type="spellStart"/>
      <w:r w:rsidR="00B202FD" w:rsidRPr="001F6DCE">
        <w:rPr>
          <w:lang w:val="ro-RO"/>
        </w:rPr>
        <w:t>Protection</w:t>
      </w:r>
      <w:proofErr w:type="spellEnd"/>
      <w:r w:rsidRPr="001F6DCE">
        <w:rPr>
          <w:lang w:val="ro-RO"/>
        </w:rPr>
        <w:t xml:space="preserve">. </w:t>
      </w:r>
      <w:proofErr w:type="spellStart"/>
      <w:r w:rsidR="007155C8" w:rsidRPr="001F6DCE">
        <w:rPr>
          <w:lang w:val="ro-RO"/>
        </w:rPr>
        <w:t>Overall</w:t>
      </w:r>
      <w:proofErr w:type="spellEnd"/>
      <w:r w:rsidR="007155C8" w:rsidRPr="001F6DCE">
        <w:rPr>
          <w:lang w:val="ro-RO"/>
        </w:rPr>
        <w:t xml:space="preserve">, </w:t>
      </w:r>
      <w:proofErr w:type="spellStart"/>
      <w:r w:rsidR="007155C8" w:rsidRPr="001F6DCE">
        <w:rPr>
          <w:lang w:val="ro-RO"/>
        </w:rPr>
        <w:t>compared</w:t>
      </w:r>
      <w:proofErr w:type="spellEnd"/>
      <w:r w:rsidR="007155C8" w:rsidRPr="001F6DCE">
        <w:rPr>
          <w:lang w:val="ro-RO"/>
        </w:rPr>
        <w:t xml:space="preserve"> </w:t>
      </w:r>
      <w:proofErr w:type="spellStart"/>
      <w:r w:rsidR="007155C8" w:rsidRPr="001F6DCE">
        <w:rPr>
          <w:lang w:val="ro-RO"/>
        </w:rPr>
        <w:t>to</w:t>
      </w:r>
      <w:proofErr w:type="spellEnd"/>
      <w:r w:rsidR="007155C8" w:rsidRPr="001F6DCE">
        <w:rPr>
          <w:lang w:val="ro-RO"/>
        </w:rPr>
        <w:t xml:space="preserve"> 2013 </w:t>
      </w:r>
      <w:proofErr w:type="spellStart"/>
      <w:r w:rsidR="007155C8" w:rsidRPr="001F6DCE">
        <w:rPr>
          <w:lang w:val="ro-RO"/>
        </w:rPr>
        <w:t>there</w:t>
      </w:r>
      <w:proofErr w:type="spellEnd"/>
      <w:r w:rsidR="007155C8" w:rsidRPr="001F6DCE">
        <w:rPr>
          <w:lang w:val="ro-RO"/>
        </w:rPr>
        <w:t xml:space="preserve"> </w:t>
      </w:r>
      <w:proofErr w:type="spellStart"/>
      <w:r w:rsidR="007155C8" w:rsidRPr="001F6DCE">
        <w:rPr>
          <w:lang w:val="ro-RO"/>
        </w:rPr>
        <w:t>is</w:t>
      </w:r>
      <w:proofErr w:type="spellEnd"/>
      <w:r w:rsidR="007155C8" w:rsidRPr="001F6DCE">
        <w:rPr>
          <w:lang w:val="ro-RO"/>
        </w:rPr>
        <w:t xml:space="preserve"> </w:t>
      </w:r>
      <w:proofErr w:type="spellStart"/>
      <w:r w:rsidR="007155C8" w:rsidRPr="001F6DCE">
        <w:rPr>
          <w:lang w:val="ro-RO"/>
        </w:rPr>
        <w:t>significant</w:t>
      </w:r>
      <w:proofErr w:type="spellEnd"/>
      <w:r w:rsidR="007155C8" w:rsidRPr="001F6DCE">
        <w:rPr>
          <w:lang w:val="ro-RO"/>
        </w:rPr>
        <w:t xml:space="preserve"> </w:t>
      </w:r>
      <w:proofErr w:type="spellStart"/>
      <w:r w:rsidR="007155C8" w:rsidRPr="001F6DCE">
        <w:rPr>
          <w:lang w:val="ro-RO"/>
        </w:rPr>
        <w:t>improvement</w:t>
      </w:r>
      <w:proofErr w:type="spellEnd"/>
      <w:r w:rsidR="007155C8" w:rsidRPr="001F6DCE">
        <w:rPr>
          <w:lang w:val="ro-RO"/>
        </w:rPr>
        <w:t xml:space="preserve"> in </w:t>
      </w:r>
      <w:proofErr w:type="spellStart"/>
      <w:r w:rsidR="007155C8" w:rsidRPr="001F6DCE">
        <w:rPr>
          <w:lang w:val="ro-RO"/>
        </w:rPr>
        <w:t>the</w:t>
      </w:r>
      <w:proofErr w:type="spellEnd"/>
      <w:r w:rsidR="007155C8" w:rsidRPr="001F6DCE">
        <w:rPr>
          <w:lang w:val="ro-RO"/>
        </w:rPr>
        <w:t xml:space="preserve"> </w:t>
      </w:r>
      <w:proofErr w:type="spellStart"/>
      <w:r w:rsidR="007155C8" w:rsidRPr="001F6DCE">
        <w:rPr>
          <w:lang w:val="ro-RO"/>
        </w:rPr>
        <w:t>population</w:t>
      </w:r>
      <w:proofErr w:type="spellEnd"/>
      <w:r w:rsidR="007155C8" w:rsidRPr="001F6DCE">
        <w:rPr>
          <w:lang w:val="ro-RO"/>
        </w:rPr>
        <w:t xml:space="preserve"> </w:t>
      </w:r>
      <w:proofErr w:type="spellStart"/>
      <w:r w:rsidR="007155C8" w:rsidRPr="001F6DCE">
        <w:rPr>
          <w:lang w:val="ro-RO"/>
        </w:rPr>
        <w:t>confidence</w:t>
      </w:r>
      <w:proofErr w:type="spellEnd"/>
      <w:r w:rsidR="007155C8" w:rsidRPr="001F6DCE">
        <w:rPr>
          <w:lang w:val="ro-RO"/>
        </w:rPr>
        <w:t xml:space="preserve"> </w:t>
      </w:r>
      <w:proofErr w:type="spellStart"/>
      <w:r w:rsidR="007155C8" w:rsidRPr="001F6DCE">
        <w:rPr>
          <w:lang w:val="ro-RO"/>
        </w:rPr>
        <w:t>towards</w:t>
      </w:r>
      <w:proofErr w:type="spellEnd"/>
      <w:r w:rsidR="007155C8" w:rsidRPr="001F6DCE">
        <w:rPr>
          <w:lang w:val="ro-RO"/>
        </w:rPr>
        <w:t xml:space="preserve"> </w:t>
      </w:r>
      <w:proofErr w:type="spellStart"/>
      <w:r w:rsidR="007155C8" w:rsidRPr="001F6DCE">
        <w:rPr>
          <w:lang w:val="ro-RO"/>
        </w:rPr>
        <w:t>MoHLSP</w:t>
      </w:r>
      <w:proofErr w:type="spellEnd"/>
      <w:r w:rsidR="007155C8" w:rsidRPr="001F6DCE">
        <w:rPr>
          <w:lang w:val="ro-RO"/>
        </w:rPr>
        <w:t xml:space="preserve"> </w:t>
      </w:r>
      <w:proofErr w:type="spellStart"/>
      <w:r w:rsidR="007155C8" w:rsidRPr="001F6DCE">
        <w:rPr>
          <w:lang w:val="ro-RO"/>
        </w:rPr>
        <w:t>and</w:t>
      </w:r>
      <w:proofErr w:type="spellEnd"/>
      <w:r w:rsidR="007155C8" w:rsidRPr="001F6DCE">
        <w:rPr>
          <w:lang w:val="ro-RO"/>
        </w:rPr>
        <w:t xml:space="preserve"> CNAM. </w:t>
      </w:r>
    </w:p>
    <w:p w14:paraId="11CF6AEF" w14:textId="77777777" w:rsidR="00304EF0" w:rsidRPr="001F6DCE" w:rsidRDefault="00304EF0" w:rsidP="00A04983">
      <w:pPr>
        <w:jc w:val="both"/>
      </w:pPr>
    </w:p>
    <w:p w14:paraId="5D4611EA" w14:textId="77777777" w:rsidR="00A04983" w:rsidRPr="001F6DCE" w:rsidRDefault="00A04983" w:rsidP="00A04983">
      <w:pPr>
        <w:jc w:val="both"/>
        <w:rPr>
          <w:b/>
          <w:sz w:val="22"/>
          <w:szCs w:val="22"/>
        </w:rPr>
      </w:pPr>
      <w:r w:rsidRPr="001F6DCE">
        <w:rPr>
          <w:b/>
          <w:sz w:val="22"/>
          <w:szCs w:val="22"/>
        </w:rPr>
        <w:t>ESSA D</w:t>
      </w:r>
      <w:r w:rsidR="002422AE" w:rsidRPr="001F6DCE">
        <w:rPr>
          <w:b/>
          <w:sz w:val="22"/>
          <w:szCs w:val="22"/>
        </w:rPr>
        <w:t>isclosure and Public Consultations</w:t>
      </w:r>
    </w:p>
    <w:p w14:paraId="642A1599" w14:textId="77777777" w:rsidR="00A04983" w:rsidRPr="001F6DCE" w:rsidRDefault="00A04983" w:rsidP="00A04983">
      <w:pPr>
        <w:jc w:val="both"/>
        <w:rPr>
          <w:i/>
          <w:sz w:val="22"/>
          <w:szCs w:val="22"/>
          <w:u w:val="single"/>
        </w:rPr>
      </w:pPr>
      <w:r w:rsidRPr="001F6DCE">
        <w:rPr>
          <w:i/>
          <w:sz w:val="22"/>
          <w:szCs w:val="22"/>
          <w:u w:val="single"/>
        </w:rPr>
        <w:t xml:space="preserve"> </w:t>
      </w:r>
    </w:p>
    <w:p w14:paraId="1E8AD4C2" w14:textId="5FC598CF" w:rsidR="00A04983" w:rsidRPr="001F6DCE" w:rsidRDefault="00A04983" w:rsidP="002422AE">
      <w:pPr>
        <w:pStyle w:val="ListParagraph"/>
        <w:numPr>
          <w:ilvl w:val="0"/>
          <w:numId w:val="16"/>
        </w:numPr>
        <w:ind w:left="0" w:firstLine="0"/>
        <w:contextualSpacing w:val="0"/>
        <w:jc w:val="both"/>
      </w:pPr>
      <w:proofErr w:type="spellStart"/>
      <w:r w:rsidRPr="001F6DCE">
        <w:rPr>
          <w:lang w:val="ro-RO"/>
        </w:rPr>
        <w:t>After</w:t>
      </w:r>
      <w:proofErr w:type="spellEnd"/>
      <w:r w:rsidRPr="001F6DCE">
        <w:rPr>
          <w:lang w:val="ro-RO"/>
        </w:rPr>
        <w:t xml:space="preserve"> </w:t>
      </w:r>
      <w:proofErr w:type="spellStart"/>
      <w:r w:rsidRPr="001F6DCE">
        <w:rPr>
          <w:lang w:val="ro-RO"/>
        </w:rPr>
        <w:t>presentations</w:t>
      </w:r>
      <w:proofErr w:type="spellEnd"/>
      <w:r w:rsidRPr="001F6DCE">
        <w:rPr>
          <w:lang w:val="ro-RO"/>
        </w:rPr>
        <w:t xml:space="preserve"> on </w:t>
      </w:r>
      <w:proofErr w:type="spellStart"/>
      <w:r w:rsidRPr="001F6DCE">
        <w:rPr>
          <w:lang w:val="ro-RO"/>
        </w:rPr>
        <w:t>the</w:t>
      </w:r>
      <w:proofErr w:type="spellEnd"/>
      <w:r w:rsidRPr="001F6DCE">
        <w:rPr>
          <w:lang w:val="ro-RO"/>
        </w:rPr>
        <w:t xml:space="preserve"> </w:t>
      </w:r>
      <w:proofErr w:type="spellStart"/>
      <w:r w:rsidR="00BF2C7F" w:rsidRPr="001F6DCE">
        <w:rPr>
          <w:lang w:val="ro-RO"/>
        </w:rPr>
        <w:t>updates</w:t>
      </w:r>
      <w:proofErr w:type="spellEnd"/>
      <w:r w:rsidRPr="001F6DCE">
        <w:rPr>
          <w:lang w:val="ro-RO"/>
        </w:rPr>
        <w:t xml:space="preserve"> of </w:t>
      </w:r>
      <w:proofErr w:type="spellStart"/>
      <w:r w:rsidRPr="001F6DCE">
        <w:rPr>
          <w:lang w:val="ro-RO"/>
        </w:rPr>
        <w:t>the</w:t>
      </w:r>
      <w:proofErr w:type="spellEnd"/>
      <w:r w:rsidRPr="001F6DCE">
        <w:rPr>
          <w:lang w:val="ro-RO"/>
        </w:rPr>
        <w:t xml:space="preserve"> </w:t>
      </w:r>
      <w:proofErr w:type="spellStart"/>
      <w:r w:rsidRPr="001F6DCE">
        <w:rPr>
          <w:lang w:val="ro-RO"/>
        </w:rPr>
        <w:t>study</w:t>
      </w:r>
      <w:proofErr w:type="spellEnd"/>
      <w:r w:rsidRPr="001F6DCE">
        <w:rPr>
          <w:lang w:val="ro-RO"/>
        </w:rPr>
        <w:t xml:space="preserve">, </w:t>
      </w:r>
      <w:proofErr w:type="spellStart"/>
      <w:r w:rsidRPr="001F6DCE">
        <w:rPr>
          <w:lang w:val="ro-RO"/>
        </w:rPr>
        <w:t>the</w:t>
      </w:r>
      <w:proofErr w:type="spellEnd"/>
      <w:r w:rsidRPr="001F6DCE">
        <w:rPr>
          <w:lang w:val="ro-RO"/>
        </w:rPr>
        <w:t xml:space="preserve"> </w:t>
      </w:r>
      <w:proofErr w:type="spellStart"/>
      <w:r w:rsidRPr="001F6DCE">
        <w:rPr>
          <w:lang w:val="ro-RO"/>
        </w:rPr>
        <w:t>participants</w:t>
      </w:r>
      <w:proofErr w:type="spellEnd"/>
      <w:r w:rsidRPr="001F6DCE">
        <w:rPr>
          <w:lang w:val="ro-RO"/>
        </w:rPr>
        <w:t xml:space="preserve"> </w:t>
      </w:r>
      <w:proofErr w:type="spellStart"/>
      <w:r w:rsidRPr="001F6DCE">
        <w:rPr>
          <w:lang w:val="ro-RO"/>
        </w:rPr>
        <w:t>raised</w:t>
      </w:r>
      <w:proofErr w:type="spellEnd"/>
      <w:r w:rsidRPr="001F6DCE">
        <w:rPr>
          <w:lang w:val="ro-RO"/>
        </w:rPr>
        <w:t xml:space="preserve"> a </w:t>
      </w:r>
      <w:proofErr w:type="spellStart"/>
      <w:r w:rsidRPr="001F6DCE">
        <w:rPr>
          <w:lang w:val="ro-RO"/>
        </w:rPr>
        <w:t>series</w:t>
      </w:r>
      <w:proofErr w:type="spellEnd"/>
      <w:r w:rsidRPr="001F6DCE">
        <w:rPr>
          <w:lang w:val="ro-RO"/>
        </w:rPr>
        <w:t xml:space="preserve"> of </w:t>
      </w:r>
      <w:proofErr w:type="spellStart"/>
      <w:r w:rsidRPr="001F6DCE">
        <w:rPr>
          <w:lang w:val="ro-RO"/>
        </w:rPr>
        <w:t>questions</w:t>
      </w:r>
      <w:proofErr w:type="spellEnd"/>
      <w:r w:rsidRPr="001F6DCE">
        <w:t xml:space="preserve"> mostly with regard to the peculiarities of the proposed operation. The final version of the ESSA was posted at the </w:t>
      </w:r>
      <w:proofErr w:type="spellStart"/>
      <w:r w:rsidR="00AB062A" w:rsidRPr="001F6DCE">
        <w:t>M</w:t>
      </w:r>
      <w:r w:rsidR="00FC7EB7" w:rsidRPr="001F6DCE">
        <w:t>o</w:t>
      </w:r>
      <w:r w:rsidR="00AB062A" w:rsidRPr="001F6DCE">
        <w:t>H</w:t>
      </w:r>
      <w:r w:rsidR="00FC7EB7" w:rsidRPr="001F6DCE">
        <w:t>LSP</w:t>
      </w:r>
      <w:proofErr w:type="spellEnd"/>
      <w:r w:rsidRPr="001F6DCE">
        <w:t xml:space="preserve"> w</w:t>
      </w:r>
      <w:r w:rsidR="00DB71B7" w:rsidRPr="001F6DCE">
        <w:t>ebsite and submitted to the WB</w:t>
      </w:r>
      <w:r w:rsidRPr="001F6DCE">
        <w:t xml:space="preserve"> for its disclosure in the </w:t>
      </w:r>
      <w:proofErr w:type="spellStart"/>
      <w:r w:rsidRPr="001F6DCE">
        <w:t>Infoshop</w:t>
      </w:r>
      <w:proofErr w:type="spellEnd"/>
      <w:r w:rsidRPr="001F6DCE">
        <w:t>.</w:t>
      </w:r>
    </w:p>
    <w:p w14:paraId="4F10D8CA" w14:textId="77777777" w:rsidR="000A6A24" w:rsidRPr="001F6DCE" w:rsidRDefault="000A6A24" w:rsidP="00A04983">
      <w:pPr>
        <w:jc w:val="both"/>
        <w:rPr>
          <w:b/>
          <w:szCs w:val="24"/>
          <w:u w:val="single"/>
        </w:rPr>
      </w:pPr>
    </w:p>
    <w:p w14:paraId="54598DB4" w14:textId="77777777" w:rsidR="00A55415" w:rsidRPr="001F6DCE" w:rsidRDefault="00654438" w:rsidP="00A04983">
      <w:pPr>
        <w:jc w:val="both"/>
        <w:rPr>
          <w:b/>
          <w:szCs w:val="24"/>
        </w:rPr>
      </w:pPr>
      <w:r w:rsidRPr="001F6DCE">
        <w:rPr>
          <w:b/>
          <w:szCs w:val="24"/>
        </w:rPr>
        <w:t>R</w:t>
      </w:r>
      <w:r w:rsidR="002422AE" w:rsidRPr="001F6DCE">
        <w:rPr>
          <w:b/>
          <w:szCs w:val="24"/>
        </w:rPr>
        <w:t>ecommendations</w:t>
      </w:r>
    </w:p>
    <w:p w14:paraId="0A9E27CF" w14:textId="77777777" w:rsidR="00A55415" w:rsidRPr="001F6DCE" w:rsidRDefault="00A55415" w:rsidP="00A04983">
      <w:pPr>
        <w:jc w:val="both"/>
        <w:rPr>
          <w:i/>
          <w:szCs w:val="24"/>
          <w:u w:val="single"/>
        </w:rPr>
      </w:pPr>
    </w:p>
    <w:p w14:paraId="5227DB8C" w14:textId="18EBDA05" w:rsidR="00047A7F" w:rsidRPr="001F6DCE" w:rsidRDefault="00C10D2A" w:rsidP="00A04983">
      <w:pPr>
        <w:pStyle w:val="ListParagraph"/>
        <w:numPr>
          <w:ilvl w:val="0"/>
          <w:numId w:val="16"/>
        </w:numPr>
        <w:ind w:left="0" w:firstLine="0"/>
        <w:contextualSpacing w:val="0"/>
        <w:jc w:val="both"/>
        <w:rPr>
          <w:rFonts w:eastAsia="Calibri"/>
          <w:lang w:val="en-US"/>
        </w:rPr>
      </w:pPr>
      <w:r w:rsidRPr="001F6DCE">
        <w:rPr>
          <w:rFonts w:eastAsia="Calibri"/>
          <w:i/>
          <w:lang w:val="en-US"/>
        </w:rPr>
        <w:t>Recommended measures</w:t>
      </w:r>
      <w:r w:rsidR="00C04195" w:rsidRPr="001F6DCE">
        <w:rPr>
          <w:rFonts w:eastAsia="Calibri"/>
          <w:i/>
          <w:lang w:val="en-US"/>
        </w:rPr>
        <w:t xml:space="preserve"> to improve HCWM</w:t>
      </w:r>
      <w:r w:rsidR="00C04195" w:rsidRPr="001F6DCE">
        <w:rPr>
          <w:rFonts w:eastAsia="Calibri"/>
          <w:lang w:val="en-US"/>
        </w:rPr>
        <w:t xml:space="preserve">. </w:t>
      </w:r>
      <w:r w:rsidR="00147721" w:rsidRPr="001F6DCE">
        <w:rPr>
          <w:rFonts w:eastAsia="Calibri"/>
          <w:lang w:val="en-US"/>
        </w:rPr>
        <w:t xml:space="preserve"> </w:t>
      </w:r>
      <w:r w:rsidR="00C04195" w:rsidRPr="001F6DCE">
        <w:rPr>
          <w:rFonts w:eastAsia="Calibri"/>
          <w:lang w:val="en-US"/>
        </w:rPr>
        <w:t xml:space="preserve">To improve situation in this domain it is necessary to undertake a series of activities which related to both capacity building as well as to providing necessary funds and investments in the sector (all concrete measures are specified in the table 1 below). With regard to HCWM regulatory framework it is necessary to revise and update the regulation on HCWM, as well as to update existing Guidelines and relevant national standards. Concerning providing the HCFs with adequate equipment, suppliers and to building up adequate disposal facilities the </w:t>
      </w:r>
      <w:proofErr w:type="spellStart"/>
      <w:r w:rsidR="00AB062A" w:rsidRPr="001F6DCE">
        <w:rPr>
          <w:rFonts w:eastAsia="Calibri"/>
          <w:lang w:val="en-US"/>
        </w:rPr>
        <w:t>G</w:t>
      </w:r>
      <w:r w:rsidR="00047A7F" w:rsidRPr="001F6DCE">
        <w:rPr>
          <w:rFonts w:eastAsia="Calibri"/>
          <w:lang w:val="en-US"/>
        </w:rPr>
        <w:t>o</w:t>
      </w:r>
      <w:r w:rsidR="00AB062A" w:rsidRPr="001F6DCE">
        <w:rPr>
          <w:rFonts w:eastAsia="Calibri"/>
          <w:lang w:val="en-US"/>
        </w:rPr>
        <w:t>M</w:t>
      </w:r>
      <w:proofErr w:type="spellEnd"/>
      <w:r w:rsidR="00C04195" w:rsidRPr="001F6DCE">
        <w:rPr>
          <w:rFonts w:eastAsia="Calibri"/>
          <w:lang w:val="en-US"/>
        </w:rPr>
        <w:t xml:space="preserve"> may prepare and adopt a special action plan in this regard. </w:t>
      </w:r>
      <w:r w:rsidR="002563BF" w:rsidRPr="001F6DCE">
        <w:rPr>
          <w:rFonts w:eastAsia="Calibri"/>
          <w:lang w:val="en-US"/>
        </w:rPr>
        <w:t xml:space="preserve">For instance, </w:t>
      </w:r>
      <w:r w:rsidR="002563BF" w:rsidRPr="001F6DCE">
        <w:rPr>
          <w:rFonts w:eastAsia="Calibri"/>
          <w:iCs/>
          <w:lang w:val="en-US"/>
        </w:rPr>
        <w:t xml:space="preserve">the preliminary estimations specified in the National Waste Management </w:t>
      </w:r>
      <w:r w:rsidR="002563BF" w:rsidRPr="001F6DCE">
        <w:rPr>
          <w:rFonts w:eastAsia="Calibri"/>
          <w:iCs/>
          <w:lang w:val="en-US"/>
        </w:rPr>
        <w:lastRenderedPageBreak/>
        <w:t>Strategy for 2013-2025 specifies it might be needed about 3-4 regional autoclaves for healthcare waste treatment with a total cost per unit of about Euro 0.5 million, including the costs associated for creation of regional networks for providing these services. To this end, a feasibility study to design the HCWM would be imperative</w:t>
      </w:r>
      <w:r w:rsidR="002563BF" w:rsidRPr="001F6DCE">
        <w:rPr>
          <w:rFonts w:eastAsia="Calibri"/>
          <w:lang w:val="en-US"/>
        </w:rPr>
        <w:t xml:space="preserve">. Nevertheless, in the context of development of hospital optimization and downsizing, it is premature to project healthcare waste production capacity and therefore is difficult to formulate a well-targeted project requesting assistance from multilateral or a bilateral donor or consider </w:t>
      </w:r>
      <w:r w:rsidR="002563BF" w:rsidRPr="001F6DCE">
        <w:rPr>
          <w:rFonts w:eastAsia="Calibri"/>
          <w:iCs/>
          <w:lang w:val="en-US"/>
        </w:rPr>
        <w:t>options for developing public-private partnerships</w:t>
      </w:r>
      <w:r w:rsidR="002563BF" w:rsidRPr="001F6DCE">
        <w:rPr>
          <w:rFonts w:eastAsia="Calibri"/>
          <w:lang w:val="en-US"/>
        </w:rPr>
        <w:t xml:space="preserve">. Therefore, under the current </w:t>
      </w:r>
      <w:proofErr w:type="spellStart"/>
      <w:r w:rsidR="002563BF" w:rsidRPr="001F6DCE">
        <w:rPr>
          <w:rFonts w:eastAsia="Calibri"/>
          <w:lang w:val="en-US"/>
        </w:rPr>
        <w:t>PforR</w:t>
      </w:r>
      <w:proofErr w:type="spellEnd"/>
      <w:r w:rsidR="002563BF" w:rsidRPr="001F6DCE">
        <w:rPr>
          <w:rFonts w:eastAsia="Calibri"/>
          <w:lang w:val="en-US"/>
        </w:rPr>
        <w:t xml:space="preserve"> the feasibility study for HCWM will be replaced with the development of sanitary regulations and technical standards for healthcare waste management (including disposal). </w:t>
      </w:r>
    </w:p>
    <w:p w14:paraId="117EEEDF" w14:textId="77777777" w:rsidR="002563BF" w:rsidRPr="001F6DCE" w:rsidRDefault="002563BF" w:rsidP="00A23190">
      <w:pPr>
        <w:pStyle w:val="ListParagraph"/>
        <w:ind w:left="0"/>
        <w:contextualSpacing w:val="0"/>
        <w:jc w:val="both"/>
        <w:rPr>
          <w:rFonts w:eastAsia="Calibri"/>
          <w:lang w:val="en-US"/>
        </w:rPr>
      </w:pPr>
    </w:p>
    <w:p w14:paraId="1B25DB73" w14:textId="39246E12" w:rsidR="00A55415" w:rsidRPr="001F6DCE" w:rsidRDefault="00A55415" w:rsidP="002422AE">
      <w:pPr>
        <w:pStyle w:val="ListParagraph"/>
        <w:numPr>
          <w:ilvl w:val="0"/>
          <w:numId w:val="16"/>
        </w:numPr>
        <w:ind w:left="0" w:firstLine="0"/>
        <w:contextualSpacing w:val="0"/>
        <w:jc w:val="both"/>
      </w:pPr>
      <w:r w:rsidRPr="001F6DCE">
        <w:rPr>
          <w:rFonts w:eastAsia="Calibri"/>
          <w:i/>
          <w:lang w:val="en-US"/>
        </w:rPr>
        <w:t xml:space="preserve">Areas and options for improving </w:t>
      </w:r>
      <w:proofErr w:type="spellStart"/>
      <w:r w:rsidRPr="001F6DCE">
        <w:rPr>
          <w:rFonts w:eastAsia="Calibri"/>
          <w:i/>
          <w:lang w:val="en-US"/>
        </w:rPr>
        <w:t>PhWM</w:t>
      </w:r>
      <w:proofErr w:type="spellEnd"/>
      <w:r w:rsidRPr="001F6DCE">
        <w:rPr>
          <w:rFonts w:eastAsia="Calibri"/>
          <w:i/>
          <w:lang w:val="en-US"/>
        </w:rPr>
        <w:t xml:space="preserve">. </w:t>
      </w:r>
      <w:r w:rsidR="00147721" w:rsidRPr="001F6DCE">
        <w:rPr>
          <w:rFonts w:eastAsia="Calibri"/>
          <w:i/>
          <w:lang w:val="en-US"/>
        </w:rPr>
        <w:t xml:space="preserve"> </w:t>
      </w:r>
      <w:r w:rsidRPr="001F6DCE">
        <w:rPr>
          <w:rFonts w:eastAsia="Calibri"/>
          <w:lang w:val="en-US"/>
        </w:rPr>
        <w:t xml:space="preserve">While overall this system is well functioning, based on received information it is possible to conclude the NADME </w:t>
      </w:r>
      <w:proofErr w:type="spellStart"/>
      <w:r w:rsidRPr="001F6DCE">
        <w:rPr>
          <w:rFonts w:eastAsia="Calibri"/>
          <w:lang w:val="en-US"/>
        </w:rPr>
        <w:t>PhWs</w:t>
      </w:r>
      <w:proofErr w:type="spellEnd"/>
      <w:r w:rsidRPr="001F6DCE">
        <w:rPr>
          <w:rFonts w:eastAsia="Calibri"/>
          <w:lang w:val="en-US"/>
        </w:rPr>
        <w:t xml:space="preserve"> Disposal Division is understaffed and periodically has difficulties in conducting timely its activities. In this regard it would be necessary to increase on temporary or permanent basis the number of its staff. Another possible option in this regard might be commercializing these services, by creating necessary regulatory basis, by increasing the current level of tariffs to a feasible level and/or by creating a public private </w:t>
      </w:r>
      <w:r w:rsidRPr="001F6DCE">
        <w:t>partnership in this domain. For the latest it would be good to conduct a feasibility study and assess this option, proposing necessary recommendations.</w:t>
      </w:r>
      <w:r w:rsidR="00822B6E" w:rsidRPr="001F6DCE">
        <w:t xml:space="preserve"> However, it would be good if both, feasibility for HCWM and </w:t>
      </w:r>
      <w:proofErr w:type="spellStart"/>
      <w:r w:rsidR="00822B6E" w:rsidRPr="001F6DCE">
        <w:t>PhWs</w:t>
      </w:r>
      <w:proofErr w:type="spellEnd"/>
      <w:r w:rsidR="00822B6E" w:rsidRPr="001F6DCE">
        <w:t xml:space="preserve"> are being developed in synergy instead of separately from each other. </w:t>
      </w:r>
    </w:p>
    <w:p w14:paraId="16607F88" w14:textId="77777777" w:rsidR="00A55415" w:rsidRPr="001F6DCE" w:rsidRDefault="00A55415" w:rsidP="002422AE">
      <w:pPr>
        <w:pStyle w:val="ListParagraph"/>
        <w:ind w:left="0"/>
        <w:contextualSpacing w:val="0"/>
        <w:jc w:val="both"/>
      </w:pPr>
    </w:p>
    <w:p w14:paraId="128383F4" w14:textId="5DE4E2AD" w:rsidR="00B47E12" w:rsidRPr="001F6DCE" w:rsidRDefault="00B47E12" w:rsidP="00B47E12">
      <w:pPr>
        <w:pStyle w:val="ListParagraph"/>
        <w:numPr>
          <w:ilvl w:val="0"/>
          <w:numId w:val="16"/>
        </w:numPr>
        <w:ind w:left="0" w:firstLine="0"/>
        <w:contextualSpacing w:val="0"/>
        <w:jc w:val="both"/>
      </w:pPr>
      <w:r w:rsidRPr="001F6DCE">
        <w:rPr>
          <w:i/>
        </w:rPr>
        <w:t>Improvement in the capacity to manage external technical assistance</w:t>
      </w:r>
      <w:r w:rsidRPr="001F6DCE">
        <w:t xml:space="preserve">. The </w:t>
      </w:r>
      <w:proofErr w:type="spellStart"/>
      <w:r w:rsidRPr="001F6DCE">
        <w:t>MoHLSP</w:t>
      </w:r>
      <w:proofErr w:type="spellEnd"/>
      <w:r w:rsidRPr="001F6DCE">
        <w:t xml:space="preserve"> often lacks adequate skills and knowledge to manage the externally funded consultancies. As a result, consulting companies tend to deliver the minimum requirements under the contract which often puts the </w:t>
      </w:r>
      <w:proofErr w:type="spellStart"/>
      <w:r w:rsidRPr="001F6DCE">
        <w:t>MoHLSP</w:t>
      </w:r>
      <w:proofErr w:type="spellEnd"/>
      <w:r w:rsidRPr="001F6DCE">
        <w:t xml:space="preserve"> under a pressure once the TA is completed. It is therefore of utmost importance to install solid quality monitoring and coordination mechanism (e.g. Working Groups including relevant WHO, WB, GIZ, SDC experts).</w:t>
      </w:r>
    </w:p>
    <w:p w14:paraId="1F3AF3D9" w14:textId="77777777" w:rsidR="00B47E12" w:rsidRPr="001F6DCE" w:rsidRDefault="00B47E12" w:rsidP="00036315">
      <w:pPr>
        <w:pStyle w:val="ListParagraph"/>
      </w:pPr>
    </w:p>
    <w:p w14:paraId="0F093317" w14:textId="33118D47" w:rsidR="00256CA6" w:rsidRPr="001F6DCE" w:rsidRDefault="00375DFA" w:rsidP="002422AE">
      <w:pPr>
        <w:pStyle w:val="ListParagraph"/>
        <w:numPr>
          <w:ilvl w:val="0"/>
          <w:numId w:val="16"/>
        </w:numPr>
        <w:ind w:left="0" w:firstLine="0"/>
        <w:contextualSpacing w:val="0"/>
        <w:jc w:val="both"/>
      </w:pPr>
      <w:r w:rsidRPr="001F6DCE">
        <w:rPr>
          <w:i/>
        </w:rPr>
        <w:t xml:space="preserve">Ensuring </w:t>
      </w:r>
      <w:r w:rsidR="00256CA6" w:rsidRPr="001F6DCE">
        <w:rPr>
          <w:i/>
        </w:rPr>
        <w:t>political support to reforms</w:t>
      </w:r>
      <w:r w:rsidR="000A6A24" w:rsidRPr="001F6DCE">
        <w:t xml:space="preserve">. </w:t>
      </w:r>
      <w:r w:rsidR="00256CA6" w:rsidRPr="001F6DCE">
        <w:t xml:space="preserve">The </w:t>
      </w:r>
      <w:proofErr w:type="spellStart"/>
      <w:r w:rsidR="00B8273E" w:rsidRPr="001F6DCE">
        <w:t>PforR</w:t>
      </w:r>
      <w:proofErr w:type="spellEnd"/>
      <w:r w:rsidR="00B8273E" w:rsidRPr="001F6DCE">
        <w:t xml:space="preserve"> </w:t>
      </w:r>
      <w:r w:rsidR="00256CA6" w:rsidRPr="001F6DCE">
        <w:t xml:space="preserve">project </w:t>
      </w:r>
      <w:r w:rsidR="00B8273E" w:rsidRPr="001F6DCE">
        <w:t>was implemented in the period of high political volatility</w:t>
      </w:r>
      <w:r w:rsidR="00256CA6" w:rsidRPr="001F6DCE">
        <w:t>, which coincide</w:t>
      </w:r>
      <w:r w:rsidR="00B8273E" w:rsidRPr="001F6DCE">
        <w:t>d</w:t>
      </w:r>
      <w:r w:rsidR="00256CA6" w:rsidRPr="001F6DCE">
        <w:t xml:space="preserve"> with </w:t>
      </w:r>
      <w:r w:rsidR="00B8273E" w:rsidRPr="001F6DCE">
        <w:t>a series of elections: presidential (2016) and parliamentary elections (2018)</w:t>
      </w:r>
      <w:r w:rsidR="00256CA6" w:rsidRPr="001F6DCE">
        <w:t xml:space="preserve">. During this time, the </w:t>
      </w:r>
      <w:proofErr w:type="spellStart"/>
      <w:r w:rsidR="00AB062A" w:rsidRPr="001F6DCE">
        <w:t>M</w:t>
      </w:r>
      <w:r w:rsidR="00B8273E" w:rsidRPr="001F6DCE">
        <w:t>o</w:t>
      </w:r>
      <w:r w:rsidR="00AB062A" w:rsidRPr="001F6DCE">
        <w:t>H</w:t>
      </w:r>
      <w:r w:rsidR="00B8273E" w:rsidRPr="001F6DCE">
        <w:t>LSP</w:t>
      </w:r>
      <w:proofErr w:type="spellEnd"/>
      <w:r w:rsidR="00256CA6" w:rsidRPr="001F6DCE">
        <w:t xml:space="preserve"> leadership and some MPs may be reluctant to embark upon unpopular reforms</w:t>
      </w:r>
      <w:r w:rsidR="00AD09DA" w:rsidRPr="001F6DCE">
        <w:t>, or conversely will try to introduce some measures that are not necessarily cost-effective and efficient</w:t>
      </w:r>
      <w:r w:rsidR="00256CA6" w:rsidRPr="001F6DCE">
        <w:t xml:space="preserve">. It is therefore important to </w:t>
      </w:r>
      <w:r w:rsidR="00AD09DA" w:rsidRPr="001F6DCE">
        <w:t xml:space="preserve">address capacity strengthening and accountability measures and </w:t>
      </w:r>
      <w:proofErr w:type="gramStart"/>
      <w:r w:rsidR="00AD09DA" w:rsidRPr="001F6DCE">
        <w:t>ensure</w:t>
      </w:r>
      <w:proofErr w:type="gramEnd"/>
      <w:r w:rsidR="00AD09DA" w:rsidRPr="001F6DCE">
        <w:t xml:space="preserve"> that the project design </w:t>
      </w:r>
      <w:r w:rsidR="00256CA6" w:rsidRPr="001F6DCE">
        <w:t>include</w:t>
      </w:r>
      <w:r w:rsidR="00AD09DA" w:rsidRPr="001F6DCE">
        <w:t>s</w:t>
      </w:r>
      <w:r w:rsidR="00256CA6" w:rsidRPr="001F6DCE">
        <w:t xml:space="preserve"> </w:t>
      </w:r>
      <w:r w:rsidR="00AD09DA" w:rsidRPr="001F6DCE">
        <w:rPr>
          <w:i/>
        </w:rPr>
        <w:t>inter alia</w:t>
      </w:r>
      <w:r w:rsidR="00AD09DA" w:rsidRPr="001F6DCE">
        <w:t xml:space="preserve"> </w:t>
      </w:r>
      <w:r w:rsidR="00256CA6" w:rsidRPr="001F6DCE">
        <w:t xml:space="preserve">some </w:t>
      </w:r>
      <w:r w:rsidR="00147721" w:rsidRPr="001F6DCE">
        <w:t>“</w:t>
      </w:r>
      <w:r w:rsidR="00256CA6" w:rsidRPr="001F6DCE">
        <w:t>low-hanging fruit</w:t>
      </w:r>
      <w:r w:rsidR="00147721" w:rsidRPr="001F6DCE">
        <w:t xml:space="preserve">” </w:t>
      </w:r>
      <w:r w:rsidR="00AD09DA" w:rsidRPr="001F6DCE">
        <w:t>measures</w:t>
      </w:r>
      <w:r w:rsidR="00E443F7" w:rsidRPr="001F6DCE">
        <w:t xml:space="preserve"> while preparing technical basis for reforms</w:t>
      </w:r>
      <w:r w:rsidR="00256CA6" w:rsidRPr="001F6DCE">
        <w:t>.</w:t>
      </w:r>
    </w:p>
    <w:p w14:paraId="6EF9B30C" w14:textId="77777777" w:rsidR="000B109F" w:rsidRPr="001F6DCE" w:rsidRDefault="000B109F" w:rsidP="002422AE">
      <w:pPr>
        <w:pStyle w:val="ListParagraph"/>
        <w:ind w:left="0"/>
        <w:contextualSpacing w:val="0"/>
        <w:jc w:val="both"/>
      </w:pPr>
    </w:p>
    <w:p w14:paraId="7C56CE50" w14:textId="2506FD8E" w:rsidR="00AC148B" w:rsidRPr="001F6DCE" w:rsidRDefault="00375DFA" w:rsidP="002422AE">
      <w:pPr>
        <w:pStyle w:val="ListParagraph"/>
        <w:numPr>
          <w:ilvl w:val="0"/>
          <w:numId w:val="16"/>
        </w:numPr>
        <w:ind w:left="0" w:firstLine="0"/>
        <w:contextualSpacing w:val="0"/>
        <w:jc w:val="both"/>
      </w:pPr>
      <w:r w:rsidRPr="001F6DCE">
        <w:rPr>
          <w:i/>
        </w:rPr>
        <w:t>Enhancement of</w:t>
      </w:r>
      <w:r w:rsidR="005F443E" w:rsidRPr="001F6DCE">
        <w:rPr>
          <w:i/>
        </w:rPr>
        <w:t xml:space="preserve"> access to health care services</w:t>
      </w:r>
      <w:r w:rsidR="000A6A24" w:rsidRPr="001F6DCE">
        <w:t xml:space="preserve">. </w:t>
      </w:r>
      <w:r w:rsidR="00027E22" w:rsidRPr="001F6DCE">
        <w:t xml:space="preserve">Policy NGOs </w:t>
      </w:r>
      <w:r w:rsidR="00FA714A" w:rsidRPr="001F6DCE">
        <w:t>shall</w:t>
      </w:r>
      <w:r w:rsidR="00027E22" w:rsidRPr="001F6DCE">
        <w:t xml:space="preserve"> be</w:t>
      </w:r>
      <w:r w:rsidR="007D5D53" w:rsidRPr="001F6DCE">
        <w:t xml:space="preserve"> more</w:t>
      </w:r>
      <w:r w:rsidR="00027E22" w:rsidRPr="001F6DCE">
        <w:t xml:space="preserve"> </w:t>
      </w:r>
      <w:r w:rsidR="00FA714A" w:rsidRPr="001F6DCE">
        <w:t>involved</w:t>
      </w:r>
      <w:r w:rsidR="00027E22" w:rsidRPr="001F6DCE">
        <w:t xml:space="preserve"> in the promotion of structural reforms at central level, whereas advocacy organizatio</w:t>
      </w:r>
      <w:r w:rsidR="00FA714A" w:rsidRPr="001F6DCE">
        <w:t>ns such as health trade unions w</w:t>
      </w:r>
      <w:r w:rsidR="00027E22" w:rsidRPr="001F6DCE">
        <w:t xml:space="preserve">ould be helpful in providing information on the reforms in health institutions. </w:t>
      </w:r>
      <w:r w:rsidR="00AC148B" w:rsidRPr="001F6DCE">
        <w:t>Social networks and media shall be used to communicate the reform to the patients. Roma NGOs might be involved to improve awareness on the entitlements and the changes related the reform.</w:t>
      </w:r>
    </w:p>
    <w:p w14:paraId="268DCF7B" w14:textId="77777777" w:rsidR="009A14C5" w:rsidRPr="001F6DCE" w:rsidRDefault="009A14C5" w:rsidP="00036315">
      <w:pPr>
        <w:pStyle w:val="ListParagraph"/>
      </w:pPr>
    </w:p>
    <w:p w14:paraId="1839E4AA" w14:textId="20120DB8" w:rsidR="009A14C5" w:rsidRPr="001F6DCE" w:rsidRDefault="009A14C5" w:rsidP="002422AE">
      <w:pPr>
        <w:pStyle w:val="ListParagraph"/>
        <w:numPr>
          <w:ilvl w:val="0"/>
          <w:numId w:val="16"/>
        </w:numPr>
        <w:ind w:left="0" w:firstLine="0"/>
        <w:contextualSpacing w:val="0"/>
        <w:jc w:val="both"/>
      </w:pPr>
      <w:r w:rsidRPr="001F6DCE">
        <w:t>During 2015-2016 the WBG, WHO and the local NGO PAS established good cooperation in terms of</w:t>
      </w:r>
      <w:r w:rsidR="00EA64A1" w:rsidRPr="001F6DCE">
        <w:t xml:space="preserve"> implementation of </w:t>
      </w:r>
      <w:r w:rsidRPr="001F6DCE">
        <w:t xml:space="preserve">anti-tobacco law </w:t>
      </w:r>
      <w:r w:rsidR="00EA64A1" w:rsidRPr="001F6DCE">
        <w:t xml:space="preserve">and promotion of excise tax increase </w:t>
      </w:r>
      <w:r w:rsidR="00EA64A1" w:rsidRPr="001F6DCE">
        <w:lastRenderedPageBreak/>
        <w:t xml:space="preserve">in Moldova. With the support from Bloomberg Initiative to Reduce Tobacco Smoking, the PAS centre advocated for the effective implementation of FCTC complaint legislation in Moldova on tobacco control and represented civil society in various policy dialogues aimed at curbing smoking prevalence and improving public health. </w:t>
      </w:r>
    </w:p>
    <w:p w14:paraId="06F106BA" w14:textId="77777777" w:rsidR="007D5D53" w:rsidRPr="001F6DCE" w:rsidRDefault="007D5D53" w:rsidP="00036315">
      <w:pPr>
        <w:pStyle w:val="ListParagraph"/>
      </w:pPr>
    </w:p>
    <w:p w14:paraId="1163E48A" w14:textId="43659D28" w:rsidR="00EC24DC" w:rsidRPr="001F6DCE" w:rsidRDefault="00EC24DC" w:rsidP="00036315">
      <w:pPr>
        <w:pStyle w:val="ListParagraph"/>
        <w:numPr>
          <w:ilvl w:val="0"/>
          <w:numId w:val="16"/>
        </w:numPr>
        <w:ind w:left="0" w:firstLine="0"/>
        <w:contextualSpacing w:val="0"/>
        <w:jc w:val="both"/>
      </w:pPr>
      <w:r w:rsidRPr="001F6DCE">
        <w:t xml:space="preserve">The Bank </w:t>
      </w:r>
      <w:r w:rsidR="00AC148B" w:rsidRPr="001F6DCE">
        <w:t xml:space="preserve">has </w:t>
      </w:r>
      <w:r w:rsidR="00C34428" w:rsidRPr="001F6DCE">
        <w:t>tailored</w:t>
      </w:r>
      <w:r w:rsidRPr="001F6DCE">
        <w:t xml:space="preserve"> </w:t>
      </w:r>
      <w:r w:rsidR="00C34428" w:rsidRPr="001F6DCE">
        <w:t xml:space="preserve">second round of </w:t>
      </w:r>
      <w:r w:rsidRPr="001F6DCE">
        <w:t>GPSA initiative</w:t>
      </w:r>
      <w:r w:rsidR="00C34428" w:rsidRPr="001F6DCE">
        <w:t xml:space="preserve"> to the healthcare sector and linked it to the </w:t>
      </w:r>
      <w:proofErr w:type="spellStart"/>
      <w:r w:rsidR="00C34428" w:rsidRPr="001F6DCE">
        <w:t>PforR</w:t>
      </w:r>
      <w:proofErr w:type="spellEnd"/>
      <w:r w:rsidR="00C34428" w:rsidRPr="001F6DCE">
        <w:t xml:space="preserve"> project scope</w:t>
      </w:r>
      <w:r w:rsidRPr="001F6DCE">
        <w:t>.</w:t>
      </w:r>
      <w:r w:rsidR="004506CA" w:rsidRPr="001F6DCE">
        <w:t xml:space="preserve"> </w:t>
      </w:r>
      <w:r w:rsidR="00EA64A1" w:rsidRPr="001F6DCE">
        <w:t xml:space="preserve">In this context, there will be conducted a policy experiment aimed at raising public awareness about hospital performance and safety, but also will examine how patient’s empowerment to choose secondary care hospital is affecting in-patient practice. </w:t>
      </w:r>
      <w:r w:rsidR="00871B15" w:rsidRPr="001F6DCE">
        <w:t>It is, however, important to ensure that social accountability practices developed and piloted by the CSO under GPSA programme are further institutionalised by the relevant sector players.</w:t>
      </w:r>
    </w:p>
    <w:p w14:paraId="404338FB" w14:textId="77777777" w:rsidR="000B109F" w:rsidRPr="001F6DCE" w:rsidRDefault="000B109F" w:rsidP="002422AE">
      <w:pPr>
        <w:pStyle w:val="ListParagraph"/>
        <w:ind w:left="0"/>
        <w:contextualSpacing w:val="0"/>
        <w:jc w:val="both"/>
      </w:pPr>
    </w:p>
    <w:p w14:paraId="6DEDCD86" w14:textId="77777777" w:rsidR="00FF51E7" w:rsidRPr="001F6DCE" w:rsidRDefault="00375DFA" w:rsidP="002422AE">
      <w:pPr>
        <w:pStyle w:val="ListParagraph"/>
        <w:numPr>
          <w:ilvl w:val="0"/>
          <w:numId w:val="16"/>
        </w:numPr>
        <w:ind w:left="0" w:firstLine="0"/>
        <w:contextualSpacing w:val="0"/>
        <w:jc w:val="both"/>
        <w:rPr>
          <w:i/>
          <w:szCs w:val="24"/>
          <w:u w:val="single"/>
        </w:rPr>
      </w:pPr>
      <w:r w:rsidRPr="001F6DCE">
        <w:t>I</w:t>
      </w:r>
      <w:r w:rsidR="005F443E" w:rsidRPr="001F6DCE">
        <w:t>mprovement of the current practices in</w:t>
      </w:r>
      <w:r w:rsidR="00BC09EB" w:rsidRPr="001F6DCE">
        <w:t xml:space="preserve"> securing social accountability</w:t>
      </w:r>
      <w:r w:rsidR="000A6A24" w:rsidRPr="001F6DCE">
        <w:t xml:space="preserve">. </w:t>
      </w:r>
      <w:r w:rsidR="00FF51E7" w:rsidRPr="001F6DCE">
        <w:t xml:space="preserve">The project </w:t>
      </w:r>
      <w:r w:rsidR="00FA714A" w:rsidRPr="001F6DCE">
        <w:t>shall</w:t>
      </w:r>
      <w:r w:rsidR="00FF51E7" w:rsidRPr="001F6DCE">
        <w:t xml:space="preserve"> adopt measures aimed at strengthening quality management and ensuring accountability mechanisms to better deliver on the Bank’s fiduciary responsibilities: involvement of </w:t>
      </w:r>
      <w:r w:rsidR="00AC148B" w:rsidRPr="001F6DCE">
        <w:t xml:space="preserve">the Court of Accounts, </w:t>
      </w:r>
      <w:r w:rsidR="00FF51E7" w:rsidRPr="001F6DCE">
        <w:t xml:space="preserve">CSOs and mass media throughout the project cycle, especially in </w:t>
      </w:r>
      <w:r w:rsidR="00AC148B" w:rsidRPr="001F6DCE">
        <w:t xml:space="preserve">verification of </w:t>
      </w:r>
      <w:r w:rsidR="00FF51E7" w:rsidRPr="001F6DCE">
        <w:t xml:space="preserve">project </w:t>
      </w:r>
      <w:r w:rsidR="00AC148B" w:rsidRPr="001F6DCE">
        <w:t>DLIs</w:t>
      </w:r>
      <w:r w:rsidR="00FF51E7" w:rsidRPr="001F6DCE">
        <w:t>, use of Bank’s staff for awareness raising amongst medical society and the general public about the need and benefits of reforms, etc.</w:t>
      </w:r>
    </w:p>
    <w:p w14:paraId="56F26D70" w14:textId="77777777" w:rsidR="004506CA" w:rsidRPr="001F6DCE" w:rsidRDefault="004506CA" w:rsidP="00A04983">
      <w:pPr>
        <w:jc w:val="both"/>
        <w:rPr>
          <w:i/>
          <w:szCs w:val="24"/>
          <w:u w:val="single"/>
        </w:rPr>
      </w:pPr>
    </w:p>
    <w:p w14:paraId="2D5D40EC" w14:textId="2C4AE27F" w:rsidR="00375DFA" w:rsidRPr="001F6DCE" w:rsidRDefault="00AC148B" w:rsidP="002422AE">
      <w:pPr>
        <w:pStyle w:val="ListParagraph"/>
        <w:numPr>
          <w:ilvl w:val="0"/>
          <w:numId w:val="16"/>
        </w:numPr>
        <w:ind w:left="0" w:firstLine="0"/>
        <w:contextualSpacing w:val="0"/>
        <w:jc w:val="both"/>
      </w:pPr>
      <w:r w:rsidRPr="001F6DCE">
        <w:t xml:space="preserve">It is of crucial importance to ensure consolidation of </w:t>
      </w:r>
      <w:proofErr w:type="spellStart"/>
      <w:r w:rsidR="00AB062A" w:rsidRPr="001F6DCE">
        <w:t>M</w:t>
      </w:r>
      <w:r w:rsidR="00202E22" w:rsidRPr="001F6DCE">
        <w:t>o</w:t>
      </w:r>
      <w:r w:rsidR="00AB062A" w:rsidRPr="001F6DCE">
        <w:t>H</w:t>
      </w:r>
      <w:r w:rsidR="00202E22" w:rsidRPr="001F6DCE">
        <w:t>LSP</w:t>
      </w:r>
      <w:r w:rsidRPr="001F6DCE">
        <w:t>’s</w:t>
      </w:r>
      <w:proofErr w:type="spellEnd"/>
      <w:r w:rsidRPr="001F6DCE">
        <w:t xml:space="preserve"> capacity to deal internally with complaint monitoring and resolution.</w:t>
      </w:r>
      <w:r w:rsidR="000A6A24" w:rsidRPr="001F6DCE">
        <w:t xml:space="preserve"> </w:t>
      </w:r>
      <w:r w:rsidR="00375DFA" w:rsidRPr="001F6DCE">
        <w:t>In order to ensure trust and common use of the CNAM’s hotline by the patients it is important to monitor its performance and adjust the information supplied by it to the patients as well as responses to the complaints received through it.</w:t>
      </w:r>
    </w:p>
    <w:p w14:paraId="6D907267" w14:textId="77777777" w:rsidR="00375DFA" w:rsidRPr="001F6DCE" w:rsidRDefault="00375DFA" w:rsidP="002422AE">
      <w:pPr>
        <w:pStyle w:val="ListParagraph"/>
        <w:ind w:left="0"/>
        <w:contextualSpacing w:val="0"/>
        <w:jc w:val="both"/>
      </w:pPr>
    </w:p>
    <w:p w14:paraId="5981BCFF" w14:textId="77777777" w:rsidR="00375DFA" w:rsidRPr="001F6DCE" w:rsidRDefault="00375DFA" w:rsidP="002422AE">
      <w:pPr>
        <w:pStyle w:val="ListParagraph"/>
        <w:numPr>
          <w:ilvl w:val="0"/>
          <w:numId w:val="16"/>
        </w:numPr>
        <w:ind w:left="0" w:firstLine="0"/>
        <w:contextualSpacing w:val="0"/>
        <w:jc w:val="both"/>
        <w:rPr>
          <w:i/>
        </w:rPr>
      </w:pPr>
      <w:r w:rsidRPr="001F6DCE">
        <w:rPr>
          <w:i/>
        </w:rPr>
        <w:t>Communicating reform efficiently to the key stakeholders</w:t>
      </w:r>
      <w:r w:rsidR="00DB71B7" w:rsidRPr="001F6DCE">
        <w:t>.</w:t>
      </w:r>
      <w:r w:rsidR="000A6A24" w:rsidRPr="001F6DCE">
        <w:t xml:space="preserve"> </w:t>
      </w:r>
      <w:r w:rsidRPr="001F6DCE">
        <w:t>The communication campaign for health care</w:t>
      </w:r>
      <w:r w:rsidRPr="001F6DCE">
        <w:rPr>
          <w:lang w:eastAsia="hr-HR"/>
        </w:rPr>
        <w:t xml:space="preserve"> workers needs to take into account the gender composition of the work force (80</w:t>
      </w:r>
      <w:r w:rsidR="00AB062A" w:rsidRPr="001F6DCE">
        <w:rPr>
          <w:lang w:eastAsia="hr-HR"/>
        </w:rPr>
        <w:t xml:space="preserve"> percent</w:t>
      </w:r>
      <w:r w:rsidRPr="001F6DCE">
        <w:rPr>
          <w:lang w:eastAsia="hr-HR"/>
        </w:rPr>
        <w:t xml:space="preserve"> women).</w:t>
      </w:r>
      <w:r w:rsidR="000A6A24" w:rsidRPr="001F6DCE">
        <w:rPr>
          <w:i/>
        </w:rPr>
        <w:t xml:space="preserve"> </w:t>
      </w:r>
      <w:r w:rsidRPr="001F6DCE">
        <w:rPr>
          <w:lang w:eastAsia="hr-HR"/>
        </w:rPr>
        <w:t xml:space="preserve">The communication campaign for the patients has to take into account language diversity (Russian materials might be needed for Gagauz </w:t>
      </w:r>
      <w:proofErr w:type="spellStart"/>
      <w:r w:rsidRPr="001F6DCE">
        <w:rPr>
          <w:lang w:eastAsia="hr-HR"/>
        </w:rPr>
        <w:t>Yeri</w:t>
      </w:r>
      <w:proofErr w:type="spellEnd"/>
      <w:r w:rsidRPr="001F6DCE">
        <w:rPr>
          <w:lang w:eastAsia="hr-HR"/>
        </w:rPr>
        <w:t xml:space="preserve"> and </w:t>
      </w:r>
      <w:proofErr w:type="spellStart"/>
      <w:r w:rsidRPr="001F6DCE">
        <w:rPr>
          <w:lang w:eastAsia="hr-HR"/>
        </w:rPr>
        <w:t>Transnistria</w:t>
      </w:r>
      <w:proofErr w:type="spellEnd"/>
      <w:r w:rsidRPr="001F6DCE">
        <w:rPr>
          <w:lang w:eastAsia="hr-HR"/>
        </w:rPr>
        <w:t xml:space="preserve"> population) access to various channels of communication by </w:t>
      </w:r>
      <w:r w:rsidR="00024DB4" w:rsidRPr="001F6DCE">
        <w:rPr>
          <w:lang w:eastAsia="hr-HR"/>
        </w:rPr>
        <w:t>different target groups</w:t>
      </w:r>
      <w:r w:rsidRPr="001F6DCE">
        <w:rPr>
          <w:lang w:eastAsia="hr-HR"/>
        </w:rPr>
        <w:t>.</w:t>
      </w:r>
      <w:r w:rsidR="00024DB4" w:rsidRPr="001F6DCE">
        <w:rPr>
          <w:lang w:eastAsia="hr-HR"/>
        </w:rPr>
        <w:t xml:space="preserve"> High level of adult illiteracy</w:t>
      </w:r>
      <w:r w:rsidR="000A6A24" w:rsidRPr="001F6DCE">
        <w:rPr>
          <w:lang w:eastAsia="hr-HR"/>
        </w:rPr>
        <w:t xml:space="preserve"> </w:t>
      </w:r>
      <w:r w:rsidR="00024DB4" w:rsidRPr="001F6DCE">
        <w:rPr>
          <w:lang w:eastAsia="hr-HR"/>
        </w:rPr>
        <w:t>among the Roma population has to be taken into account when trying to reach this vulnerable group.</w:t>
      </w:r>
    </w:p>
    <w:p w14:paraId="613C6BE9" w14:textId="77777777" w:rsidR="00A04983" w:rsidRPr="001F6DCE" w:rsidRDefault="00A04983" w:rsidP="00A04983">
      <w:pPr>
        <w:jc w:val="both"/>
        <w:rPr>
          <w:i/>
          <w:sz w:val="22"/>
          <w:szCs w:val="22"/>
          <w:u w:val="single"/>
        </w:rPr>
      </w:pPr>
    </w:p>
    <w:p w14:paraId="6604AB59" w14:textId="77777777" w:rsidR="00831791" w:rsidRPr="001F6DCE" w:rsidRDefault="00831791" w:rsidP="00A04983">
      <w:pPr>
        <w:jc w:val="both"/>
        <w:rPr>
          <w:i/>
          <w:sz w:val="22"/>
          <w:szCs w:val="22"/>
          <w:u w:val="single"/>
        </w:rPr>
      </w:pPr>
    </w:p>
    <w:p w14:paraId="5C2E7023" w14:textId="77777777" w:rsidR="00831791" w:rsidRPr="001F6DCE" w:rsidRDefault="00831791" w:rsidP="00A04983">
      <w:pPr>
        <w:jc w:val="both"/>
        <w:sectPr w:rsidR="00831791" w:rsidRPr="001F6DCE" w:rsidSect="00A52671">
          <w:footerReference w:type="first" r:id="rId17"/>
          <w:pgSz w:w="12240" w:h="15840"/>
          <w:pgMar w:top="1440" w:right="1440" w:bottom="1440" w:left="1440" w:header="706" w:footer="706" w:gutter="0"/>
          <w:pgNumType w:start="1"/>
          <w:cols w:space="720"/>
          <w:titlePg/>
          <w:docGrid w:linePitch="360"/>
        </w:sectPr>
      </w:pPr>
    </w:p>
    <w:p w14:paraId="7C90E3C0" w14:textId="77777777" w:rsidR="000B109F" w:rsidRPr="001F6DCE" w:rsidRDefault="000B109F" w:rsidP="002422AE">
      <w:pPr>
        <w:jc w:val="center"/>
        <w:rPr>
          <w:b/>
          <w:sz w:val="20"/>
        </w:rPr>
      </w:pPr>
      <w:proofErr w:type="gramStart"/>
      <w:r w:rsidRPr="001F6DCE">
        <w:rPr>
          <w:b/>
          <w:sz w:val="20"/>
        </w:rPr>
        <w:lastRenderedPageBreak/>
        <w:t>Table 1.</w:t>
      </w:r>
      <w:proofErr w:type="gramEnd"/>
      <w:r w:rsidRPr="001F6DCE">
        <w:rPr>
          <w:b/>
          <w:sz w:val="20"/>
        </w:rPr>
        <w:t xml:space="preserve"> </w:t>
      </w:r>
      <w:r w:rsidR="00147721" w:rsidRPr="001F6DCE">
        <w:rPr>
          <w:b/>
          <w:sz w:val="20"/>
        </w:rPr>
        <w:t xml:space="preserve"> </w:t>
      </w:r>
      <w:r w:rsidRPr="001F6DCE">
        <w:rPr>
          <w:b/>
          <w:sz w:val="20"/>
        </w:rPr>
        <w:t xml:space="preserve">Main environmental and social issues and risks for the </w:t>
      </w:r>
      <w:proofErr w:type="spellStart"/>
      <w:r w:rsidRPr="001F6DCE">
        <w:rPr>
          <w:b/>
          <w:sz w:val="20"/>
        </w:rPr>
        <w:t>PforR</w:t>
      </w:r>
      <w:proofErr w:type="spellEnd"/>
      <w:r w:rsidRPr="001F6DCE">
        <w:rPr>
          <w:b/>
          <w:sz w:val="20"/>
        </w:rPr>
        <w:t xml:space="preserve"> and proposed activities to address them</w:t>
      </w:r>
    </w:p>
    <w:p w14:paraId="5D7E3250" w14:textId="77777777" w:rsidR="000B109F" w:rsidRPr="001F6DCE" w:rsidRDefault="000B109F" w:rsidP="00A04983">
      <w:pPr>
        <w:jc w:val="both"/>
      </w:pPr>
    </w:p>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240"/>
        <w:gridCol w:w="3334"/>
        <w:gridCol w:w="1593"/>
        <w:gridCol w:w="1350"/>
        <w:gridCol w:w="1620"/>
        <w:gridCol w:w="1620"/>
        <w:gridCol w:w="1857"/>
      </w:tblGrid>
      <w:tr w:rsidR="007E6F4E" w:rsidRPr="001F6DCE" w14:paraId="42392F95" w14:textId="17B3597E" w:rsidTr="00A23190">
        <w:trPr>
          <w:trHeight w:val="386"/>
          <w:jc w:val="center"/>
        </w:trPr>
        <w:tc>
          <w:tcPr>
            <w:tcW w:w="468" w:type="dxa"/>
            <w:shd w:val="clear" w:color="auto" w:fill="auto"/>
            <w:vAlign w:val="center"/>
          </w:tcPr>
          <w:p w14:paraId="4D5D00C0" w14:textId="77777777" w:rsidR="007E6F4E" w:rsidRPr="001F6DCE" w:rsidRDefault="007E6F4E" w:rsidP="002422AE">
            <w:pPr>
              <w:jc w:val="center"/>
              <w:rPr>
                <w:sz w:val="20"/>
              </w:rPr>
            </w:pPr>
            <w:r w:rsidRPr="001F6DCE">
              <w:rPr>
                <w:b/>
                <w:bCs/>
                <w:sz w:val="20"/>
                <w:lang w:val="en-US"/>
              </w:rPr>
              <w:t>#</w:t>
            </w:r>
          </w:p>
        </w:tc>
        <w:tc>
          <w:tcPr>
            <w:tcW w:w="3240" w:type="dxa"/>
            <w:shd w:val="clear" w:color="auto" w:fill="auto"/>
            <w:vAlign w:val="center"/>
          </w:tcPr>
          <w:p w14:paraId="03F2AFDA" w14:textId="77777777" w:rsidR="007E6F4E" w:rsidRPr="001F6DCE" w:rsidRDefault="007E6F4E" w:rsidP="002422AE">
            <w:pPr>
              <w:jc w:val="center"/>
              <w:rPr>
                <w:sz w:val="20"/>
              </w:rPr>
            </w:pPr>
            <w:r w:rsidRPr="001F6DCE">
              <w:rPr>
                <w:b/>
                <w:bCs/>
                <w:sz w:val="20"/>
                <w:lang w:val="en-US"/>
              </w:rPr>
              <w:t>Issues and risks</w:t>
            </w:r>
          </w:p>
        </w:tc>
        <w:tc>
          <w:tcPr>
            <w:tcW w:w="3334" w:type="dxa"/>
            <w:shd w:val="clear" w:color="auto" w:fill="auto"/>
            <w:vAlign w:val="center"/>
          </w:tcPr>
          <w:p w14:paraId="1050F978" w14:textId="77777777" w:rsidR="007E6F4E" w:rsidRPr="001F6DCE" w:rsidRDefault="007E6F4E" w:rsidP="002422AE">
            <w:pPr>
              <w:jc w:val="center"/>
              <w:rPr>
                <w:sz w:val="20"/>
              </w:rPr>
            </w:pPr>
            <w:r w:rsidRPr="001F6DCE">
              <w:rPr>
                <w:b/>
                <w:bCs/>
                <w:sz w:val="20"/>
                <w:lang w:val="en-US"/>
              </w:rPr>
              <w:t>Actions</w:t>
            </w:r>
          </w:p>
        </w:tc>
        <w:tc>
          <w:tcPr>
            <w:tcW w:w="1593" w:type="dxa"/>
            <w:shd w:val="clear" w:color="auto" w:fill="auto"/>
            <w:vAlign w:val="center"/>
          </w:tcPr>
          <w:p w14:paraId="0D7F17B6" w14:textId="77777777" w:rsidR="007E6F4E" w:rsidRPr="001F6DCE" w:rsidRDefault="007E6F4E" w:rsidP="002422AE">
            <w:pPr>
              <w:jc w:val="center"/>
              <w:rPr>
                <w:sz w:val="20"/>
              </w:rPr>
            </w:pPr>
            <w:r w:rsidRPr="001F6DCE">
              <w:rPr>
                <w:b/>
                <w:bCs/>
                <w:sz w:val="20"/>
                <w:lang w:val="en-US"/>
              </w:rPr>
              <w:t>Responsibility</w:t>
            </w:r>
          </w:p>
        </w:tc>
        <w:tc>
          <w:tcPr>
            <w:tcW w:w="1350" w:type="dxa"/>
            <w:shd w:val="clear" w:color="auto" w:fill="auto"/>
            <w:vAlign w:val="center"/>
          </w:tcPr>
          <w:p w14:paraId="5FBD4D8C" w14:textId="77777777" w:rsidR="007E6F4E" w:rsidRPr="001F6DCE" w:rsidRDefault="007E6F4E" w:rsidP="002422AE">
            <w:pPr>
              <w:jc w:val="center"/>
              <w:rPr>
                <w:sz w:val="20"/>
              </w:rPr>
            </w:pPr>
            <w:r w:rsidRPr="001F6DCE">
              <w:rPr>
                <w:b/>
                <w:bCs/>
                <w:sz w:val="20"/>
                <w:lang w:val="en-US"/>
              </w:rPr>
              <w:t>Timeframe</w:t>
            </w:r>
          </w:p>
        </w:tc>
        <w:tc>
          <w:tcPr>
            <w:tcW w:w="1620" w:type="dxa"/>
            <w:shd w:val="clear" w:color="auto" w:fill="auto"/>
            <w:vAlign w:val="center"/>
          </w:tcPr>
          <w:p w14:paraId="7C54E90B" w14:textId="77777777" w:rsidR="007E6F4E" w:rsidRPr="001F6DCE" w:rsidRDefault="007E6F4E" w:rsidP="002422AE">
            <w:pPr>
              <w:jc w:val="center"/>
              <w:rPr>
                <w:sz w:val="20"/>
              </w:rPr>
            </w:pPr>
            <w:r w:rsidRPr="001F6DCE">
              <w:rPr>
                <w:b/>
                <w:bCs/>
                <w:sz w:val="20"/>
                <w:lang w:val="en-US"/>
              </w:rPr>
              <w:t>Costs (USD)</w:t>
            </w:r>
          </w:p>
        </w:tc>
        <w:tc>
          <w:tcPr>
            <w:tcW w:w="1620" w:type="dxa"/>
            <w:shd w:val="clear" w:color="auto" w:fill="auto"/>
            <w:vAlign w:val="center"/>
          </w:tcPr>
          <w:p w14:paraId="607D4E7E" w14:textId="77777777" w:rsidR="007E6F4E" w:rsidRPr="001F6DCE" w:rsidRDefault="007E6F4E" w:rsidP="002422AE">
            <w:pPr>
              <w:jc w:val="center"/>
              <w:rPr>
                <w:b/>
                <w:sz w:val="20"/>
              </w:rPr>
            </w:pPr>
            <w:r w:rsidRPr="001F6DCE">
              <w:rPr>
                <w:b/>
                <w:sz w:val="20"/>
              </w:rPr>
              <w:t>Indicator</w:t>
            </w:r>
          </w:p>
        </w:tc>
        <w:tc>
          <w:tcPr>
            <w:tcW w:w="1857" w:type="dxa"/>
          </w:tcPr>
          <w:p w14:paraId="567CE574" w14:textId="065D6521" w:rsidR="007E6F4E" w:rsidRPr="001F6DCE" w:rsidRDefault="007E6F4E" w:rsidP="002422AE">
            <w:pPr>
              <w:jc w:val="center"/>
              <w:rPr>
                <w:b/>
                <w:sz w:val="20"/>
              </w:rPr>
            </w:pPr>
            <w:r w:rsidRPr="001F6DCE">
              <w:rPr>
                <w:b/>
                <w:sz w:val="20"/>
              </w:rPr>
              <w:t>Progress to date</w:t>
            </w:r>
          </w:p>
        </w:tc>
      </w:tr>
      <w:tr w:rsidR="007E6F4E" w:rsidRPr="001F6DCE" w14:paraId="79CCBE68" w14:textId="107B7334" w:rsidTr="00A23190">
        <w:trPr>
          <w:trHeight w:val="370"/>
          <w:jc w:val="center"/>
        </w:trPr>
        <w:tc>
          <w:tcPr>
            <w:tcW w:w="13225" w:type="dxa"/>
            <w:gridSpan w:val="7"/>
            <w:shd w:val="clear" w:color="auto" w:fill="auto"/>
            <w:vAlign w:val="center"/>
          </w:tcPr>
          <w:p w14:paraId="26E351FA" w14:textId="77777777" w:rsidR="007E6F4E" w:rsidRPr="001F6DCE" w:rsidRDefault="007E6F4E" w:rsidP="00165778">
            <w:pPr>
              <w:pStyle w:val="ListParagraph"/>
              <w:numPr>
                <w:ilvl w:val="0"/>
                <w:numId w:val="20"/>
              </w:numPr>
              <w:jc w:val="both"/>
              <w:rPr>
                <w:b/>
                <w:i/>
                <w:sz w:val="20"/>
              </w:rPr>
            </w:pPr>
            <w:r w:rsidRPr="001F6DCE">
              <w:rPr>
                <w:b/>
                <w:i/>
                <w:sz w:val="20"/>
              </w:rPr>
              <w:t>Improving regulatory framework and building capacity</w:t>
            </w:r>
          </w:p>
        </w:tc>
        <w:tc>
          <w:tcPr>
            <w:tcW w:w="1857" w:type="dxa"/>
          </w:tcPr>
          <w:p w14:paraId="6AFF401E" w14:textId="77777777" w:rsidR="007E6F4E" w:rsidRPr="001F6DCE" w:rsidRDefault="007E6F4E" w:rsidP="00A23190">
            <w:pPr>
              <w:pStyle w:val="ListParagraph"/>
              <w:jc w:val="both"/>
              <w:rPr>
                <w:b/>
                <w:i/>
                <w:sz w:val="20"/>
              </w:rPr>
            </w:pPr>
          </w:p>
        </w:tc>
      </w:tr>
      <w:tr w:rsidR="007E6F4E" w:rsidRPr="001F6DCE" w14:paraId="6AC1C61A" w14:textId="5D4BC1DF" w:rsidTr="00A23190">
        <w:trPr>
          <w:jc w:val="center"/>
        </w:trPr>
        <w:tc>
          <w:tcPr>
            <w:tcW w:w="468" w:type="dxa"/>
            <w:shd w:val="clear" w:color="auto" w:fill="auto"/>
          </w:tcPr>
          <w:p w14:paraId="3EB18CC6" w14:textId="77777777" w:rsidR="007E6F4E" w:rsidRPr="001F6DCE" w:rsidRDefault="007E6F4E" w:rsidP="002422AE">
            <w:pPr>
              <w:rPr>
                <w:sz w:val="20"/>
              </w:rPr>
            </w:pPr>
            <w:r w:rsidRPr="001F6DCE">
              <w:rPr>
                <w:sz w:val="20"/>
              </w:rPr>
              <w:t>1</w:t>
            </w:r>
          </w:p>
        </w:tc>
        <w:tc>
          <w:tcPr>
            <w:tcW w:w="3240" w:type="dxa"/>
            <w:shd w:val="clear" w:color="auto" w:fill="auto"/>
          </w:tcPr>
          <w:p w14:paraId="3C725E79" w14:textId="77777777" w:rsidR="007E6F4E" w:rsidRPr="001F6DCE" w:rsidRDefault="007E6F4E" w:rsidP="002422AE">
            <w:pPr>
              <w:contextualSpacing/>
              <w:rPr>
                <w:sz w:val="20"/>
              </w:rPr>
            </w:pPr>
            <w:r w:rsidRPr="001F6DCE">
              <w:rPr>
                <w:sz w:val="20"/>
              </w:rPr>
              <w:t xml:space="preserve">Lack of relevant guiding documents and outdated Regulation on HCWM </w:t>
            </w:r>
          </w:p>
        </w:tc>
        <w:tc>
          <w:tcPr>
            <w:tcW w:w="3334" w:type="dxa"/>
            <w:shd w:val="clear" w:color="auto" w:fill="auto"/>
          </w:tcPr>
          <w:p w14:paraId="0A9F19EF" w14:textId="77777777" w:rsidR="007E6F4E" w:rsidRPr="001F6DCE" w:rsidRDefault="007E6F4E" w:rsidP="002422AE">
            <w:pPr>
              <w:contextualSpacing/>
              <w:rPr>
                <w:sz w:val="20"/>
              </w:rPr>
            </w:pPr>
            <w:r w:rsidRPr="001F6DCE">
              <w:rPr>
                <w:sz w:val="20"/>
              </w:rPr>
              <w:t>- Revising the Regulation on HCWM;</w:t>
            </w:r>
          </w:p>
          <w:p w14:paraId="14B28E5D" w14:textId="77777777" w:rsidR="007E6F4E" w:rsidRPr="001F6DCE" w:rsidRDefault="007E6F4E" w:rsidP="002422AE">
            <w:pPr>
              <w:contextualSpacing/>
              <w:rPr>
                <w:sz w:val="20"/>
              </w:rPr>
            </w:pPr>
            <w:r w:rsidRPr="001F6DCE">
              <w:rPr>
                <w:sz w:val="20"/>
              </w:rPr>
              <w:t>- Preparing Technical Guidelines on HCWM;</w:t>
            </w:r>
          </w:p>
          <w:p w14:paraId="210C4387" w14:textId="77777777" w:rsidR="007E6F4E" w:rsidRPr="001F6DCE" w:rsidRDefault="007E6F4E" w:rsidP="002422AE">
            <w:pPr>
              <w:contextualSpacing/>
              <w:rPr>
                <w:sz w:val="20"/>
              </w:rPr>
            </w:pPr>
            <w:r w:rsidRPr="001F6DCE">
              <w:rPr>
                <w:sz w:val="20"/>
              </w:rPr>
              <w:t>- Designing National Guidelines on syringes safety</w:t>
            </w:r>
          </w:p>
        </w:tc>
        <w:tc>
          <w:tcPr>
            <w:tcW w:w="1593" w:type="dxa"/>
            <w:shd w:val="clear" w:color="auto" w:fill="auto"/>
          </w:tcPr>
          <w:p w14:paraId="5A5FA480" w14:textId="6BD8228D" w:rsidR="007E6F4E" w:rsidRPr="001F6DCE" w:rsidRDefault="00AF2A09" w:rsidP="002422AE">
            <w:pPr>
              <w:rPr>
                <w:sz w:val="20"/>
              </w:rPr>
            </w:pPr>
            <w:r w:rsidRPr="001F6DCE">
              <w:rPr>
                <w:sz w:val="20"/>
              </w:rPr>
              <w:t>NPHA</w:t>
            </w:r>
          </w:p>
        </w:tc>
        <w:tc>
          <w:tcPr>
            <w:tcW w:w="1350" w:type="dxa"/>
            <w:shd w:val="clear" w:color="auto" w:fill="auto"/>
          </w:tcPr>
          <w:p w14:paraId="22369DD7" w14:textId="10F024CB" w:rsidR="007E6F4E" w:rsidRPr="001F6DCE" w:rsidRDefault="007E6F4E" w:rsidP="002422AE">
            <w:pPr>
              <w:rPr>
                <w:sz w:val="20"/>
              </w:rPr>
            </w:pPr>
            <w:r w:rsidRPr="001F6DCE">
              <w:rPr>
                <w:sz w:val="20"/>
              </w:rPr>
              <w:t>201</w:t>
            </w:r>
            <w:r w:rsidR="00036315" w:rsidRPr="001F6DCE">
              <w:rPr>
                <w:sz w:val="20"/>
              </w:rPr>
              <w:t>8</w:t>
            </w:r>
            <w:r w:rsidRPr="001F6DCE">
              <w:rPr>
                <w:sz w:val="20"/>
              </w:rPr>
              <w:t>-201</w:t>
            </w:r>
            <w:r w:rsidR="00036315" w:rsidRPr="001F6DCE">
              <w:rPr>
                <w:sz w:val="20"/>
              </w:rPr>
              <w:t>9</w:t>
            </w:r>
          </w:p>
        </w:tc>
        <w:tc>
          <w:tcPr>
            <w:tcW w:w="1620" w:type="dxa"/>
            <w:shd w:val="clear" w:color="auto" w:fill="auto"/>
          </w:tcPr>
          <w:p w14:paraId="245204B1" w14:textId="77777777" w:rsidR="007E6F4E" w:rsidRPr="001F6DCE" w:rsidRDefault="007E6F4E" w:rsidP="002422AE">
            <w:pPr>
              <w:rPr>
                <w:sz w:val="20"/>
              </w:rPr>
            </w:pPr>
            <w:r w:rsidRPr="001F6DCE">
              <w:rPr>
                <w:sz w:val="20"/>
              </w:rPr>
              <w:t xml:space="preserve">Within allocated budget for </w:t>
            </w:r>
            <w:proofErr w:type="spellStart"/>
            <w:r w:rsidRPr="001F6DCE">
              <w:rPr>
                <w:sz w:val="20"/>
              </w:rPr>
              <w:t>MoH</w:t>
            </w:r>
            <w:proofErr w:type="spellEnd"/>
          </w:p>
        </w:tc>
        <w:tc>
          <w:tcPr>
            <w:tcW w:w="1620" w:type="dxa"/>
            <w:shd w:val="clear" w:color="auto" w:fill="auto"/>
          </w:tcPr>
          <w:p w14:paraId="798ACDFE" w14:textId="77777777" w:rsidR="007E6F4E" w:rsidRPr="001F6DCE" w:rsidRDefault="007E6F4E" w:rsidP="002422AE">
            <w:pPr>
              <w:rPr>
                <w:sz w:val="20"/>
              </w:rPr>
            </w:pPr>
            <w:r w:rsidRPr="001F6DCE">
              <w:rPr>
                <w:sz w:val="20"/>
              </w:rPr>
              <w:t xml:space="preserve">Noted documents adopted by the GOM and MOH </w:t>
            </w:r>
          </w:p>
          <w:p w14:paraId="5D0D855A" w14:textId="77777777" w:rsidR="007E6F4E" w:rsidRPr="001F6DCE" w:rsidRDefault="007E6F4E" w:rsidP="002422AE">
            <w:pPr>
              <w:rPr>
                <w:sz w:val="20"/>
              </w:rPr>
            </w:pPr>
          </w:p>
        </w:tc>
        <w:tc>
          <w:tcPr>
            <w:tcW w:w="1857" w:type="dxa"/>
          </w:tcPr>
          <w:p w14:paraId="147FCE26" w14:textId="77777777" w:rsidR="00AF2A09" w:rsidRPr="001F6DCE" w:rsidRDefault="00AF2A09" w:rsidP="006151EE">
            <w:pPr>
              <w:rPr>
                <w:sz w:val="20"/>
              </w:rPr>
            </w:pPr>
            <w:r w:rsidRPr="001F6DCE">
              <w:rPr>
                <w:sz w:val="20"/>
              </w:rPr>
              <w:t>New Regulation on HCWM placed for public consultation;</w:t>
            </w:r>
          </w:p>
          <w:p w14:paraId="48A2EB73" w14:textId="6A9E8E16" w:rsidR="00AF2A09" w:rsidRPr="001F6DCE" w:rsidRDefault="00AF2A09">
            <w:pPr>
              <w:rPr>
                <w:sz w:val="20"/>
              </w:rPr>
            </w:pPr>
            <w:r w:rsidRPr="001F6DCE">
              <w:rPr>
                <w:sz w:val="20"/>
              </w:rPr>
              <w:t>Technical guidelines on HCWM – not completed;</w:t>
            </w:r>
          </w:p>
          <w:p w14:paraId="3E597555" w14:textId="20B61712" w:rsidR="007E6F4E" w:rsidRPr="001F6DCE" w:rsidRDefault="00AF2A09">
            <w:pPr>
              <w:rPr>
                <w:sz w:val="20"/>
              </w:rPr>
            </w:pPr>
            <w:r w:rsidRPr="001F6DCE">
              <w:rPr>
                <w:sz w:val="20"/>
              </w:rPr>
              <w:t xml:space="preserve">National guidelines on syringes safety completed </w:t>
            </w:r>
            <w:proofErr w:type="gramStart"/>
            <w:r w:rsidRPr="001F6DCE">
              <w:rPr>
                <w:sz w:val="20"/>
              </w:rPr>
              <w:t xml:space="preserve">( </w:t>
            </w:r>
            <w:proofErr w:type="spellStart"/>
            <w:r w:rsidRPr="001F6DCE">
              <w:rPr>
                <w:sz w:val="20"/>
              </w:rPr>
              <w:t>MoH</w:t>
            </w:r>
            <w:proofErr w:type="spellEnd"/>
            <w:proofErr w:type="gramEnd"/>
            <w:r w:rsidRPr="001F6DCE">
              <w:rPr>
                <w:sz w:val="20"/>
              </w:rPr>
              <w:t xml:space="preserve"> order #765 </w:t>
            </w:r>
            <w:proofErr w:type="spellStart"/>
            <w:r w:rsidRPr="001F6DCE">
              <w:rPr>
                <w:sz w:val="20"/>
              </w:rPr>
              <w:t>dd</w:t>
            </w:r>
            <w:proofErr w:type="spellEnd"/>
            <w:r w:rsidRPr="001F6DCE">
              <w:rPr>
                <w:sz w:val="20"/>
              </w:rPr>
              <w:t xml:space="preserve"> 30.09.2015).       </w:t>
            </w:r>
          </w:p>
        </w:tc>
      </w:tr>
      <w:tr w:rsidR="007E6F4E" w:rsidRPr="001F6DCE" w14:paraId="2944CAD9" w14:textId="08F7183F" w:rsidTr="00A23190">
        <w:trPr>
          <w:jc w:val="center"/>
        </w:trPr>
        <w:tc>
          <w:tcPr>
            <w:tcW w:w="468" w:type="dxa"/>
            <w:shd w:val="clear" w:color="auto" w:fill="auto"/>
          </w:tcPr>
          <w:p w14:paraId="26D9CFAE" w14:textId="77777777" w:rsidR="007E6F4E" w:rsidRPr="001F6DCE" w:rsidRDefault="007E6F4E" w:rsidP="002422AE">
            <w:pPr>
              <w:rPr>
                <w:sz w:val="20"/>
              </w:rPr>
            </w:pPr>
            <w:r w:rsidRPr="001F6DCE">
              <w:rPr>
                <w:sz w:val="20"/>
              </w:rPr>
              <w:t xml:space="preserve">2 </w:t>
            </w:r>
          </w:p>
        </w:tc>
        <w:tc>
          <w:tcPr>
            <w:tcW w:w="3240" w:type="dxa"/>
            <w:shd w:val="clear" w:color="auto" w:fill="auto"/>
          </w:tcPr>
          <w:p w14:paraId="0D00FFD6" w14:textId="77777777" w:rsidR="007E6F4E" w:rsidRPr="001F6DCE" w:rsidRDefault="007E6F4E" w:rsidP="002422AE">
            <w:pPr>
              <w:rPr>
                <w:sz w:val="20"/>
              </w:rPr>
            </w:pPr>
            <w:r w:rsidRPr="001F6DCE">
              <w:rPr>
                <w:sz w:val="20"/>
              </w:rPr>
              <w:t>Weak HCFs human capacity for sustainable HCWM</w:t>
            </w:r>
          </w:p>
        </w:tc>
        <w:tc>
          <w:tcPr>
            <w:tcW w:w="3334" w:type="dxa"/>
            <w:shd w:val="clear" w:color="auto" w:fill="auto"/>
          </w:tcPr>
          <w:p w14:paraId="7A635C00" w14:textId="77777777" w:rsidR="007E6F4E" w:rsidRPr="001F6DCE" w:rsidRDefault="007E6F4E" w:rsidP="002422AE">
            <w:pPr>
              <w:rPr>
                <w:sz w:val="20"/>
              </w:rPr>
            </w:pPr>
            <w:r w:rsidRPr="001F6DCE">
              <w:rPr>
                <w:rFonts w:eastAsia="Calibri"/>
                <w:iCs/>
                <w:sz w:val="20"/>
                <w:lang w:val="en-US"/>
              </w:rPr>
              <w:t xml:space="preserve">Continue HCWM awareness and training programs </w:t>
            </w:r>
            <w:r w:rsidRPr="001F6DCE">
              <w:rPr>
                <w:rFonts w:eastAsia="Calibri"/>
                <w:sz w:val="20"/>
                <w:lang w:val="en-US"/>
              </w:rPr>
              <w:t>for medical and paramedical staff</w:t>
            </w:r>
          </w:p>
        </w:tc>
        <w:tc>
          <w:tcPr>
            <w:tcW w:w="1593" w:type="dxa"/>
            <w:shd w:val="clear" w:color="auto" w:fill="auto"/>
          </w:tcPr>
          <w:p w14:paraId="74C54CBD" w14:textId="206A16A0" w:rsidR="007E6F4E" w:rsidRPr="001F6DCE" w:rsidRDefault="00AF2A09" w:rsidP="002422AE">
            <w:pPr>
              <w:rPr>
                <w:sz w:val="20"/>
              </w:rPr>
            </w:pPr>
            <w:r w:rsidRPr="001F6DCE">
              <w:rPr>
                <w:sz w:val="20"/>
              </w:rPr>
              <w:t>NPHA</w:t>
            </w:r>
          </w:p>
          <w:p w14:paraId="501DD383" w14:textId="20F2AF6D" w:rsidR="007E6F4E" w:rsidRPr="001F6DCE" w:rsidRDefault="007E6F4E" w:rsidP="002422AE">
            <w:pPr>
              <w:rPr>
                <w:sz w:val="20"/>
              </w:rPr>
            </w:pPr>
            <w:r w:rsidRPr="001F6DCE">
              <w:rPr>
                <w:sz w:val="20"/>
              </w:rPr>
              <w:t xml:space="preserve">Rayon </w:t>
            </w:r>
            <w:r w:rsidR="00AF2A09" w:rsidRPr="001F6DCE">
              <w:rPr>
                <w:sz w:val="20"/>
              </w:rPr>
              <w:t xml:space="preserve">PHAs </w:t>
            </w:r>
            <w:r w:rsidRPr="001F6DCE">
              <w:rPr>
                <w:sz w:val="20"/>
              </w:rPr>
              <w:t>and Local Public Authorities</w:t>
            </w:r>
          </w:p>
        </w:tc>
        <w:tc>
          <w:tcPr>
            <w:tcW w:w="1350" w:type="dxa"/>
            <w:shd w:val="clear" w:color="auto" w:fill="auto"/>
          </w:tcPr>
          <w:p w14:paraId="23483550" w14:textId="77777777" w:rsidR="007E6F4E" w:rsidRPr="001F6DCE" w:rsidRDefault="007E6F4E" w:rsidP="002422AE">
            <w:pPr>
              <w:rPr>
                <w:sz w:val="20"/>
              </w:rPr>
            </w:pPr>
            <w:r w:rsidRPr="001F6DCE">
              <w:rPr>
                <w:sz w:val="20"/>
              </w:rPr>
              <w:t>Permanently</w:t>
            </w:r>
          </w:p>
        </w:tc>
        <w:tc>
          <w:tcPr>
            <w:tcW w:w="1620" w:type="dxa"/>
            <w:shd w:val="clear" w:color="auto" w:fill="auto"/>
          </w:tcPr>
          <w:p w14:paraId="2432070B" w14:textId="77777777" w:rsidR="007E6F4E" w:rsidRPr="001F6DCE" w:rsidRDefault="007E6F4E" w:rsidP="002422AE">
            <w:pPr>
              <w:rPr>
                <w:sz w:val="20"/>
              </w:rPr>
            </w:pPr>
            <w:r w:rsidRPr="001F6DCE">
              <w:rPr>
                <w:sz w:val="20"/>
              </w:rPr>
              <w:t>Within allocated budgets</w:t>
            </w:r>
          </w:p>
        </w:tc>
        <w:tc>
          <w:tcPr>
            <w:tcW w:w="1620" w:type="dxa"/>
            <w:shd w:val="clear" w:color="auto" w:fill="auto"/>
          </w:tcPr>
          <w:p w14:paraId="2E4507B1" w14:textId="77777777" w:rsidR="007E6F4E" w:rsidRPr="001F6DCE" w:rsidRDefault="007E6F4E" w:rsidP="002422AE">
            <w:pPr>
              <w:rPr>
                <w:sz w:val="20"/>
              </w:rPr>
            </w:pPr>
            <w:r w:rsidRPr="001F6DCE">
              <w:rPr>
                <w:sz w:val="20"/>
              </w:rPr>
              <w:t xml:space="preserve">Number of conducted trainings and participants </w:t>
            </w:r>
          </w:p>
        </w:tc>
        <w:tc>
          <w:tcPr>
            <w:tcW w:w="1857" w:type="dxa"/>
          </w:tcPr>
          <w:p w14:paraId="0A69DE9D" w14:textId="0F00E8C4" w:rsidR="007E6F4E" w:rsidRPr="001F6DCE" w:rsidRDefault="00AF2A09" w:rsidP="002422AE">
            <w:pPr>
              <w:rPr>
                <w:sz w:val="20"/>
              </w:rPr>
            </w:pPr>
            <w:r w:rsidRPr="001F6DCE">
              <w:rPr>
                <w:sz w:val="20"/>
              </w:rPr>
              <w:t xml:space="preserve">Ongoing </w:t>
            </w:r>
          </w:p>
        </w:tc>
      </w:tr>
      <w:tr w:rsidR="00A45F56" w:rsidRPr="001F6DCE" w14:paraId="5AE1445A" w14:textId="1A8DE994" w:rsidTr="00A23190">
        <w:trPr>
          <w:jc w:val="center"/>
        </w:trPr>
        <w:tc>
          <w:tcPr>
            <w:tcW w:w="468" w:type="dxa"/>
            <w:shd w:val="clear" w:color="auto" w:fill="auto"/>
          </w:tcPr>
          <w:p w14:paraId="4F26AD7D" w14:textId="77777777" w:rsidR="00A45F56" w:rsidRPr="001F6DCE" w:rsidRDefault="00A45F56" w:rsidP="00A45F56">
            <w:pPr>
              <w:rPr>
                <w:sz w:val="20"/>
              </w:rPr>
            </w:pPr>
            <w:r w:rsidRPr="001F6DCE">
              <w:rPr>
                <w:sz w:val="20"/>
              </w:rPr>
              <w:t>3</w:t>
            </w:r>
          </w:p>
        </w:tc>
        <w:tc>
          <w:tcPr>
            <w:tcW w:w="3240" w:type="dxa"/>
            <w:shd w:val="clear" w:color="auto" w:fill="auto"/>
          </w:tcPr>
          <w:p w14:paraId="19DA7944" w14:textId="77777777" w:rsidR="00A45F56" w:rsidRPr="001F6DCE" w:rsidRDefault="00A45F56" w:rsidP="00A45F56">
            <w:pPr>
              <w:contextualSpacing/>
              <w:rPr>
                <w:rFonts w:eastAsia="Calibri"/>
                <w:iCs/>
                <w:sz w:val="20"/>
                <w:lang w:val="en-US"/>
              </w:rPr>
            </w:pPr>
            <w:r w:rsidRPr="001F6DCE">
              <w:rPr>
                <w:sz w:val="20"/>
              </w:rPr>
              <w:t xml:space="preserve">Weak National Drugs Agency capacity to dispose collected </w:t>
            </w:r>
            <w:r w:rsidRPr="001F6DCE">
              <w:rPr>
                <w:rFonts w:eastAsia="Calibri"/>
                <w:sz w:val="20"/>
                <w:lang w:val="en-US"/>
              </w:rPr>
              <w:t>pharmaceutical wastes</w:t>
            </w:r>
          </w:p>
        </w:tc>
        <w:tc>
          <w:tcPr>
            <w:tcW w:w="3334" w:type="dxa"/>
            <w:shd w:val="clear" w:color="auto" w:fill="auto"/>
          </w:tcPr>
          <w:p w14:paraId="6D6AEBE9" w14:textId="77777777" w:rsidR="00A45F56" w:rsidRPr="001F6DCE" w:rsidRDefault="00A45F56" w:rsidP="00A45F56">
            <w:pPr>
              <w:contextualSpacing/>
              <w:rPr>
                <w:rFonts w:eastAsia="Calibri"/>
                <w:sz w:val="20"/>
                <w:lang w:val="en-US"/>
              </w:rPr>
            </w:pPr>
            <w:r w:rsidRPr="001F6DCE">
              <w:rPr>
                <w:sz w:val="20"/>
              </w:rPr>
              <w:t xml:space="preserve">Increasing the NADME </w:t>
            </w:r>
            <w:proofErr w:type="spellStart"/>
            <w:r w:rsidRPr="001F6DCE">
              <w:rPr>
                <w:sz w:val="20"/>
              </w:rPr>
              <w:t>PhWs</w:t>
            </w:r>
            <w:proofErr w:type="spellEnd"/>
            <w:r w:rsidRPr="001F6DCE">
              <w:rPr>
                <w:sz w:val="20"/>
              </w:rPr>
              <w:t xml:space="preserve"> Disposal Division staff for safe and timely disposal of accumulated </w:t>
            </w:r>
            <w:r w:rsidRPr="001F6DCE">
              <w:rPr>
                <w:rFonts w:eastAsia="Calibri"/>
                <w:sz w:val="20"/>
              </w:rPr>
              <w:t>pharmaceutical wastes and ensuring adequate conditions for their encapsulating</w:t>
            </w:r>
          </w:p>
        </w:tc>
        <w:tc>
          <w:tcPr>
            <w:tcW w:w="1593" w:type="dxa"/>
            <w:shd w:val="clear" w:color="auto" w:fill="auto"/>
          </w:tcPr>
          <w:p w14:paraId="39E92B0D" w14:textId="67C0498C" w:rsidR="00A45F56" w:rsidRPr="001F6DCE" w:rsidRDefault="00036315" w:rsidP="00A45F56">
            <w:pPr>
              <w:rPr>
                <w:sz w:val="20"/>
              </w:rPr>
            </w:pPr>
            <w:r w:rsidRPr="001F6DCE">
              <w:rPr>
                <w:sz w:val="20"/>
              </w:rPr>
              <w:t>NADME</w:t>
            </w:r>
            <w:r w:rsidRPr="001F6DCE" w:rsidDel="00036315">
              <w:rPr>
                <w:sz w:val="20"/>
              </w:rPr>
              <w:t xml:space="preserve"> </w:t>
            </w:r>
          </w:p>
        </w:tc>
        <w:tc>
          <w:tcPr>
            <w:tcW w:w="1350" w:type="dxa"/>
            <w:shd w:val="clear" w:color="auto" w:fill="auto"/>
          </w:tcPr>
          <w:p w14:paraId="412570A8" w14:textId="56D27CD7" w:rsidR="00A45F56" w:rsidRPr="001F6DCE" w:rsidRDefault="00036315" w:rsidP="00A45F56">
            <w:pPr>
              <w:rPr>
                <w:sz w:val="20"/>
              </w:rPr>
            </w:pPr>
            <w:r w:rsidRPr="001F6DCE">
              <w:rPr>
                <w:sz w:val="20"/>
              </w:rPr>
              <w:t>2018-2019</w:t>
            </w:r>
          </w:p>
        </w:tc>
        <w:tc>
          <w:tcPr>
            <w:tcW w:w="1620" w:type="dxa"/>
            <w:shd w:val="clear" w:color="auto" w:fill="auto"/>
          </w:tcPr>
          <w:p w14:paraId="545FBC30" w14:textId="77777777" w:rsidR="00A45F56" w:rsidRPr="001F6DCE" w:rsidRDefault="00A45F56" w:rsidP="00A45F56">
            <w:pPr>
              <w:rPr>
                <w:sz w:val="20"/>
              </w:rPr>
            </w:pPr>
            <w:r w:rsidRPr="001F6DCE">
              <w:rPr>
                <w:sz w:val="20"/>
              </w:rPr>
              <w:t>Within the existing budget and using funds received from provided services</w:t>
            </w:r>
          </w:p>
        </w:tc>
        <w:tc>
          <w:tcPr>
            <w:tcW w:w="1620" w:type="dxa"/>
            <w:shd w:val="clear" w:color="auto" w:fill="auto"/>
          </w:tcPr>
          <w:p w14:paraId="77C37180" w14:textId="77777777" w:rsidR="00A45F56" w:rsidRPr="001F6DCE" w:rsidRDefault="00A45F56" w:rsidP="00A45F56">
            <w:pPr>
              <w:rPr>
                <w:sz w:val="20"/>
              </w:rPr>
            </w:pPr>
            <w:r w:rsidRPr="001F6DCE">
              <w:rPr>
                <w:sz w:val="20"/>
              </w:rPr>
              <w:t xml:space="preserve">Number of additional staff hired </w:t>
            </w:r>
          </w:p>
          <w:p w14:paraId="1FE62334" w14:textId="77777777" w:rsidR="00A45F56" w:rsidRPr="001F6DCE" w:rsidRDefault="00A45F56" w:rsidP="00A45F56">
            <w:pPr>
              <w:rPr>
                <w:sz w:val="20"/>
              </w:rPr>
            </w:pPr>
          </w:p>
        </w:tc>
        <w:tc>
          <w:tcPr>
            <w:tcW w:w="1857" w:type="dxa"/>
          </w:tcPr>
          <w:p w14:paraId="5146A39D" w14:textId="2AAC3CFE" w:rsidR="00A45F56" w:rsidRPr="001F6DCE" w:rsidRDefault="00A45F56" w:rsidP="00A45F56">
            <w:pPr>
              <w:rPr>
                <w:sz w:val="20"/>
              </w:rPr>
            </w:pPr>
            <w:r w:rsidRPr="001F6DCE">
              <w:rPr>
                <w:sz w:val="20"/>
              </w:rPr>
              <w:t xml:space="preserve">Ongoing </w:t>
            </w:r>
          </w:p>
        </w:tc>
      </w:tr>
      <w:tr w:rsidR="00A45F56" w:rsidRPr="001F6DCE" w14:paraId="12F62C1C" w14:textId="1DFF9780" w:rsidTr="00A23190">
        <w:trPr>
          <w:jc w:val="center"/>
        </w:trPr>
        <w:tc>
          <w:tcPr>
            <w:tcW w:w="468" w:type="dxa"/>
            <w:shd w:val="clear" w:color="auto" w:fill="auto"/>
          </w:tcPr>
          <w:p w14:paraId="0F080EF5" w14:textId="77777777" w:rsidR="00A45F56" w:rsidRPr="001F6DCE" w:rsidRDefault="00A45F56" w:rsidP="00A45F56">
            <w:pPr>
              <w:rPr>
                <w:sz w:val="20"/>
              </w:rPr>
            </w:pPr>
            <w:r w:rsidRPr="001F6DCE">
              <w:rPr>
                <w:sz w:val="20"/>
              </w:rPr>
              <w:t>4</w:t>
            </w:r>
          </w:p>
        </w:tc>
        <w:tc>
          <w:tcPr>
            <w:tcW w:w="3240" w:type="dxa"/>
            <w:shd w:val="clear" w:color="auto" w:fill="auto"/>
          </w:tcPr>
          <w:p w14:paraId="433293D0" w14:textId="19409E06" w:rsidR="00A45F56" w:rsidRPr="001F6DCE" w:rsidRDefault="00A45F56" w:rsidP="00A45F56">
            <w:pPr>
              <w:contextualSpacing/>
              <w:rPr>
                <w:sz w:val="20"/>
              </w:rPr>
            </w:pPr>
            <w:r w:rsidRPr="001F6DCE">
              <w:rPr>
                <w:sz w:val="20"/>
              </w:rPr>
              <w:t xml:space="preserve">Lack capacity of the </w:t>
            </w:r>
            <w:proofErr w:type="spellStart"/>
            <w:r w:rsidRPr="001F6DCE">
              <w:rPr>
                <w:sz w:val="20"/>
              </w:rPr>
              <w:t>MoHLSP</w:t>
            </w:r>
            <w:proofErr w:type="spellEnd"/>
            <w:r w:rsidRPr="001F6DCE">
              <w:rPr>
                <w:sz w:val="20"/>
              </w:rPr>
              <w:t xml:space="preserve"> to deal with patient’s complaints and monitor their resolution.</w:t>
            </w:r>
          </w:p>
        </w:tc>
        <w:tc>
          <w:tcPr>
            <w:tcW w:w="3334" w:type="dxa"/>
            <w:shd w:val="clear" w:color="auto" w:fill="auto"/>
          </w:tcPr>
          <w:p w14:paraId="065D5EFE" w14:textId="77777777" w:rsidR="00A45F56" w:rsidRPr="001F6DCE" w:rsidRDefault="00A45F56" w:rsidP="00A45F56">
            <w:pPr>
              <w:contextualSpacing/>
              <w:rPr>
                <w:sz w:val="20"/>
              </w:rPr>
            </w:pPr>
            <w:r w:rsidRPr="001F6DCE">
              <w:rPr>
                <w:sz w:val="20"/>
              </w:rPr>
              <w:t>Creation of an integrated complaint mechanism and consolidation of MOH capacity to deal internally with complaint resolution.</w:t>
            </w:r>
          </w:p>
        </w:tc>
        <w:tc>
          <w:tcPr>
            <w:tcW w:w="1593" w:type="dxa"/>
            <w:shd w:val="clear" w:color="auto" w:fill="auto"/>
          </w:tcPr>
          <w:p w14:paraId="4711F43D" w14:textId="640C1D0B" w:rsidR="00A45F56" w:rsidRPr="001F6DCE" w:rsidRDefault="00036315" w:rsidP="00A45F56">
            <w:pPr>
              <w:rPr>
                <w:sz w:val="20"/>
              </w:rPr>
            </w:pPr>
            <w:proofErr w:type="spellStart"/>
            <w:r w:rsidRPr="001F6DCE">
              <w:rPr>
                <w:sz w:val="20"/>
              </w:rPr>
              <w:t>MoHLSP</w:t>
            </w:r>
            <w:proofErr w:type="spellEnd"/>
          </w:p>
        </w:tc>
        <w:tc>
          <w:tcPr>
            <w:tcW w:w="1350" w:type="dxa"/>
            <w:shd w:val="clear" w:color="auto" w:fill="auto"/>
          </w:tcPr>
          <w:p w14:paraId="16D3AA52" w14:textId="3FC32023" w:rsidR="00A45F56" w:rsidRPr="001F6DCE" w:rsidRDefault="00036315" w:rsidP="00A45F56">
            <w:pPr>
              <w:rPr>
                <w:sz w:val="20"/>
              </w:rPr>
            </w:pPr>
            <w:r w:rsidRPr="001F6DCE">
              <w:rPr>
                <w:sz w:val="20"/>
              </w:rPr>
              <w:t xml:space="preserve">2018 </w:t>
            </w:r>
          </w:p>
        </w:tc>
        <w:tc>
          <w:tcPr>
            <w:tcW w:w="1620" w:type="dxa"/>
            <w:shd w:val="clear" w:color="auto" w:fill="auto"/>
          </w:tcPr>
          <w:p w14:paraId="5139BD51" w14:textId="77777777" w:rsidR="00A45F56" w:rsidRPr="001F6DCE" w:rsidRDefault="00A45F56" w:rsidP="00A45F56">
            <w:pPr>
              <w:rPr>
                <w:sz w:val="20"/>
              </w:rPr>
            </w:pPr>
            <w:r w:rsidRPr="001F6DCE">
              <w:rPr>
                <w:sz w:val="20"/>
              </w:rPr>
              <w:t>Within the existing budget</w:t>
            </w:r>
          </w:p>
        </w:tc>
        <w:tc>
          <w:tcPr>
            <w:tcW w:w="1620" w:type="dxa"/>
            <w:shd w:val="clear" w:color="auto" w:fill="auto"/>
          </w:tcPr>
          <w:p w14:paraId="2F20A8BD" w14:textId="77777777" w:rsidR="00A45F56" w:rsidRPr="001F6DCE" w:rsidRDefault="00A45F56" w:rsidP="00A45F56">
            <w:pPr>
              <w:rPr>
                <w:sz w:val="20"/>
              </w:rPr>
            </w:pPr>
          </w:p>
        </w:tc>
        <w:tc>
          <w:tcPr>
            <w:tcW w:w="1857" w:type="dxa"/>
          </w:tcPr>
          <w:p w14:paraId="7163DEB1" w14:textId="539D821F" w:rsidR="00A45F56" w:rsidRPr="001F6DCE" w:rsidRDefault="00A45F56" w:rsidP="00A45F56">
            <w:pPr>
              <w:rPr>
                <w:sz w:val="20"/>
              </w:rPr>
            </w:pPr>
            <w:r w:rsidRPr="001F6DCE">
              <w:rPr>
                <w:sz w:val="20"/>
              </w:rPr>
              <w:t xml:space="preserve">Ongoing </w:t>
            </w:r>
          </w:p>
        </w:tc>
      </w:tr>
      <w:tr w:rsidR="00A45F56" w:rsidRPr="001F6DCE" w14:paraId="2F093F92" w14:textId="1F631A4C" w:rsidTr="00A23190">
        <w:trPr>
          <w:jc w:val="center"/>
        </w:trPr>
        <w:tc>
          <w:tcPr>
            <w:tcW w:w="468" w:type="dxa"/>
            <w:shd w:val="clear" w:color="auto" w:fill="auto"/>
          </w:tcPr>
          <w:p w14:paraId="0906F2A9" w14:textId="77777777" w:rsidR="00A45F56" w:rsidRPr="001F6DCE" w:rsidRDefault="00A45F56" w:rsidP="00A45F56">
            <w:pPr>
              <w:rPr>
                <w:sz w:val="20"/>
              </w:rPr>
            </w:pPr>
            <w:r w:rsidRPr="001F6DCE">
              <w:rPr>
                <w:sz w:val="20"/>
              </w:rPr>
              <w:t>5</w:t>
            </w:r>
          </w:p>
        </w:tc>
        <w:tc>
          <w:tcPr>
            <w:tcW w:w="3240" w:type="dxa"/>
            <w:shd w:val="clear" w:color="auto" w:fill="auto"/>
          </w:tcPr>
          <w:p w14:paraId="6A97F19E" w14:textId="77777777" w:rsidR="00A45F56" w:rsidRPr="001F6DCE" w:rsidRDefault="00A45F56" w:rsidP="00A45F56">
            <w:pPr>
              <w:contextualSpacing/>
              <w:rPr>
                <w:sz w:val="20"/>
              </w:rPr>
            </w:pPr>
            <w:r w:rsidRPr="001F6DCE">
              <w:rPr>
                <w:sz w:val="20"/>
              </w:rPr>
              <w:t>Emerging capacity of CNAM to analyse grievances and inform the population</w:t>
            </w:r>
          </w:p>
        </w:tc>
        <w:tc>
          <w:tcPr>
            <w:tcW w:w="3334" w:type="dxa"/>
            <w:shd w:val="clear" w:color="auto" w:fill="auto"/>
          </w:tcPr>
          <w:p w14:paraId="621D2B63" w14:textId="77777777" w:rsidR="00A45F56" w:rsidRPr="001F6DCE" w:rsidRDefault="00A45F56" w:rsidP="00A45F56">
            <w:pPr>
              <w:contextualSpacing/>
              <w:rPr>
                <w:sz w:val="20"/>
              </w:rPr>
            </w:pPr>
            <w:r w:rsidRPr="001F6DCE">
              <w:rPr>
                <w:sz w:val="20"/>
              </w:rPr>
              <w:t>Strengthen capacity of the hot-line by developing information and training the staff</w:t>
            </w:r>
          </w:p>
        </w:tc>
        <w:tc>
          <w:tcPr>
            <w:tcW w:w="1593" w:type="dxa"/>
            <w:shd w:val="clear" w:color="auto" w:fill="auto"/>
          </w:tcPr>
          <w:p w14:paraId="141671E0" w14:textId="3BB4C332" w:rsidR="00A45F56" w:rsidRPr="001F6DCE" w:rsidRDefault="00036315" w:rsidP="00A45F56">
            <w:pPr>
              <w:rPr>
                <w:sz w:val="20"/>
              </w:rPr>
            </w:pPr>
            <w:r w:rsidRPr="001F6DCE">
              <w:rPr>
                <w:sz w:val="20"/>
              </w:rPr>
              <w:t>CNAM</w:t>
            </w:r>
          </w:p>
        </w:tc>
        <w:tc>
          <w:tcPr>
            <w:tcW w:w="1350" w:type="dxa"/>
            <w:shd w:val="clear" w:color="auto" w:fill="auto"/>
          </w:tcPr>
          <w:p w14:paraId="3C1B49FC" w14:textId="20B11EE5" w:rsidR="00A45F56" w:rsidRPr="001F6DCE" w:rsidRDefault="00036315" w:rsidP="00A45F56">
            <w:pPr>
              <w:rPr>
                <w:sz w:val="20"/>
              </w:rPr>
            </w:pPr>
            <w:r w:rsidRPr="001F6DCE">
              <w:rPr>
                <w:sz w:val="20"/>
              </w:rPr>
              <w:t>2014</w:t>
            </w:r>
          </w:p>
        </w:tc>
        <w:tc>
          <w:tcPr>
            <w:tcW w:w="1620" w:type="dxa"/>
            <w:shd w:val="clear" w:color="auto" w:fill="auto"/>
          </w:tcPr>
          <w:p w14:paraId="7DF21771" w14:textId="77777777" w:rsidR="00A45F56" w:rsidRPr="001F6DCE" w:rsidRDefault="00A45F56" w:rsidP="00A45F56">
            <w:pPr>
              <w:rPr>
                <w:sz w:val="20"/>
              </w:rPr>
            </w:pPr>
            <w:r w:rsidRPr="001F6DCE">
              <w:rPr>
                <w:sz w:val="20"/>
              </w:rPr>
              <w:t>Within allocated budgets</w:t>
            </w:r>
          </w:p>
        </w:tc>
        <w:tc>
          <w:tcPr>
            <w:tcW w:w="1620" w:type="dxa"/>
            <w:shd w:val="clear" w:color="auto" w:fill="auto"/>
          </w:tcPr>
          <w:p w14:paraId="4B7A5485" w14:textId="77777777" w:rsidR="00A45F56" w:rsidRPr="001F6DCE" w:rsidRDefault="00A45F56" w:rsidP="00A45F56">
            <w:pPr>
              <w:rPr>
                <w:sz w:val="20"/>
              </w:rPr>
            </w:pPr>
            <w:r w:rsidRPr="001F6DCE">
              <w:rPr>
                <w:sz w:val="20"/>
              </w:rPr>
              <w:t>Number of conducted trainings and participants</w:t>
            </w:r>
          </w:p>
        </w:tc>
        <w:tc>
          <w:tcPr>
            <w:tcW w:w="1857" w:type="dxa"/>
          </w:tcPr>
          <w:p w14:paraId="37F4A1F6" w14:textId="45FB06D7" w:rsidR="00A45F56" w:rsidRPr="001F6DCE" w:rsidRDefault="00036315" w:rsidP="00A45F56">
            <w:pPr>
              <w:rPr>
                <w:sz w:val="20"/>
              </w:rPr>
            </w:pPr>
            <w:r w:rsidRPr="001F6DCE">
              <w:rPr>
                <w:sz w:val="20"/>
              </w:rPr>
              <w:t xml:space="preserve">Completed </w:t>
            </w:r>
          </w:p>
        </w:tc>
      </w:tr>
      <w:tr w:rsidR="00036315" w:rsidRPr="001F6DCE" w14:paraId="3362EBD3" w14:textId="3EF637BA" w:rsidTr="00A23190">
        <w:trPr>
          <w:jc w:val="center"/>
        </w:trPr>
        <w:tc>
          <w:tcPr>
            <w:tcW w:w="468" w:type="dxa"/>
            <w:shd w:val="clear" w:color="auto" w:fill="auto"/>
          </w:tcPr>
          <w:p w14:paraId="10D881EF" w14:textId="77777777" w:rsidR="00036315" w:rsidRPr="001F6DCE" w:rsidRDefault="00036315" w:rsidP="00036315">
            <w:pPr>
              <w:rPr>
                <w:sz w:val="20"/>
              </w:rPr>
            </w:pPr>
            <w:r w:rsidRPr="001F6DCE">
              <w:rPr>
                <w:sz w:val="20"/>
              </w:rPr>
              <w:t>6</w:t>
            </w:r>
          </w:p>
        </w:tc>
        <w:tc>
          <w:tcPr>
            <w:tcW w:w="3240" w:type="dxa"/>
            <w:shd w:val="clear" w:color="auto" w:fill="auto"/>
          </w:tcPr>
          <w:p w14:paraId="5CFD62A6" w14:textId="611CDFF3" w:rsidR="00036315" w:rsidRPr="001F6DCE" w:rsidRDefault="00036315" w:rsidP="00036315">
            <w:pPr>
              <w:contextualSpacing/>
              <w:rPr>
                <w:sz w:val="20"/>
              </w:rPr>
            </w:pPr>
            <w:r w:rsidRPr="001F6DCE">
              <w:rPr>
                <w:sz w:val="20"/>
              </w:rPr>
              <w:t xml:space="preserve">Low awareness of the population of existence of the hot-lines administered by CNAM and </w:t>
            </w:r>
            <w:proofErr w:type="spellStart"/>
            <w:r w:rsidRPr="001F6DCE">
              <w:rPr>
                <w:sz w:val="20"/>
              </w:rPr>
              <w:t>MoHLSP</w:t>
            </w:r>
            <w:proofErr w:type="spellEnd"/>
          </w:p>
        </w:tc>
        <w:tc>
          <w:tcPr>
            <w:tcW w:w="3334" w:type="dxa"/>
            <w:shd w:val="clear" w:color="auto" w:fill="auto"/>
          </w:tcPr>
          <w:p w14:paraId="7FBE5650" w14:textId="77777777" w:rsidR="00036315" w:rsidRPr="001F6DCE" w:rsidRDefault="00036315" w:rsidP="00036315">
            <w:pPr>
              <w:contextualSpacing/>
              <w:rPr>
                <w:sz w:val="20"/>
              </w:rPr>
            </w:pPr>
            <w:r w:rsidRPr="001F6DCE">
              <w:rPr>
                <w:sz w:val="20"/>
              </w:rPr>
              <w:t>Wide public information campaign on the hot-lines and issues to be addressed to them</w:t>
            </w:r>
          </w:p>
        </w:tc>
        <w:tc>
          <w:tcPr>
            <w:tcW w:w="1593" w:type="dxa"/>
            <w:shd w:val="clear" w:color="auto" w:fill="auto"/>
          </w:tcPr>
          <w:p w14:paraId="44023D5D" w14:textId="4A42432B" w:rsidR="00036315" w:rsidRPr="001F6DCE" w:rsidRDefault="00036315" w:rsidP="00036315">
            <w:pPr>
              <w:rPr>
                <w:sz w:val="20"/>
              </w:rPr>
            </w:pPr>
            <w:proofErr w:type="spellStart"/>
            <w:r w:rsidRPr="001F6DCE">
              <w:rPr>
                <w:sz w:val="20"/>
              </w:rPr>
              <w:t>MoHLSP</w:t>
            </w:r>
            <w:proofErr w:type="spellEnd"/>
            <w:r w:rsidRPr="001F6DCE">
              <w:rPr>
                <w:sz w:val="20"/>
              </w:rPr>
              <w:t>, CNAM</w:t>
            </w:r>
          </w:p>
        </w:tc>
        <w:tc>
          <w:tcPr>
            <w:tcW w:w="1350" w:type="dxa"/>
            <w:shd w:val="clear" w:color="auto" w:fill="auto"/>
          </w:tcPr>
          <w:p w14:paraId="24F8EDD5" w14:textId="0270352F" w:rsidR="00036315" w:rsidRPr="001F6DCE" w:rsidRDefault="00036315" w:rsidP="00036315">
            <w:pPr>
              <w:rPr>
                <w:sz w:val="20"/>
              </w:rPr>
            </w:pPr>
            <w:r w:rsidRPr="001F6DCE">
              <w:rPr>
                <w:sz w:val="20"/>
              </w:rPr>
              <w:t>2014</w:t>
            </w:r>
          </w:p>
        </w:tc>
        <w:tc>
          <w:tcPr>
            <w:tcW w:w="1620" w:type="dxa"/>
            <w:shd w:val="clear" w:color="auto" w:fill="auto"/>
          </w:tcPr>
          <w:p w14:paraId="7CC8BE12" w14:textId="77777777" w:rsidR="00036315" w:rsidRPr="001F6DCE" w:rsidRDefault="00036315" w:rsidP="00036315">
            <w:pPr>
              <w:rPr>
                <w:sz w:val="20"/>
              </w:rPr>
            </w:pPr>
            <w:r w:rsidRPr="001F6DCE">
              <w:rPr>
                <w:sz w:val="20"/>
              </w:rPr>
              <w:t>Within allocated budgets</w:t>
            </w:r>
          </w:p>
        </w:tc>
        <w:tc>
          <w:tcPr>
            <w:tcW w:w="1620" w:type="dxa"/>
            <w:shd w:val="clear" w:color="auto" w:fill="auto"/>
          </w:tcPr>
          <w:p w14:paraId="3C30B37F" w14:textId="77777777" w:rsidR="00036315" w:rsidRPr="001F6DCE" w:rsidRDefault="00036315" w:rsidP="00036315">
            <w:pPr>
              <w:rPr>
                <w:sz w:val="20"/>
              </w:rPr>
            </w:pPr>
            <w:r w:rsidRPr="001F6DCE">
              <w:rPr>
                <w:sz w:val="20"/>
              </w:rPr>
              <w:t xml:space="preserve">Number of calls to the hot-lines and nature of requests </w:t>
            </w:r>
            <w:r w:rsidRPr="001F6DCE">
              <w:rPr>
                <w:sz w:val="20"/>
              </w:rPr>
              <w:lastRenderedPageBreak/>
              <w:t>addressed</w:t>
            </w:r>
          </w:p>
        </w:tc>
        <w:tc>
          <w:tcPr>
            <w:tcW w:w="1857" w:type="dxa"/>
          </w:tcPr>
          <w:p w14:paraId="06C4C0DA" w14:textId="25B5040C" w:rsidR="00036315" w:rsidRPr="001F6DCE" w:rsidRDefault="00036315" w:rsidP="00036315">
            <w:pPr>
              <w:rPr>
                <w:sz w:val="20"/>
              </w:rPr>
            </w:pPr>
            <w:r w:rsidRPr="001F6DCE">
              <w:rPr>
                <w:sz w:val="20"/>
              </w:rPr>
              <w:lastRenderedPageBreak/>
              <w:t xml:space="preserve">Completed </w:t>
            </w:r>
          </w:p>
        </w:tc>
      </w:tr>
    </w:tbl>
    <w:p w14:paraId="74FDCB93" w14:textId="3D153ECE" w:rsidR="00147721" w:rsidRPr="001F6DCE" w:rsidRDefault="00147721"/>
    <w:tbl>
      <w:tblPr>
        <w:tblW w:w="15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240"/>
        <w:gridCol w:w="3334"/>
        <w:gridCol w:w="1593"/>
        <w:gridCol w:w="1350"/>
        <w:gridCol w:w="117"/>
        <w:gridCol w:w="1503"/>
        <w:gridCol w:w="17"/>
        <w:gridCol w:w="1603"/>
        <w:gridCol w:w="1857"/>
      </w:tblGrid>
      <w:tr w:rsidR="004A01E8" w:rsidRPr="001F6DCE" w14:paraId="35B1A0F8" w14:textId="68A42736" w:rsidTr="00A23190">
        <w:trPr>
          <w:jc w:val="center"/>
        </w:trPr>
        <w:tc>
          <w:tcPr>
            <w:tcW w:w="468" w:type="dxa"/>
            <w:shd w:val="clear" w:color="auto" w:fill="auto"/>
          </w:tcPr>
          <w:p w14:paraId="4777C302" w14:textId="77777777" w:rsidR="004A01E8" w:rsidRPr="001F6DCE" w:rsidRDefault="004A01E8" w:rsidP="00A04983">
            <w:pPr>
              <w:jc w:val="both"/>
              <w:rPr>
                <w:sz w:val="20"/>
              </w:rPr>
            </w:pPr>
            <w:r w:rsidRPr="001F6DCE">
              <w:rPr>
                <w:sz w:val="20"/>
              </w:rPr>
              <w:t>7</w:t>
            </w:r>
          </w:p>
        </w:tc>
        <w:tc>
          <w:tcPr>
            <w:tcW w:w="3240" w:type="dxa"/>
            <w:shd w:val="clear" w:color="auto" w:fill="auto"/>
          </w:tcPr>
          <w:p w14:paraId="58810043" w14:textId="77777777" w:rsidR="004A01E8" w:rsidRPr="001F6DCE" w:rsidRDefault="004A01E8" w:rsidP="002422AE">
            <w:pPr>
              <w:contextualSpacing/>
              <w:rPr>
                <w:sz w:val="20"/>
              </w:rPr>
            </w:pPr>
            <w:r w:rsidRPr="001F6DCE">
              <w:rPr>
                <w:sz w:val="20"/>
              </w:rPr>
              <w:t>Need to prepare the population to use of primary care information system and e-prescriptions</w:t>
            </w:r>
          </w:p>
        </w:tc>
        <w:tc>
          <w:tcPr>
            <w:tcW w:w="3334" w:type="dxa"/>
            <w:shd w:val="clear" w:color="auto" w:fill="auto"/>
          </w:tcPr>
          <w:p w14:paraId="67F3F0B1" w14:textId="77777777" w:rsidR="004A01E8" w:rsidRPr="001F6DCE" w:rsidRDefault="004A01E8" w:rsidP="002422AE">
            <w:pPr>
              <w:contextualSpacing/>
              <w:rPr>
                <w:sz w:val="20"/>
              </w:rPr>
            </w:pPr>
            <w:r w:rsidRPr="001F6DCE">
              <w:rPr>
                <w:sz w:val="20"/>
              </w:rPr>
              <w:t>Wide and proactive dissemination of information on how to use primary care information system among the patients</w:t>
            </w:r>
          </w:p>
        </w:tc>
        <w:tc>
          <w:tcPr>
            <w:tcW w:w="1593" w:type="dxa"/>
            <w:shd w:val="clear" w:color="auto" w:fill="auto"/>
          </w:tcPr>
          <w:p w14:paraId="146594CA" w14:textId="2C690E24" w:rsidR="004A01E8" w:rsidRPr="001F6DCE" w:rsidRDefault="00036315" w:rsidP="002422AE">
            <w:pPr>
              <w:rPr>
                <w:sz w:val="20"/>
              </w:rPr>
            </w:pPr>
            <w:proofErr w:type="spellStart"/>
            <w:r w:rsidRPr="001F6DCE">
              <w:rPr>
                <w:sz w:val="20"/>
              </w:rPr>
              <w:t>MoHLSP</w:t>
            </w:r>
            <w:proofErr w:type="spellEnd"/>
            <w:r w:rsidRPr="001F6DCE">
              <w:rPr>
                <w:sz w:val="20"/>
              </w:rPr>
              <w:t xml:space="preserve"> &amp; CNAM (development of information materials) PHCs, CSOs (dissemination and counselling)</w:t>
            </w:r>
          </w:p>
        </w:tc>
        <w:tc>
          <w:tcPr>
            <w:tcW w:w="1350" w:type="dxa"/>
            <w:shd w:val="clear" w:color="auto" w:fill="auto"/>
          </w:tcPr>
          <w:p w14:paraId="1809BEBC" w14:textId="00E8A5D2" w:rsidR="004A01E8" w:rsidRPr="001F6DCE" w:rsidRDefault="00036315" w:rsidP="002422AE">
            <w:pPr>
              <w:rPr>
                <w:sz w:val="20"/>
              </w:rPr>
            </w:pPr>
            <w:r w:rsidRPr="001F6DCE">
              <w:rPr>
                <w:sz w:val="20"/>
              </w:rPr>
              <w:t>Continuously</w:t>
            </w:r>
            <w:r w:rsidRPr="001F6DCE" w:rsidDel="00036315">
              <w:rPr>
                <w:sz w:val="20"/>
              </w:rPr>
              <w:t xml:space="preserve"> </w:t>
            </w:r>
          </w:p>
        </w:tc>
        <w:tc>
          <w:tcPr>
            <w:tcW w:w="1620" w:type="dxa"/>
            <w:gridSpan w:val="2"/>
            <w:shd w:val="clear" w:color="auto" w:fill="auto"/>
          </w:tcPr>
          <w:p w14:paraId="48E6F25C" w14:textId="77777777" w:rsidR="004A01E8" w:rsidRPr="001F6DCE" w:rsidRDefault="004A01E8" w:rsidP="002422AE">
            <w:pPr>
              <w:rPr>
                <w:sz w:val="20"/>
              </w:rPr>
            </w:pPr>
            <w:r w:rsidRPr="001F6DCE">
              <w:rPr>
                <w:sz w:val="20"/>
              </w:rPr>
              <w:t>TA Funding</w:t>
            </w:r>
          </w:p>
        </w:tc>
        <w:tc>
          <w:tcPr>
            <w:tcW w:w="1620" w:type="dxa"/>
            <w:gridSpan w:val="2"/>
            <w:shd w:val="clear" w:color="auto" w:fill="auto"/>
          </w:tcPr>
          <w:p w14:paraId="5EEC98E0" w14:textId="77777777" w:rsidR="004A01E8" w:rsidRPr="001F6DCE" w:rsidRDefault="004A01E8" w:rsidP="002422AE">
            <w:pPr>
              <w:rPr>
                <w:sz w:val="20"/>
              </w:rPr>
            </w:pPr>
            <w:r w:rsidRPr="001F6DCE">
              <w:rPr>
                <w:sz w:val="20"/>
              </w:rPr>
              <w:t>Materials developed and disseminated</w:t>
            </w:r>
          </w:p>
        </w:tc>
        <w:tc>
          <w:tcPr>
            <w:tcW w:w="1857" w:type="dxa"/>
          </w:tcPr>
          <w:p w14:paraId="7C812EF6" w14:textId="57C2F0F7" w:rsidR="004A01E8" w:rsidRPr="001F6DCE" w:rsidRDefault="00036315" w:rsidP="002422AE">
            <w:pPr>
              <w:rPr>
                <w:sz w:val="20"/>
              </w:rPr>
            </w:pPr>
            <w:r w:rsidRPr="001F6DCE">
              <w:rPr>
                <w:sz w:val="20"/>
              </w:rPr>
              <w:t xml:space="preserve">Not started </w:t>
            </w:r>
          </w:p>
        </w:tc>
      </w:tr>
      <w:tr w:rsidR="004A01E8" w:rsidRPr="001F6DCE" w14:paraId="691B270F" w14:textId="02F3863C" w:rsidTr="00A23190">
        <w:trPr>
          <w:jc w:val="center"/>
        </w:trPr>
        <w:tc>
          <w:tcPr>
            <w:tcW w:w="468" w:type="dxa"/>
            <w:shd w:val="clear" w:color="auto" w:fill="auto"/>
          </w:tcPr>
          <w:p w14:paraId="7A790A87" w14:textId="77777777" w:rsidR="004A01E8" w:rsidRPr="001F6DCE" w:rsidRDefault="004A01E8" w:rsidP="00A04983">
            <w:pPr>
              <w:jc w:val="both"/>
              <w:rPr>
                <w:sz w:val="20"/>
              </w:rPr>
            </w:pPr>
            <w:r w:rsidRPr="001F6DCE">
              <w:rPr>
                <w:sz w:val="20"/>
              </w:rPr>
              <w:t>8</w:t>
            </w:r>
          </w:p>
        </w:tc>
        <w:tc>
          <w:tcPr>
            <w:tcW w:w="3240" w:type="dxa"/>
            <w:shd w:val="clear" w:color="auto" w:fill="auto"/>
          </w:tcPr>
          <w:p w14:paraId="1095E557" w14:textId="77777777" w:rsidR="004A01E8" w:rsidRPr="001F6DCE" w:rsidRDefault="004A01E8" w:rsidP="002422AE">
            <w:pPr>
              <w:contextualSpacing/>
              <w:rPr>
                <w:sz w:val="20"/>
              </w:rPr>
            </w:pPr>
            <w:r w:rsidRPr="001F6DCE">
              <w:rPr>
                <w:sz w:val="20"/>
              </w:rPr>
              <w:t xml:space="preserve">Low awareness of the patients on their rights and entitlements in terms of secondary and tertiary medical services </w:t>
            </w:r>
          </w:p>
        </w:tc>
        <w:tc>
          <w:tcPr>
            <w:tcW w:w="3334" w:type="dxa"/>
            <w:shd w:val="clear" w:color="auto" w:fill="auto"/>
          </w:tcPr>
          <w:p w14:paraId="618BFDAA" w14:textId="77777777" w:rsidR="004A01E8" w:rsidRPr="001F6DCE" w:rsidRDefault="004A01E8" w:rsidP="00AD5AA1">
            <w:pPr>
              <w:contextualSpacing/>
              <w:rPr>
                <w:sz w:val="20"/>
              </w:rPr>
            </w:pPr>
            <w:r w:rsidRPr="001F6DCE">
              <w:rPr>
                <w:sz w:val="20"/>
              </w:rPr>
              <w:t>Hospitals develop in collaboration with the patients’ association public charters that can be easily accessed by the patients and inform on their entitlements and rights as well as expected quality of services.</w:t>
            </w:r>
          </w:p>
        </w:tc>
        <w:tc>
          <w:tcPr>
            <w:tcW w:w="1593" w:type="dxa"/>
            <w:shd w:val="clear" w:color="auto" w:fill="auto"/>
          </w:tcPr>
          <w:p w14:paraId="528F5266" w14:textId="782E2262" w:rsidR="004A01E8" w:rsidRPr="001F6DCE" w:rsidRDefault="00036315" w:rsidP="002422AE">
            <w:pPr>
              <w:rPr>
                <w:sz w:val="20"/>
              </w:rPr>
            </w:pPr>
            <w:proofErr w:type="spellStart"/>
            <w:r w:rsidRPr="001F6DCE">
              <w:rPr>
                <w:sz w:val="20"/>
              </w:rPr>
              <w:t>MoHLSP</w:t>
            </w:r>
            <w:proofErr w:type="spellEnd"/>
            <w:r w:rsidRPr="001F6DCE">
              <w:rPr>
                <w:sz w:val="20"/>
              </w:rPr>
              <w:t>, Hospital Management, patients’ associations</w:t>
            </w:r>
            <w:r w:rsidRPr="001F6DCE" w:rsidDel="00036315">
              <w:rPr>
                <w:sz w:val="20"/>
              </w:rPr>
              <w:t xml:space="preserve"> </w:t>
            </w:r>
          </w:p>
        </w:tc>
        <w:tc>
          <w:tcPr>
            <w:tcW w:w="1350" w:type="dxa"/>
            <w:shd w:val="clear" w:color="auto" w:fill="auto"/>
          </w:tcPr>
          <w:p w14:paraId="5F59059E" w14:textId="5622E82D" w:rsidR="004A01E8" w:rsidRPr="001F6DCE" w:rsidRDefault="00036315" w:rsidP="002422AE">
            <w:pPr>
              <w:rPr>
                <w:sz w:val="20"/>
              </w:rPr>
            </w:pPr>
            <w:r w:rsidRPr="001F6DCE">
              <w:rPr>
                <w:sz w:val="20"/>
              </w:rPr>
              <w:t>2018-2019</w:t>
            </w:r>
          </w:p>
        </w:tc>
        <w:tc>
          <w:tcPr>
            <w:tcW w:w="1620" w:type="dxa"/>
            <w:gridSpan w:val="2"/>
            <w:shd w:val="clear" w:color="auto" w:fill="auto"/>
          </w:tcPr>
          <w:p w14:paraId="7539742F" w14:textId="77777777" w:rsidR="004A01E8" w:rsidRPr="001F6DCE" w:rsidRDefault="004A01E8" w:rsidP="002422AE">
            <w:pPr>
              <w:rPr>
                <w:sz w:val="20"/>
              </w:rPr>
            </w:pPr>
            <w:r w:rsidRPr="001F6DCE">
              <w:rPr>
                <w:sz w:val="20"/>
              </w:rPr>
              <w:t>TA Funding</w:t>
            </w:r>
          </w:p>
        </w:tc>
        <w:tc>
          <w:tcPr>
            <w:tcW w:w="1620" w:type="dxa"/>
            <w:gridSpan w:val="2"/>
            <w:shd w:val="clear" w:color="auto" w:fill="auto"/>
          </w:tcPr>
          <w:p w14:paraId="382B1D98" w14:textId="77777777" w:rsidR="004A01E8" w:rsidRPr="001F6DCE" w:rsidRDefault="004A01E8" w:rsidP="002422AE">
            <w:pPr>
              <w:rPr>
                <w:sz w:val="20"/>
              </w:rPr>
            </w:pPr>
            <w:r w:rsidRPr="001F6DCE">
              <w:rPr>
                <w:sz w:val="20"/>
              </w:rPr>
              <w:t>Charters developed and place in the hospitals</w:t>
            </w:r>
          </w:p>
        </w:tc>
        <w:tc>
          <w:tcPr>
            <w:tcW w:w="1857" w:type="dxa"/>
          </w:tcPr>
          <w:p w14:paraId="537170CE" w14:textId="5E87E09D" w:rsidR="004A01E8" w:rsidRPr="001F6DCE" w:rsidRDefault="00036315" w:rsidP="002422AE">
            <w:pPr>
              <w:rPr>
                <w:sz w:val="20"/>
              </w:rPr>
            </w:pPr>
            <w:r w:rsidRPr="001F6DCE">
              <w:rPr>
                <w:sz w:val="20"/>
              </w:rPr>
              <w:t>Not started</w:t>
            </w:r>
          </w:p>
        </w:tc>
      </w:tr>
      <w:tr w:rsidR="004A01E8" w:rsidRPr="001F6DCE" w14:paraId="189C4826" w14:textId="420173D8" w:rsidTr="00A23190">
        <w:trPr>
          <w:jc w:val="center"/>
        </w:trPr>
        <w:tc>
          <w:tcPr>
            <w:tcW w:w="468" w:type="dxa"/>
            <w:shd w:val="clear" w:color="auto" w:fill="auto"/>
          </w:tcPr>
          <w:p w14:paraId="51B6584B" w14:textId="77777777" w:rsidR="004A01E8" w:rsidRPr="001F6DCE" w:rsidRDefault="004A01E8" w:rsidP="00A04983">
            <w:pPr>
              <w:jc w:val="both"/>
              <w:rPr>
                <w:sz w:val="20"/>
              </w:rPr>
            </w:pPr>
            <w:r w:rsidRPr="001F6DCE">
              <w:rPr>
                <w:sz w:val="20"/>
              </w:rPr>
              <w:t>9</w:t>
            </w:r>
          </w:p>
        </w:tc>
        <w:tc>
          <w:tcPr>
            <w:tcW w:w="3240" w:type="dxa"/>
            <w:shd w:val="clear" w:color="auto" w:fill="auto"/>
          </w:tcPr>
          <w:p w14:paraId="5B661A06" w14:textId="77777777" w:rsidR="004A01E8" w:rsidRPr="001F6DCE" w:rsidRDefault="004A01E8" w:rsidP="002422AE">
            <w:pPr>
              <w:contextualSpacing/>
              <w:rPr>
                <w:sz w:val="20"/>
              </w:rPr>
            </w:pPr>
            <w:r w:rsidRPr="001F6DCE">
              <w:rPr>
                <w:sz w:val="20"/>
              </w:rPr>
              <w:t>Insufficient monitoring of use of public funding for health Care</w:t>
            </w:r>
          </w:p>
        </w:tc>
        <w:tc>
          <w:tcPr>
            <w:tcW w:w="3334" w:type="dxa"/>
            <w:shd w:val="clear" w:color="auto" w:fill="auto"/>
          </w:tcPr>
          <w:p w14:paraId="77013DC8" w14:textId="77777777" w:rsidR="004A01E8" w:rsidRPr="001F6DCE" w:rsidRDefault="004A01E8" w:rsidP="002422AE">
            <w:pPr>
              <w:contextualSpacing/>
              <w:rPr>
                <w:sz w:val="20"/>
              </w:rPr>
            </w:pPr>
            <w:r w:rsidRPr="001F6DCE">
              <w:rPr>
                <w:sz w:val="20"/>
              </w:rPr>
              <w:t xml:space="preserve">Involve the Court of Accounts and CSOs in monitoring of </w:t>
            </w:r>
            <w:proofErr w:type="spellStart"/>
            <w:r w:rsidRPr="001F6DCE">
              <w:rPr>
                <w:sz w:val="20"/>
              </w:rPr>
              <w:t>RforR</w:t>
            </w:r>
            <w:proofErr w:type="spellEnd"/>
            <w:r w:rsidRPr="001F6DCE">
              <w:rPr>
                <w:sz w:val="20"/>
              </w:rPr>
              <w:t xml:space="preserve"> related performance </w:t>
            </w:r>
          </w:p>
        </w:tc>
        <w:tc>
          <w:tcPr>
            <w:tcW w:w="1593" w:type="dxa"/>
            <w:shd w:val="clear" w:color="auto" w:fill="auto"/>
          </w:tcPr>
          <w:p w14:paraId="05AC0730" w14:textId="1431F698" w:rsidR="004A01E8" w:rsidRPr="001F6DCE" w:rsidRDefault="00036315" w:rsidP="002422AE">
            <w:pPr>
              <w:rPr>
                <w:sz w:val="20"/>
              </w:rPr>
            </w:pPr>
            <w:proofErr w:type="spellStart"/>
            <w:r w:rsidRPr="001F6DCE">
              <w:rPr>
                <w:sz w:val="20"/>
              </w:rPr>
              <w:t>MoHLSP</w:t>
            </w:r>
            <w:proofErr w:type="spellEnd"/>
          </w:p>
        </w:tc>
        <w:tc>
          <w:tcPr>
            <w:tcW w:w="1350" w:type="dxa"/>
            <w:shd w:val="clear" w:color="auto" w:fill="auto"/>
          </w:tcPr>
          <w:p w14:paraId="339C74B6" w14:textId="5BCDDC71" w:rsidR="004A01E8" w:rsidRPr="001F6DCE" w:rsidRDefault="00036315" w:rsidP="002422AE">
            <w:pPr>
              <w:rPr>
                <w:sz w:val="20"/>
              </w:rPr>
            </w:pPr>
            <w:r w:rsidRPr="001F6DCE">
              <w:rPr>
                <w:sz w:val="20"/>
              </w:rPr>
              <w:t xml:space="preserve">Annually </w:t>
            </w:r>
          </w:p>
        </w:tc>
        <w:tc>
          <w:tcPr>
            <w:tcW w:w="1620" w:type="dxa"/>
            <w:gridSpan w:val="2"/>
            <w:shd w:val="clear" w:color="auto" w:fill="auto"/>
          </w:tcPr>
          <w:p w14:paraId="14362D68" w14:textId="77777777" w:rsidR="004A01E8" w:rsidRPr="001F6DCE" w:rsidRDefault="004A01E8" w:rsidP="002422AE">
            <w:pPr>
              <w:rPr>
                <w:b/>
                <w:sz w:val="20"/>
              </w:rPr>
            </w:pPr>
            <w:r w:rsidRPr="001F6DCE">
              <w:rPr>
                <w:sz w:val="20"/>
              </w:rPr>
              <w:t>Within allocated budget</w:t>
            </w:r>
          </w:p>
        </w:tc>
        <w:tc>
          <w:tcPr>
            <w:tcW w:w="1620" w:type="dxa"/>
            <w:gridSpan w:val="2"/>
            <w:shd w:val="clear" w:color="auto" w:fill="auto"/>
          </w:tcPr>
          <w:p w14:paraId="7D78A699" w14:textId="77777777" w:rsidR="004A01E8" w:rsidRPr="001F6DCE" w:rsidRDefault="004A01E8" w:rsidP="002422AE">
            <w:pPr>
              <w:rPr>
                <w:sz w:val="20"/>
              </w:rPr>
            </w:pPr>
            <w:r w:rsidRPr="001F6DCE">
              <w:rPr>
                <w:sz w:val="20"/>
              </w:rPr>
              <w:t>Reports produced by the Court of Accounts</w:t>
            </w:r>
          </w:p>
        </w:tc>
        <w:tc>
          <w:tcPr>
            <w:tcW w:w="1857" w:type="dxa"/>
          </w:tcPr>
          <w:p w14:paraId="4CC5EA41" w14:textId="53CE1D35" w:rsidR="004A01E8" w:rsidRPr="001F6DCE" w:rsidRDefault="00036315" w:rsidP="002422AE">
            <w:pPr>
              <w:rPr>
                <w:sz w:val="20"/>
              </w:rPr>
            </w:pPr>
            <w:r w:rsidRPr="001F6DCE">
              <w:rPr>
                <w:sz w:val="20"/>
              </w:rPr>
              <w:t xml:space="preserve">Ongoing </w:t>
            </w:r>
          </w:p>
        </w:tc>
      </w:tr>
      <w:tr w:rsidR="004A01E8" w:rsidRPr="001F6DCE" w14:paraId="1BFC22A7" w14:textId="5FB88FB6" w:rsidTr="00A23190">
        <w:trPr>
          <w:trHeight w:val="361"/>
          <w:jc w:val="center"/>
        </w:trPr>
        <w:tc>
          <w:tcPr>
            <w:tcW w:w="13225" w:type="dxa"/>
            <w:gridSpan w:val="9"/>
            <w:shd w:val="clear" w:color="auto" w:fill="auto"/>
            <w:vAlign w:val="center"/>
          </w:tcPr>
          <w:p w14:paraId="3E88AA5A" w14:textId="77777777" w:rsidR="004A01E8" w:rsidRPr="001F6DCE" w:rsidRDefault="004A01E8" w:rsidP="00165778">
            <w:pPr>
              <w:pStyle w:val="ListParagraph"/>
              <w:numPr>
                <w:ilvl w:val="0"/>
                <w:numId w:val="20"/>
              </w:numPr>
              <w:jc w:val="both"/>
              <w:rPr>
                <w:b/>
                <w:sz w:val="20"/>
              </w:rPr>
            </w:pPr>
            <w:r w:rsidRPr="001F6DCE">
              <w:rPr>
                <w:b/>
                <w:sz w:val="20"/>
              </w:rPr>
              <w:t>Feasibility studies</w:t>
            </w:r>
          </w:p>
        </w:tc>
        <w:tc>
          <w:tcPr>
            <w:tcW w:w="1857" w:type="dxa"/>
          </w:tcPr>
          <w:p w14:paraId="466E19A0" w14:textId="77777777" w:rsidR="004A01E8" w:rsidRPr="001F6DCE" w:rsidRDefault="004A01E8" w:rsidP="00AE516B">
            <w:pPr>
              <w:pStyle w:val="ListParagraph"/>
              <w:jc w:val="both"/>
              <w:rPr>
                <w:b/>
                <w:sz w:val="20"/>
              </w:rPr>
            </w:pPr>
          </w:p>
        </w:tc>
      </w:tr>
      <w:tr w:rsidR="004A01E8" w:rsidRPr="001F6DCE" w14:paraId="33E7F94B" w14:textId="08D9E72B" w:rsidTr="00A23190">
        <w:trPr>
          <w:trHeight w:val="1990"/>
          <w:jc w:val="center"/>
        </w:trPr>
        <w:tc>
          <w:tcPr>
            <w:tcW w:w="468" w:type="dxa"/>
            <w:shd w:val="clear" w:color="auto" w:fill="auto"/>
          </w:tcPr>
          <w:p w14:paraId="32CA1FFC" w14:textId="77777777" w:rsidR="004A01E8" w:rsidRPr="001F6DCE" w:rsidRDefault="004A01E8" w:rsidP="00A04983">
            <w:pPr>
              <w:jc w:val="both"/>
              <w:rPr>
                <w:sz w:val="20"/>
              </w:rPr>
            </w:pPr>
            <w:r w:rsidRPr="001F6DCE">
              <w:rPr>
                <w:sz w:val="20"/>
              </w:rPr>
              <w:t>10</w:t>
            </w:r>
          </w:p>
        </w:tc>
        <w:tc>
          <w:tcPr>
            <w:tcW w:w="3240" w:type="dxa"/>
            <w:shd w:val="clear" w:color="auto" w:fill="auto"/>
          </w:tcPr>
          <w:p w14:paraId="0F39CCAF" w14:textId="77777777" w:rsidR="004A01E8" w:rsidRPr="001F6DCE" w:rsidRDefault="004A01E8" w:rsidP="002422AE">
            <w:pPr>
              <w:contextualSpacing/>
              <w:rPr>
                <w:sz w:val="20"/>
              </w:rPr>
            </w:pPr>
            <w:r w:rsidRPr="001F6DCE">
              <w:rPr>
                <w:sz w:val="20"/>
              </w:rPr>
              <w:t>Inadequate collection, treatment and disposal of infectious wastes and associated health and environmental risks</w:t>
            </w:r>
          </w:p>
        </w:tc>
        <w:tc>
          <w:tcPr>
            <w:tcW w:w="3334" w:type="dxa"/>
            <w:shd w:val="clear" w:color="auto" w:fill="auto"/>
          </w:tcPr>
          <w:p w14:paraId="376E09A6" w14:textId="77777777" w:rsidR="004A01E8" w:rsidRPr="001F6DCE" w:rsidRDefault="004A01E8" w:rsidP="002422AE">
            <w:pPr>
              <w:contextualSpacing/>
              <w:rPr>
                <w:sz w:val="20"/>
              </w:rPr>
            </w:pPr>
            <w:r w:rsidRPr="001F6DCE">
              <w:rPr>
                <w:rFonts w:eastAsia="Calibri"/>
                <w:iCs/>
                <w:sz w:val="20"/>
                <w:lang w:val="en-US"/>
              </w:rPr>
              <w:t xml:space="preserve">Carry out a detailed feasibility study on the options, costs and technical issues of the </w:t>
            </w:r>
            <w:r w:rsidRPr="001F6DCE">
              <w:rPr>
                <w:sz w:val="20"/>
              </w:rPr>
              <w:t>creating regional networks for separate collection of infectious wastes, their treatment and final disposal.</w:t>
            </w:r>
          </w:p>
        </w:tc>
        <w:tc>
          <w:tcPr>
            <w:tcW w:w="1593" w:type="dxa"/>
            <w:shd w:val="clear" w:color="auto" w:fill="auto"/>
          </w:tcPr>
          <w:p w14:paraId="1375085D" w14:textId="70000034" w:rsidR="004A01E8" w:rsidRPr="001F6DCE" w:rsidRDefault="004A01E8" w:rsidP="002422AE">
            <w:pPr>
              <w:rPr>
                <w:sz w:val="20"/>
              </w:rPr>
            </w:pPr>
            <w:proofErr w:type="spellStart"/>
            <w:r w:rsidRPr="001F6DCE">
              <w:rPr>
                <w:sz w:val="20"/>
              </w:rPr>
              <w:t>MoHLSP</w:t>
            </w:r>
            <w:proofErr w:type="spellEnd"/>
            <w:r w:rsidRPr="001F6DCE">
              <w:rPr>
                <w:sz w:val="20"/>
              </w:rPr>
              <w:t xml:space="preserve">; </w:t>
            </w:r>
            <w:proofErr w:type="spellStart"/>
            <w:r w:rsidRPr="001F6DCE">
              <w:rPr>
                <w:sz w:val="20"/>
              </w:rPr>
              <w:t>MoE</w:t>
            </w:r>
            <w:proofErr w:type="spellEnd"/>
          </w:p>
        </w:tc>
        <w:tc>
          <w:tcPr>
            <w:tcW w:w="1467" w:type="dxa"/>
            <w:gridSpan w:val="2"/>
            <w:shd w:val="clear" w:color="auto" w:fill="auto"/>
          </w:tcPr>
          <w:p w14:paraId="0BCE9036" w14:textId="45C60FF6" w:rsidR="004A01E8" w:rsidRPr="001F6DCE" w:rsidRDefault="00AE516B" w:rsidP="002422AE">
            <w:pPr>
              <w:rPr>
                <w:sz w:val="20"/>
              </w:rPr>
            </w:pPr>
            <w:r w:rsidRPr="001F6DCE">
              <w:rPr>
                <w:sz w:val="20"/>
              </w:rPr>
              <w:t>2019</w:t>
            </w:r>
          </w:p>
        </w:tc>
        <w:tc>
          <w:tcPr>
            <w:tcW w:w="1520" w:type="dxa"/>
            <w:gridSpan w:val="2"/>
            <w:shd w:val="clear" w:color="auto" w:fill="auto"/>
          </w:tcPr>
          <w:p w14:paraId="0E7F127B" w14:textId="77777777" w:rsidR="004A01E8" w:rsidRPr="001F6DCE" w:rsidRDefault="004A01E8" w:rsidP="002422AE">
            <w:pPr>
              <w:rPr>
                <w:sz w:val="20"/>
              </w:rPr>
            </w:pPr>
            <w:r w:rsidRPr="001F6DCE">
              <w:rPr>
                <w:sz w:val="20"/>
              </w:rPr>
              <w:t>100.000</w:t>
            </w:r>
          </w:p>
        </w:tc>
        <w:tc>
          <w:tcPr>
            <w:tcW w:w="1603" w:type="dxa"/>
            <w:shd w:val="clear" w:color="auto" w:fill="auto"/>
          </w:tcPr>
          <w:p w14:paraId="3BF4A843" w14:textId="77777777" w:rsidR="004A01E8" w:rsidRPr="001F6DCE" w:rsidRDefault="004A01E8" w:rsidP="002422AE">
            <w:pPr>
              <w:rPr>
                <w:sz w:val="20"/>
              </w:rPr>
            </w:pPr>
            <w:r w:rsidRPr="001F6DCE">
              <w:rPr>
                <w:sz w:val="20"/>
              </w:rPr>
              <w:t>Study conducted and alternative scenarios developed and approved by the GOM/MOH</w:t>
            </w:r>
          </w:p>
        </w:tc>
        <w:tc>
          <w:tcPr>
            <w:tcW w:w="1857" w:type="dxa"/>
          </w:tcPr>
          <w:p w14:paraId="2A862082" w14:textId="2AE84D3A" w:rsidR="004A01E8" w:rsidRPr="001F6DCE" w:rsidRDefault="00AE516B" w:rsidP="002422AE">
            <w:pPr>
              <w:rPr>
                <w:sz w:val="20"/>
              </w:rPr>
            </w:pPr>
            <w:r w:rsidRPr="001F6DCE">
              <w:rPr>
                <w:sz w:val="20"/>
              </w:rPr>
              <w:t>Not started</w:t>
            </w:r>
          </w:p>
        </w:tc>
      </w:tr>
      <w:tr w:rsidR="004A01E8" w:rsidRPr="001F6DCE" w14:paraId="17AC33FA" w14:textId="7699E46E" w:rsidTr="00A23190">
        <w:trPr>
          <w:jc w:val="center"/>
        </w:trPr>
        <w:tc>
          <w:tcPr>
            <w:tcW w:w="468" w:type="dxa"/>
            <w:shd w:val="clear" w:color="auto" w:fill="auto"/>
          </w:tcPr>
          <w:p w14:paraId="65537BC0" w14:textId="77777777" w:rsidR="004A01E8" w:rsidRPr="001F6DCE" w:rsidRDefault="004A01E8" w:rsidP="00A04983">
            <w:pPr>
              <w:jc w:val="both"/>
              <w:rPr>
                <w:sz w:val="20"/>
              </w:rPr>
            </w:pPr>
            <w:r w:rsidRPr="001F6DCE">
              <w:rPr>
                <w:sz w:val="20"/>
              </w:rPr>
              <w:t>11</w:t>
            </w:r>
          </w:p>
        </w:tc>
        <w:tc>
          <w:tcPr>
            <w:tcW w:w="3240" w:type="dxa"/>
            <w:shd w:val="clear" w:color="auto" w:fill="auto"/>
          </w:tcPr>
          <w:p w14:paraId="4EBF55DB" w14:textId="77777777" w:rsidR="004A01E8" w:rsidRPr="001F6DCE" w:rsidRDefault="004A01E8" w:rsidP="002422AE">
            <w:pPr>
              <w:contextualSpacing/>
              <w:rPr>
                <w:sz w:val="20"/>
              </w:rPr>
            </w:pPr>
            <w:r w:rsidRPr="001F6DCE">
              <w:rPr>
                <w:sz w:val="20"/>
              </w:rPr>
              <w:t xml:space="preserve">Lack of capacity to timely and efficiently conduct disposal of </w:t>
            </w:r>
            <w:proofErr w:type="spellStart"/>
            <w:r w:rsidRPr="001F6DCE">
              <w:rPr>
                <w:sz w:val="20"/>
              </w:rPr>
              <w:t>PhWs</w:t>
            </w:r>
            <w:proofErr w:type="spellEnd"/>
          </w:p>
        </w:tc>
        <w:tc>
          <w:tcPr>
            <w:tcW w:w="3334" w:type="dxa"/>
            <w:shd w:val="clear" w:color="auto" w:fill="auto"/>
          </w:tcPr>
          <w:p w14:paraId="1D4D9BFC" w14:textId="4B14B1FE" w:rsidR="004A01E8" w:rsidRPr="001F6DCE" w:rsidRDefault="004A01E8" w:rsidP="002422AE">
            <w:pPr>
              <w:contextualSpacing/>
              <w:rPr>
                <w:sz w:val="20"/>
              </w:rPr>
            </w:pPr>
            <w:r w:rsidRPr="001F6DCE">
              <w:rPr>
                <w:rFonts w:eastAsia="Calibri"/>
                <w:sz w:val="20"/>
                <w:lang w:val="en-US"/>
              </w:rPr>
              <w:t xml:space="preserve">Analyzing current legal basis, economic incentives and tariffs and proposing necessary adjustments and actions for involving private service providers in the area of </w:t>
            </w:r>
            <w:proofErr w:type="spellStart"/>
            <w:r w:rsidRPr="001F6DCE">
              <w:rPr>
                <w:rFonts w:eastAsia="Calibri"/>
                <w:sz w:val="20"/>
                <w:lang w:val="en-US"/>
              </w:rPr>
              <w:t>PhWs</w:t>
            </w:r>
            <w:proofErr w:type="spellEnd"/>
            <w:r w:rsidRPr="001F6DCE">
              <w:rPr>
                <w:rFonts w:eastAsia="Calibri"/>
                <w:sz w:val="20"/>
                <w:lang w:val="en-US"/>
              </w:rPr>
              <w:t xml:space="preserve"> disposal </w:t>
            </w:r>
          </w:p>
        </w:tc>
        <w:tc>
          <w:tcPr>
            <w:tcW w:w="1593" w:type="dxa"/>
            <w:shd w:val="clear" w:color="auto" w:fill="auto"/>
          </w:tcPr>
          <w:p w14:paraId="4565DBD4" w14:textId="77777777" w:rsidR="004A01E8" w:rsidRPr="001F6DCE" w:rsidRDefault="004A01E8" w:rsidP="002422AE">
            <w:pPr>
              <w:rPr>
                <w:sz w:val="20"/>
              </w:rPr>
            </w:pPr>
            <w:r w:rsidRPr="001F6DCE">
              <w:rPr>
                <w:sz w:val="20"/>
              </w:rPr>
              <w:t>NADME</w:t>
            </w:r>
          </w:p>
        </w:tc>
        <w:tc>
          <w:tcPr>
            <w:tcW w:w="1467" w:type="dxa"/>
            <w:gridSpan w:val="2"/>
            <w:shd w:val="clear" w:color="auto" w:fill="auto"/>
          </w:tcPr>
          <w:p w14:paraId="6FAF2037" w14:textId="5A5F26C2" w:rsidR="004A01E8" w:rsidRPr="001F6DCE" w:rsidRDefault="004A01E8" w:rsidP="002422AE">
            <w:pPr>
              <w:rPr>
                <w:sz w:val="20"/>
              </w:rPr>
            </w:pPr>
            <w:r w:rsidRPr="001F6DCE">
              <w:rPr>
                <w:sz w:val="20"/>
              </w:rPr>
              <w:t>201</w:t>
            </w:r>
            <w:r w:rsidR="00AE516B" w:rsidRPr="001F6DCE">
              <w:rPr>
                <w:sz w:val="20"/>
              </w:rPr>
              <w:t>8</w:t>
            </w:r>
          </w:p>
        </w:tc>
        <w:tc>
          <w:tcPr>
            <w:tcW w:w="1520" w:type="dxa"/>
            <w:gridSpan w:val="2"/>
            <w:shd w:val="clear" w:color="auto" w:fill="auto"/>
          </w:tcPr>
          <w:p w14:paraId="2C73D3C5" w14:textId="77777777" w:rsidR="004A01E8" w:rsidRPr="001F6DCE" w:rsidRDefault="004A01E8" w:rsidP="002422AE">
            <w:pPr>
              <w:rPr>
                <w:sz w:val="20"/>
              </w:rPr>
            </w:pPr>
            <w:r w:rsidRPr="001F6DCE">
              <w:rPr>
                <w:sz w:val="20"/>
              </w:rPr>
              <w:t>Within the existing budget and using funds received from provided services</w:t>
            </w:r>
          </w:p>
        </w:tc>
        <w:tc>
          <w:tcPr>
            <w:tcW w:w="1603" w:type="dxa"/>
            <w:shd w:val="clear" w:color="auto" w:fill="auto"/>
          </w:tcPr>
          <w:p w14:paraId="728FF4B8" w14:textId="77777777" w:rsidR="004A01E8" w:rsidRPr="001F6DCE" w:rsidRDefault="004A01E8" w:rsidP="002422AE">
            <w:pPr>
              <w:rPr>
                <w:sz w:val="20"/>
              </w:rPr>
            </w:pPr>
            <w:r w:rsidRPr="001F6DCE">
              <w:rPr>
                <w:sz w:val="20"/>
              </w:rPr>
              <w:t>Study conducted and necessary legal documents approved by GOM/NADME</w:t>
            </w:r>
          </w:p>
        </w:tc>
        <w:tc>
          <w:tcPr>
            <w:tcW w:w="1857" w:type="dxa"/>
          </w:tcPr>
          <w:p w14:paraId="08DD3B90" w14:textId="11243E3E" w:rsidR="004A01E8" w:rsidRPr="001F6DCE" w:rsidRDefault="00C0302C" w:rsidP="002422AE">
            <w:pPr>
              <w:rPr>
                <w:sz w:val="20"/>
              </w:rPr>
            </w:pPr>
            <w:r w:rsidRPr="001F6DCE">
              <w:rPr>
                <w:sz w:val="20"/>
              </w:rPr>
              <w:t>Not started</w:t>
            </w:r>
          </w:p>
        </w:tc>
      </w:tr>
      <w:tr w:rsidR="004A01E8" w:rsidRPr="001F6DCE" w14:paraId="66360F2E" w14:textId="2A42B07F" w:rsidTr="00A23190">
        <w:trPr>
          <w:jc w:val="center"/>
        </w:trPr>
        <w:tc>
          <w:tcPr>
            <w:tcW w:w="468" w:type="dxa"/>
            <w:shd w:val="clear" w:color="auto" w:fill="auto"/>
          </w:tcPr>
          <w:p w14:paraId="4452BE7C" w14:textId="77777777" w:rsidR="004A01E8" w:rsidRPr="001F6DCE" w:rsidRDefault="004A01E8" w:rsidP="00A04983">
            <w:pPr>
              <w:jc w:val="both"/>
              <w:rPr>
                <w:sz w:val="20"/>
              </w:rPr>
            </w:pPr>
            <w:r w:rsidRPr="001F6DCE">
              <w:rPr>
                <w:sz w:val="20"/>
              </w:rPr>
              <w:t>12</w:t>
            </w:r>
          </w:p>
        </w:tc>
        <w:tc>
          <w:tcPr>
            <w:tcW w:w="3240" w:type="dxa"/>
            <w:shd w:val="clear" w:color="auto" w:fill="auto"/>
          </w:tcPr>
          <w:p w14:paraId="35626B85" w14:textId="77777777" w:rsidR="004A01E8" w:rsidRPr="001F6DCE" w:rsidRDefault="004A01E8" w:rsidP="002422AE">
            <w:pPr>
              <w:contextualSpacing/>
              <w:rPr>
                <w:sz w:val="20"/>
              </w:rPr>
            </w:pPr>
            <w:r w:rsidRPr="001F6DCE">
              <w:rPr>
                <w:sz w:val="20"/>
              </w:rPr>
              <w:t>Lack of funding for adequate HCWM and associated risks</w:t>
            </w:r>
          </w:p>
        </w:tc>
        <w:tc>
          <w:tcPr>
            <w:tcW w:w="3334" w:type="dxa"/>
            <w:shd w:val="clear" w:color="auto" w:fill="auto"/>
          </w:tcPr>
          <w:p w14:paraId="1BC3AA4E" w14:textId="77777777" w:rsidR="004A01E8" w:rsidRPr="001F6DCE" w:rsidRDefault="004A01E8" w:rsidP="002422AE">
            <w:pPr>
              <w:contextualSpacing/>
              <w:rPr>
                <w:rFonts w:eastAsia="Calibri"/>
                <w:sz w:val="20"/>
                <w:lang w:val="en-US"/>
              </w:rPr>
            </w:pPr>
            <w:r w:rsidRPr="001F6DCE">
              <w:rPr>
                <w:rFonts w:eastAsia="Calibri"/>
                <w:sz w:val="20"/>
                <w:lang w:val="en-US"/>
              </w:rPr>
              <w:t xml:space="preserve">Conducting an analysis and estimating the HCWM needs in terms of relevant equipment, goods and suppliers and </w:t>
            </w:r>
            <w:r w:rsidRPr="001F6DCE">
              <w:rPr>
                <w:rFonts w:eastAsia="Calibri"/>
                <w:sz w:val="20"/>
                <w:lang w:val="en-US"/>
              </w:rPr>
              <w:lastRenderedPageBreak/>
              <w:t>proposing an action plan for short and medium terms for public HCFs</w:t>
            </w:r>
          </w:p>
        </w:tc>
        <w:tc>
          <w:tcPr>
            <w:tcW w:w="1593" w:type="dxa"/>
            <w:shd w:val="clear" w:color="auto" w:fill="auto"/>
          </w:tcPr>
          <w:p w14:paraId="3C6935C6" w14:textId="73FD34B6" w:rsidR="004A01E8" w:rsidRPr="001F6DCE" w:rsidRDefault="004A01E8" w:rsidP="002422AE">
            <w:pPr>
              <w:rPr>
                <w:sz w:val="20"/>
              </w:rPr>
            </w:pPr>
            <w:proofErr w:type="spellStart"/>
            <w:r w:rsidRPr="001F6DCE">
              <w:rPr>
                <w:sz w:val="20"/>
              </w:rPr>
              <w:lastRenderedPageBreak/>
              <w:t>MoHLSP</w:t>
            </w:r>
            <w:proofErr w:type="spellEnd"/>
          </w:p>
        </w:tc>
        <w:tc>
          <w:tcPr>
            <w:tcW w:w="1467" w:type="dxa"/>
            <w:gridSpan w:val="2"/>
            <w:shd w:val="clear" w:color="auto" w:fill="auto"/>
          </w:tcPr>
          <w:p w14:paraId="2B40B2B1" w14:textId="0210726A" w:rsidR="004A01E8" w:rsidRPr="001F6DCE" w:rsidRDefault="004A01E8" w:rsidP="002422AE">
            <w:pPr>
              <w:rPr>
                <w:sz w:val="20"/>
              </w:rPr>
            </w:pPr>
            <w:r w:rsidRPr="001F6DCE">
              <w:rPr>
                <w:sz w:val="20"/>
              </w:rPr>
              <w:t>201</w:t>
            </w:r>
            <w:r w:rsidR="00C0302C" w:rsidRPr="001F6DCE">
              <w:rPr>
                <w:sz w:val="20"/>
              </w:rPr>
              <w:t>8</w:t>
            </w:r>
          </w:p>
        </w:tc>
        <w:tc>
          <w:tcPr>
            <w:tcW w:w="1520" w:type="dxa"/>
            <w:gridSpan w:val="2"/>
            <w:shd w:val="clear" w:color="auto" w:fill="auto"/>
          </w:tcPr>
          <w:p w14:paraId="6C13E7E5" w14:textId="77777777" w:rsidR="004A01E8" w:rsidRPr="001F6DCE" w:rsidRDefault="004A01E8" w:rsidP="002422AE">
            <w:pPr>
              <w:rPr>
                <w:sz w:val="20"/>
              </w:rPr>
            </w:pPr>
            <w:r w:rsidRPr="001F6DCE">
              <w:rPr>
                <w:sz w:val="20"/>
              </w:rPr>
              <w:t xml:space="preserve">Within the allocated budget for </w:t>
            </w:r>
            <w:proofErr w:type="spellStart"/>
            <w:r w:rsidRPr="001F6DCE">
              <w:rPr>
                <w:sz w:val="20"/>
              </w:rPr>
              <w:t>MoH</w:t>
            </w:r>
            <w:proofErr w:type="spellEnd"/>
          </w:p>
        </w:tc>
        <w:tc>
          <w:tcPr>
            <w:tcW w:w="1603" w:type="dxa"/>
            <w:shd w:val="clear" w:color="auto" w:fill="auto"/>
          </w:tcPr>
          <w:p w14:paraId="52B433DA" w14:textId="77777777" w:rsidR="004A01E8" w:rsidRPr="001F6DCE" w:rsidRDefault="004A01E8" w:rsidP="002422AE">
            <w:pPr>
              <w:rPr>
                <w:sz w:val="20"/>
              </w:rPr>
            </w:pPr>
            <w:r w:rsidRPr="001F6DCE">
              <w:rPr>
                <w:sz w:val="20"/>
              </w:rPr>
              <w:t xml:space="preserve">Costs estimated and action plan developed and </w:t>
            </w:r>
            <w:r w:rsidRPr="001F6DCE">
              <w:rPr>
                <w:sz w:val="20"/>
              </w:rPr>
              <w:lastRenderedPageBreak/>
              <w:t>adopted by the GOM</w:t>
            </w:r>
          </w:p>
        </w:tc>
        <w:tc>
          <w:tcPr>
            <w:tcW w:w="1857" w:type="dxa"/>
          </w:tcPr>
          <w:p w14:paraId="5B79BFEB" w14:textId="03121C39" w:rsidR="004A01E8" w:rsidRPr="001F6DCE" w:rsidRDefault="00C0302C" w:rsidP="002422AE">
            <w:pPr>
              <w:rPr>
                <w:sz w:val="20"/>
              </w:rPr>
            </w:pPr>
            <w:r w:rsidRPr="001F6DCE">
              <w:rPr>
                <w:sz w:val="20"/>
              </w:rPr>
              <w:lastRenderedPageBreak/>
              <w:t xml:space="preserve">Not started </w:t>
            </w:r>
          </w:p>
        </w:tc>
      </w:tr>
      <w:tr w:rsidR="004A01E8" w:rsidRPr="001F6DCE" w14:paraId="18DAF1CC" w14:textId="68C474A8" w:rsidTr="00A23190">
        <w:trPr>
          <w:jc w:val="center"/>
        </w:trPr>
        <w:tc>
          <w:tcPr>
            <w:tcW w:w="468" w:type="dxa"/>
            <w:shd w:val="clear" w:color="auto" w:fill="auto"/>
          </w:tcPr>
          <w:p w14:paraId="42F14183" w14:textId="77777777" w:rsidR="004A01E8" w:rsidRPr="001F6DCE" w:rsidRDefault="004A01E8" w:rsidP="00A04983">
            <w:pPr>
              <w:jc w:val="both"/>
              <w:rPr>
                <w:sz w:val="20"/>
              </w:rPr>
            </w:pPr>
            <w:r w:rsidRPr="001F6DCE">
              <w:rPr>
                <w:sz w:val="20"/>
              </w:rPr>
              <w:lastRenderedPageBreak/>
              <w:t>13</w:t>
            </w:r>
          </w:p>
        </w:tc>
        <w:tc>
          <w:tcPr>
            <w:tcW w:w="3240" w:type="dxa"/>
            <w:shd w:val="clear" w:color="auto" w:fill="auto"/>
          </w:tcPr>
          <w:p w14:paraId="3C6B0459" w14:textId="77777777" w:rsidR="004A01E8" w:rsidRPr="001F6DCE" w:rsidRDefault="004A01E8" w:rsidP="002422AE">
            <w:pPr>
              <w:contextualSpacing/>
              <w:rPr>
                <w:sz w:val="20"/>
              </w:rPr>
            </w:pPr>
            <w:r w:rsidRPr="001F6DCE">
              <w:rPr>
                <w:sz w:val="20"/>
              </w:rPr>
              <w:t>Outdated DRGs for hospital payments</w:t>
            </w:r>
          </w:p>
        </w:tc>
        <w:tc>
          <w:tcPr>
            <w:tcW w:w="3334" w:type="dxa"/>
            <w:shd w:val="clear" w:color="auto" w:fill="auto"/>
          </w:tcPr>
          <w:p w14:paraId="7092A84A" w14:textId="77777777" w:rsidR="004A01E8" w:rsidRPr="001F6DCE" w:rsidRDefault="004A01E8" w:rsidP="002422AE">
            <w:pPr>
              <w:contextualSpacing/>
              <w:rPr>
                <w:rFonts w:eastAsia="Calibri"/>
                <w:sz w:val="20"/>
                <w:lang w:val="en-US"/>
              </w:rPr>
            </w:pPr>
            <w:r w:rsidRPr="001F6DCE">
              <w:rPr>
                <w:sz w:val="20"/>
              </w:rPr>
              <w:t>CNAM to carry out the out DRG costing study</w:t>
            </w:r>
          </w:p>
        </w:tc>
        <w:tc>
          <w:tcPr>
            <w:tcW w:w="1593" w:type="dxa"/>
            <w:shd w:val="clear" w:color="auto" w:fill="auto"/>
          </w:tcPr>
          <w:p w14:paraId="454F168B" w14:textId="77777777" w:rsidR="004A01E8" w:rsidRPr="001F6DCE" w:rsidRDefault="004A01E8" w:rsidP="002422AE">
            <w:pPr>
              <w:rPr>
                <w:sz w:val="20"/>
                <w:lang w:val="en-US"/>
              </w:rPr>
            </w:pPr>
            <w:r w:rsidRPr="001F6DCE">
              <w:rPr>
                <w:sz w:val="20"/>
                <w:lang w:val="en-US"/>
              </w:rPr>
              <w:t>CNAM</w:t>
            </w:r>
          </w:p>
        </w:tc>
        <w:tc>
          <w:tcPr>
            <w:tcW w:w="1467" w:type="dxa"/>
            <w:gridSpan w:val="2"/>
            <w:shd w:val="clear" w:color="auto" w:fill="auto"/>
          </w:tcPr>
          <w:p w14:paraId="0620AF7C" w14:textId="04057561" w:rsidR="004A01E8" w:rsidRPr="001F6DCE" w:rsidRDefault="004A01E8" w:rsidP="002422AE">
            <w:pPr>
              <w:rPr>
                <w:sz w:val="20"/>
              </w:rPr>
            </w:pPr>
            <w:r w:rsidRPr="001F6DCE">
              <w:rPr>
                <w:sz w:val="20"/>
              </w:rPr>
              <w:t>201</w:t>
            </w:r>
            <w:r w:rsidR="00C0302C" w:rsidRPr="001F6DCE">
              <w:rPr>
                <w:sz w:val="20"/>
              </w:rPr>
              <w:t>7</w:t>
            </w:r>
            <w:r w:rsidRPr="001F6DCE">
              <w:rPr>
                <w:sz w:val="20"/>
              </w:rPr>
              <w:t>-201</w:t>
            </w:r>
            <w:r w:rsidR="00C0302C" w:rsidRPr="001F6DCE">
              <w:rPr>
                <w:sz w:val="20"/>
              </w:rPr>
              <w:t>8</w:t>
            </w:r>
          </w:p>
        </w:tc>
        <w:tc>
          <w:tcPr>
            <w:tcW w:w="1520" w:type="dxa"/>
            <w:gridSpan w:val="2"/>
            <w:shd w:val="clear" w:color="auto" w:fill="auto"/>
          </w:tcPr>
          <w:p w14:paraId="2EF8EB7C" w14:textId="77777777" w:rsidR="004A01E8" w:rsidRPr="001F6DCE" w:rsidRDefault="004A01E8" w:rsidP="002422AE">
            <w:pPr>
              <w:rPr>
                <w:sz w:val="20"/>
              </w:rPr>
            </w:pPr>
            <w:r w:rsidRPr="001F6DCE">
              <w:rPr>
                <w:sz w:val="20"/>
              </w:rPr>
              <w:t>TA Funding</w:t>
            </w:r>
          </w:p>
        </w:tc>
        <w:tc>
          <w:tcPr>
            <w:tcW w:w="1603" w:type="dxa"/>
            <w:shd w:val="clear" w:color="auto" w:fill="auto"/>
          </w:tcPr>
          <w:p w14:paraId="1E6EB9CF" w14:textId="77777777" w:rsidR="004A01E8" w:rsidRPr="001F6DCE" w:rsidRDefault="004A01E8" w:rsidP="002422AE">
            <w:pPr>
              <w:rPr>
                <w:sz w:val="20"/>
              </w:rPr>
            </w:pPr>
            <w:r w:rsidRPr="001F6DCE">
              <w:rPr>
                <w:sz w:val="20"/>
              </w:rPr>
              <w:t>Study conducted and hospital payments adjusted accordingly</w:t>
            </w:r>
          </w:p>
        </w:tc>
        <w:tc>
          <w:tcPr>
            <w:tcW w:w="1857" w:type="dxa"/>
          </w:tcPr>
          <w:p w14:paraId="53BC4C83" w14:textId="6E3BE155" w:rsidR="004A01E8" w:rsidRPr="001F6DCE" w:rsidRDefault="00C0302C" w:rsidP="002422AE">
            <w:pPr>
              <w:rPr>
                <w:sz w:val="20"/>
              </w:rPr>
            </w:pPr>
            <w:r w:rsidRPr="001F6DCE">
              <w:rPr>
                <w:sz w:val="20"/>
              </w:rPr>
              <w:t xml:space="preserve">Ongoing </w:t>
            </w:r>
          </w:p>
        </w:tc>
      </w:tr>
      <w:tr w:rsidR="004A01E8" w:rsidRPr="001F6DCE" w14:paraId="185E951C" w14:textId="79D0249D" w:rsidTr="00A23190">
        <w:trPr>
          <w:jc w:val="center"/>
        </w:trPr>
        <w:tc>
          <w:tcPr>
            <w:tcW w:w="468" w:type="dxa"/>
            <w:shd w:val="clear" w:color="auto" w:fill="auto"/>
          </w:tcPr>
          <w:p w14:paraId="227AF069" w14:textId="77777777" w:rsidR="004A01E8" w:rsidRPr="001F6DCE" w:rsidRDefault="004A01E8" w:rsidP="00A04983">
            <w:pPr>
              <w:jc w:val="both"/>
              <w:rPr>
                <w:sz w:val="20"/>
              </w:rPr>
            </w:pPr>
            <w:r w:rsidRPr="001F6DCE">
              <w:rPr>
                <w:sz w:val="20"/>
              </w:rPr>
              <w:t>14</w:t>
            </w:r>
          </w:p>
        </w:tc>
        <w:tc>
          <w:tcPr>
            <w:tcW w:w="3240" w:type="dxa"/>
            <w:shd w:val="clear" w:color="auto" w:fill="auto"/>
          </w:tcPr>
          <w:p w14:paraId="6165A2B1" w14:textId="77777777" w:rsidR="004A01E8" w:rsidRPr="001F6DCE" w:rsidRDefault="004A01E8" w:rsidP="002422AE">
            <w:pPr>
              <w:contextualSpacing/>
              <w:rPr>
                <w:sz w:val="20"/>
              </w:rPr>
            </w:pPr>
            <w:r w:rsidRPr="001F6DCE">
              <w:rPr>
                <w:sz w:val="20"/>
              </w:rPr>
              <w:t>No system of performance-based incentives to improve (</w:t>
            </w:r>
            <w:proofErr w:type="spellStart"/>
            <w:r w:rsidRPr="001F6DCE">
              <w:rPr>
                <w:sz w:val="20"/>
              </w:rPr>
              <w:t>i</w:t>
            </w:r>
            <w:proofErr w:type="spellEnd"/>
            <w:r w:rsidRPr="001F6DCE">
              <w:rPr>
                <w:sz w:val="20"/>
              </w:rPr>
              <w:t>) efficiency and (ii) quality of care in hospitals</w:t>
            </w:r>
          </w:p>
        </w:tc>
        <w:tc>
          <w:tcPr>
            <w:tcW w:w="3334" w:type="dxa"/>
            <w:shd w:val="clear" w:color="auto" w:fill="auto"/>
          </w:tcPr>
          <w:p w14:paraId="131F4322" w14:textId="77777777" w:rsidR="004A01E8" w:rsidRPr="001F6DCE" w:rsidRDefault="004A01E8" w:rsidP="002422AE">
            <w:pPr>
              <w:contextualSpacing/>
              <w:rPr>
                <w:sz w:val="20"/>
              </w:rPr>
            </w:pPr>
            <w:r w:rsidRPr="001F6DCE">
              <w:rPr>
                <w:sz w:val="20"/>
              </w:rPr>
              <w:t>Develop performance-based incentives for hospitals to be included in the contracts between CNAM and hospitals</w:t>
            </w:r>
          </w:p>
        </w:tc>
        <w:tc>
          <w:tcPr>
            <w:tcW w:w="1593" w:type="dxa"/>
            <w:shd w:val="clear" w:color="auto" w:fill="auto"/>
          </w:tcPr>
          <w:p w14:paraId="315F393B" w14:textId="53DC2958" w:rsidR="004A01E8" w:rsidRPr="001F6DCE" w:rsidRDefault="004A01E8" w:rsidP="002422AE">
            <w:pPr>
              <w:rPr>
                <w:sz w:val="20"/>
                <w:lang w:val="en-US"/>
              </w:rPr>
            </w:pPr>
            <w:r w:rsidRPr="001F6DCE">
              <w:rPr>
                <w:sz w:val="20"/>
                <w:lang w:val="en-US"/>
              </w:rPr>
              <w:t xml:space="preserve">CNAM, </w:t>
            </w:r>
            <w:proofErr w:type="spellStart"/>
            <w:r w:rsidRPr="001F6DCE">
              <w:rPr>
                <w:sz w:val="20"/>
              </w:rPr>
              <w:t>MoHLSP</w:t>
            </w:r>
            <w:proofErr w:type="spellEnd"/>
          </w:p>
        </w:tc>
        <w:tc>
          <w:tcPr>
            <w:tcW w:w="1467" w:type="dxa"/>
            <w:gridSpan w:val="2"/>
            <w:shd w:val="clear" w:color="auto" w:fill="auto"/>
          </w:tcPr>
          <w:p w14:paraId="2D236A05" w14:textId="0182DBFF" w:rsidR="004A01E8" w:rsidRPr="001F6DCE" w:rsidRDefault="00BE0538" w:rsidP="002422AE">
            <w:pPr>
              <w:rPr>
                <w:sz w:val="20"/>
              </w:rPr>
            </w:pPr>
            <w:r w:rsidRPr="001F6DCE">
              <w:rPr>
                <w:sz w:val="20"/>
              </w:rPr>
              <w:t>2017-2018</w:t>
            </w:r>
          </w:p>
        </w:tc>
        <w:tc>
          <w:tcPr>
            <w:tcW w:w="1520" w:type="dxa"/>
            <w:gridSpan w:val="2"/>
            <w:shd w:val="clear" w:color="auto" w:fill="auto"/>
          </w:tcPr>
          <w:p w14:paraId="42A716A3" w14:textId="77777777" w:rsidR="004A01E8" w:rsidRPr="001F6DCE" w:rsidRDefault="004A01E8" w:rsidP="002422AE">
            <w:pPr>
              <w:rPr>
                <w:sz w:val="20"/>
              </w:rPr>
            </w:pPr>
            <w:r w:rsidRPr="001F6DCE">
              <w:rPr>
                <w:sz w:val="20"/>
              </w:rPr>
              <w:t>TA Funding</w:t>
            </w:r>
          </w:p>
        </w:tc>
        <w:tc>
          <w:tcPr>
            <w:tcW w:w="1603" w:type="dxa"/>
            <w:shd w:val="clear" w:color="auto" w:fill="auto"/>
          </w:tcPr>
          <w:p w14:paraId="1F1C365F" w14:textId="77777777" w:rsidR="004A01E8" w:rsidRPr="001F6DCE" w:rsidRDefault="004A01E8" w:rsidP="002422AE">
            <w:pPr>
              <w:rPr>
                <w:sz w:val="20"/>
              </w:rPr>
            </w:pPr>
            <w:r w:rsidRPr="001F6DCE">
              <w:rPr>
                <w:sz w:val="20"/>
              </w:rPr>
              <w:t>System of incentives developed and piloted</w:t>
            </w:r>
          </w:p>
        </w:tc>
        <w:tc>
          <w:tcPr>
            <w:tcW w:w="1857" w:type="dxa"/>
          </w:tcPr>
          <w:p w14:paraId="411991DF" w14:textId="692C474A" w:rsidR="004A01E8" w:rsidRPr="001F6DCE" w:rsidRDefault="00BE0538" w:rsidP="002422AE">
            <w:pPr>
              <w:rPr>
                <w:sz w:val="20"/>
              </w:rPr>
            </w:pPr>
            <w:r w:rsidRPr="001F6DCE">
              <w:rPr>
                <w:sz w:val="20"/>
              </w:rPr>
              <w:t>Ongoing</w:t>
            </w:r>
          </w:p>
        </w:tc>
      </w:tr>
      <w:tr w:rsidR="004A01E8" w:rsidRPr="001F6DCE" w14:paraId="13CA1D22" w14:textId="0CFDF527" w:rsidTr="00A23190">
        <w:trPr>
          <w:trHeight w:val="415"/>
          <w:jc w:val="center"/>
        </w:trPr>
        <w:tc>
          <w:tcPr>
            <w:tcW w:w="13225" w:type="dxa"/>
            <w:gridSpan w:val="9"/>
            <w:shd w:val="clear" w:color="auto" w:fill="auto"/>
            <w:vAlign w:val="center"/>
          </w:tcPr>
          <w:p w14:paraId="7F8B084B" w14:textId="77777777" w:rsidR="004A01E8" w:rsidRPr="001F6DCE" w:rsidRDefault="004A01E8" w:rsidP="00165778">
            <w:pPr>
              <w:pStyle w:val="ListParagraph"/>
              <w:numPr>
                <w:ilvl w:val="0"/>
                <w:numId w:val="20"/>
              </w:numPr>
              <w:jc w:val="both"/>
              <w:rPr>
                <w:b/>
                <w:sz w:val="20"/>
              </w:rPr>
            </w:pPr>
            <w:r w:rsidRPr="001F6DCE">
              <w:rPr>
                <w:rFonts w:eastAsia="Calibri"/>
                <w:b/>
                <w:sz w:val="20"/>
                <w:lang w:val="en-US"/>
              </w:rPr>
              <w:t>Necessary investments and funding for HCWM</w:t>
            </w:r>
          </w:p>
        </w:tc>
        <w:tc>
          <w:tcPr>
            <w:tcW w:w="1857" w:type="dxa"/>
          </w:tcPr>
          <w:p w14:paraId="05B2842E" w14:textId="77777777" w:rsidR="004A01E8" w:rsidRPr="001F6DCE" w:rsidRDefault="004A01E8" w:rsidP="00AE516B">
            <w:pPr>
              <w:pStyle w:val="ListParagraph"/>
              <w:jc w:val="both"/>
              <w:rPr>
                <w:rFonts w:eastAsia="Calibri"/>
                <w:b/>
                <w:sz w:val="20"/>
                <w:lang w:val="en-US"/>
              </w:rPr>
            </w:pPr>
          </w:p>
        </w:tc>
      </w:tr>
      <w:tr w:rsidR="00BE0538" w:rsidRPr="001F6DCE" w14:paraId="49AC47A7" w14:textId="2C85963B" w:rsidTr="00A23190">
        <w:trPr>
          <w:jc w:val="center"/>
        </w:trPr>
        <w:tc>
          <w:tcPr>
            <w:tcW w:w="468" w:type="dxa"/>
            <w:shd w:val="clear" w:color="auto" w:fill="auto"/>
          </w:tcPr>
          <w:p w14:paraId="4BCC6CCE" w14:textId="77777777" w:rsidR="00BE0538" w:rsidRPr="001F6DCE" w:rsidRDefault="00BE0538" w:rsidP="00BE0538">
            <w:pPr>
              <w:jc w:val="both"/>
              <w:rPr>
                <w:sz w:val="20"/>
              </w:rPr>
            </w:pPr>
            <w:r w:rsidRPr="001F6DCE">
              <w:rPr>
                <w:sz w:val="20"/>
              </w:rPr>
              <w:t>15</w:t>
            </w:r>
          </w:p>
        </w:tc>
        <w:tc>
          <w:tcPr>
            <w:tcW w:w="3240" w:type="dxa"/>
            <w:shd w:val="clear" w:color="auto" w:fill="auto"/>
          </w:tcPr>
          <w:p w14:paraId="7C76F14D" w14:textId="402AFF4B" w:rsidR="00BE0538" w:rsidRPr="001F6DCE" w:rsidRDefault="00BE0538" w:rsidP="00BE0538">
            <w:pPr>
              <w:contextualSpacing/>
              <w:rPr>
                <w:sz w:val="20"/>
              </w:rPr>
            </w:pPr>
            <w:r w:rsidRPr="001F6DCE">
              <w:rPr>
                <w:sz w:val="20"/>
              </w:rPr>
              <w:t xml:space="preserve">Lack of facilities for treatment and disposal of infectious wastes and associated health risks </w:t>
            </w:r>
          </w:p>
        </w:tc>
        <w:tc>
          <w:tcPr>
            <w:tcW w:w="3334" w:type="dxa"/>
            <w:shd w:val="clear" w:color="auto" w:fill="auto"/>
          </w:tcPr>
          <w:p w14:paraId="7A140856" w14:textId="0F5ECAE1" w:rsidR="00BE0538" w:rsidRPr="001F6DCE" w:rsidRDefault="00BE0538" w:rsidP="00BE0538">
            <w:pPr>
              <w:contextualSpacing/>
              <w:rPr>
                <w:sz w:val="20"/>
              </w:rPr>
            </w:pPr>
            <w:r w:rsidRPr="001F6DCE">
              <w:rPr>
                <w:sz w:val="20"/>
              </w:rPr>
              <w:t>Purchasing of autoclave equipment for major hospitals in the country (based on the results of the feasibility study specified under line 10 above)</w:t>
            </w:r>
          </w:p>
        </w:tc>
        <w:tc>
          <w:tcPr>
            <w:tcW w:w="1593" w:type="dxa"/>
            <w:shd w:val="clear" w:color="auto" w:fill="auto"/>
          </w:tcPr>
          <w:p w14:paraId="6D90C4B3" w14:textId="4C90B06B" w:rsidR="00BE0538" w:rsidRPr="001F6DCE" w:rsidRDefault="00BE0538" w:rsidP="00BE0538">
            <w:pPr>
              <w:rPr>
                <w:sz w:val="20"/>
              </w:rPr>
            </w:pPr>
            <w:proofErr w:type="spellStart"/>
            <w:r w:rsidRPr="001F6DCE">
              <w:rPr>
                <w:sz w:val="20"/>
              </w:rPr>
              <w:t>MoHLSP</w:t>
            </w:r>
            <w:proofErr w:type="spellEnd"/>
            <w:r w:rsidRPr="001F6DCE">
              <w:rPr>
                <w:sz w:val="20"/>
              </w:rPr>
              <w:t xml:space="preserve">; </w:t>
            </w:r>
            <w:proofErr w:type="spellStart"/>
            <w:r w:rsidRPr="001F6DCE">
              <w:rPr>
                <w:sz w:val="20"/>
              </w:rPr>
              <w:t>MoE</w:t>
            </w:r>
            <w:proofErr w:type="spellEnd"/>
          </w:p>
        </w:tc>
        <w:tc>
          <w:tcPr>
            <w:tcW w:w="1467" w:type="dxa"/>
            <w:gridSpan w:val="2"/>
            <w:shd w:val="clear" w:color="auto" w:fill="auto"/>
          </w:tcPr>
          <w:p w14:paraId="65D6F1CC" w14:textId="4B53C655" w:rsidR="00BE0538" w:rsidRPr="001F6DCE" w:rsidRDefault="00BE0538" w:rsidP="00BE0538">
            <w:pPr>
              <w:rPr>
                <w:sz w:val="20"/>
              </w:rPr>
            </w:pPr>
            <w:r w:rsidRPr="001F6DCE">
              <w:rPr>
                <w:sz w:val="20"/>
              </w:rPr>
              <w:t>2018-2019</w:t>
            </w:r>
          </w:p>
        </w:tc>
        <w:tc>
          <w:tcPr>
            <w:tcW w:w="1520" w:type="dxa"/>
            <w:gridSpan w:val="2"/>
            <w:shd w:val="clear" w:color="auto" w:fill="auto"/>
          </w:tcPr>
          <w:p w14:paraId="0207192C" w14:textId="77777777" w:rsidR="00BE0538" w:rsidRPr="001F6DCE" w:rsidRDefault="00BE0538" w:rsidP="00BE0538">
            <w:pPr>
              <w:rPr>
                <w:sz w:val="20"/>
              </w:rPr>
            </w:pPr>
            <w:r w:rsidRPr="001F6DCE">
              <w:rPr>
                <w:sz w:val="20"/>
              </w:rPr>
              <w:t>To be estimated within the Feasibility study (see line no.10 above)</w:t>
            </w:r>
            <w:r w:rsidRPr="001F6DCE">
              <w:rPr>
                <w:rStyle w:val="FootnoteReference"/>
                <w:sz w:val="20"/>
              </w:rPr>
              <w:footnoteReference w:id="26"/>
            </w:r>
            <w:r w:rsidRPr="001F6DCE">
              <w:rPr>
                <w:sz w:val="20"/>
              </w:rPr>
              <w:t xml:space="preserve"> </w:t>
            </w:r>
          </w:p>
        </w:tc>
        <w:tc>
          <w:tcPr>
            <w:tcW w:w="1603" w:type="dxa"/>
            <w:shd w:val="clear" w:color="auto" w:fill="auto"/>
          </w:tcPr>
          <w:p w14:paraId="655D5C56" w14:textId="77777777" w:rsidR="00BE0538" w:rsidRPr="001F6DCE" w:rsidRDefault="00BE0538" w:rsidP="00BE0538">
            <w:pPr>
              <w:rPr>
                <w:sz w:val="20"/>
              </w:rPr>
            </w:pPr>
            <w:r w:rsidRPr="001F6DCE">
              <w:rPr>
                <w:sz w:val="20"/>
              </w:rPr>
              <w:t>Number of autoclaves purchased</w:t>
            </w:r>
          </w:p>
        </w:tc>
        <w:tc>
          <w:tcPr>
            <w:tcW w:w="1857" w:type="dxa"/>
          </w:tcPr>
          <w:p w14:paraId="1BE10DC8" w14:textId="63C023FB" w:rsidR="00BE0538" w:rsidRPr="001F6DCE" w:rsidRDefault="00BE0538" w:rsidP="00BE0538">
            <w:pPr>
              <w:rPr>
                <w:sz w:val="20"/>
              </w:rPr>
            </w:pPr>
            <w:r w:rsidRPr="001F6DCE">
              <w:rPr>
                <w:sz w:val="20"/>
              </w:rPr>
              <w:t xml:space="preserve">Ongoing </w:t>
            </w:r>
          </w:p>
        </w:tc>
      </w:tr>
      <w:tr w:rsidR="00BE0538" w:rsidRPr="002422AE" w14:paraId="5FC951B9" w14:textId="23DA7BEA" w:rsidTr="00A23190">
        <w:trPr>
          <w:jc w:val="center"/>
        </w:trPr>
        <w:tc>
          <w:tcPr>
            <w:tcW w:w="468" w:type="dxa"/>
            <w:shd w:val="clear" w:color="auto" w:fill="auto"/>
          </w:tcPr>
          <w:p w14:paraId="7145BE89" w14:textId="77777777" w:rsidR="00BE0538" w:rsidRPr="001F6DCE" w:rsidRDefault="00BE0538" w:rsidP="00BE0538">
            <w:pPr>
              <w:jc w:val="both"/>
              <w:rPr>
                <w:sz w:val="20"/>
              </w:rPr>
            </w:pPr>
            <w:r w:rsidRPr="001F6DCE">
              <w:rPr>
                <w:sz w:val="20"/>
              </w:rPr>
              <w:t>16</w:t>
            </w:r>
          </w:p>
        </w:tc>
        <w:tc>
          <w:tcPr>
            <w:tcW w:w="3240" w:type="dxa"/>
            <w:shd w:val="clear" w:color="auto" w:fill="auto"/>
          </w:tcPr>
          <w:p w14:paraId="1BAB8B0D" w14:textId="77777777" w:rsidR="00BE0538" w:rsidRPr="001F6DCE" w:rsidRDefault="00BE0538" w:rsidP="00BE0538">
            <w:pPr>
              <w:contextualSpacing/>
              <w:rPr>
                <w:sz w:val="20"/>
              </w:rPr>
            </w:pPr>
            <w:r w:rsidRPr="001F6DCE">
              <w:rPr>
                <w:sz w:val="20"/>
              </w:rPr>
              <w:t xml:space="preserve">Inadequate segregation, collection and transportation of HCWs for disposal due to lack of equipment and necessary goods in public HCFs and associated risks of contamination of workers and of the environment </w:t>
            </w:r>
          </w:p>
        </w:tc>
        <w:tc>
          <w:tcPr>
            <w:tcW w:w="3334" w:type="dxa"/>
            <w:shd w:val="clear" w:color="auto" w:fill="auto"/>
          </w:tcPr>
          <w:p w14:paraId="1F02402D" w14:textId="77777777" w:rsidR="00BE0538" w:rsidRPr="001F6DCE" w:rsidRDefault="00BE0538" w:rsidP="00BE0538">
            <w:pPr>
              <w:pStyle w:val="ListParagraph"/>
              <w:ind w:left="0"/>
              <w:rPr>
                <w:sz w:val="20"/>
              </w:rPr>
            </w:pPr>
            <w:r w:rsidRPr="001F6DCE">
              <w:rPr>
                <w:rFonts w:eastAsia="Calibri"/>
                <w:sz w:val="20"/>
              </w:rPr>
              <w:t xml:space="preserve">-  Ensuring segregation of MWs in all HCFs by using a </w:t>
            </w:r>
            <w:r w:rsidRPr="001F6DCE">
              <w:rPr>
                <w:rFonts w:eastAsia="Calibri"/>
                <w:iCs/>
                <w:sz w:val="20"/>
              </w:rPr>
              <w:t>three bins system;</w:t>
            </w:r>
          </w:p>
          <w:p w14:paraId="3464B8A5" w14:textId="77777777" w:rsidR="00BE0538" w:rsidRPr="001F6DCE" w:rsidRDefault="00BE0538" w:rsidP="00BE0538">
            <w:pPr>
              <w:pStyle w:val="ListParagraph"/>
              <w:ind w:left="0"/>
              <w:rPr>
                <w:sz w:val="20"/>
              </w:rPr>
            </w:pPr>
            <w:r w:rsidRPr="001F6DCE">
              <w:rPr>
                <w:sz w:val="20"/>
              </w:rPr>
              <w:t xml:space="preserve">-  </w:t>
            </w:r>
            <w:r w:rsidRPr="001F6DCE">
              <w:rPr>
                <w:rFonts w:eastAsia="Calibri"/>
                <w:sz w:val="20"/>
              </w:rPr>
              <w:t>Supplying HCFs with all necessary goods and containers for separate collection of medical and domestic waste</w:t>
            </w:r>
            <w:r w:rsidRPr="001F6DCE">
              <w:rPr>
                <w:sz w:val="20"/>
              </w:rPr>
              <w:t xml:space="preserve"> as well as for their temporary storage before disposal (per action plan specified under line 7 above);</w:t>
            </w:r>
          </w:p>
          <w:p w14:paraId="170C518F" w14:textId="77777777" w:rsidR="00BE0538" w:rsidRPr="001F6DCE" w:rsidRDefault="00BE0538" w:rsidP="00BE0538">
            <w:pPr>
              <w:pStyle w:val="ListParagraph"/>
              <w:ind w:left="0"/>
              <w:rPr>
                <w:sz w:val="20"/>
              </w:rPr>
            </w:pPr>
          </w:p>
        </w:tc>
        <w:tc>
          <w:tcPr>
            <w:tcW w:w="1593" w:type="dxa"/>
            <w:shd w:val="clear" w:color="auto" w:fill="auto"/>
          </w:tcPr>
          <w:p w14:paraId="4EA19697" w14:textId="65CCE058" w:rsidR="00BE0538" w:rsidRPr="001F6DCE" w:rsidRDefault="00BE0538" w:rsidP="00BE0538">
            <w:pPr>
              <w:rPr>
                <w:sz w:val="20"/>
              </w:rPr>
            </w:pPr>
            <w:proofErr w:type="spellStart"/>
            <w:r w:rsidRPr="001F6DCE">
              <w:rPr>
                <w:sz w:val="20"/>
              </w:rPr>
              <w:t>MoHLSP</w:t>
            </w:r>
            <w:proofErr w:type="spellEnd"/>
            <w:r w:rsidRPr="001F6DCE">
              <w:rPr>
                <w:sz w:val="20"/>
              </w:rPr>
              <w:t xml:space="preserve">, </w:t>
            </w:r>
          </w:p>
          <w:p w14:paraId="281B0F2D" w14:textId="77777777" w:rsidR="00BE0538" w:rsidRPr="001F6DCE" w:rsidRDefault="00BE0538" w:rsidP="00BE0538">
            <w:pPr>
              <w:rPr>
                <w:sz w:val="20"/>
              </w:rPr>
            </w:pPr>
            <w:r w:rsidRPr="001F6DCE">
              <w:rPr>
                <w:sz w:val="20"/>
              </w:rPr>
              <w:t>Local Public Administration</w:t>
            </w:r>
          </w:p>
        </w:tc>
        <w:tc>
          <w:tcPr>
            <w:tcW w:w="1467" w:type="dxa"/>
            <w:gridSpan w:val="2"/>
            <w:shd w:val="clear" w:color="auto" w:fill="auto"/>
          </w:tcPr>
          <w:p w14:paraId="3121EF8A" w14:textId="629EB53C" w:rsidR="00BE0538" w:rsidRPr="001F6DCE" w:rsidRDefault="00BE0538" w:rsidP="00BE0538">
            <w:pPr>
              <w:rPr>
                <w:sz w:val="20"/>
              </w:rPr>
            </w:pPr>
            <w:r w:rsidRPr="001F6DCE">
              <w:rPr>
                <w:sz w:val="20"/>
              </w:rPr>
              <w:t>2018-2019</w:t>
            </w:r>
          </w:p>
        </w:tc>
        <w:tc>
          <w:tcPr>
            <w:tcW w:w="1520" w:type="dxa"/>
            <w:gridSpan w:val="2"/>
            <w:shd w:val="clear" w:color="auto" w:fill="auto"/>
          </w:tcPr>
          <w:p w14:paraId="7DEF51D4" w14:textId="77777777" w:rsidR="00BE0538" w:rsidRPr="001F6DCE" w:rsidRDefault="00BE0538" w:rsidP="00BE0538">
            <w:pPr>
              <w:rPr>
                <w:sz w:val="20"/>
              </w:rPr>
            </w:pPr>
            <w:r w:rsidRPr="001F6DCE">
              <w:rPr>
                <w:sz w:val="20"/>
              </w:rPr>
              <w:t>To be estimated within the feasibility study see line No. 11</w:t>
            </w:r>
          </w:p>
        </w:tc>
        <w:tc>
          <w:tcPr>
            <w:tcW w:w="1603" w:type="dxa"/>
            <w:shd w:val="clear" w:color="auto" w:fill="auto"/>
          </w:tcPr>
          <w:p w14:paraId="612323E8" w14:textId="77777777" w:rsidR="00BE0538" w:rsidRPr="001F6DCE" w:rsidRDefault="00BE0538" w:rsidP="00BE0538">
            <w:pPr>
              <w:rPr>
                <w:sz w:val="20"/>
              </w:rPr>
            </w:pPr>
            <w:r w:rsidRPr="001F6DCE">
              <w:rPr>
                <w:sz w:val="20"/>
              </w:rPr>
              <w:t>HCWs segregation is ensured in 100 percent of public HCFs;</w:t>
            </w:r>
          </w:p>
          <w:p w14:paraId="1C2558B8" w14:textId="77777777" w:rsidR="00BE0538" w:rsidRPr="001F6DCE" w:rsidRDefault="00BE0538" w:rsidP="00BE0538">
            <w:pPr>
              <w:rPr>
                <w:sz w:val="20"/>
              </w:rPr>
            </w:pPr>
            <w:r w:rsidRPr="001F6DCE">
              <w:rPr>
                <w:sz w:val="20"/>
              </w:rPr>
              <w:t>Number of provided containers and other suppliers and protective equipment  for HCWM;</w:t>
            </w:r>
          </w:p>
        </w:tc>
        <w:tc>
          <w:tcPr>
            <w:tcW w:w="1857" w:type="dxa"/>
          </w:tcPr>
          <w:p w14:paraId="0FD073B6" w14:textId="5D314F11" w:rsidR="00BE0538" w:rsidRPr="002422AE" w:rsidRDefault="00BE0538" w:rsidP="00BE0538">
            <w:pPr>
              <w:rPr>
                <w:sz w:val="20"/>
              </w:rPr>
            </w:pPr>
            <w:r w:rsidRPr="001F6DCE">
              <w:rPr>
                <w:sz w:val="20"/>
              </w:rPr>
              <w:t xml:space="preserve">Ongoing </w:t>
            </w:r>
            <w:bookmarkStart w:id="9" w:name="_GoBack"/>
            <w:bookmarkEnd w:id="9"/>
          </w:p>
        </w:tc>
      </w:tr>
    </w:tbl>
    <w:p w14:paraId="49511FF7" w14:textId="77777777" w:rsidR="00831791" w:rsidRPr="002502F4" w:rsidRDefault="00831791" w:rsidP="00A04983">
      <w:pPr>
        <w:jc w:val="both"/>
        <w:rPr>
          <w:i/>
          <w:sz w:val="22"/>
          <w:szCs w:val="22"/>
          <w:u w:val="single"/>
          <w:lang w:val="ro-RO"/>
        </w:rPr>
      </w:pPr>
    </w:p>
    <w:sectPr w:rsidR="00831791" w:rsidRPr="002502F4" w:rsidSect="00147721">
      <w:pgSz w:w="15840" w:h="12240" w:orient="landscape"/>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9A15B" w14:textId="77777777" w:rsidR="00AB5152" w:rsidRDefault="00AB5152" w:rsidP="00A23AC6">
      <w:r>
        <w:separator/>
      </w:r>
    </w:p>
  </w:endnote>
  <w:endnote w:type="continuationSeparator" w:id="0">
    <w:p w14:paraId="51A5682F" w14:textId="77777777" w:rsidR="00AB5152" w:rsidRDefault="00AB5152" w:rsidP="00A2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468727"/>
      <w:docPartObj>
        <w:docPartGallery w:val="Page Numbers (Bottom of Page)"/>
        <w:docPartUnique/>
      </w:docPartObj>
    </w:sdtPr>
    <w:sdtEndPr>
      <w:rPr>
        <w:noProof/>
      </w:rPr>
    </w:sdtEndPr>
    <w:sdtContent>
      <w:p w14:paraId="7D58E07A" w14:textId="3D7D714A" w:rsidR="005F0999" w:rsidRDefault="005F0999">
        <w:pPr>
          <w:pStyle w:val="Footer"/>
          <w:jc w:val="center"/>
        </w:pPr>
        <w:r>
          <w:fldChar w:fldCharType="begin"/>
        </w:r>
        <w:r>
          <w:instrText xml:space="preserve"> PAGE   \* MERGEFORMAT </w:instrText>
        </w:r>
        <w:r>
          <w:fldChar w:fldCharType="separate"/>
        </w:r>
        <w:r w:rsidR="001F6DCE">
          <w:rPr>
            <w:noProof/>
          </w:rPr>
          <w:t>45</w:t>
        </w:r>
        <w:r>
          <w:rPr>
            <w:noProof/>
          </w:rPr>
          <w:fldChar w:fldCharType="end"/>
        </w:r>
      </w:p>
    </w:sdtContent>
  </w:sdt>
  <w:p w14:paraId="55A8A527" w14:textId="77777777" w:rsidR="005F0999" w:rsidRDefault="005F09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FDB17" w14:textId="77777777" w:rsidR="005F0999" w:rsidRDefault="005F0999">
    <w:pPr>
      <w:pStyle w:val="Footer"/>
      <w:jc w:val="center"/>
    </w:pPr>
  </w:p>
  <w:p w14:paraId="3684D042" w14:textId="77777777" w:rsidR="005F0999" w:rsidRDefault="005F09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139470"/>
      <w:docPartObj>
        <w:docPartGallery w:val="Page Numbers (Bottom of Page)"/>
        <w:docPartUnique/>
      </w:docPartObj>
    </w:sdtPr>
    <w:sdtEndPr>
      <w:rPr>
        <w:noProof/>
      </w:rPr>
    </w:sdtEndPr>
    <w:sdtContent>
      <w:p w14:paraId="5A1E2D18" w14:textId="73740494" w:rsidR="005F0999" w:rsidRDefault="005F0999">
        <w:pPr>
          <w:pStyle w:val="Footer"/>
          <w:jc w:val="center"/>
        </w:pPr>
        <w:r>
          <w:fldChar w:fldCharType="begin"/>
        </w:r>
        <w:r>
          <w:instrText xml:space="preserve"> PAGE   \* MERGEFORMAT </w:instrText>
        </w:r>
        <w:r>
          <w:fldChar w:fldCharType="separate"/>
        </w:r>
        <w:r w:rsidR="001F6DCE">
          <w:rPr>
            <w:noProof/>
          </w:rPr>
          <w:t>ii</w:t>
        </w:r>
        <w:r>
          <w:rPr>
            <w:noProof/>
          </w:rPr>
          <w:fldChar w:fldCharType="end"/>
        </w:r>
      </w:p>
    </w:sdtContent>
  </w:sdt>
  <w:p w14:paraId="52B4D5F9" w14:textId="77777777" w:rsidR="005F0999" w:rsidRDefault="005F099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688131"/>
      <w:docPartObj>
        <w:docPartGallery w:val="Page Numbers (Bottom of Page)"/>
        <w:docPartUnique/>
      </w:docPartObj>
    </w:sdtPr>
    <w:sdtEndPr>
      <w:rPr>
        <w:noProof/>
      </w:rPr>
    </w:sdtEndPr>
    <w:sdtContent>
      <w:p w14:paraId="4AFD71F4" w14:textId="75790AF0" w:rsidR="005F0999" w:rsidRDefault="005F0999">
        <w:pPr>
          <w:pStyle w:val="Footer"/>
          <w:jc w:val="center"/>
        </w:pPr>
        <w:r>
          <w:fldChar w:fldCharType="begin"/>
        </w:r>
        <w:r>
          <w:instrText xml:space="preserve"> PAGE   \* MERGEFORMAT </w:instrText>
        </w:r>
        <w:r>
          <w:fldChar w:fldCharType="separate"/>
        </w:r>
        <w:r w:rsidR="001F6DCE">
          <w:rPr>
            <w:noProof/>
          </w:rPr>
          <w:t>1</w:t>
        </w:r>
        <w:r>
          <w:rPr>
            <w:noProof/>
          </w:rPr>
          <w:fldChar w:fldCharType="end"/>
        </w:r>
      </w:p>
    </w:sdtContent>
  </w:sdt>
  <w:p w14:paraId="78097993" w14:textId="77777777" w:rsidR="005F0999" w:rsidRDefault="005F09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AAD47" w14:textId="77777777" w:rsidR="00AB5152" w:rsidRDefault="00AB5152" w:rsidP="00A23AC6">
      <w:r>
        <w:separator/>
      </w:r>
    </w:p>
  </w:footnote>
  <w:footnote w:type="continuationSeparator" w:id="0">
    <w:p w14:paraId="29AB2C2A" w14:textId="77777777" w:rsidR="00AB5152" w:rsidRDefault="00AB5152" w:rsidP="00A23AC6">
      <w:r>
        <w:continuationSeparator/>
      </w:r>
    </w:p>
  </w:footnote>
  <w:footnote w:id="1">
    <w:p w14:paraId="2E742E6C" w14:textId="77777777" w:rsidR="005F0999" w:rsidRPr="00A52671" w:rsidRDefault="005F0999" w:rsidP="00C94A37">
      <w:pPr>
        <w:pStyle w:val="FootnoteText"/>
        <w:tabs>
          <w:tab w:val="clear" w:pos="240"/>
        </w:tabs>
        <w:ind w:left="0" w:firstLine="0"/>
        <w:rPr>
          <w:rFonts w:ascii="Times New Roman" w:hAnsi="Times New Roman"/>
          <w:sz w:val="18"/>
          <w:szCs w:val="18"/>
        </w:rPr>
      </w:pPr>
      <w:r>
        <w:rPr>
          <w:rStyle w:val="FootnoteReference"/>
        </w:rPr>
        <w:footnoteRef/>
      </w:r>
      <w:r>
        <w:t xml:space="preserve"> </w:t>
      </w:r>
      <w:r>
        <w:tab/>
      </w:r>
      <w:r w:rsidRPr="00A52671">
        <w:rPr>
          <w:rFonts w:ascii="Times New Roman" w:hAnsi="Times New Roman"/>
          <w:sz w:val="18"/>
          <w:szCs w:val="18"/>
        </w:rPr>
        <w:t>There is no public procurement of drugs for the outpatient drug benefit package in Moldova. Instead, private pharmacies procure drugs from distributors. CNAM signs contracts with pharmacies and on that basis, reimburses out-patient drug costs according to reimbursement rates in the drug benefit package.</w:t>
      </w:r>
    </w:p>
  </w:footnote>
  <w:footnote w:id="2">
    <w:p w14:paraId="3A25B93B" w14:textId="77777777" w:rsidR="005F0999" w:rsidRPr="00A52671" w:rsidRDefault="005F0999" w:rsidP="00633F4F">
      <w:pPr>
        <w:pStyle w:val="FootnoteText"/>
        <w:tabs>
          <w:tab w:val="clear" w:pos="240"/>
        </w:tabs>
        <w:ind w:left="720" w:hanging="720"/>
        <w:rPr>
          <w:rFonts w:ascii="Times New Roman" w:hAnsi="Times New Roman"/>
          <w:sz w:val="18"/>
          <w:szCs w:val="18"/>
          <w:lang w:val="en-US"/>
        </w:rPr>
      </w:pPr>
      <w:r>
        <w:rPr>
          <w:rStyle w:val="FootnoteReference"/>
        </w:rPr>
        <w:footnoteRef/>
      </w:r>
      <w:r>
        <w:t xml:space="preserve"> </w:t>
      </w:r>
      <w:r w:rsidRPr="00A52671">
        <w:rPr>
          <w:rFonts w:ascii="Times New Roman" w:hAnsi="Times New Roman"/>
          <w:sz w:val="18"/>
          <w:szCs w:val="18"/>
        </w:rPr>
        <w:t>http://web.worldbank.org/WBSITE/EXTERNAL/PROJECTS/EXTPOLICIES/EXTOPMANUAL/0,,contentMDK:23101116~menuPK:4564185~pagePK:64709096~piPK:64709108~theSitePK:502184,00.html.</w:t>
      </w:r>
    </w:p>
  </w:footnote>
  <w:footnote w:id="3">
    <w:p w14:paraId="543FD7A9" w14:textId="77777777" w:rsidR="005F0999" w:rsidRPr="00A52671" w:rsidRDefault="005F0999">
      <w:pPr>
        <w:pStyle w:val="FootnoteText"/>
        <w:rPr>
          <w:rFonts w:ascii="Times New Roman" w:hAnsi="Times New Roman"/>
          <w:sz w:val="18"/>
          <w:szCs w:val="18"/>
        </w:rPr>
      </w:pPr>
      <w:r>
        <w:rPr>
          <w:rStyle w:val="FootnoteReference"/>
        </w:rPr>
        <w:footnoteRef/>
      </w:r>
      <w:r>
        <w:t xml:space="preserve"> </w:t>
      </w:r>
      <w:r w:rsidRPr="00A52671">
        <w:rPr>
          <w:rFonts w:ascii="Times New Roman" w:hAnsi="Times New Roman"/>
          <w:sz w:val="18"/>
          <w:szCs w:val="18"/>
        </w:rPr>
        <w:t>http://web.worldbank.org/WBSITE/EXTERNAL/PROJECTANDOPERATIONS/EXTINFODISCLOSURE/0,,menuPK:64864911~pagePK:4749265~piPK:4749256~theSitePK:5033734,00.html.</w:t>
      </w:r>
    </w:p>
  </w:footnote>
  <w:footnote w:id="4">
    <w:p w14:paraId="3089C569" w14:textId="41869B94" w:rsidR="005F0999" w:rsidRPr="00A23190" w:rsidRDefault="005F0999" w:rsidP="00A23190">
      <w:pPr>
        <w:pStyle w:val="FootnoteText"/>
        <w:jc w:val="left"/>
        <w:rPr>
          <w:rFonts w:ascii="Times New Roman" w:hAnsi="Times New Roman"/>
        </w:rPr>
      </w:pPr>
      <w:r>
        <w:rPr>
          <w:rStyle w:val="FootnoteReference"/>
        </w:rPr>
        <w:footnoteRef/>
      </w:r>
      <w:r>
        <w:t xml:space="preserve"> </w:t>
      </w:r>
      <w:r w:rsidRPr="00A23190">
        <w:rPr>
          <w:rFonts w:ascii="Times New Roman" w:hAnsi="Times New Roman"/>
        </w:rPr>
        <w:t>Government decision no 1128</w:t>
      </w:r>
      <w:r w:rsidRPr="007F2197">
        <w:rPr>
          <w:rFonts w:ascii="Times New Roman" w:hAnsi="Times New Roman"/>
        </w:rPr>
        <w:t xml:space="preserve"> d</w:t>
      </w:r>
      <w:r w:rsidRPr="00E57CEF">
        <w:rPr>
          <w:rFonts w:ascii="Times New Roman" w:hAnsi="Times New Roman"/>
        </w:rPr>
        <w:t xml:space="preserve">ated 10.10.2016: </w:t>
      </w:r>
      <w:r>
        <w:rPr>
          <w:rFonts w:ascii="Times New Roman" w:hAnsi="Times New Roman"/>
        </w:rPr>
        <w:t>e</w:t>
      </w:r>
      <w:r w:rsidRPr="00A23190">
        <w:rPr>
          <w:rFonts w:ascii="Times New Roman" w:hAnsi="Times New Roman"/>
        </w:rPr>
        <w:t xml:space="preserve">ach public medical institution when procuring goods (at a cost exceeding threshold of $600) shall sub-contract CPPH under the </w:t>
      </w:r>
      <w:proofErr w:type="spellStart"/>
      <w:r w:rsidRPr="00A23190">
        <w:rPr>
          <w:rFonts w:ascii="Times New Roman" w:hAnsi="Times New Roman"/>
        </w:rPr>
        <w:t>MoHLSP</w:t>
      </w:r>
      <w:proofErr w:type="spellEnd"/>
      <w:r w:rsidRPr="00A23190">
        <w:rPr>
          <w:rFonts w:ascii="Times New Roman" w:hAnsi="Times New Roman"/>
        </w:rPr>
        <w:t xml:space="preserve"> for organisation of tender procedures</w:t>
      </w:r>
    </w:p>
  </w:footnote>
  <w:footnote w:id="5">
    <w:p w14:paraId="30415652" w14:textId="77777777" w:rsidR="005F0999" w:rsidRPr="00A52671" w:rsidRDefault="005F0999" w:rsidP="00633F4F">
      <w:pPr>
        <w:pStyle w:val="FootnoteText"/>
        <w:tabs>
          <w:tab w:val="clear" w:pos="240"/>
        </w:tabs>
        <w:ind w:left="0" w:firstLine="0"/>
        <w:jc w:val="left"/>
        <w:rPr>
          <w:sz w:val="18"/>
          <w:szCs w:val="18"/>
        </w:rPr>
      </w:pPr>
      <w:r>
        <w:t xml:space="preserve">** </w:t>
      </w:r>
      <w:r>
        <w:tab/>
      </w:r>
      <w:r w:rsidRPr="00A52671">
        <w:rPr>
          <w:rFonts w:ascii="Times New Roman" w:hAnsi="Times New Roman"/>
          <w:sz w:val="18"/>
          <w:szCs w:val="18"/>
          <w:lang w:val="en-US"/>
        </w:rPr>
        <w:t>See http://web</w:t>
      </w:r>
      <w:proofErr w:type="gramStart"/>
      <w:r w:rsidRPr="00A52671">
        <w:rPr>
          <w:rFonts w:ascii="Times New Roman" w:hAnsi="Times New Roman"/>
          <w:sz w:val="18"/>
          <w:szCs w:val="18"/>
          <w:lang w:val="en-US"/>
        </w:rPr>
        <w:t>..</w:t>
      </w:r>
      <w:proofErr w:type="gramEnd"/>
      <w:r w:rsidRPr="00A52671">
        <w:rPr>
          <w:rFonts w:ascii="Times New Roman" w:hAnsi="Times New Roman"/>
          <w:sz w:val="18"/>
          <w:szCs w:val="18"/>
          <w:lang w:val="en-US"/>
        </w:rPr>
        <w:t>org/WBSITE/EXTERNAL/PROJECTS/EXTPOLICIES/EXTOPMANUAL/0,,contentMDK:23101116~menuPK:4564185~pagePK:64709096~piPK:64709108~theSitePK:502184,00.html.</w:t>
      </w:r>
    </w:p>
    <w:p w14:paraId="55995F28" w14:textId="77777777" w:rsidR="005F0999" w:rsidRPr="00A52671" w:rsidRDefault="005F0999" w:rsidP="00633F4F">
      <w:pPr>
        <w:pStyle w:val="FootnoteText"/>
        <w:tabs>
          <w:tab w:val="clear" w:pos="240"/>
        </w:tabs>
        <w:ind w:left="0" w:firstLine="0"/>
        <w:rPr>
          <w:sz w:val="18"/>
          <w:szCs w:val="18"/>
        </w:rPr>
      </w:pPr>
      <w:r>
        <w:rPr>
          <w:rStyle w:val="FootnoteReference"/>
        </w:rPr>
        <w:footnoteRef/>
      </w:r>
      <w:r>
        <w:t xml:space="preserve"> </w:t>
      </w:r>
      <w:r>
        <w:tab/>
      </w:r>
      <w:proofErr w:type="gramStart"/>
      <w:r w:rsidRPr="00A52671">
        <w:rPr>
          <w:rFonts w:ascii="Times New Roman" w:hAnsi="Times New Roman"/>
          <w:sz w:val="18"/>
          <w:szCs w:val="18"/>
        </w:rPr>
        <w:t>As per the Law on Government (No. 64-XII, 31 May 1990).</w:t>
      </w:r>
      <w:proofErr w:type="gramEnd"/>
    </w:p>
  </w:footnote>
  <w:footnote w:id="6">
    <w:p w14:paraId="49E812B2" w14:textId="02B0F2A9" w:rsidR="005F0999" w:rsidRPr="00A23190" w:rsidRDefault="005F0999">
      <w:pPr>
        <w:pStyle w:val="FootnoteText"/>
        <w:rPr>
          <w:rFonts w:ascii="Times New Roman" w:hAnsi="Times New Roman"/>
          <w:lang w:val="en-US"/>
        </w:rPr>
      </w:pPr>
      <w:r w:rsidRPr="00A23190">
        <w:rPr>
          <w:rStyle w:val="FootnoteReference"/>
          <w:rFonts w:ascii="Times New Roman" w:hAnsi="Times New Roman"/>
        </w:rPr>
        <w:footnoteRef/>
      </w:r>
      <w:r w:rsidRPr="00A23190">
        <w:rPr>
          <w:rFonts w:ascii="Times New Roman" w:hAnsi="Times New Roman"/>
        </w:rPr>
        <w:t xml:space="preserve"> Government Decision no. 705 dated 06.09.2017 </w:t>
      </w:r>
    </w:p>
  </w:footnote>
  <w:footnote w:id="7">
    <w:p w14:paraId="2984AA14" w14:textId="44FFBAF0" w:rsidR="005F0999" w:rsidRPr="00A23190" w:rsidRDefault="005F0999">
      <w:pPr>
        <w:pStyle w:val="FootnoteText"/>
        <w:rPr>
          <w:lang w:val="en-US"/>
        </w:rPr>
      </w:pPr>
      <w:r w:rsidRPr="00A23190">
        <w:rPr>
          <w:rStyle w:val="FootnoteReference"/>
          <w:rFonts w:ascii="Times New Roman" w:hAnsi="Times New Roman"/>
        </w:rPr>
        <w:footnoteRef/>
      </w:r>
      <w:r w:rsidRPr="00A23190">
        <w:rPr>
          <w:rFonts w:ascii="Times New Roman" w:hAnsi="Times New Roman"/>
        </w:rPr>
        <w:t xml:space="preserve"> The Law on State Surveillance of Public Health (No. 10-XVI, dd. 03.02.2009) was amended accordingly to reflect all these changes.</w:t>
      </w:r>
    </w:p>
  </w:footnote>
  <w:footnote w:id="8">
    <w:p w14:paraId="273FC593" w14:textId="7ACACCA8" w:rsidR="005F0999" w:rsidRPr="005733CA" w:rsidRDefault="005F0999">
      <w:pPr>
        <w:pStyle w:val="FootnoteText"/>
        <w:rPr>
          <w:rFonts w:ascii="Times New Roman" w:hAnsi="Times New Roman"/>
          <w:sz w:val="18"/>
          <w:szCs w:val="18"/>
        </w:rPr>
      </w:pPr>
      <w:r w:rsidRPr="005733CA">
        <w:rPr>
          <w:rStyle w:val="FootnoteReference"/>
          <w:rFonts w:ascii="Times New Roman" w:hAnsi="Times New Roman"/>
          <w:sz w:val="18"/>
          <w:szCs w:val="18"/>
        </w:rPr>
        <w:footnoteRef/>
      </w:r>
      <w:r w:rsidRPr="005733CA">
        <w:rPr>
          <w:rFonts w:ascii="Times New Roman" w:hAnsi="Times New Roman"/>
          <w:sz w:val="18"/>
          <w:szCs w:val="18"/>
        </w:rPr>
        <w:t xml:space="preserve"> Data source: </w:t>
      </w:r>
      <w:hyperlink r:id="rId1" w:history="1">
        <w:r w:rsidRPr="005733CA">
          <w:rPr>
            <w:rStyle w:val="Hyperlink"/>
            <w:rFonts w:ascii="Times New Roman" w:hAnsi="Times New Roman"/>
            <w:sz w:val="18"/>
            <w:szCs w:val="18"/>
          </w:rPr>
          <w:t>http://www.fisc.md/Article.aspx?id=8896</w:t>
        </w:r>
      </w:hyperlink>
      <w:r w:rsidRPr="005733CA">
        <w:rPr>
          <w:rFonts w:ascii="Times New Roman" w:hAnsi="Times New Roman"/>
          <w:sz w:val="18"/>
          <w:szCs w:val="18"/>
        </w:rPr>
        <w:t xml:space="preserve"> </w:t>
      </w:r>
    </w:p>
  </w:footnote>
  <w:footnote w:id="9">
    <w:p w14:paraId="0D616AE5" w14:textId="77777777" w:rsidR="005F0999" w:rsidRDefault="005F0999" w:rsidP="00086208">
      <w:pPr>
        <w:pStyle w:val="FootnoteText"/>
      </w:pPr>
      <w:r>
        <w:rPr>
          <w:rStyle w:val="FootnoteReference"/>
        </w:rPr>
        <w:footnoteRef/>
      </w:r>
      <w:r>
        <w:t xml:space="preserve"> </w:t>
      </w:r>
      <w:r w:rsidRPr="00086208">
        <w:rPr>
          <w:rFonts w:ascii="Times New Roman" w:hAnsi="Times New Roman"/>
        </w:rPr>
        <w:t>These don’t include radioactive waste which according to opinions of nationa</w:t>
      </w:r>
      <w:r>
        <w:rPr>
          <w:rFonts w:ascii="Times New Roman" w:hAnsi="Times New Roman"/>
        </w:rPr>
        <w:t xml:space="preserve">l specialists and international </w:t>
      </w:r>
      <w:r w:rsidRPr="00086208">
        <w:rPr>
          <w:rFonts w:ascii="Times New Roman" w:hAnsi="Times New Roman"/>
        </w:rPr>
        <w:t>organizations are produced in a very limited amount and is relatively well managed in the country.</w:t>
      </w:r>
    </w:p>
  </w:footnote>
  <w:footnote w:id="10">
    <w:p w14:paraId="3301D479" w14:textId="4D77B4C3" w:rsidR="005F0999" w:rsidRPr="00A23190" w:rsidRDefault="005F0999">
      <w:pPr>
        <w:pStyle w:val="FootnoteText"/>
        <w:rPr>
          <w:rFonts w:ascii="Times New Roman" w:hAnsi="Times New Roman"/>
          <w:lang w:val="en-US"/>
        </w:rPr>
      </w:pPr>
      <w:r>
        <w:rPr>
          <w:rStyle w:val="FootnoteReference"/>
        </w:rPr>
        <w:footnoteRef/>
      </w:r>
      <w:r>
        <w:t xml:space="preserve"> </w:t>
      </w:r>
      <w:r w:rsidRPr="00A23190">
        <w:rPr>
          <w:rFonts w:ascii="Times New Roman" w:hAnsi="Times New Roman"/>
        </w:rPr>
        <w:t xml:space="preserve">For details: </w:t>
      </w:r>
      <w:hyperlink r:id="rId2" w:history="1">
        <w:r w:rsidRPr="00A23190">
          <w:rPr>
            <w:rStyle w:val="Hyperlink"/>
            <w:rFonts w:ascii="Times New Roman" w:hAnsi="Times New Roman"/>
          </w:rPr>
          <w:t>http://lex.justice.md/md/368030/</w:t>
        </w:r>
      </w:hyperlink>
      <w:r w:rsidRPr="00A23190">
        <w:rPr>
          <w:rFonts w:ascii="Times New Roman" w:hAnsi="Times New Roman"/>
        </w:rPr>
        <w:t xml:space="preserve"> </w:t>
      </w:r>
    </w:p>
  </w:footnote>
  <w:footnote w:id="11">
    <w:p w14:paraId="3C709320" w14:textId="0C3867F2" w:rsidR="005F0999" w:rsidRPr="00A23190" w:rsidRDefault="005F0999">
      <w:pPr>
        <w:pStyle w:val="FootnoteText"/>
        <w:rPr>
          <w:rFonts w:ascii="Times New Roman" w:hAnsi="Times New Roman"/>
        </w:rPr>
      </w:pPr>
      <w:r>
        <w:rPr>
          <w:rStyle w:val="FootnoteReference"/>
        </w:rPr>
        <w:footnoteRef/>
      </w:r>
      <w:r>
        <w:t xml:space="preserve"> </w:t>
      </w:r>
      <w:proofErr w:type="gramStart"/>
      <w:r w:rsidRPr="00A23190">
        <w:rPr>
          <w:rFonts w:ascii="Times New Roman" w:hAnsi="Times New Roman"/>
        </w:rPr>
        <w:t xml:space="preserve">Order No. 652 </w:t>
      </w:r>
      <w:proofErr w:type="spellStart"/>
      <w:r w:rsidRPr="00A23190">
        <w:rPr>
          <w:rFonts w:ascii="Times New Roman" w:hAnsi="Times New Roman"/>
        </w:rPr>
        <w:t>dd</w:t>
      </w:r>
      <w:proofErr w:type="spellEnd"/>
      <w:r w:rsidRPr="00A23190">
        <w:rPr>
          <w:rFonts w:ascii="Times New Roman" w:hAnsi="Times New Roman"/>
        </w:rPr>
        <w:t xml:space="preserve"> 06.06.2013 on the implementation of the National Strategy for Waste management for 2013-2027.</w:t>
      </w:r>
      <w:proofErr w:type="gramEnd"/>
      <w:r w:rsidRPr="00A23190">
        <w:rPr>
          <w:rFonts w:ascii="Times New Roman" w:hAnsi="Times New Roman"/>
        </w:rPr>
        <w:t xml:space="preserve"> </w:t>
      </w:r>
    </w:p>
  </w:footnote>
  <w:footnote w:id="12">
    <w:p w14:paraId="1D512BC1" w14:textId="51EC4A63" w:rsidR="005F0999" w:rsidRPr="00A23190" w:rsidRDefault="005F0999">
      <w:pPr>
        <w:pStyle w:val="FootnoteText"/>
        <w:rPr>
          <w:rFonts w:ascii="Times New Roman" w:hAnsi="Times New Roman"/>
        </w:rPr>
      </w:pPr>
      <w:r w:rsidRPr="00A23190">
        <w:rPr>
          <w:rStyle w:val="FootnoteReference"/>
          <w:rFonts w:ascii="Times New Roman" w:hAnsi="Times New Roman"/>
        </w:rPr>
        <w:footnoteRef/>
      </w:r>
      <w:r w:rsidRPr="00A23190">
        <w:rPr>
          <w:rFonts w:ascii="Times New Roman" w:hAnsi="Times New Roman"/>
        </w:rPr>
        <w:t xml:space="preserve"> For details: </w:t>
      </w:r>
      <w:hyperlink r:id="rId3" w:history="1">
        <w:r w:rsidRPr="00A23190">
          <w:rPr>
            <w:rStyle w:val="Hyperlink"/>
            <w:rFonts w:ascii="Times New Roman" w:hAnsi="Times New Roman"/>
          </w:rPr>
          <w:t>http://old.ms.gov.md/_files/15170-Ghidul_Siguranta%2520injectiilor.pdf</w:t>
        </w:r>
      </w:hyperlink>
      <w:r w:rsidRPr="00A23190">
        <w:rPr>
          <w:rFonts w:ascii="Times New Roman" w:hAnsi="Times New Roman"/>
        </w:rPr>
        <w:t xml:space="preserve"> </w:t>
      </w:r>
    </w:p>
  </w:footnote>
  <w:footnote w:id="13">
    <w:p w14:paraId="39EA79CC" w14:textId="1CEB20B0" w:rsidR="005F0999" w:rsidRPr="00A23190" w:rsidRDefault="005F0999">
      <w:pPr>
        <w:pStyle w:val="FootnoteText"/>
        <w:rPr>
          <w:rFonts w:ascii="Times New Roman" w:hAnsi="Times New Roman"/>
        </w:rPr>
      </w:pPr>
      <w:r w:rsidRPr="00A23190">
        <w:rPr>
          <w:rStyle w:val="FootnoteReference"/>
          <w:rFonts w:ascii="Times New Roman" w:hAnsi="Times New Roman"/>
        </w:rPr>
        <w:footnoteRef/>
      </w:r>
      <w:r w:rsidRPr="00A23190">
        <w:rPr>
          <w:rFonts w:ascii="Times New Roman" w:hAnsi="Times New Roman"/>
        </w:rPr>
        <w:t xml:space="preserve"> For details: </w:t>
      </w:r>
      <w:hyperlink r:id="rId4" w:history="1">
        <w:r w:rsidRPr="00A23190">
          <w:rPr>
            <w:rStyle w:val="Hyperlink"/>
            <w:rFonts w:ascii="Times New Roman" w:hAnsi="Times New Roman"/>
          </w:rPr>
          <w:t>http://cnsp.md/wp-content/uploads/2014/06/Ghid-A4_FINAL_copertat-ed.II_.pdf</w:t>
        </w:r>
      </w:hyperlink>
      <w:r w:rsidRPr="00A23190">
        <w:rPr>
          <w:rFonts w:ascii="Times New Roman" w:hAnsi="Times New Roman"/>
        </w:rPr>
        <w:t xml:space="preserve"> </w:t>
      </w:r>
    </w:p>
  </w:footnote>
  <w:footnote w:id="14">
    <w:p w14:paraId="45165F48" w14:textId="094E6BC4" w:rsidR="005F0999" w:rsidRPr="00A23190" w:rsidRDefault="005F0999">
      <w:pPr>
        <w:pStyle w:val="FootnoteText"/>
        <w:rPr>
          <w:rFonts w:ascii="Times New Roman" w:hAnsi="Times New Roman"/>
        </w:rPr>
      </w:pPr>
      <w:r w:rsidRPr="00A23190">
        <w:rPr>
          <w:rStyle w:val="FootnoteReference"/>
          <w:rFonts w:ascii="Times New Roman" w:hAnsi="Times New Roman"/>
        </w:rPr>
        <w:footnoteRef/>
      </w:r>
      <w:r w:rsidRPr="00A23190">
        <w:rPr>
          <w:rFonts w:ascii="Times New Roman" w:hAnsi="Times New Roman"/>
        </w:rPr>
        <w:t xml:space="preserve"> For details: </w:t>
      </w:r>
      <w:hyperlink r:id="rId5" w:history="1">
        <w:r w:rsidRPr="00A23190">
          <w:rPr>
            <w:rStyle w:val="Hyperlink"/>
            <w:rFonts w:ascii="Times New Roman" w:hAnsi="Times New Roman"/>
          </w:rPr>
          <w:t>http://lex.justice.md/index.php?action=view&amp;view=doc&amp;lang=1&amp;id=306414</w:t>
        </w:r>
      </w:hyperlink>
      <w:r w:rsidRPr="00A23190">
        <w:rPr>
          <w:rFonts w:ascii="Times New Roman" w:hAnsi="Times New Roman"/>
        </w:rPr>
        <w:t xml:space="preserve"> </w:t>
      </w:r>
    </w:p>
  </w:footnote>
  <w:footnote w:id="15">
    <w:p w14:paraId="2636806B" w14:textId="3C12317A" w:rsidR="005F0999" w:rsidRPr="00A23190" w:rsidRDefault="005F0999">
      <w:pPr>
        <w:pStyle w:val="FootnoteText"/>
        <w:rPr>
          <w:rFonts w:ascii="Times New Roman" w:hAnsi="Times New Roman"/>
        </w:rPr>
      </w:pPr>
      <w:r>
        <w:rPr>
          <w:rStyle w:val="FootnoteReference"/>
        </w:rPr>
        <w:footnoteRef/>
      </w:r>
      <w:r>
        <w:t xml:space="preserve"> </w:t>
      </w:r>
      <w:r w:rsidRPr="00A23190">
        <w:rPr>
          <w:rFonts w:ascii="Times New Roman" w:hAnsi="Times New Roman"/>
        </w:rPr>
        <w:t xml:space="preserve">For details: </w:t>
      </w:r>
      <w:hyperlink r:id="rId6" w:history="1">
        <w:r w:rsidRPr="00A23190">
          <w:rPr>
            <w:rStyle w:val="Hyperlink"/>
            <w:rFonts w:ascii="Times New Roman" w:hAnsi="Times New Roman"/>
          </w:rPr>
          <w:t>http://particip.gov.md/proiectview.php?l=ro&amp;idd=1841</w:t>
        </w:r>
      </w:hyperlink>
      <w:r w:rsidRPr="00A23190">
        <w:rPr>
          <w:rFonts w:ascii="Times New Roman" w:hAnsi="Times New Roman"/>
        </w:rPr>
        <w:t xml:space="preserve"> </w:t>
      </w:r>
    </w:p>
  </w:footnote>
  <w:footnote w:id="16">
    <w:p w14:paraId="6D4E950D" w14:textId="77777777" w:rsidR="005F0999" w:rsidRPr="0053282E" w:rsidRDefault="005F0999" w:rsidP="003F1B8A">
      <w:pPr>
        <w:pStyle w:val="FootnoteText"/>
        <w:tabs>
          <w:tab w:val="clear" w:pos="240"/>
        </w:tabs>
        <w:ind w:left="0" w:firstLine="0"/>
        <w:rPr>
          <w:rFonts w:ascii="Times New Roman" w:hAnsi="Times New Roman"/>
          <w:sz w:val="18"/>
          <w:szCs w:val="18"/>
        </w:rPr>
      </w:pPr>
      <w:r>
        <w:rPr>
          <w:rStyle w:val="FootnoteReference"/>
        </w:rPr>
        <w:footnoteRef/>
      </w:r>
      <w:r>
        <w:t xml:space="preserve"> </w:t>
      </w:r>
      <w:r>
        <w:tab/>
      </w:r>
      <w:r w:rsidRPr="0053282E">
        <w:rPr>
          <w:rFonts w:ascii="Times New Roman" w:hAnsi="Times New Roman"/>
          <w:b/>
          <w:sz w:val="18"/>
          <w:szCs w:val="18"/>
        </w:rPr>
        <w:t>Health Financing Reforms Review</w:t>
      </w:r>
      <w:r w:rsidRPr="0053282E">
        <w:rPr>
          <w:rFonts w:ascii="Times New Roman" w:hAnsi="Times New Roman"/>
          <w:sz w:val="18"/>
          <w:szCs w:val="18"/>
        </w:rPr>
        <w:t xml:space="preserve"> conducted by WHO in 2012 suggests that 20% of resident population in Moldova do not have health insurance. It is notable that the share of uninsured people with chronic disease is one half of those uninsured. However, out of the population with the lowest income 41.0% do not have health insurance, and every second person in this group has free medical insurance. The population with the highest income (quintile V) has the highest rate of insured persons by monthly contributions (40.1%).</w:t>
      </w:r>
    </w:p>
  </w:footnote>
  <w:footnote w:id="17">
    <w:p w14:paraId="3E56FEC6" w14:textId="08FA2D40" w:rsidR="005F0999" w:rsidRPr="00B111A8" w:rsidRDefault="005F0999">
      <w:pPr>
        <w:pStyle w:val="FootnoteText"/>
      </w:pPr>
      <w:r>
        <w:rPr>
          <w:rStyle w:val="FootnoteReference"/>
        </w:rPr>
        <w:footnoteRef/>
      </w:r>
      <w:r>
        <w:t xml:space="preserve"> </w:t>
      </w:r>
      <w:r w:rsidRPr="00A23190">
        <w:rPr>
          <w:rFonts w:ascii="Times New Roman" w:hAnsi="Times New Roman"/>
        </w:rPr>
        <w:t xml:space="preserve">Administrative data, </w:t>
      </w:r>
      <w:proofErr w:type="spellStart"/>
      <w:r w:rsidRPr="00A23190">
        <w:rPr>
          <w:rFonts w:ascii="Times New Roman" w:hAnsi="Times New Roman"/>
        </w:rPr>
        <w:t>MoHLSP</w:t>
      </w:r>
      <w:proofErr w:type="spellEnd"/>
      <w:r>
        <w:rPr>
          <w:rFonts w:ascii="Times New Roman" w:hAnsi="Times New Roman"/>
        </w:rPr>
        <w:t xml:space="preserve"> database</w:t>
      </w:r>
    </w:p>
  </w:footnote>
  <w:footnote w:id="18">
    <w:p w14:paraId="7AB906F6" w14:textId="77777777" w:rsidR="005F0999" w:rsidRPr="0053282E" w:rsidRDefault="005F0999" w:rsidP="0053282E">
      <w:pPr>
        <w:pStyle w:val="FootnoteText"/>
        <w:tabs>
          <w:tab w:val="clear" w:pos="240"/>
        </w:tabs>
        <w:ind w:left="0" w:firstLine="0"/>
        <w:rPr>
          <w:lang w:val="en-US"/>
        </w:rPr>
      </w:pPr>
      <w:r>
        <w:rPr>
          <w:rStyle w:val="FootnoteReference"/>
        </w:rPr>
        <w:footnoteRef/>
      </w:r>
      <w:r>
        <w:t xml:space="preserve"> </w:t>
      </w:r>
      <w:r>
        <w:tab/>
      </w:r>
      <w:r w:rsidRPr="0053282E">
        <w:rPr>
          <w:rFonts w:ascii="Times New Roman" w:hAnsi="Times New Roman"/>
          <w:sz w:val="18"/>
          <w:szCs w:val="18"/>
        </w:rPr>
        <w:t>http://www.undp.md/publications/roma%20_report/Roma%20in%20the%20Republic%20of%20Moldova.pdf.</w:t>
      </w:r>
    </w:p>
  </w:footnote>
  <w:footnote w:id="19">
    <w:p w14:paraId="274CF34B" w14:textId="77777777" w:rsidR="005F0999" w:rsidRPr="007F02A4" w:rsidRDefault="005F0999" w:rsidP="00DB71B7">
      <w:pPr>
        <w:contextualSpacing/>
        <w:jc w:val="both"/>
        <w:rPr>
          <w:rFonts w:eastAsia="Calibri"/>
          <w:sz w:val="20"/>
        </w:rPr>
      </w:pPr>
      <w:r>
        <w:rPr>
          <w:rStyle w:val="FootnoteReference"/>
        </w:rPr>
        <w:footnoteRef/>
      </w:r>
      <w:r>
        <w:t xml:space="preserve"> </w:t>
      </w:r>
      <w:r w:rsidRPr="007F02A4">
        <w:rPr>
          <w:sz w:val="20"/>
        </w:rPr>
        <w:t xml:space="preserve">This can be concluded while </w:t>
      </w:r>
      <w:proofErr w:type="spellStart"/>
      <w:r w:rsidRPr="007F02A4">
        <w:rPr>
          <w:sz w:val="20"/>
        </w:rPr>
        <w:t>analyzing</w:t>
      </w:r>
      <w:proofErr w:type="spellEnd"/>
      <w:r w:rsidRPr="007F02A4">
        <w:rPr>
          <w:sz w:val="20"/>
        </w:rPr>
        <w:t xml:space="preserve"> various papers prepared by different international organizations and in particular by UNECE (Moldova: Environmental Performance Review, 2005 and 2013 – see: (</w:t>
      </w:r>
      <w:hyperlink r:id="rId7" w:history="1">
        <w:r w:rsidRPr="007F02A4">
          <w:rPr>
            <w:rFonts w:eastAsia="TimesNewRomanPSMT"/>
            <w:color w:val="0000FF"/>
            <w:sz w:val="20"/>
            <w:u w:val="single"/>
          </w:rPr>
          <w:t>http://www.unece.org/fileadmin/DAM/env/epr/epr_studies/moldova%20II%20m.pdf</w:t>
        </w:r>
      </w:hyperlink>
      <w:r w:rsidRPr="007F02A4">
        <w:rPr>
          <w:sz w:val="20"/>
        </w:rPr>
        <w:t xml:space="preserve">); by UNDP (see: National Report for UN CSD 2012 Rio+20. </w:t>
      </w:r>
      <w:proofErr w:type="gramStart"/>
      <w:r w:rsidRPr="007F02A4">
        <w:rPr>
          <w:sz w:val="20"/>
        </w:rPr>
        <w:t>Chisinau, 2012.</w:t>
      </w:r>
      <w:proofErr w:type="gramEnd"/>
      <w:r w:rsidRPr="007F02A4">
        <w:rPr>
          <w:sz w:val="20"/>
        </w:rPr>
        <w:t xml:space="preserve"> http://www.mediu.gov.md/images/Report_RIO20_ENG_12-06-2012_NEW_OUT.pdf</w:t>
      </w:r>
      <w:r w:rsidRPr="007F02A4">
        <w:rPr>
          <w:rFonts w:eastAsia="Calibri"/>
          <w:sz w:val="20"/>
        </w:rPr>
        <w:t>;</w:t>
      </w:r>
      <w:r w:rsidRPr="007F02A4">
        <w:rPr>
          <w:sz w:val="20"/>
        </w:rPr>
        <w:t xml:space="preserve"> and by Environmental Action Program for Central and eastern European countries Task Force under the OECD (see: Capacity Development for environmental management in Moldova: </w:t>
      </w:r>
      <w:r w:rsidRPr="007F02A4">
        <w:rPr>
          <w:bCs/>
          <w:sz w:val="20"/>
        </w:rPr>
        <w:t xml:space="preserve">Drivers, links to planning and methods of assessment. </w:t>
      </w:r>
      <w:proofErr w:type="gramStart"/>
      <w:r w:rsidRPr="007F02A4">
        <w:rPr>
          <w:bCs/>
          <w:sz w:val="20"/>
        </w:rPr>
        <w:t>Paris, 2010.</w:t>
      </w:r>
      <w:proofErr w:type="gramEnd"/>
      <w:r w:rsidRPr="007F02A4">
        <w:rPr>
          <w:bCs/>
          <w:sz w:val="20"/>
        </w:rPr>
        <w:t xml:space="preserve"> </w:t>
      </w:r>
      <w:hyperlink r:id="rId8" w:history="1">
        <w:r w:rsidRPr="007F02A4">
          <w:rPr>
            <w:bCs/>
            <w:color w:val="0000FF"/>
            <w:sz w:val="20"/>
            <w:u w:val="single"/>
          </w:rPr>
          <w:t>http://www.oecd.org/dataoecd/30/44/45559222.pdf</w:t>
        </w:r>
      </w:hyperlink>
      <w:r w:rsidRPr="007F02A4">
        <w:rPr>
          <w:bCs/>
          <w:sz w:val="20"/>
        </w:rPr>
        <w:t xml:space="preserve">; </w:t>
      </w:r>
      <w:r w:rsidRPr="007F02A4">
        <w:rPr>
          <w:sz w:val="20"/>
        </w:rPr>
        <w:t>Compliance and Enforcement Capacity Building in Moldova (</w:t>
      </w:r>
      <w:hyperlink r:id="rId9" w:history="1">
        <w:r w:rsidRPr="007F02A4">
          <w:rPr>
            <w:color w:val="0000FF"/>
            <w:sz w:val="20"/>
            <w:u w:val="single"/>
          </w:rPr>
          <w:t>http://oecd.hybrid.pl/finfo.php?layer_id=14&amp;object_id=160</w:t>
        </w:r>
      </w:hyperlink>
      <w:r w:rsidRPr="007F02A4">
        <w:rPr>
          <w:sz w:val="20"/>
        </w:rPr>
        <w:t>)</w:t>
      </w:r>
    </w:p>
    <w:p w14:paraId="4E1E5BB0" w14:textId="77777777" w:rsidR="005F0999" w:rsidRDefault="005F0999" w:rsidP="00DB71B7">
      <w:pPr>
        <w:pStyle w:val="FootnoteText"/>
      </w:pPr>
    </w:p>
  </w:footnote>
  <w:footnote w:id="20">
    <w:p w14:paraId="7DB047CD" w14:textId="77777777" w:rsidR="005F0999" w:rsidRPr="00F94EBD" w:rsidRDefault="005F0999" w:rsidP="00F94EBD">
      <w:pPr>
        <w:pStyle w:val="FootnoteText"/>
        <w:tabs>
          <w:tab w:val="clear" w:pos="240"/>
        </w:tabs>
        <w:ind w:left="0" w:firstLine="0"/>
        <w:rPr>
          <w:lang w:val="en-US"/>
        </w:rPr>
      </w:pPr>
      <w:r>
        <w:rPr>
          <w:rStyle w:val="FootnoteReference"/>
        </w:rPr>
        <w:footnoteRef/>
      </w:r>
      <w:r>
        <w:t xml:space="preserve"> </w:t>
      </w:r>
      <w:r>
        <w:tab/>
      </w:r>
      <w:r w:rsidRPr="00590164">
        <w:rPr>
          <w:rFonts w:ascii="Times New Roman" w:hAnsi="Times New Roman"/>
        </w:rPr>
        <w:t xml:space="preserve">For instance, formally NHIC should be empowered to undertake strategic purchasing of healthcare services from providers, however can only do this in consultation with institutions’ founders (represented by </w:t>
      </w:r>
      <w:r>
        <w:rPr>
          <w:rFonts w:ascii="Times New Roman" w:hAnsi="Times New Roman"/>
        </w:rPr>
        <w:t>MOH</w:t>
      </w:r>
      <w:r w:rsidRPr="00590164">
        <w:rPr>
          <w:rFonts w:ascii="Times New Roman" w:hAnsi="Times New Roman"/>
        </w:rPr>
        <w:t xml:space="preserve"> and LPAs). As a result, the existing regulatory framework creates a direct conflict of interest that sustains inefficiencies in the sector</w:t>
      </w:r>
    </w:p>
  </w:footnote>
  <w:footnote w:id="21">
    <w:p w14:paraId="66D841A2" w14:textId="1D0EC1F0" w:rsidR="005F0999" w:rsidRPr="005B6751" w:rsidRDefault="005F0999">
      <w:pPr>
        <w:pStyle w:val="FootnoteText"/>
      </w:pPr>
      <w:r>
        <w:rPr>
          <w:rStyle w:val="FootnoteReference"/>
        </w:rPr>
        <w:footnoteRef/>
      </w:r>
      <w:r>
        <w:t xml:space="preserve"> </w:t>
      </w:r>
      <w:r w:rsidRPr="00A23190">
        <w:rPr>
          <w:rFonts w:ascii="Times New Roman" w:hAnsi="Times New Roman"/>
        </w:rPr>
        <w:t>WB PREM estimations</w:t>
      </w:r>
    </w:p>
  </w:footnote>
  <w:footnote w:id="22">
    <w:p w14:paraId="6EBF6DA5" w14:textId="3DBF08B9" w:rsidR="005F0999" w:rsidRPr="00147721" w:rsidRDefault="005F0999" w:rsidP="00F94EBD">
      <w:pPr>
        <w:pStyle w:val="FootnoteText"/>
        <w:tabs>
          <w:tab w:val="clear" w:pos="240"/>
        </w:tabs>
        <w:ind w:left="0" w:firstLine="0"/>
        <w:rPr>
          <w:sz w:val="18"/>
          <w:szCs w:val="18"/>
          <w:lang w:val="en-US"/>
        </w:rPr>
      </w:pPr>
      <w:r>
        <w:rPr>
          <w:rStyle w:val="FootnoteReference"/>
        </w:rPr>
        <w:footnoteRef/>
      </w:r>
      <w:r>
        <w:t xml:space="preserve"> </w:t>
      </w:r>
      <w:r>
        <w:tab/>
      </w:r>
      <w:r w:rsidRPr="00147721">
        <w:rPr>
          <w:rFonts w:ascii="Times New Roman" w:hAnsi="Times New Roman"/>
          <w:sz w:val="18"/>
          <w:szCs w:val="18"/>
          <w:lang w:val="en-US"/>
        </w:rPr>
        <w:t xml:space="preserve">In spite of the fact that recently </w:t>
      </w:r>
      <w:r>
        <w:rPr>
          <w:rFonts w:ascii="Times New Roman" w:hAnsi="Times New Roman"/>
          <w:sz w:val="18"/>
          <w:szCs w:val="18"/>
          <w:lang w:val="en-US"/>
        </w:rPr>
        <w:t xml:space="preserve">GF and </w:t>
      </w:r>
      <w:r w:rsidRPr="00147721">
        <w:rPr>
          <w:rFonts w:ascii="Times New Roman" w:hAnsi="Times New Roman"/>
          <w:sz w:val="18"/>
          <w:szCs w:val="18"/>
          <w:lang w:val="en-US"/>
        </w:rPr>
        <w:t>GAVI agreed to allocate some grant amount in support of Moldova’s graduation from its financial assistance, there are still significant financing gaps not covered.</w:t>
      </w:r>
    </w:p>
  </w:footnote>
  <w:footnote w:id="23">
    <w:p w14:paraId="58244BD5" w14:textId="77777777" w:rsidR="005F0999" w:rsidRPr="00F63456" w:rsidRDefault="005F0999" w:rsidP="00856233">
      <w:pPr>
        <w:pStyle w:val="FootnoteText"/>
        <w:tabs>
          <w:tab w:val="clear" w:pos="240"/>
        </w:tabs>
        <w:ind w:left="0" w:firstLine="0"/>
        <w:rPr>
          <w:rFonts w:ascii="Times New Roman" w:hAnsi="Times New Roman"/>
          <w:lang w:val="en-US"/>
        </w:rPr>
      </w:pPr>
      <w:r>
        <w:rPr>
          <w:rStyle w:val="FootnoteReference"/>
        </w:rPr>
        <w:footnoteRef/>
      </w:r>
      <w:r>
        <w:t xml:space="preserve"> </w:t>
      </w:r>
      <w:r w:rsidRPr="00F63456">
        <w:rPr>
          <w:rFonts w:ascii="Times New Roman" w:hAnsi="Times New Roman"/>
          <w:sz w:val="18"/>
          <w:szCs w:val="18"/>
        </w:rPr>
        <w:t>Ministry of Health Order No. 869, 27 December 2010.</w:t>
      </w:r>
    </w:p>
  </w:footnote>
  <w:footnote w:id="24">
    <w:p w14:paraId="28A1ECCC" w14:textId="77777777" w:rsidR="005F0999" w:rsidRPr="00147721" w:rsidRDefault="005F0999" w:rsidP="00F94EBD">
      <w:pPr>
        <w:pStyle w:val="FootnoteText"/>
        <w:tabs>
          <w:tab w:val="clear" w:pos="240"/>
        </w:tabs>
        <w:ind w:left="0" w:firstLine="0"/>
        <w:rPr>
          <w:sz w:val="18"/>
          <w:szCs w:val="18"/>
        </w:rPr>
      </w:pPr>
      <w:r>
        <w:rPr>
          <w:rStyle w:val="FootnoteReference"/>
        </w:rPr>
        <w:footnoteRef/>
      </w:r>
      <w:r>
        <w:t xml:space="preserve"> </w:t>
      </w:r>
      <w:r w:rsidRPr="00147721">
        <w:rPr>
          <w:rFonts w:ascii="Times New Roman" w:hAnsi="Times New Roman"/>
          <w:sz w:val="18"/>
          <w:szCs w:val="18"/>
        </w:rPr>
        <w:t>New water quality norms, harmonized with EU norms, were approved in August 2007 (Government Decision No. 934).</w:t>
      </w:r>
    </w:p>
  </w:footnote>
  <w:footnote w:id="25">
    <w:p w14:paraId="5D9BD69B" w14:textId="77777777" w:rsidR="008A5FD1" w:rsidRPr="00B056E5" w:rsidRDefault="008A5FD1" w:rsidP="008A5FD1">
      <w:pPr>
        <w:pStyle w:val="FootnoteText"/>
        <w:tabs>
          <w:tab w:val="clear" w:pos="240"/>
        </w:tabs>
        <w:ind w:left="0" w:firstLine="0"/>
        <w:rPr>
          <w:sz w:val="18"/>
          <w:szCs w:val="18"/>
        </w:rPr>
      </w:pPr>
      <w:r>
        <w:rPr>
          <w:rStyle w:val="FootnoteReference"/>
        </w:rPr>
        <w:footnoteRef/>
      </w:r>
      <w:r>
        <w:t xml:space="preserve"> </w:t>
      </w:r>
      <w:r>
        <w:tab/>
      </w:r>
      <w:r w:rsidRPr="00B056E5">
        <w:rPr>
          <w:rFonts w:ascii="Times New Roman" w:hAnsi="Times New Roman"/>
          <w:sz w:val="18"/>
          <w:szCs w:val="18"/>
        </w:rPr>
        <w:t>The main causes of death in the Republic of Moldova are diseases of the circulatory system followed by cancer and diseases of the digestive system. Many of these deaths can be attributed to very heavy alcohol and tobacco consumption – 57.6</w:t>
      </w:r>
      <w:r>
        <w:rPr>
          <w:rFonts w:ascii="Times New Roman" w:hAnsi="Times New Roman"/>
          <w:sz w:val="18"/>
          <w:szCs w:val="18"/>
        </w:rPr>
        <w:t xml:space="preserve"> percent</w:t>
      </w:r>
      <w:r w:rsidRPr="00B056E5">
        <w:rPr>
          <w:rFonts w:ascii="Times New Roman" w:hAnsi="Times New Roman"/>
          <w:sz w:val="18"/>
          <w:szCs w:val="18"/>
        </w:rPr>
        <w:t xml:space="preserve"> of total male mortality and 62.3</w:t>
      </w:r>
      <w:r>
        <w:rPr>
          <w:rFonts w:ascii="Times New Roman" w:hAnsi="Times New Roman"/>
          <w:sz w:val="18"/>
          <w:szCs w:val="18"/>
        </w:rPr>
        <w:t xml:space="preserve"> percent</w:t>
      </w:r>
      <w:r w:rsidRPr="00B056E5">
        <w:rPr>
          <w:rFonts w:ascii="Times New Roman" w:hAnsi="Times New Roman"/>
          <w:sz w:val="18"/>
          <w:szCs w:val="18"/>
        </w:rPr>
        <w:t xml:space="preserve"> of female mortality in 2010 could be attributed to sm</w:t>
      </w:r>
      <w:r>
        <w:rPr>
          <w:rFonts w:ascii="Times New Roman" w:hAnsi="Times New Roman"/>
          <w:sz w:val="18"/>
          <w:szCs w:val="18"/>
        </w:rPr>
        <w:t>oking-related causes while 18.8 percent</w:t>
      </w:r>
      <w:r w:rsidRPr="00B056E5">
        <w:rPr>
          <w:rFonts w:ascii="Times New Roman" w:hAnsi="Times New Roman"/>
          <w:sz w:val="18"/>
          <w:szCs w:val="18"/>
        </w:rPr>
        <w:t xml:space="preserve"> of male mortality and 13.7</w:t>
      </w:r>
      <w:r>
        <w:rPr>
          <w:rFonts w:ascii="Times New Roman" w:hAnsi="Times New Roman"/>
          <w:sz w:val="18"/>
          <w:szCs w:val="18"/>
        </w:rPr>
        <w:t xml:space="preserve"> percent</w:t>
      </w:r>
      <w:r w:rsidRPr="00B056E5">
        <w:rPr>
          <w:rFonts w:ascii="Times New Roman" w:hAnsi="Times New Roman"/>
          <w:sz w:val="18"/>
          <w:szCs w:val="18"/>
        </w:rPr>
        <w:t xml:space="preserve"> of female mortality were related to alcohol consumption.</w:t>
      </w:r>
    </w:p>
  </w:footnote>
  <w:footnote w:id="26">
    <w:p w14:paraId="71A4CD8B" w14:textId="77777777" w:rsidR="00BE0538" w:rsidRPr="00B35818" w:rsidRDefault="00BE0538" w:rsidP="00BE0538">
      <w:pPr>
        <w:pStyle w:val="FootnoteText"/>
        <w:tabs>
          <w:tab w:val="clear" w:pos="240"/>
        </w:tabs>
        <w:ind w:left="0" w:firstLine="0"/>
        <w:rPr>
          <w:rFonts w:ascii="Times New Roman" w:hAnsi="Times New Roman"/>
          <w:sz w:val="18"/>
          <w:szCs w:val="18"/>
          <w:lang w:val="en-US"/>
        </w:rPr>
      </w:pPr>
      <w:r w:rsidRPr="007D5C3C">
        <w:rPr>
          <w:rStyle w:val="FootnoteReference"/>
          <w:rFonts w:ascii="Times New Roman" w:hAnsi="Times New Roman"/>
        </w:rPr>
        <w:footnoteRef/>
      </w:r>
      <w:r w:rsidRPr="007D5C3C">
        <w:rPr>
          <w:rFonts w:ascii="Times New Roman" w:hAnsi="Times New Roman"/>
        </w:rPr>
        <w:t xml:space="preserve"> </w:t>
      </w:r>
      <w:proofErr w:type="gramStart"/>
      <w:r w:rsidRPr="00B35818">
        <w:rPr>
          <w:rFonts w:ascii="Times New Roman" w:hAnsi="Times New Roman"/>
          <w:sz w:val="18"/>
          <w:szCs w:val="18"/>
          <w:lang w:val="en-US"/>
        </w:rPr>
        <w:t>Preliminary estimations done in the National Strategy for Waste Management for 2013-2025 show the need for about Euro 4.0 million.</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672"/>
    <w:multiLevelType w:val="hybridMultilevel"/>
    <w:tmpl w:val="384C4C3E"/>
    <w:lvl w:ilvl="0" w:tplc="35F8CF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6846ED"/>
    <w:multiLevelType w:val="hybridMultilevel"/>
    <w:tmpl w:val="3258A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8251D4"/>
    <w:multiLevelType w:val="hybridMultilevel"/>
    <w:tmpl w:val="8BF6F048"/>
    <w:lvl w:ilvl="0" w:tplc="A8AEB01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5668B9"/>
    <w:multiLevelType w:val="hybridMultilevel"/>
    <w:tmpl w:val="B21ED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90E2F"/>
    <w:multiLevelType w:val="multilevel"/>
    <w:tmpl w:val="8A486C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nsid w:val="08AC51A2"/>
    <w:multiLevelType w:val="hybridMultilevel"/>
    <w:tmpl w:val="CEF64EA4"/>
    <w:lvl w:ilvl="0" w:tplc="E83E3C32">
      <w:start w:val="1"/>
      <w:numFmt w:val="decimal"/>
      <w:lvlText w:val="%1."/>
      <w:lvlJc w:val="left"/>
      <w:pPr>
        <w:ind w:left="720" w:hanging="360"/>
      </w:pPr>
      <w:rPr>
        <w:rFonts w:hint="default"/>
        <w:b w:val="0"/>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D16D0"/>
    <w:multiLevelType w:val="hybridMultilevel"/>
    <w:tmpl w:val="77686B68"/>
    <w:lvl w:ilvl="0" w:tplc="42D2D010">
      <w:start w:val="1"/>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7">
    <w:nsid w:val="17A9584C"/>
    <w:multiLevelType w:val="multilevel"/>
    <w:tmpl w:val="62A25286"/>
    <w:lvl w:ilvl="0">
      <w:start w:val="1"/>
      <w:numFmt w:val="decimal"/>
      <w:lvlText w:val="%1."/>
      <w:lvlJc w:val="left"/>
      <w:pPr>
        <w:ind w:left="720" w:hanging="360"/>
      </w:pPr>
      <w:rPr>
        <w:rFonts w:ascii="Times New Roman" w:hAnsi="Times New Roman" w:hint="default"/>
        <w:sz w:val="24"/>
        <w:u w:val="single"/>
      </w:rPr>
    </w:lvl>
    <w:lvl w:ilvl="1">
      <w:start w:val="5"/>
      <w:numFmt w:val="decimal"/>
      <w:isLgl/>
      <w:lvlText w:val="%1.%2"/>
      <w:lvlJc w:val="left"/>
      <w:pPr>
        <w:ind w:left="720" w:hanging="360"/>
      </w:pPr>
      <w:rPr>
        <w:rFonts w:hint="default"/>
        <w:b w:val="0"/>
        <w:i/>
        <w:u w:val="single"/>
      </w:rPr>
    </w:lvl>
    <w:lvl w:ilvl="2">
      <w:start w:val="1"/>
      <w:numFmt w:val="decimal"/>
      <w:isLgl/>
      <w:lvlText w:val="%1.%2.%3"/>
      <w:lvlJc w:val="left"/>
      <w:pPr>
        <w:ind w:left="1080" w:hanging="720"/>
      </w:pPr>
      <w:rPr>
        <w:rFonts w:hint="default"/>
        <w:b w:val="0"/>
        <w:i/>
        <w:u w:val="single"/>
      </w:rPr>
    </w:lvl>
    <w:lvl w:ilvl="3">
      <w:start w:val="1"/>
      <w:numFmt w:val="decimal"/>
      <w:isLgl/>
      <w:lvlText w:val="%1.%2.%3.%4"/>
      <w:lvlJc w:val="left"/>
      <w:pPr>
        <w:ind w:left="1080" w:hanging="720"/>
      </w:pPr>
      <w:rPr>
        <w:rFonts w:hint="default"/>
        <w:b w:val="0"/>
        <w:i/>
        <w:u w:val="single"/>
      </w:rPr>
    </w:lvl>
    <w:lvl w:ilvl="4">
      <w:start w:val="1"/>
      <w:numFmt w:val="decimal"/>
      <w:isLgl/>
      <w:lvlText w:val="%1.%2.%3.%4.%5"/>
      <w:lvlJc w:val="left"/>
      <w:pPr>
        <w:ind w:left="1440" w:hanging="1080"/>
      </w:pPr>
      <w:rPr>
        <w:rFonts w:hint="default"/>
        <w:b w:val="0"/>
        <w:i/>
        <w:u w:val="single"/>
      </w:rPr>
    </w:lvl>
    <w:lvl w:ilvl="5">
      <w:start w:val="1"/>
      <w:numFmt w:val="decimal"/>
      <w:isLgl/>
      <w:lvlText w:val="%1.%2.%3.%4.%5.%6"/>
      <w:lvlJc w:val="left"/>
      <w:pPr>
        <w:ind w:left="1440" w:hanging="1080"/>
      </w:pPr>
      <w:rPr>
        <w:rFonts w:hint="default"/>
        <w:b w:val="0"/>
        <w:i/>
        <w:u w:val="single"/>
      </w:rPr>
    </w:lvl>
    <w:lvl w:ilvl="6">
      <w:start w:val="1"/>
      <w:numFmt w:val="decimal"/>
      <w:isLgl/>
      <w:lvlText w:val="%1.%2.%3.%4.%5.%6.%7"/>
      <w:lvlJc w:val="left"/>
      <w:pPr>
        <w:ind w:left="1800" w:hanging="1440"/>
      </w:pPr>
      <w:rPr>
        <w:rFonts w:hint="default"/>
        <w:b w:val="0"/>
        <w:i/>
        <w:u w:val="single"/>
      </w:rPr>
    </w:lvl>
    <w:lvl w:ilvl="7">
      <w:start w:val="1"/>
      <w:numFmt w:val="decimal"/>
      <w:isLgl/>
      <w:lvlText w:val="%1.%2.%3.%4.%5.%6.%7.%8"/>
      <w:lvlJc w:val="left"/>
      <w:pPr>
        <w:ind w:left="1800" w:hanging="1440"/>
      </w:pPr>
      <w:rPr>
        <w:rFonts w:hint="default"/>
        <w:b w:val="0"/>
        <w:i/>
        <w:u w:val="single"/>
      </w:rPr>
    </w:lvl>
    <w:lvl w:ilvl="8">
      <w:start w:val="1"/>
      <w:numFmt w:val="decimal"/>
      <w:isLgl/>
      <w:lvlText w:val="%1.%2.%3.%4.%5.%6.%7.%8.%9"/>
      <w:lvlJc w:val="left"/>
      <w:pPr>
        <w:ind w:left="2160" w:hanging="1800"/>
      </w:pPr>
      <w:rPr>
        <w:rFonts w:hint="default"/>
        <w:b w:val="0"/>
        <w:i/>
        <w:u w:val="single"/>
      </w:rPr>
    </w:lvl>
  </w:abstractNum>
  <w:abstractNum w:abstractNumId="8">
    <w:nsid w:val="1CD427C8"/>
    <w:multiLevelType w:val="hybridMultilevel"/>
    <w:tmpl w:val="A4B0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4472B"/>
    <w:multiLevelType w:val="hybridMultilevel"/>
    <w:tmpl w:val="C7988C90"/>
    <w:lvl w:ilvl="0" w:tplc="F896410E">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6D7FAD"/>
    <w:multiLevelType w:val="hybridMultilevel"/>
    <w:tmpl w:val="D2CEBD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F84B56"/>
    <w:multiLevelType w:val="hybridMultilevel"/>
    <w:tmpl w:val="BE86C8F2"/>
    <w:lvl w:ilvl="0" w:tplc="D884CD0C">
      <w:start w:val="5"/>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nsid w:val="44676E9E"/>
    <w:multiLevelType w:val="hybridMultilevel"/>
    <w:tmpl w:val="EF8A0578"/>
    <w:lvl w:ilvl="0" w:tplc="9F529A0A">
      <w:start w:val="1"/>
      <w:numFmt w:val="upperRoman"/>
      <w:lvlText w:val="%1."/>
      <w:lvlJc w:val="left"/>
      <w:pPr>
        <w:ind w:left="2160" w:hanging="72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56D1B1F"/>
    <w:multiLevelType w:val="hybridMultilevel"/>
    <w:tmpl w:val="61603776"/>
    <w:lvl w:ilvl="0" w:tplc="35F8CF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A253A3"/>
    <w:multiLevelType w:val="hybridMultilevel"/>
    <w:tmpl w:val="C394B0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0E5463"/>
    <w:multiLevelType w:val="hybridMultilevel"/>
    <w:tmpl w:val="4E687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44374B"/>
    <w:multiLevelType w:val="hybridMultilevel"/>
    <w:tmpl w:val="0C88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387E97"/>
    <w:multiLevelType w:val="hybridMultilevel"/>
    <w:tmpl w:val="E348D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29011C"/>
    <w:multiLevelType w:val="hybridMultilevel"/>
    <w:tmpl w:val="CB90C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7C4B73"/>
    <w:multiLevelType w:val="hybridMultilevel"/>
    <w:tmpl w:val="60841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B760EA"/>
    <w:multiLevelType w:val="hybridMultilevel"/>
    <w:tmpl w:val="86363DEE"/>
    <w:lvl w:ilvl="0" w:tplc="3312B27A">
      <w:start w:val="1"/>
      <w:numFmt w:val="lowerRoman"/>
      <w:lvlText w:val="(%1)"/>
      <w:lvlJc w:val="left"/>
      <w:pPr>
        <w:ind w:left="1004" w:hanging="360"/>
      </w:pPr>
      <w:rPr>
        <w:rFonts w:hint="default"/>
        <w:b w:val="0"/>
        <w:i w:val="0"/>
        <w:color w:val="auto"/>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7"/>
  </w:num>
  <w:num w:numId="2">
    <w:abstractNumId w:val="11"/>
  </w:num>
  <w:num w:numId="3">
    <w:abstractNumId w:val="20"/>
  </w:num>
  <w:num w:numId="4">
    <w:abstractNumId w:val="7"/>
  </w:num>
  <w:num w:numId="5">
    <w:abstractNumId w:val="2"/>
  </w:num>
  <w:num w:numId="6">
    <w:abstractNumId w:val="15"/>
  </w:num>
  <w:num w:numId="7">
    <w:abstractNumId w:val="18"/>
  </w:num>
  <w:num w:numId="8">
    <w:abstractNumId w:val="16"/>
  </w:num>
  <w:num w:numId="9">
    <w:abstractNumId w:val="4"/>
  </w:num>
  <w:num w:numId="10">
    <w:abstractNumId w:val="1"/>
  </w:num>
  <w:num w:numId="11">
    <w:abstractNumId w:val="14"/>
  </w:num>
  <w:num w:numId="12">
    <w:abstractNumId w:val="5"/>
  </w:num>
  <w:num w:numId="13">
    <w:abstractNumId w:val="12"/>
  </w:num>
  <w:num w:numId="14">
    <w:abstractNumId w:val="3"/>
  </w:num>
  <w:num w:numId="15">
    <w:abstractNumId w:val="8"/>
  </w:num>
  <w:num w:numId="16">
    <w:abstractNumId w:val="9"/>
  </w:num>
  <w:num w:numId="17">
    <w:abstractNumId w:val="13"/>
  </w:num>
  <w:num w:numId="18">
    <w:abstractNumId w:val="0"/>
  </w:num>
  <w:num w:numId="19">
    <w:abstractNumId w:val="10"/>
  </w:num>
  <w:num w:numId="20">
    <w:abstractNumId w:val="19"/>
  </w:num>
  <w:num w:numId="2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AC6"/>
    <w:rsid w:val="000004F9"/>
    <w:rsid w:val="000010C9"/>
    <w:rsid w:val="0000226D"/>
    <w:rsid w:val="000024F9"/>
    <w:rsid w:val="00002E22"/>
    <w:rsid w:val="00007274"/>
    <w:rsid w:val="00010790"/>
    <w:rsid w:val="00010D92"/>
    <w:rsid w:val="00012F62"/>
    <w:rsid w:val="00014FA8"/>
    <w:rsid w:val="00015709"/>
    <w:rsid w:val="00017235"/>
    <w:rsid w:val="00017439"/>
    <w:rsid w:val="00017879"/>
    <w:rsid w:val="00020614"/>
    <w:rsid w:val="00020E48"/>
    <w:rsid w:val="00022123"/>
    <w:rsid w:val="00022913"/>
    <w:rsid w:val="00023EE6"/>
    <w:rsid w:val="00024DB4"/>
    <w:rsid w:val="00025B28"/>
    <w:rsid w:val="000270D9"/>
    <w:rsid w:val="0002768E"/>
    <w:rsid w:val="00027C72"/>
    <w:rsid w:val="00027E22"/>
    <w:rsid w:val="000307EF"/>
    <w:rsid w:val="0003263C"/>
    <w:rsid w:val="00032B60"/>
    <w:rsid w:val="000333D5"/>
    <w:rsid w:val="000342F9"/>
    <w:rsid w:val="00034D01"/>
    <w:rsid w:val="00036315"/>
    <w:rsid w:val="00037DEB"/>
    <w:rsid w:val="0004262E"/>
    <w:rsid w:val="000430DC"/>
    <w:rsid w:val="00043449"/>
    <w:rsid w:val="0004696D"/>
    <w:rsid w:val="00047286"/>
    <w:rsid w:val="00047A7F"/>
    <w:rsid w:val="00050B7A"/>
    <w:rsid w:val="000536F2"/>
    <w:rsid w:val="00053A78"/>
    <w:rsid w:val="00060730"/>
    <w:rsid w:val="00061555"/>
    <w:rsid w:val="00062DDB"/>
    <w:rsid w:val="0006346B"/>
    <w:rsid w:val="000637AC"/>
    <w:rsid w:val="00065538"/>
    <w:rsid w:val="00065705"/>
    <w:rsid w:val="00066F40"/>
    <w:rsid w:val="00071750"/>
    <w:rsid w:val="00072045"/>
    <w:rsid w:val="00074EAC"/>
    <w:rsid w:val="00075078"/>
    <w:rsid w:val="000753F6"/>
    <w:rsid w:val="000755DA"/>
    <w:rsid w:val="000761D8"/>
    <w:rsid w:val="00081B61"/>
    <w:rsid w:val="00081C69"/>
    <w:rsid w:val="00083D3A"/>
    <w:rsid w:val="000848B9"/>
    <w:rsid w:val="0008557B"/>
    <w:rsid w:val="00086208"/>
    <w:rsid w:val="00086574"/>
    <w:rsid w:val="00086935"/>
    <w:rsid w:val="00090268"/>
    <w:rsid w:val="00090F22"/>
    <w:rsid w:val="00091963"/>
    <w:rsid w:val="00092CC5"/>
    <w:rsid w:val="00095CEE"/>
    <w:rsid w:val="0009645F"/>
    <w:rsid w:val="000A0600"/>
    <w:rsid w:val="000A108A"/>
    <w:rsid w:val="000A2791"/>
    <w:rsid w:val="000A2982"/>
    <w:rsid w:val="000A2E24"/>
    <w:rsid w:val="000A2F86"/>
    <w:rsid w:val="000A50FC"/>
    <w:rsid w:val="000A66B4"/>
    <w:rsid w:val="000A6A24"/>
    <w:rsid w:val="000A6F83"/>
    <w:rsid w:val="000A75B4"/>
    <w:rsid w:val="000B109F"/>
    <w:rsid w:val="000B516E"/>
    <w:rsid w:val="000B6BCF"/>
    <w:rsid w:val="000B70F6"/>
    <w:rsid w:val="000C067A"/>
    <w:rsid w:val="000C0D9B"/>
    <w:rsid w:val="000C0ED2"/>
    <w:rsid w:val="000C3071"/>
    <w:rsid w:val="000C3761"/>
    <w:rsid w:val="000C3C74"/>
    <w:rsid w:val="000C3EA8"/>
    <w:rsid w:val="000C3FA4"/>
    <w:rsid w:val="000C53C5"/>
    <w:rsid w:val="000C6E0C"/>
    <w:rsid w:val="000D210B"/>
    <w:rsid w:val="000D4C1F"/>
    <w:rsid w:val="000D6AEF"/>
    <w:rsid w:val="000E1CE2"/>
    <w:rsid w:val="000E279C"/>
    <w:rsid w:val="000E376B"/>
    <w:rsid w:val="000E505B"/>
    <w:rsid w:val="000F1DB1"/>
    <w:rsid w:val="000F20AD"/>
    <w:rsid w:val="000F27CE"/>
    <w:rsid w:val="000F6DB0"/>
    <w:rsid w:val="00100BB8"/>
    <w:rsid w:val="00102764"/>
    <w:rsid w:val="00102AD8"/>
    <w:rsid w:val="0010332E"/>
    <w:rsid w:val="001048CC"/>
    <w:rsid w:val="001049C4"/>
    <w:rsid w:val="00106D75"/>
    <w:rsid w:val="00110421"/>
    <w:rsid w:val="001107D6"/>
    <w:rsid w:val="00111421"/>
    <w:rsid w:val="00112624"/>
    <w:rsid w:val="00114361"/>
    <w:rsid w:val="00115036"/>
    <w:rsid w:val="0011544F"/>
    <w:rsid w:val="001156F9"/>
    <w:rsid w:val="0012234B"/>
    <w:rsid w:val="0012269D"/>
    <w:rsid w:val="0012421E"/>
    <w:rsid w:val="00126B76"/>
    <w:rsid w:val="001275A5"/>
    <w:rsid w:val="00127E3F"/>
    <w:rsid w:val="001308CA"/>
    <w:rsid w:val="00131E43"/>
    <w:rsid w:val="001347BD"/>
    <w:rsid w:val="0014026D"/>
    <w:rsid w:val="0014119B"/>
    <w:rsid w:val="00145417"/>
    <w:rsid w:val="0014599A"/>
    <w:rsid w:val="00145AFA"/>
    <w:rsid w:val="00147721"/>
    <w:rsid w:val="0014774A"/>
    <w:rsid w:val="001508D7"/>
    <w:rsid w:val="00161852"/>
    <w:rsid w:val="0016420A"/>
    <w:rsid w:val="00164275"/>
    <w:rsid w:val="00165778"/>
    <w:rsid w:val="00165C16"/>
    <w:rsid w:val="00171C0A"/>
    <w:rsid w:val="001747BA"/>
    <w:rsid w:val="001747E0"/>
    <w:rsid w:val="0017600C"/>
    <w:rsid w:val="001766AF"/>
    <w:rsid w:val="00176A51"/>
    <w:rsid w:val="0017747D"/>
    <w:rsid w:val="00177B1D"/>
    <w:rsid w:val="00181658"/>
    <w:rsid w:val="00182AAA"/>
    <w:rsid w:val="0018747E"/>
    <w:rsid w:val="0019029F"/>
    <w:rsid w:val="001904F3"/>
    <w:rsid w:val="00190A7B"/>
    <w:rsid w:val="00190FE7"/>
    <w:rsid w:val="00191818"/>
    <w:rsid w:val="00192378"/>
    <w:rsid w:val="00192FC6"/>
    <w:rsid w:val="001948D0"/>
    <w:rsid w:val="00195CFA"/>
    <w:rsid w:val="00196754"/>
    <w:rsid w:val="001A00CC"/>
    <w:rsid w:val="001A1151"/>
    <w:rsid w:val="001A3870"/>
    <w:rsid w:val="001A3E63"/>
    <w:rsid w:val="001A54FC"/>
    <w:rsid w:val="001A58D9"/>
    <w:rsid w:val="001A612C"/>
    <w:rsid w:val="001A6322"/>
    <w:rsid w:val="001A6AE3"/>
    <w:rsid w:val="001A6D9D"/>
    <w:rsid w:val="001A72AB"/>
    <w:rsid w:val="001B0121"/>
    <w:rsid w:val="001B11A0"/>
    <w:rsid w:val="001B2447"/>
    <w:rsid w:val="001B58E7"/>
    <w:rsid w:val="001B706C"/>
    <w:rsid w:val="001B7740"/>
    <w:rsid w:val="001C31D3"/>
    <w:rsid w:val="001C4369"/>
    <w:rsid w:val="001C7CD8"/>
    <w:rsid w:val="001D1497"/>
    <w:rsid w:val="001D3C35"/>
    <w:rsid w:val="001D4D4D"/>
    <w:rsid w:val="001D5123"/>
    <w:rsid w:val="001D6212"/>
    <w:rsid w:val="001D7CE8"/>
    <w:rsid w:val="001E1AD3"/>
    <w:rsid w:val="001E592C"/>
    <w:rsid w:val="001E6F7B"/>
    <w:rsid w:val="001E7787"/>
    <w:rsid w:val="001F068F"/>
    <w:rsid w:val="001F4039"/>
    <w:rsid w:val="001F4A89"/>
    <w:rsid w:val="001F4AD3"/>
    <w:rsid w:val="001F6A7F"/>
    <w:rsid w:val="001F6DCE"/>
    <w:rsid w:val="001F74FC"/>
    <w:rsid w:val="00201808"/>
    <w:rsid w:val="00202E22"/>
    <w:rsid w:val="0020305C"/>
    <w:rsid w:val="00205A2E"/>
    <w:rsid w:val="00206129"/>
    <w:rsid w:val="00207909"/>
    <w:rsid w:val="00207FAA"/>
    <w:rsid w:val="00212296"/>
    <w:rsid w:val="00212C94"/>
    <w:rsid w:val="00215D23"/>
    <w:rsid w:val="00215E23"/>
    <w:rsid w:val="00216E8F"/>
    <w:rsid w:val="002170A8"/>
    <w:rsid w:val="00217F1B"/>
    <w:rsid w:val="0022229E"/>
    <w:rsid w:val="002228C9"/>
    <w:rsid w:val="002236DC"/>
    <w:rsid w:val="00223DDE"/>
    <w:rsid w:val="00223F1C"/>
    <w:rsid w:val="002254EF"/>
    <w:rsid w:val="00226104"/>
    <w:rsid w:val="00227D41"/>
    <w:rsid w:val="00231C76"/>
    <w:rsid w:val="00232BD0"/>
    <w:rsid w:val="00233C1D"/>
    <w:rsid w:val="00234077"/>
    <w:rsid w:val="00236625"/>
    <w:rsid w:val="00237362"/>
    <w:rsid w:val="002422AE"/>
    <w:rsid w:val="002433BF"/>
    <w:rsid w:val="00243F97"/>
    <w:rsid w:val="0024553F"/>
    <w:rsid w:val="002456E3"/>
    <w:rsid w:val="002474C0"/>
    <w:rsid w:val="00247D8F"/>
    <w:rsid w:val="002502F4"/>
    <w:rsid w:val="002504FB"/>
    <w:rsid w:val="00251470"/>
    <w:rsid w:val="00252E41"/>
    <w:rsid w:val="00252EF7"/>
    <w:rsid w:val="002531BD"/>
    <w:rsid w:val="00253AF6"/>
    <w:rsid w:val="002563BF"/>
    <w:rsid w:val="002568D2"/>
    <w:rsid w:val="00256BCD"/>
    <w:rsid w:val="00256CA6"/>
    <w:rsid w:val="00257675"/>
    <w:rsid w:val="0025769C"/>
    <w:rsid w:val="002642E4"/>
    <w:rsid w:val="00265E6D"/>
    <w:rsid w:val="00272521"/>
    <w:rsid w:val="00272FF0"/>
    <w:rsid w:val="00273C08"/>
    <w:rsid w:val="00274132"/>
    <w:rsid w:val="002803F5"/>
    <w:rsid w:val="002837F4"/>
    <w:rsid w:val="00287E31"/>
    <w:rsid w:val="002904DC"/>
    <w:rsid w:val="002909F1"/>
    <w:rsid w:val="00291041"/>
    <w:rsid w:val="0029251B"/>
    <w:rsid w:val="00292827"/>
    <w:rsid w:val="0029366E"/>
    <w:rsid w:val="00295E90"/>
    <w:rsid w:val="00296AD1"/>
    <w:rsid w:val="00296D3A"/>
    <w:rsid w:val="002A07A0"/>
    <w:rsid w:val="002A0B0B"/>
    <w:rsid w:val="002A5B7D"/>
    <w:rsid w:val="002A770D"/>
    <w:rsid w:val="002A794D"/>
    <w:rsid w:val="002B027B"/>
    <w:rsid w:val="002B3A66"/>
    <w:rsid w:val="002B4B3D"/>
    <w:rsid w:val="002B4F21"/>
    <w:rsid w:val="002C2A29"/>
    <w:rsid w:val="002C32E0"/>
    <w:rsid w:val="002C6635"/>
    <w:rsid w:val="002D19D4"/>
    <w:rsid w:val="002D2D97"/>
    <w:rsid w:val="002D4E39"/>
    <w:rsid w:val="002D4F7D"/>
    <w:rsid w:val="002D4FC2"/>
    <w:rsid w:val="002E0170"/>
    <w:rsid w:val="002E02C6"/>
    <w:rsid w:val="002E182B"/>
    <w:rsid w:val="002E3AF0"/>
    <w:rsid w:val="002E44FE"/>
    <w:rsid w:val="002E46EB"/>
    <w:rsid w:val="002E482C"/>
    <w:rsid w:val="002E5DA8"/>
    <w:rsid w:val="002F0686"/>
    <w:rsid w:val="002F0E81"/>
    <w:rsid w:val="002F7A47"/>
    <w:rsid w:val="00300DCF"/>
    <w:rsid w:val="00301702"/>
    <w:rsid w:val="00301A31"/>
    <w:rsid w:val="00302419"/>
    <w:rsid w:val="003045CF"/>
    <w:rsid w:val="00304EF0"/>
    <w:rsid w:val="00305A4C"/>
    <w:rsid w:val="00305BFD"/>
    <w:rsid w:val="00305E9A"/>
    <w:rsid w:val="0030605B"/>
    <w:rsid w:val="00307C1B"/>
    <w:rsid w:val="00310B20"/>
    <w:rsid w:val="003120A2"/>
    <w:rsid w:val="003160B7"/>
    <w:rsid w:val="00316808"/>
    <w:rsid w:val="00317686"/>
    <w:rsid w:val="00320FB7"/>
    <w:rsid w:val="0032275F"/>
    <w:rsid w:val="00322BEB"/>
    <w:rsid w:val="00323E23"/>
    <w:rsid w:val="00324F23"/>
    <w:rsid w:val="003308AB"/>
    <w:rsid w:val="00330A3C"/>
    <w:rsid w:val="00331BBF"/>
    <w:rsid w:val="00332477"/>
    <w:rsid w:val="00333F84"/>
    <w:rsid w:val="00334E31"/>
    <w:rsid w:val="003364E6"/>
    <w:rsid w:val="00336E69"/>
    <w:rsid w:val="0033756A"/>
    <w:rsid w:val="0034174A"/>
    <w:rsid w:val="00341947"/>
    <w:rsid w:val="003433D3"/>
    <w:rsid w:val="00343721"/>
    <w:rsid w:val="003478BD"/>
    <w:rsid w:val="00347C1E"/>
    <w:rsid w:val="00350B52"/>
    <w:rsid w:val="00351F72"/>
    <w:rsid w:val="003522C6"/>
    <w:rsid w:val="0035431D"/>
    <w:rsid w:val="00354422"/>
    <w:rsid w:val="003557A3"/>
    <w:rsid w:val="0036109C"/>
    <w:rsid w:val="003617B4"/>
    <w:rsid w:val="00363B1A"/>
    <w:rsid w:val="00367B86"/>
    <w:rsid w:val="00371206"/>
    <w:rsid w:val="00371631"/>
    <w:rsid w:val="00372B33"/>
    <w:rsid w:val="00372C26"/>
    <w:rsid w:val="0037393B"/>
    <w:rsid w:val="00374FBD"/>
    <w:rsid w:val="00375DFA"/>
    <w:rsid w:val="00376E7A"/>
    <w:rsid w:val="003772C6"/>
    <w:rsid w:val="00383A92"/>
    <w:rsid w:val="003900A1"/>
    <w:rsid w:val="00390353"/>
    <w:rsid w:val="00390894"/>
    <w:rsid w:val="00391622"/>
    <w:rsid w:val="00392CD0"/>
    <w:rsid w:val="00397F67"/>
    <w:rsid w:val="003A1020"/>
    <w:rsid w:val="003A15B9"/>
    <w:rsid w:val="003A1BF0"/>
    <w:rsid w:val="003A33C6"/>
    <w:rsid w:val="003A3D95"/>
    <w:rsid w:val="003A533F"/>
    <w:rsid w:val="003B04F8"/>
    <w:rsid w:val="003B22D6"/>
    <w:rsid w:val="003B24FA"/>
    <w:rsid w:val="003B5448"/>
    <w:rsid w:val="003B5F98"/>
    <w:rsid w:val="003B63CB"/>
    <w:rsid w:val="003B769C"/>
    <w:rsid w:val="003C21FA"/>
    <w:rsid w:val="003C5242"/>
    <w:rsid w:val="003D015F"/>
    <w:rsid w:val="003D5037"/>
    <w:rsid w:val="003D7B03"/>
    <w:rsid w:val="003E023A"/>
    <w:rsid w:val="003E3E24"/>
    <w:rsid w:val="003E4F30"/>
    <w:rsid w:val="003F1B8A"/>
    <w:rsid w:val="003F1B95"/>
    <w:rsid w:val="003F1BE2"/>
    <w:rsid w:val="003F2DEA"/>
    <w:rsid w:val="003F5766"/>
    <w:rsid w:val="003F5ED0"/>
    <w:rsid w:val="00400E2C"/>
    <w:rsid w:val="004104A5"/>
    <w:rsid w:val="00412DFA"/>
    <w:rsid w:val="00414878"/>
    <w:rsid w:val="00420B51"/>
    <w:rsid w:val="00421544"/>
    <w:rsid w:val="0042274D"/>
    <w:rsid w:val="00422F9E"/>
    <w:rsid w:val="004248AB"/>
    <w:rsid w:val="00425C1F"/>
    <w:rsid w:val="00426EB4"/>
    <w:rsid w:val="00430582"/>
    <w:rsid w:val="004306F9"/>
    <w:rsid w:val="00430E16"/>
    <w:rsid w:val="0043316B"/>
    <w:rsid w:val="00433A6A"/>
    <w:rsid w:val="00434290"/>
    <w:rsid w:val="00436E53"/>
    <w:rsid w:val="00437B47"/>
    <w:rsid w:val="00437BF7"/>
    <w:rsid w:val="004408A1"/>
    <w:rsid w:val="00441A4A"/>
    <w:rsid w:val="004426C6"/>
    <w:rsid w:val="00444466"/>
    <w:rsid w:val="004506CA"/>
    <w:rsid w:val="00452C13"/>
    <w:rsid w:val="004530B8"/>
    <w:rsid w:val="00455266"/>
    <w:rsid w:val="0045571C"/>
    <w:rsid w:val="00455B2C"/>
    <w:rsid w:val="00457498"/>
    <w:rsid w:val="004601B1"/>
    <w:rsid w:val="00460A8F"/>
    <w:rsid w:val="00460B33"/>
    <w:rsid w:val="004611AC"/>
    <w:rsid w:val="00462C94"/>
    <w:rsid w:val="00462CC0"/>
    <w:rsid w:val="004653E7"/>
    <w:rsid w:val="004675E6"/>
    <w:rsid w:val="00472C57"/>
    <w:rsid w:val="004777C2"/>
    <w:rsid w:val="004810E0"/>
    <w:rsid w:val="00481E0F"/>
    <w:rsid w:val="00482B83"/>
    <w:rsid w:val="00483630"/>
    <w:rsid w:val="00486E3F"/>
    <w:rsid w:val="00487387"/>
    <w:rsid w:val="00487658"/>
    <w:rsid w:val="004916EA"/>
    <w:rsid w:val="0049352C"/>
    <w:rsid w:val="00494A96"/>
    <w:rsid w:val="00496FA1"/>
    <w:rsid w:val="004A01E8"/>
    <w:rsid w:val="004A0216"/>
    <w:rsid w:val="004A0CFC"/>
    <w:rsid w:val="004A1A6C"/>
    <w:rsid w:val="004A4CFE"/>
    <w:rsid w:val="004A5C6D"/>
    <w:rsid w:val="004A5D0E"/>
    <w:rsid w:val="004B7582"/>
    <w:rsid w:val="004B79D5"/>
    <w:rsid w:val="004C2343"/>
    <w:rsid w:val="004C2409"/>
    <w:rsid w:val="004C3261"/>
    <w:rsid w:val="004C3393"/>
    <w:rsid w:val="004C3C2F"/>
    <w:rsid w:val="004C5623"/>
    <w:rsid w:val="004C6622"/>
    <w:rsid w:val="004C6625"/>
    <w:rsid w:val="004C79A7"/>
    <w:rsid w:val="004D0EB0"/>
    <w:rsid w:val="004D10D4"/>
    <w:rsid w:val="004D1A37"/>
    <w:rsid w:val="004D1A79"/>
    <w:rsid w:val="004D4866"/>
    <w:rsid w:val="004D587F"/>
    <w:rsid w:val="004D5B6C"/>
    <w:rsid w:val="004D737C"/>
    <w:rsid w:val="004E2751"/>
    <w:rsid w:val="004E54B6"/>
    <w:rsid w:val="004E7772"/>
    <w:rsid w:val="004E7790"/>
    <w:rsid w:val="004E7930"/>
    <w:rsid w:val="004E7A40"/>
    <w:rsid w:val="004E7F77"/>
    <w:rsid w:val="004F0E4A"/>
    <w:rsid w:val="004F1B47"/>
    <w:rsid w:val="004F3ADE"/>
    <w:rsid w:val="004F4486"/>
    <w:rsid w:val="004F7B9E"/>
    <w:rsid w:val="00502B38"/>
    <w:rsid w:val="00502F3D"/>
    <w:rsid w:val="005054A4"/>
    <w:rsid w:val="005054E8"/>
    <w:rsid w:val="0050776D"/>
    <w:rsid w:val="00510773"/>
    <w:rsid w:val="005120B8"/>
    <w:rsid w:val="005124B5"/>
    <w:rsid w:val="00515880"/>
    <w:rsid w:val="00516104"/>
    <w:rsid w:val="00517860"/>
    <w:rsid w:val="00517E93"/>
    <w:rsid w:val="00520B8F"/>
    <w:rsid w:val="005213EF"/>
    <w:rsid w:val="005219F3"/>
    <w:rsid w:val="00522156"/>
    <w:rsid w:val="0052357A"/>
    <w:rsid w:val="00526858"/>
    <w:rsid w:val="00526F50"/>
    <w:rsid w:val="00527433"/>
    <w:rsid w:val="00530DA2"/>
    <w:rsid w:val="00531259"/>
    <w:rsid w:val="00531FBC"/>
    <w:rsid w:val="0053282E"/>
    <w:rsid w:val="00534427"/>
    <w:rsid w:val="005356AE"/>
    <w:rsid w:val="00537A2A"/>
    <w:rsid w:val="00540E6B"/>
    <w:rsid w:val="00546BEA"/>
    <w:rsid w:val="00546D48"/>
    <w:rsid w:val="00547771"/>
    <w:rsid w:val="00554358"/>
    <w:rsid w:val="00556379"/>
    <w:rsid w:val="005566F3"/>
    <w:rsid w:val="00560904"/>
    <w:rsid w:val="00561AED"/>
    <w:rsid w:val="00561C21"/>
    <w:rsid w:val="005647E3"/>
    <w:rsid w:val="005655C8"/>
    <w:rsid w:val="005663C8"/>
    <w:rsid w:val="00567154"/>
    <w:rsid w:val="00567648"/>
    <w:rsid w:val="005733CA"/>
    <w:rsid w:val="00573823"/>
    <w:rsid w:val="00573C7C"/>
    <w:rsid w:val="00576885"/>
    <w:rsid w:val="00581AEF"/>
    <w:rsid w:val="00582F57"/>
    <w:rsid w:val="005840A9"/>
    <w:rsid w:val="00590164"/>
    <w:rsid w:val="00592D0D"/>
    <w:rsid w:val="005978B9"/>
    <w:rsid w:val="005A101A"/>
    <w:rsid w:val="005A1A7A"/>
    <w:rsid w:val="005A1AAB"/>
    <w:rsid w:val="005A4ADE"/>
    <w:rsid w:val="005A71A4"/>
    <w:rsid w:val="005B1411"/>
    <w:rsid w:val="005B2303"/>
    <w:rsid w:val="005B6751"/>
    <w:rsid w:val="005B694C"/>
    <w:rsid w:val="005B7354"/>
    <w:rsid w:val="005C1D7F"/>
    <w:rsid w:val="005C3800"/>
    <w:rsid w:val="005C3895"/>
    <w:rsid w:val="005C3FD0"/>
    <w:rsid w:val="005C41CF"/>
    <w:rsid w:val="005C755D"/>
    <w:rsid w:val="005D1B32"/>
    <w:rsid w:val="005D278D"/>
    <w:rsid w:val="005D3208"/>
    <w:rsid w:val="005D43C8"/>
    <w:rsid w:val="005D4EF2"/>
    <w:rsid w:val="005D728C"/>
    <w:rsid w:val="005D77B3"/>
    <w:rsid w:val="005E02CC"/>
    <w:rsid w:val="005E1119"/>
    <w:rsid w:val="005E213A"/>
    <w:rsid w:val="005E2A2D"/>
    <w:rsid w:val="005E387C"/>
    <w:rsid w:val="005E3911"/>
    <w:rsid w:val="005E3CD5"/>
    <w:rsid w:val="005E4B03"/>
    <w:rsid w:val="005E5DEC"/>
    <w:rsid w:val="005E7EF8"/>
    <w:rsid w:val="005F0999"/>
    <w:rsid w:val="005F1E49"/>
    <w:rsid w:val="005F3F65"/>
    <w:rsid w:val="005F443E"/>
    <w:rsid w:val="005F459F"/>
    <w:rsid w:val="005F60FA"/>
    <w:rsid w:val="005F6312"/>
    <w:rsid w:val="00600598"/>
    <w:rsid w:val="00600F70"/>
    <w:rsid w:val="00601C84"/>
    <w:rsid w:val="00601EEA"/>
    <w:rsid w:val="006041FC"/>
    <w:rsid w:val="0060425A"/>
    <w:rsid w:val="006049BB"/>
    <w:rsid w:val="00604F14"/>
    <w:rsid w:val="00612EC1"/>
    <w:rsid w:val="0061512E"/>
    <w:rsid w:val="006151EE"/>
    <w:rsid w:val="006163D3"/>
    <w:rsid w:val="0062013A"/>
    <w:rsid w:val="00620619"/>
    <w:rsid w:val="00621EB9"/>
    <w:rsid w:val="006259C9"/>
    <w:rsid w:val="006261C4"/>
    <w:rsid w:val="00626AE6"/>
    <w:rsid w:val="006270BF"/>
    <w:rsid w:val="00632B67"/>
    <w:rsid w:val="006338D3"/>
    <w:rsid w:val="00633F4F"/>
    <w:rsid w:val="006340D4"/>
    <w:rsid w:val="00634470"/>
    <w:rsid w:val="0063478C"/>
    <w:rsid w:val="00634932"/>
    <w:rsid w:val="006361AA"/>
    <w:rsid w:val="00636556"/>
    <w:rsid w:val="006411B2"/>
    <w:rsid w:val="006442C3"/>
    <w:rsid w:val="00645D81"/>
    <w:rsid w:val="006477C4"/>
    <w:rsid w:val="00651BBD"/>
    <w:rsid w:val="00653B13"/>
    <w:rsid w:val="0065401F"/>
    <w:rsid w:val="00654438"/>
    <w:rsid w:val="00657E2F"/>
    <w:rsid w:val="00657F45"/>
    <w:rsid w:val="0066239A"/>
    <w:rsid w:val="00664F65"/>
    <w:rsid w:val="00665135"/>
    <w:rsid w:val="0067062C"/>
    <w:rsid w:val="006734A4"/>
    <w:rsid w:val="00673E77"/>
    <w:rsid w:val="00676A04"/>
    <w:rsid w:val="00677AF9"/>
    <w:rsid w:val="006815A1"/>
    <w:rsid w:val="00684C55"/>
    <w:rsid w:val="00691C38"/>
    <w:rsid w:val="00692BB2"/>
    <w:rsid w:val="00693785"/>
    <w:rsid w:val="00693FD2"/>
    <w:rsid w:val="006940C9"/>
    <w:rsid w:val="00695174"/>
    <w:rsid w:val="006957EF"/>
    <w:rsid w:val="00695F65"/>
    <w:rsid w:val="00696D4B"/>
    <w:rsid w:val="00697B20"/>
    <w:rsid w:val="006A12EC"/>
    <w:rsid w:val="006A460B"/>
    <w:rsid w:val="006A4B12"/>
    <w:rsid w:val="006A5C49"/>
    <w:rsid w:val="006A7A65"/>
    <w:rsid w:val="006A7D94"/>
    <w:rsid w:val="006B0CC8"/>
    <w:rsid w:val="006B15F3"/>
    <w:rsid w:val="006B165D"/>
    <w:rsid w:val="006B26FD"/>
    <w:rsid w:val="006B3C12"/>
    <w:rsid w:val="006B3CB0"/>
    <w:rsid w:val="006B4421"/>
    <w:rsid w:val="006B4987"/>
    <w:rsid w:val="006B7434"/>
    <w:rsid w:val="006C1011"/>
    <w:rsid w:val="006C1C35"/>
    <w:rsid w:val="006C4CB6"/>
    <w:rsid w:val="006C6232"/>
    <w:rsid w:val="006D0D10"/>
    <w:rsid w:val="006D156D"/>
    <w:rsid w:val="006D2878"/>
    <w:rsid w:val="006D386C"/>
    <w:rsid w:val="006D6E1F"/>
    <w:rsid w:val="006D728C"/>
    <w:rsid w:val="006E46E3"/>
    <w:rsid w:val="006E4B03"/>
    <w:rsid w:val="006F159D"/>
    <w:rsid w:val="006F27B2"/>
    <w:rsid w:val="006F433A"/>
    <w:rsid w:val="006F54DE"/>
    <w:rsid w:val="006F5607"/>
    <w:rsid w:val="006F75EE"/>
    <w:rsid w:val="00701602"/>
    <w:rsid w:val="00701EBD"/>
    <w:rsid w:val="00704E73"/>
    <w:rsid w:val="0070565E"/>
    <w:rsid w:val="00706D34"/>
    <w:rsid w:val="0070754F"/>
    <w:rsid w:val="0071027D"/>
    <w:rsid w:val="007121EE"/>
    <w:rsid w:val="00713837"/>
    <w:rsid w:val="0071549B"/>
    <w:rsid w:val="00715543"/>
    <w:rsid w:val="007155C8"/>
    <w:rsid w:val="00716D39"/>
    <w:rsid w:val="00717091"/>
    <w:rsid w:val="00717F13"/>
    <w:rsid w:val="00721EBC"/>
    <w:rsid w:val="007259AC"/>
    <w:rsid w:val="00730042"/>
    <w:rsid w:val="00731CAC"/>
    <w:rsid w:val="00731F85"/>
    <w:rsid w:val="00736F03"/>
    <w:rsid w:val="00736F46"/>
    <w:rsid w:val="00737229"/>
    <w:rsid w:val="00737432"/>
    <w:rsid w:val="00740C47"/>
    <w:rsid w:val="007419AB"/>
    <w:rsid w:val="00741B52"/>
    <w:rsid w:val="00742D27"/>
    <w:rsid w:val="0074685A"/>
    <w:rsid w:val="007500AB"/>
    <w:rsid w:val="0075100C"/>
    <w:rsid w:val="00751E98"/>
    <w:rsid w:val="00752C1E"/>
    <w:rsid w:val="007533F5"/>
    <w:rsid w:val="0075597F"/>
    <w:rsid w:val="0075608E"/>
    <w:rsid w:val="00756EB6"/>
    <w:rsid w:val="007570E1"/>
    <w:rsid w:val="0075747E"/>
    <w:rsid w:val="00760802"/>
    <w:rsid w:val="00762365"/>
    <w:rsid w:val="00765300"/>
    <w:rsid w:val="00765D3D"/>
    <w:rsid w:val="00765DE6"/>
    <w:rsid w:val="0076673C"/>
    <w:rsid w:val="007706BA"/>
    <w:rsid w:val="00772962"/>
    <w:rsid w:val="007733F0"/>
    <w:rsid w:val="007764C0"/>
    <w:rsid w:val="00781A14"/>
    <w:rsid w:val="00781D54"/>
    <w:rsid w:val="00782D98"/>
    <w:rsid w:val="00783449"/>
    <w:rsid w:val="00783994"/>
    <w:rsid w:val="00784049"/>
    <w:rsid w:val="007842C5"/>
    <w:rsid w:val="0078530C"/>
    <w:rsid w:val="007854F7"/>
    <w:rsid w:val="007867E7"/>
    <w:rsid w:val="00786C6A"/>
    <w:rsid w:val="00792375"/>
    <w:rsid w:val="00792E13"/>
    <w:rsid w:val="00794CB4"/>
    <w:rsid w:val="0079575C"/>
    <w:rsid w:val="00795BA5"/>
    <w:rsid w:val="00796D67"/>
    <w:rsid w:val="007974A3"/>
    <w:rsid w:val="007A19D7"/>
    <w:rsid w:val="007A255B"/>
    <w:rsid w:val="007A40EC"/>
    <w:rsid w:val="007A436D"/>
    <w:rsid w:val="007A54C7"/>
    <w:rsid w:val="007A65C4"/>
    <w:rsid w:val="007A754E"/>
    <w:rsid w:val="007A7D0C"/>
    <w:rsid w:val="007A7D44"/>
    <w:rsid w:val="007B1A07"/>
    <w:rsid w:val="007B1BA2"/>
    <w:rsid w:val="007B2E52"/>
    <w:rsid w:val="007B67A1"/>
    <w:rsid w:val="007C27C9"/>
    <w:rsid w:val="007C3E77"/>
    <w:rsid w:val="007C578F"/>
    <w:rsid w:val="007C7AE6"/>
    <w:rsid w:val="007D1BE6"/>
    <w:rsid w:val="007D2E3C"/>
    <w:rsid w:val="007D5C3C"/>
    <w:rsid w:val="007D5D53"/>
    <w:rsid w:val="007D7454"/>
    <w:rsid w:val="007E13B9"/>
    <w:rsid w:val="007E6B4A"/>
    <w:rsid w:val="007E6F4E"/>
    <w:rsid w:val="007E748B"/>
    <w:rsid w:val="007F2197"/>
    <w:rsid w:val="007F2313"/>
    <w:rsid w:val="007F2F5F"/>
    <w:rsid w:val="007F5AD4"/>
    <w:rsid w:val="007F5D99"/>
    <w:rsid w:val="00800E07"/>
    <w:rsid w:val="008012B9"/>
    <w:rsid w:val="008020AE"/>
    <w:rsid w:val="00802EA0"/>
    <w:rsid w:val="008039DF"/>
    <w:rsid w:val="00804145"/>
    <w:rsid w:val="00804CF2"/>
    <w:rsid w:val="0080521B"/>
    <w:rsid w:val="00805B9A"/>
    <w:rsid w:val="00807B0C"/>
    <w:rsid w:val="008104D7"/>
    <w:rsid w:val="00813D44"/>
    <w:rsid w:val="00820A66"/>
    <w:rsid w:val="00821BC8"/>
    <w:rsid w:val="00822B6E"/>
    <w:rsid w:val="0082493E"/>
    <w:rsid w:val="008316D1"/>
    <w:rsid w:val="00831791"/>
    <w:rsid w:val="008336CD"/>
    <w:rsid w:val="00833ED0"/>
    <w:rsid w:val="00834B91"/>
    <w:rsid w:val="00837A12"/>
    <w:rsid w:val="00841B9C"/>
    <w:rsid w:val="008436F3"/>
    <w:rsid w:val="00843CDA"/>
    <w:rsid w:val="00844480"/>
    <w:rsid w:val="00844CCE"/>
    <w:rsid w:val="008469F8"/>
    <w:rsid w:val="008505C8"/>
    <w:rsid w:val="00851F16"/>
    <w:rsid w:val="008541F1"/>
    <w:rsid w:val="00854CFB"/>
    <w:rsid w:val="00856036"/>
    <w:rsid w:val="00856233"/>
    <w:rsid w:val="008577F7"/>
    <w:rsid w:val="00857BFE"/>
    <w:rsid w:val="00861154"/>
    <w:rsid w:val="00861293"/>
    <w:rsid w:val="00864164"/>
    <w:rsid w:val="008667DC"/>
    <w:rsid w:val="00871B15"/>
    <w:rsid w:val="00873646"/>
    <w:rsid w:val="008747C0"/>
    <w:rsid w:val="00875FAC"/>
    <w:rsid w:val="00880F9C"/>
    <w:rsid w:val="008814E6"/>
    <w:rsid w:val="00881C19"/>
    <w:rsid w:val="008832D6"/>
    <w:rsid w:val="00883557"/>
    <w:rsid w:val="0088382D"/>
    <w:rsid w:val="008838B6"/>
    <w:rsid w:val="00884071"/>
    <w:rsid w:val="00887FC2"/>
    <w:rsid w:val="00893650"/>
    <w:rsid w:val="008950C7"/>
    <w:rsid w:val="008954AA"/>
    <w:rsid w:val="00897740"/>
    <w:rsid w:val="008A1695"/>
    <w:rsid w:val="008A1B24"/>
    <w:rsid w:val="008A3EB5"/>
    <w:rsid w:val="008A48DC"/>
    <w:rsid w:val="008A5C3E"/>
    <w:rsid w:val="008A5FD1"/>
    <w:rsid w:val="008A6715"/>
    <w:rsid w:val="008B17B3"/>
    <w:rsid w:val="008B25BC"/>
    <w:rsid w:val="008B4423"/>
    <w:rsid w:val="008B6A0A"/>
    <w:rsid w:val="008C015A"/>
    <w:rsid w:val="008C1805"/>
    <w:rsid w:val="008C3ADC"/>
    <w:rsid w:val="008C6805"/>
    <w:rsid w:val="008D0B1C"/>
    <w:rsid w:val="008D12B1"/>
    <w:rsid w:val="008D1366"/>
    <w:rsid w:val="008D367B"/>
    <w:rsid w:val="008D7B45"/>
    <w:rsid w:val="008E0103"/>
    <w:rsid w:val="008E1908"/>
    <w:rsid w:val="008E5603"/>
    <w:rsid w:val="008E79E0"/>
    <w:rsid w:val="008F1865"/>
    <w:rsid w:val="008F2522"/>
    <w:rsid w:val="008F30DB"/>
    <w:rsid w:val="008F33D2"/>
    <w:rsid w:val="008F539D"/>
    <w:rsid w:val="008F6C84"/>
    <w:rsid w:val="009017D1"/>
    <w:rsid w:val="009017E8"/>
    <w:rsid w:val="00905983"/>
    <w:rsid w:val="00905CD5"/>
    <w:rsid w:val="0091127F"/>
    <w:rsid w:val="00912802"/>
    <w:rsid w:val="00913649"/>
    <w:rsid w:val="009148A2"/>
    <w:rsid w:val="00914EAB"/>
    <w:rsid w:val="0091650B"/>
    <w:rsid w:val="00922312"/>
    <w:rsid w:val="009256EA"/>
    <w:rsid w:val="00925CB8"/>
    <w:rsid w:val="009304E5"/>
    <w:rsid w:val="0093123D"/>
    <w:rsid w:val="00935D16"/>
    <w:rsid w:val="009372D1"/>
    <w:rsid w:val="0094063C"/>
    <w:rsid w:val="009430B9"/>
    <w:rsid w:val="00946588"/>
    <w:rsid w:val="00946C09"/>
    <w:rsid w:val="00947117"/>
    <w:rsid w:val="00947C79"/>
    <w:rsid w:val="0095087D"/>
    <w:rsid w:val="00951DD5"/>
    <w:rsid w:val="00952A43"/>
    <w:rsid w:val="00952AF9"/>
    <w:rsid w:val="009544A7"/>
    <w:rsid w:val="00957712"/>
    <w:rsid w:val="009600CF"/>
    <w:rsid w:val="009610AA"/>
    <w:rsid w:val="0096538E"/>
    <w:rsid w:val="00965D1D"/>
    <w:rsid w:val="00970321"/>
    <w:rsid w:val="00971332"/>
    <w:rsid w:val="0097136F"/>
    <w:rsid w:val="00972551"/>
    <w:rsid w:val="0097292D"/>
    <w:rsid w:val="00976FFC"/>
    <w:rsid w:val="009771C4"/>
    <w:rsid w:val="009810E6"/>
    <w:rsid w:val="00982120"/>
    <w:rsid w:val="0098389D"/>
    <w:rsid w:val="0098549A"/>
    <w:rsid w:val="00985D27"/>
    <w:rsid w:val="00986DE9"/>
    <w:rsid w:val="0098723A"/>
    <w:rsid w:val="0098785C"/>
    <w:rsid w:val="0099480B"/>
    <w:rsid w:val="009948CF"/>
    <w:rsid w:val="00996B00"/>
    <w:rsid w:val="009A147C"/>
    <w:rsid w:val="009A14C5"/>
    <w:rsid w:val="009A178A"/>
    <w:rsid w:val="009A2141"/>
    <w:rsid w:val="009A2CD7"/>
    <w:rsid w:val="009A463A"/>
    <w:rsid w:val="009A5E96"/>
    <w:rsid w:val="009A648B"/>
    <w:rsid w:val="009B03C8"/>
    <w:rsid w:val="009B0899"/>
    <w:rsid w:val="009B131D"/>
    <w:rsid w:val="009B71B9"/>
    <w:rsid w:val="009B7486"/>
    <w:rsid w:val="009B78C9"/>
    <w:rsid w:val="009B7A80"/>
    <w:rsid w:val="009C1013"/>
    <w:rsid w:val="009C1CC7"/>
    <w:rsid w:val="009C2B12"/>
    <w:rsid w:val="009C5619"/>
    <w:rsid w:val="009C598E"/>
    <w:rsid w:val="009D073B"/>
    <w:rsid w:val="009D0CD2"/>
    <w:rsid w:val="009D2527"/>
    <w:rsid w:val="009D4DAC"/>
    <w:rsid w:val="009E2E69"/>
    <w:rsid w:val="009E503F"/>
    <w:rsid w:val="009E7C02"/>
    <w:rsid w:val="009F0EB1"/>
    <w:rsid w:val="009F1255"/>
    <w:rsid w:val="009F21C1"/>
    <w:rsid w:val="009F2E18"/>
    <w:rsid w:val="009F2E86"/>
    <w:rsid w:val="009F63D2"/>
    <w:rsid w:val="00A0041D"/>
    <w:rsid w:val="00A04983"/>
    <w:rsid w:val="00A0759D"/>
    <w:rsid w:val="00A10D36"/>
    <w:rsid w:val="00A113A9"/>
    <w:rsid w:val="00A116BA"/>
    <w:rsid w:val="00A11CFE"/>
    <w:rsid w:val="00A13AD7"/>
    <w:rsid w:val="00A16F16"/>
    <w:rsid w:val="00A175F9"/>
    <w:rsid w:val="00A20B17"/>
    <w:rsid w:val="00A21727"/>
    <w:rsid w:val="00A23190"/>
    <w:rsid w:val="00A23AC6"/>
    <w:rsid w:val="00A2411E"/>
    <w:rsid w:val="00A26163"/>
    <w:rsid w:val="00A27270"/>
    <w:rsid w:val="00A27588"/>
    <w:rsid w:val="00A278D0"/>
    <w:rsid w:val="00A31A80"/>
    <w:rsid w:val="00A34B10"/>
    <w:rsid w:val="00A3618E"/>
    <w:rsid w:val="00A36629"/>
    <w:rsid w:val="00A45F56"/>
    <w:rsid w:val="00A4615B"/>
    <w:rsid w:val="00A500A3"/>
    <w:rsid w:val="00A52671"/>
    <w:rsid w:val="00A537DB"/>
    <w:rsid w:val="00A53A9D"/>
    <w:rsid w:val="00A546CE"/>
    <w:rsid w:val="00A552D4"/>
    <w:rsid w:val="00A55415"/>
    <w:rsid w:val="00A5670E"/>
    <w:rsid w:val="00A5688D"/>
    <w:rsid w:val="00A56AFB"/>
    <w:rsid w:val="00A56C5F"/>
    <w:rsid w:val="00A6044F"/>
    <w:rsid w:val="00A62C96"/>
    <w:rsid w:val="00A63628"/>
    <w:rsid w:val="00A6482B"/>
    <w:rsid w:val="00A66FD8"/>
    <w:rsid w:val="00A71EA1"/>
    <w:rsid w:val="00A72156"/>
    <w:rsid w:val="00A730F0"/>
    <w:rsid w:val="00A74214"/>
    <w:rsid w:val="00A75B19"/>
    <w:rsid w:val="00A76AD3"/>
    <w:rsid w:val="00A76E26"/>
    <w:rsid w:val="00A805B7"/>
    <w:rsid w:val="00A8266C"/>
    <w:rsid w:val="00A83848"/>
    <w:rsid w:val="00A841CC"/>
    <w:rsid w:val="00A843DA"/>
    <w:rsid w:val="00A854BA"/>
    <w:rsid w:val="00A858E8"/>
    <w:rsid w:val="00A85C38"/>
    <w:rsid w:val="00A87624"/>
    <w:rsid w:val="00A8797D"/>
    <w:rsid w:val="00A91887"/>
    <w:rsid w:val="00A946B4"/>
    <w:rsid w:val="00A9513F"/>
    <w:rsid w:val="00A96376"/>
    <w:rsid w:val="00AA16C0"/>
    <w:rsid w:val="00AA17C9"/>
    <w:rsid w:val="00AA20FA"/>
    <w:rsid w:val="00AA2D9A"/>
    <w:rsid w:val="00AA6AEC"/>
    <w:rsid w:val="00AA6D66"/>
    <w:rsid w:val="00AA7A53"/>
    <w:rsid w:val="00AB062A"/>
    <w:rsid w:val="00AB102D"/>
    <w:rsid w:val="00AB279E"/>
    <w:rsid w:val="00AB3CAC"/>
    <w:rsid w:val="00AB4BD9"/>
    <w:rsid w:val="00AB5152"/>
    <w:rsid w:val="00AC148B"/>
    <w:rsid w:val="00AC2E8B"/>
    <w:rsid w:val="00AC6189"/>
    <w:rsid w:val="00AD008C"/>
    <w:rsid w:val="00AD09DA"/>
    <w:rsid w:val="00AD2172"/>
    <w:rsid w:val="00AD2C44"/>
    <w:rsid w:val="00AD5AA1"/>
    <w:rsid w:val="00AD5AB8"/>
    <w:rsid w:val="00AD5BBB"/>
    <w:rsid w:val="00AD6DBE"/>
    <w:rsid w:val="00AE09B0"/>
    <w:rsid w:val="00AE14D2"/>
    <w:rsid w:val="00AE516B"/>
    <w:rsid w:val="00AE61EE"/>
    <w:rsid w:val="00AE7344"/>
    <w:rsid w:val="00AF066B"/>
    <w:rsid w:val="00AF1D1C"/>
    <w:rsid w:val="00AF2A09"/>
    <w:rsid w:val="00AF2EC3"/>
    <w:rsid w:val="00AF437B"/>
    <w:rsid w:val="00AF630A"/>
    <w:rsid w:val="00AF6332"/>
    <w:rsid w:val="00AF70FF"/>
    <w:rsid w:val="00B0263F"/>
    <w:rsid w:val="00B03B3C"/>
    <w:rsid w:val="00B049D4"/>
    <w:rsid w:val="00B056E5"/>
    <w:rsid w:val="00B07E11"/>
    <w:rsid w:val="00B111A8"/>
    <w:rsid w:val="00B11D36"/>
    <w:rsid w:val="00B12288"/>
    <w:rsid w:val="00B14141"/>
    <w:rsid w:val="00B14765"/>
    <w:rsid w:val="00B202FD"/>
    <w:rsid w:val="00B21217"/>
    <w:rsid w:val="00B21FE1"/>
    <w:rsid w:val="00B2203F"/>
    <w:rsid w:val="00B224FD"/>
    <w:rsid w:val="00B2260A"/>
    <w:rsid w:val="00B2366E"/>
    <w:rsid w:val="00B241DC"/>
    <w:rsid w:val="00B2448E"/>
    <w:rsid w:val="00B252B2"/>
    <w:rsid w:val="00B30561"/>
    <w:rsid w:val="00B30707"/>
    <w:rsid w:val="00B33872"/>
    <w:rsid w:val="00B34246"/>
    <w:rsid w:val="00B34545"/>
    <w:rsid w:val="00B35818"/>
    <w:rsid w:val="00B35CF8"/>
    <w:rsid w:val="00B41C82"/>
    <w:rsid w:val="00B42A07"/>
    <w:rsid w:val="00B435ED"/>
    <w:rsid w:val="00B43F9E"/>
    <w:rsid w:val="00B44A6E"/>
    <w:rsid w:val="00B47E12"/>
    <w:rsid w:val="00B50F55"/>
    <w:rsid w:val="00B524AA"/>
    <w:rsid w:val="00B52722"/>
    <w:rsid w:val="00B53FD4"/>
    <w:rsid w:val="00B55B60"/>
    <w:rsid w:val="00B566E2"/>
    <w:rsid w:val="00B56BA7"/>
    <w:rsid w:val="00B62194"/>
    <w:rsid w:val="00B661B0"/>
    <w:rsid w:val="00B67157"/>
    <w:rsid w:val="00B705FA"/>
    <w:rsid w:val="00B70B9B"/>
    <w:rsid w:val="00B712CB"/>
    <w:rsid w:val="00B72EC1"/>
    <w:rsid w:val="00B758AC"/>
    <w:rsid w:val="00B76D7F"/>
    <w:rsid w:val="00B76FF6"/>
    <w:rsid w:val="00B808B8"/>
    <w:rsid w:val="00B8273E"/>
    <w:rsid w:val="00B82F76"/>
    <w:rsid w:val="00B838AA"/>
    <w:rsid w:val="00B83A4D"/>
    <w:rsid w:val="00B85D34"/>
    <w:rsid w:val="00B9074B"/>
    <w:rsid w:val="00B913EF"/>
    <w:rsid w:val="00B9428D"/>
    <w:rsid w:val="00B95791"/>
    <w:rsid w:val="00B95F70"/>
    <w:rsid w:val="00B96560"/>
    <w:rsid w:val="00B978EB"/>
    <w:rsid w:val="00B97F32"/>
    <w:rsid w:val="00BA14BE"/>
    <w:rsid w:val="00BA3A52"/>
    <w:rsid w:val="00BA52DA"/>
    <w:rsid w:val="00BA54CD"/>
    <w:rsid w:val="00BA56F4"/>
    <w:rsid w:val="00BB0198"/>
    <w:rsid w:val="00BB1053"/>
    <w:rsid w:val="00BB1B4B"/>
    <w:rsid w:val="00BB348D"/>
    <w:rsid w:val="00BB4914"/>
    <w:rsid w:val="00BB67B4"/>
    <w:rsid w:val="00BB6D80"/>
    <w:rsid w:val="00BB7BDD"/>
    <w:rsid w:val="00BC09EB"/>
    <w:rsid w:val="00BC1B08"/>
    <w:rsid w:val="00BC2046"/>
    <w:rsid w:val="00BC257C"/>
    <w:rsid w:val="00BC3107"/>
    <w:rsid w:val="00BD078E"/>
    <w:rsid w:val="00BD10BA"/>
    <w:rsid w:val="00BD66FE"/>
    <w:rsid w:val="00BD7954"/>
    <w:rsid w:val="00BD7DC3"/>
    <w:rsid w:val="00BD7EE6"/>
    <w:rsid w:val="00BD7FAE"/>
    <w:rsid w:val="00BE0538"/>
    <w:rsid w:val="00BE0C93"/>
    <w:rsid w:val="00BE17CD"/>
    <w:rsid w:val="00BE284E"/>
    <w:rsid w:val="00BE2AF3"/>
    <w:rsid w:val="00BE3D78"/>
    <w:rsid w:val="00BE57C4"/>
    <w:rsid w:val="00BF0EE2"/>
    <w:rsid w:val="00BF1668"/>
    <w:rsid w:val="00BF1FE3"/>
    <w:rsid w:val="00BF2A09"/>
    <w:rsid w:val="00BF2C7F"/>
    <w:rsid w:val="00BF43BE"/>
    <w:rsid w:val="00BF5807"/>
    <w:rsid w:val="00BF5E90"/>
    <w:rsid w:val="00BF6566"/>
    <w:rsid w:val="00BF7462"/>
    <w:rsid w:val="00C00BD5"/>
    <w:rsid w:val="00C0116C"/>
    <w:rsid w:val="00C02EF3"/>
    <w:rsid w:val="00C0302C"/>
    <w:rsid w:val="00C04195"/>
    <w:rsid w:val="00C06376"/>
    <w:rsid w:val="00C07AF6"/>
    <w:rsid w:val="00C07CF4"/>
    <w:rsid w:val="00C105A0"/>
    <w:rsid w:val="00C10D2A"/>
    <w:rsid w:val="00C10DEF"/>
    <w:rsid w:val="00C1378E"/>
    <w:rsid w:val="00C13E6F"/>
    <w:rsid w:val="00C1458A"/>
    <w:rsid w:val="00C20F00"/>
    <w:rsid w:val="00C2306F"/>
    <w:rsid w:val="00C23AE4"/>
    <w:rsid w:val="00C24243"/>
    <w:rsid w:val="00C2431C"/>
    <w:rsid w:val="00C24682"/>
    <w:rsid w:val="00C250B3"/>
    <w:rsid w:val="00C25C29"/>
    <w:rsid w:val="00C26B80"/>
    <w:rsid w:val="00C26D8B"/>
    <w:rsid w:val="00C32581"/>
    <w:rsid w:val="00C3276A"/>
    <w:rsid w:val="00C3358E"/>
    <w:rsid w:val="00C34428"/>
    <w:rsid w:val="00C34B02"/>
    <w:rsid w:val="00C34F5C"/>
    <w:rsid w:val="00C35E6D"/>
    <w:rsid w:val="00C3693E"/>
    <w:rsid w:val="00C37F9F"/>
    <w:rsid w:val="00C43C0E"/>
    <w:rsid w:val="00C4523A"/>
    <w:rsid w:val="00C46C83"/>
    <w:rsid w:val="00C513D0"/>
    <w:rsid w:val="00C53D48"/>
    <w:rsid w:val="00C56A45"/>
    <w:rsid w:val="00C62D16"/>
    <w:rsid w:val="00C63E88"/>
    <w:rsid w:val="00C646BF"/>
    <w:rsid w:val="00C6719E"/>
    <w:rsid w:val="00C723A8"/>
    <w:rsid w:val="00C724A2"/>
    <w:rsid w:val="00C724AE"/>
    <w:rsid w:val="00C74C59"/>
    <w:rsid w:val="00C74CE7"/>
    <w:rsid w:val="00C763E6"/>
    <w:rsid w:val="00C7755F"/>
    <w:rsid w:val="00C8002F"/>
    <w:rsid w:val="00C80254"/>
    <w:rsid w:val="00C81370"/>
    <w:rsid w:val="00C82A6D"/>
    <w:rsid w:val="00C8323C"/>
    <w:rsid w:val="00C84839"/>
    <w:rsid w:val="00C945A7"/>
    <w:rsid w:val="00C94A37"/>
    <w:rsid w:val="00C95786"/>
    <w:rsid w:val="00CA10E8"/>
    <w:rsid w:val="00CA407E"/>
    <w:rsid w:val="00CA4707"/>
    <w:rsid w:val="00CA4E60"/>
    <w:rsid w:val="00CA671E"/>
    <w:rsid w:val="00CA728C"/>
    <w:rsid w:val="00CB0B35"/>
    <w:rsid w:val="00CB1142"/>
    <w:rsid w:val="00CB5D65"/>
    <w:rsid w:val="00CB6043"/>
    <w:rsid w:val="00CB71B3"/>
    <w:rsid w:val="00CB7D95"/>
    <w:rsid w:val="00CC0A2A"/>
    <w:rsid w:val="00CC21D3"/>
    <w:rsid w:val="00CC24D8"/>
    <w:rsid w:val="00CC2DF9"/>
    <w:rsid w:val="00CC5746"/>
    <w:rsid w:val="00CC6741"/>
    <w:rsid w:val="00CC7798"/>
    <w:rsid w:val="00CD106B"/>
    <w:rsid w:val="00CD12FD"/>
    <w:rsid w:val="00CD5D1C"/>
    <w:rsid w:val="00CD6578"/>
    <w:rsid w:val="00CD68D3"/>
    <w:rsid w:val="00CD6F97"/>
    <w:rsid w:val="00CE07FB"/>
    <w:rsid w:val="00CE09DE"/>
    <w:rsid w:val="00CE14EE"/>
    <w:rsid w:val="00CE1B51"/>
    <w:rsid w:val="00CE3551"/>
    <w:rsid w:val="00CE5DDC"/>
    <w:rsid w:val="00CF0E88"/>
    <w:rsid w:val="00CF3B0D"/>
    <w:rsid w:val="00CF3C70"/>
    <w:rsid w:val="00CF4B85"/>
    <w:rsid w:val="00CF5316"/>
    <w:rsid w:val="00CF61BE"/>
    <w:rsid w:val="00D0045D"/>
    <w:rsid w:val="00D052F5"/>
    <w:rsid w:val="00D07BF0"/>
    <w:rsid w:val="00D11277"/>
    <w:rsid w:val="00D13359"/>
    <w:rsid w:val="00D13FC8"/>
    <w:rsid w:val="00D14D36"/>
    <w:rsid w:val="00D152DD"/>
    <w:rsid w:val="00D17B05"/>
    <w:rsid w:val="00D21D2F"/>
    <w:rsid w:val="00D254C5"/>
    <w:rsid w:val="00D266E0"/>
    <w:rsid w:val="00D2755C"/>
    <w:rsid w:val="00D30B68"/>
    <w:rsid w:val="00D31768"/>
    <w:rsid w:val="00D32AD6"/>
    <w:rsid w:val="00D32D45"/>
    <w:rsid w:val="00D34A33"/>
    <w:rsid w:val="00D353D2"/>
    <w:rsid w:val="00D360EB"/>
    <w:rsid w:val="00D364AD"/>
    <w:rsid w:val="00D370F6"/>
    <w:rsid w:val="00D3716B"/>
    <w:rsid w:val="00D4003F"/>
    <w:rsid w:val="00D4091B"/>
    <w:rsid w:val="00D415E5"/>
    <w:rsid w:val="00D419F5"/>
    <w:rsid w:val="00D474DD"/>
    <w:rsid w:val="00D51B0E"/>
    <w:rsid w:val="00D51E07"/>
    <w:rsid w:val="00D52EAF"/>
    <w:rsid w:val="00D53F3C"/>
    <w:rsid w:val="00D55ADD"/>
    <w:rsid w:val="00D55C2B"/>
    <w:rsid w:val="00D5612C"/>
    <w:rsid w:val="00D57F65"/>
    <w:rsid w:val="00D63C63"/>
    <w:rsid w:val="00D67DD9"/>
    <w:rsid w:val="00D71AEC"/>
    <w:rsid w:val="00D73601"/>
    <w:rsid w:val="00D73A28"/>
    <w:rsid w:val="00D73D4A"/>
    <w:rsid w:val="00D752B2"/>
    <w:rsid w:val="00D76692"/>
    <w:rsid w:val="00D81E08"/>
    <w:rsid w:val="00D82049"/>
    <w:rsid w:val="00D84C3D"/>
    <w:rsid w:val="00D8570A"/>
    <w:rsid w:val="00D85EA7"/>
    <w:rsid w:val="00D860F7"/>
    <w:rsid w:val="00D90CAD"/>
    <w:rsid w:val="00D93A5C"/>
    <w:rsid w:val="00D95C65"/>
    <w:rsid w:val="00D95C8D"/>
    <w:rsid w:val="00D95DCB"/>
    <w:rsid w:val="00D96569"/>
    <w:rsid w:val="00D96D3F"/>
    <w:rsid w:val="00D97C07"/>
    <w:rsid w:val="00D97D1D"/>
    <w:rsid w:val="00DA048A"/>
    <w:rsid w:val="00DA0BD2"/>
    <w:rsid w:val="00DA12CA"/>
    <w:rsid w:val="00DA1C5E"/>
    <w:rsid w:val="00DA211E"/>
    <w:rsid w:val="00DA251F"/>
    <w:rsid w:val="00DA2871"/>
    <w:rsid w:val="00DA29DA"/>
    <w:rsid w:val="00DA441A"/>
    <w:rsid w:val="00DA4641"/>
    <w:rsid w:val="00DA4A95"/>
    <w:rsid w:val="00DA5A42"/>
    <w:rsid w:val="00DA6DB6"/>
    <w:rsid w:val="00DB3183"/>
    <w:rsid w:val="00DB5E0A"/>
    <w:rsid w:val="00DB6008"/>
    <w:rsid w:val="00DB71B7"/>
    <w:rsid w:val="00DB7A87"/>
    <w:rsid w:val="00DC2227"/>
    <w:rsid w:val="00DC2342"/>
    <w:rsid w:val="00DC4194"/>
    <w:rsid w:val="00DC4F5A"/>
    <w:rsid w:val="00DC6D94"/>
    <w:rsid w:val="00DC76D7"/>
    <w:rsid w:val="00DD0049"/>
    <w:rsid w:val="00DD0541"/>
    <w:rsid w:val="00DD0C3F"/>
    <w:rsid w:val="00DD10FF"/>
    <w:rsid w:val="00DD23FE"/>
    <w:rsid w:val="00DD2C50"/>
    <w:rsid w:val="00DD3222"/>
    <w:rsid w:val="00DD33F3"/>
    <w:rsid w:val="00DE2301"/>
    <w:rsid w:val="00DE33B3"/>
    <w:rsid w:val="00DE4226"/>
    <w:rsid w:val="00DF1028"/>
    <w:rsid w:val="00DF178D"/>
    <w:rsid w:val="00DF1E42"/>
    <w:rsid w:val="00DF23E3"/>
    <w:rsid w:val="00DF2A55"/>
    <w:rsid w:val="00DF4277"/>
    <w:rsid w:val="00DF5046"/>
    <w:rsid w:val="00DF50D9"/>
    <w:rsid w:val="00DF7B33"/>
    <w:rsid w:val="00E01304"/>
    <w:rsid w:val="00E03EA8"/>
    <w:rsid w:val="00E053D9"/>
    <w:rsid w:val="00E05704"/>
    <w:rsid w:val="00E060B7"/>
    <w:rsid w:val="00E0682A"/>
    <w:rsid w:val="00E10A44"/>
    <w:rsid w:val="00E10CEB"/>
    <w:rsid w:val="00E11B89"/>
    <w:rsid w:val="00E1227A"/>
    <w:rsid w:val="00E12B9C"/>
    <w:rsid w:val="00E12D3E"/>
    <w:rsid w:val="00E14C7C"/>
    <w:rsid w:val="00E16388"/>
    <w:rsid w:val="00E177F2"/>
    <w:rsid w:val="00E214C2"/>
    <w:rsid w:val="00E218AB"/>
    <w:rsid w:val="00E2227F"/>
    <w:rsid w:val="00E23F73"/>
    <w:rsid w:val="00E24566"/>
    <w:rsid w:val="00E24E34"/>
    <w:rsid w:val="00E261EA"/>
    <w:rsid w:val="00E27831"/>
    <w:rsid w:val="00E27B21"/>
    <w:rsid w:val="00E27E8B"/>
    <w:rsid w:val="00E304E9"/>
    <w:rsid w:val="00E30A7A"/>
    <w:rsid w:val="00E323C5"/>
    <w:rsid w:val="00E36315"/>
    <w:rsid w:val="00E36503"/>
    <w:rsid w:val="00E40331"/>
    <w:rsid w:val="00E42504"/>
    <w:rsid w:val="00E428AB"/>
    <w:rsid w:val="00E443F7"/>
    <w:rsid w:val="00E45DC5"/>
    <w:rsid w:val="00E47715"/>
    <w:rsid w:val="00E478DC"/>
    <w:rsid w:val="00E512E0"/>
    <w:rsid w:val="00E53B49"/>
    <w:rsid w:val="00E53E6C"/>
    <w:rsid w:val="00E57CEF"/>
    <w:rsid w:val="00E57D13"/>
    <w:rsid w:val="00E61064"/>
    <w:rsid w:val="00E63B91"/>
    <w:rsid w:val="00E666D4"/>
    <w:rsid w:val="00E70D3D"/>
    <w:rsid w:val="00E71629"/>
    <w:rsid w:val="00E72160"/>
    <w:rsid w:val="00E722BE"/>
    <w:rsid w:val="00E7296F"/>
    <w:rsid w:val="00E733E0"/>
    <w:rsid w:val="00E749A9"/>
    <w:rsid w:val="00E76944"/>
    <w:rsid w:val="00E772C4"/>
    <w:rsid w:val="00E80EED"/>
    <w:rsid w:val="00E8209F"/>
    <w:rsid w:val="00E82AF1"/>
    <w:rsid w:val="00E8311F"/>
    <w:rsid w:val="00E8359F"/>
    <w:rsid w:val="00E84936"/>
    <w:rsid w:val="00E851A4"/>
    <w:rsid w:val="00E85654"/>
    <w:rsid w:val="00E85B68"/>
    <w:rsid w:val="00E879C0"/>
    <w:rsid w:val="00E904E7"/>
    <w:rsid w:val="00E90B08"/>
    <w:rsid w:val="00E91DAB"/>
    <w:rsid w:val="00E920F9"/>
    <w:rsid w:val="00E9223B"/>
    <w:rsid w:val="00E96A12"/>
    <w:rsid w:val="00E9710A"/>
    <w:rsid w:val="00EA0179"/>
    <w:rsid w:val="00EA1911"/>
    <w:rsid w:val="00EA32D5"/>
    <w:rsid w:val="00EA5CD7"/>
    <w:rsid w:val="00EA64A1"/>
    <w:rsid w:val="00EA71D3"/>
    <w:rsid w:val="00EA738B"/>
    <w:rsid w:val="00EA7696"/>
    <w:rsid w:val="00EB0DA9"/>
    <w:rsid w:val="00EB1763"/>
    <w:rsid w:val="00EB2712"/>
    <w:rsid w:val="00EB2B8B"/>
    <w:rsid w:val="00EB3BD6"/>
    <w:rsid w:val="00EB40F0"/>
    <w:rsid w:val="00EB5B71"/>
    <w:rsid w:val="00EB5E32"/>
    <w:rsid w:val="00EB73DC"/>
    <w:rsid w:val="00EB76ED"/>
    <w:rsid w:val="00EC1411"/>
    <w:rsid w:val="00EC24DC"/>
    <w:rsid w:val="00EC4242"/>
    <w:rsid w:val="00EC4DFF"/>
    <w:rsid w:val="00EC77F9"/>
    <w:rsid w:val="00ED1125"/>
    <w:rsid w:val="00ED325C"/>
    <w:rsid w:val="00ED3950"/>
    <w:rsid w:val="00ED40A9"/>
    <w:rsid w:val="00ED46CA"/>
    <w:rsid w:val="00ED6BBD"/>
    <w:rsid w:val="00EE0AF5"/>
    <w:rsid w:val="00EE152C"/>
    <w:rsid w:val="00EE2439"/>
    <w:rsid w:val="00EE4FCE"/>
    <w:rsid w:val="00EE5A96"/>
    <w:rsid w:val="00EE6B06"/>
    <w:rsid w:val="00EF0BA8"/>
    <w:rsid w:val="00EF12FE"/>
    <w:rsid w:val="00EF2D5B"/>
    <w:rsid w:val="00EF58D8"/>
    <w:rsid w:val="00EF7F47"/>
    <w:rsid w:val="00F0036A"/>
    <w:rsid w:val="00F00E82"/>
    <w:rsid w:val="00F02B4A"/>
    <w:rsid w:val="00F032C3"/>
    <w:rsid w:val="00F032FB"/>
    <w:rsid w:val="00F03970"/>
    <w:rsid w:val="00F04FB8"/>
    <w:rsid w:val="00F064E5"/>
    <w:rsid w:val="00F0687B"/>
    <w:rsid w:val="00F0731B"/>
    <w:rsid w:val="00F114AD"/>
    <w:rsid w:val="00F115EC"/>
    <w:rsid w:val="00F11DCE"/>
    <w:rsid w:val="00F127A3"/>
    <w:rsid w:val="00F15974"/>
    <w:rsid w:val="00F203FF"/>
    <w:rsid w:val="00F2078F"/>
    <w:rsid w:val="00F21B30"/>
    <w:rsid w:val="00F22C3D"/>
    <w:rsid w:val="00F23859"/>
    <w:rsid w:val="00F23AD4"/>
    <w:rsid w:val="00F25943"/>
    <w:rsid w:val="00F25E39"/>
    <w:rsid w:val="00F2625E"/>
    <w:rsid w:val="00F27AB4"/>
    <w:rsid w:val="00F30721"/>
    <w:rsid w:val="00F3182B"/>
    <w:rsid w:val="00F31E1E"/>
    <w:rsid w:val="00F32355"/>
    <w:rsid w:val="00F32C87"/>
    <w:rsid w:val="00F32E3A"/>
    <w:rsid w:val="00F40365"/>
    <w:rsid w:val="00F42333"/>
    <w:rsid w:val="00F441C1"/>
    <w:rsid w:val="00F4500D"/>
    <w:rsid w:val="00F50837"/>
    <w:rsid w:val="00F50E3A"/>
    <w:rsid w:val="00F538B2"/>
    <w:rsid w:val="00F53F0E"/>
    <w:rsid w:val="00F56DE8"/>
    <w:rsid w:val="00F601FF"/>
    <w:rsid w:val="00F60C9F"/>
    <w:rsid w:val="00F61559"/>
    <w:rsid w:val="00F61E1D"/>
    <w:rsid w:val="00F62D1C"/>
    <w:rsid w:val="00F63456"/>
    <w:rsid w:val="00F63A75"/>
    <w:rsid w:val="00F71B6F"/>
    <w:rsid w:val="00F7697D"/>
    <w:rsid w:val="00F76B6B"/>
    <w:rsid w:val="00F77664"/>
    <w:rsid w:val="00F77C96"/>
    <w:rsid w:val="00F807F0"/>
    <w:rsid w:val="00F80846"/>
    <w:rsid w:val="00F81259"/>
    <w:rsid w:val="00F817CE"/>
    <w:rsid w:val="00F81A61"/>
    <w:rsid w:val="00F81F6A"/>
    <w:rsid w:val="00F83F6C"/>
    <w:rsid w:val="00F85134"/>
    <w:rsid w:val="00F85A43"/>
    <w:rsid w:val="00F870D5"/>
    <w:rsid w:val="00F873DC"/>
    <w:rsid w:val="00F91B35"/>
    <w:rsid w:val="00F92B0C"/>
    <w:rsid w:val="00F93C7B"/>
    <w:rsid w:val="00F9450F"/>
    <w:rsid w:val="00F94EBD"/>
    <w:rsid w:val="00F956CA"/>
    <w:rsid w:val="00FA1A2C"/>
    <w:rsid w:val="00FA2321"/>
    <w:rsid w:val="00FA2953"/>
    <w:rsid w:val="00FA447C"/>
    <w:rsid w:val="00FA45D1"/>
    <w:rsid w:val="00FA4D02"/>
    <w:rsid w:val="00FA5DC6"/>
    <w:rsid w:val="00FA6580"/>
    <w:rsid w:val="00FA68E4"/>
    <w:rsid w:val="00FA714A"/>
    <w:rsid w:val="00FA73B3"/>
    <w:rsid w:val="00FA760F"/>
    <w:rsid w:val="00FA79E6"/>
    <w:rsid w:val="00FA7C5B"/>
    <w:rsid w:val="00FB1FF5"/>
    <w:rsid w:val="00FB3292"/>
    <w:rsid w:val="00FB36F5"/>
    <w:rsid w:val="00FB55F5"/>
    <w:rsid w:val="00FB5691"/>
    <w:rsid w:val="00FB6DDB"/>
    <w:rsid w:val="00FB78B9"/>
    <w:rsid w:val="00FC05EC"/>
    <w:rsid w:val="00FC0C22"/>
    <w:rsid w:val="00FC42ED"/>
    <w:rsid w:val="00FC6104"/>
    <w:rsid w:val="00FC6C95"/>
    <w:rsid w:val="00FC78B7"/>
    <w:rsid w:val="00FC7EB7"/>
    <w:rsid w:val="00FD0D0A"/>
    <w:rsid w:val="00FD3F94"/>
    <w:rsid w:val="00FD5AD2"/>
    <w:rsid w:val="00FD5D05"/>
    <w:rsid w:val="00FD6BA1"/>
    <w:rsid w:val="00FE030D"/>
    <w:rsid w:val="00FE3C00"/>
    <w:rsid w:val="00FE5933"/>
    <w:rsid w:val="00FE6F26"/>
    <w:rsid w:val="00FF3E6B"/>
    <w:rsid w:val="00FF430F"/>
    <w:rsid w:val="00FF51E7"/>
    <w:rsid w:val="00FF5295"/>
    <w:rsid w:val="00FF65BE"/>
    <w:rsid w:val="00FF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3631D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C6"/>
    <w:rPr>
      <w:rFonts w:ascii="Times New Roman" w:hAnsi="Times New Roman" w:cs="Times New Roman"/>
      <w:sz w:val="24"/>
      <w:lang w:val="en-GB" w:eastAsia="sr-Cyrl-CS"/>
    </w:rPr>
  </w:style>
  <w:style w:type="paragraph" w:styleId="Heading1">
    <w:name w:val="heading 1"/>
    <w:basedOn w:val="Normal"/>
    <w:next w:val="Normal"/>
    <w:link w:val="Heading1Char"/>
    <w:uiPriority w:val="99"/>
    <w:qFormat/>
    <w:rsid w:val="005E2A2D"/>
    <w:pPr>
      <w:keepNext/>
      <w:keepLines/>
      <w:spacing w:before="480" w:line="276" w:lineRule="auto"/>
      <w:outlineLvl w:val="0"/>
    </w:pPr>
    <w:rPr>
      <w:rFonts w:ascii="Cambria" w:hAnsi="Cambria"/>
      <w:b/>
      <w:bCs/>
      <w:color w:val="365F91"/>
      <w:sz w:val="28"/>
      <w:szCs w:val="28"/>
      <w:lang w:val="en-US" w:eastAsia="en-US"/>
    </w:rPr>
  </w:style>
  <w:style w:type="paragraph" w:styleId="Heading2">
    <w:name w:val="heading 2"/>
    <w:basedOn w:val="Normal"/>
    <w:next w:val="Normal"/>
    <w:link w:val="Heading2Char"/>
    <w:semiHidden/>
    <w:unhideWhenUsed/>
    <w:qFormat/>
    <w:locked/>
    <w:rsid w:val="00540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5E2A2D"/>
    <w:pPr>
      <w:spacing w:after="96" w:line="240" w:lineRule="atLeast"/>
      <w:outlineLvl w:val="2"/>
    </w:pPr>
    <w:rPr>
      <w:b/>
      <w:bCs/>
      <w:sz w:val="26"/>
      <w:szCs w:val="26"/>
      <w:lang w:val="en-US" w:eastAsia="en-US"/>
    </w:rPr>
  </w:style>
  <w:style w:type="paragraph" w:styleId="Heading6">
    <w:name w:val="heading 6"/>
    <w:basedOn w:val="Normal"/>
    <w:next w:val="Normal"/>
    <w:link w:val="Heading6Char"/>
    <w:semiHidden/>
    <w:unhideWhenUsed/>
    <w:qFormat/>
    <w:locked/>
    <w:rsid w:val="00540E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2A2D"/>
    <w:rPr>
      <w:rFonts w:ascii="Cambria" w:hAnsi="Cambria" w:cs="Times New Roman"/>
      <w:b/>
      <w:color w:val="365F91"/>
      <w:sz w:val="28"/>
    </w:rPr>
  </w:style>
  <w:style w:type="character" w:customStyle="1" w:styleId="Heading3Char">
    <w:name w:val="Heading 3 Char"/>
    <w:basedOn w:val="DefaultParagraphFont"/>
    <w:link w:val="Heading3"/>
    <w:uiPriority w:val="99"/>
    <w:locked/>
    <w:rsid w:val="005E2A2D"/>
    <w:rPr>
      <w:rFonts w:ascii="Times New Roman" w:hAnsi="Times New Roman" w:cs="Times New Roman"/>
      <w:b/>
      <w:sz w:val="26"/>
    </w:rPr>
  </w:style>
  <w:style w:type="paragraph" w:styleId="FootnoteText">
    <w:name w:val="footnote text"/>
    <w:aliases w:val="FOOTNOTES,fn,single space,footnote text,f,Geneva 9,Font: Geneva 9,Boston 10,Footnote Text Char1,Footnote Text Char2 Char,Footnote Text Char1 Char Char,Footnote Text Char2 Char Char Char,Footnote Text Char1 Char Char Char Char,Char,FN,ft"/>
    <w:basedOn w:val="Normal"/>
    <w:link w:val="FootnoteTextChar"/>
    <w:uiPriority w:val="99"/>
    <w:qFormat/>
    <w:rsid w:val="00A23AC6"/>
    <w:pPr>
      <w:tabs>
        <w:tab w:val="left" w:pos="240"/>
      </w:tabs>
      <w:ind w:left="240" w:hanging="240"/>
      <w:jc w:val="both"/>
    </w:pPr>
    <w:rPr>
      <w:rFonts w:ascii="Century Gothic" w:hAnsi="Century Gothic"/>
      <w:sz w:val="20"/>
    </w:rPr>
  </w:style>
  <w:style w:type="character" w:customStyle="1" w:styleId="FootnoteTextChar">
    <w:name w:val="Footnote Text Char"/>
    <w:aliases w:val="FOOTNOTES Char,fn Char,single space Char,footnote text Char,f Char,Geneva 9 Char,Font: Geneva 9 Char,Boston 10 Char,Footnote Text Char1 Char,Footnote Text Char2 Char Char,Footnote Text Char1 Char Char Char,Char Char,FN Char,ft Char"/>
    <w:basedOn w:val="DefaultParagraphFont"/>
    <w:link w:val="FootnoteText"/>
    <w:uiPriority w:val="99"/>
    <w:locked/>
    <w:rsid w:val="00A23AC6"/>
    <w:rPr>
      <w:rFonts w:ascii="Century Gothic" w:hAnsi="Century Gothic" w:cs="Times New Roman"/>
      <w:sz w:val="20"/>
      <w:lang w:val="en-GB" w:eastAsia="sr-Cyrl-CS"/>
    </w:rPr>
  </w:style>
  <w:style w:type="character" w:styleId="FootnoteReference">
    <w:name w:val="footnote reference"/>
    <w:aliases w:val="Ref,de nota al pie,16 Point,Superscript 6 Point,Appel note de bas de page,ftref,BVI fnr,Footnote Reference Number, BVI fnr,Footnote,Char Char Char Char Car Char, Car1,Car1,Footnote Text Char2,Char Char1,FOOTNOTES Char1,fn Char1"/>
    <w:basedOn w:val="DefaultParagraphFont"/>
    <w:link w:val="FNRefeCharChar"/>
    <w:uiPriority w:val="99"/>
    <w:rsid w:val="00A23AC6"/>
    <w:rPr>
      <w:rFonts w:cs="Times New Roman"/>
      <w:vertAlign w:val="superscript"/>
    </w:rPr>
  </w:style>
  <w:style w:type="character" w:customStyle="1" w:styleId="CharacterStyle1">
    <w:name w:val="Character Style 1"/>
    <w:uiPriority w:val="99"/>
    <w:rsid w:val="00A23AC6"/>
    <w:rPr>
      <w:sz w:val="20"/>
    </w:rPr>
  </w:style>
  <w:style w:type="table" w:styleId="TableGrid">
    <w:name w:val="Table Grid"/>
    <w:basedOn w:val="TableNormal"/>
    <w:uiPriority w:val="59"/>
    <w:rsid w:val="00C4523A"/>
    <w:rPr>
      <w:rFonts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uiPriority w:val="34"/>
    <w:qFormat/>
    <w:rsid w:val="00ED40A9"/>
    <w:pPr>
      <w:ind w:left="720"/>
      <w:contextualSpacing/>
    </w:pPr>
  </w:style>
  <w:style w:type="paragraph" w:styleId="NormalWeb">
    <w:name w:val="Normal (Web)"/>
    <w:basedOn w:val="Normal"/>
    <w:uiPriority w:val="99"/>
    <w:semiHidden/>
    <w:rsid w:val="005E2A2D"/>
    <w:pPr>
      <w:spacing w:before="240" w:after="240"/>
    </w:pPr>
    <w:rPr>
      <w:szCs w:val="24"/>
      <w:lang w:val="en-US" w:eastAsia="en-US"/>
    </w:rPr>
  </w:style>
  <w:style w:type="paragraph" w:styleId="CommentText">
    <w:name w:val="annotation text"/>
    <w:basedOn w:val="Normal"/>
    <w:link w:val="CommentTextChar"/>
    <w:uiPriority w:val="99"/>
    <w:unhideWhenUsed/>
    <w:rsid w:val="00BC3107"/>
    <w:pPr>
      <w:spacing w:after="200" w:line="276" w:lineRule="auto"/>
      <w:jc w:val="both"/>
    </w:pPr>
    <w:rPr>
      <w:rFonts w:ascii="Calibri" w:hAnsi="Calibri"/>
      <w:sz w:val="20"/>
      <w:lang w:val="hr-HR" w:eastAsia="en-US"/>
    </w:rPr>
  </w:style>
  <w:style w:type="character" w:customStyle="1" w:styleId="CommentTextChar">
    <w:name w:val="Comment Text Char"/>
    <w:basedOn w:val="DefaultParagraphFont"/>
    <w:link w:val="CommentText"/>
    <w:uiPriority w:val="99"/>
    <w:locked/>
    <w:rsid w:val="00BC3107"/>
    <w:rPr>
      <w:rFonts w:cs="Times New Roman"/>
      <w:sz w:val="20"/>
      <w:lang w:val="hr-HR" w:eastAsia="x-none"/>
    </w:rPr>
  </w:style>
  <w:style w:type="character" w:styleId="CommentReference">
    <w:name w:val="annotation reference"/>
    <w:basedOn w:val="DefaultParagraphFont"/>
    <w:uiPriority w:val="99"/>
    <w:semiHidden/>
    <w:unhideWhenUsed/>
    <w:rsid w:val="00BC3107"/>
    <w:rPr>
      <w:rFonts w:cs="Times New Roman"/>
      <w:sz w:val="16"/>
    </w:rPr>
  </w:style>
  <w:style w:type="paragraph" w:styleId="BalloonText">
    <w:name w:val="Balloon Text"/>
    <w:basedOn w:val="Normal"/>
    <w:link w:val="BalloonTextChar"/>
    <w:uiPriority w:val="99"/>
    <w:semiHidden/>
    <w:unhideWhenUsed/>
    <w:rsid w:val="00BC31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3107"/>
    <w:rPr>
      <w:rFonts w:ascii="Tahoma" w:hAnsi="Tahoma" w:cs="Times New Roman"/>
      <w:sz w:val="16"/>
      <w:lang w:val="en-GB" w:eastAsia="sr-Cyrl-CS"/>
    </w:rPr>
  </w:style>
  <w:style w:type="paragraph" w:styleId="Header">
    <w:name w:val="header"/>
    <w:basedOn w:val="Normal"/>
    <w:link w:val="HeaderChar"/>
    <w:uiPriority w:val="99"/>
    <w:unhideWhenUsed/>
    <w:rsid w:val="001A1151"/>
    <w:pPr>
      <w:tabs>
        <w:tab w:val="center" w:pos="4844"/>
        <w:tab w:val="right" w:pos="9689"/>
      </w:tabs>
    </w:pPr>
  </w:style>
  <w:style w:type="character" w:customStyle="1" w:styleId="HeaderChar">
    <w:name w:val="Header Char"/>
    <w:basedOn w:val="DefaultParagraphFont"/>
    <w:link w:val="Header"/>
    <w:uiPriority w:val="99"/>
    <w:locked/>
    <w:rsid w:val="001A1151"/>
    <w:rPr>
      <w:rFonts w:ascii="Times New Roman" w:hAnsi="Times New Roman" w:cs="Times New Roman"/>
      <w:sz w:val="20"/>
      <w:lang w:val="en-GB" w:eastAsia="sr-Cyrl-CS"/>
    </w:rPr>
  </w:style>
  <w:style w:type="paragraph" w:styleId="Footer">
    <w:name w:val="footer"/>
    <w:basedOn w:val="Normal"/>
    <w:link w:val="FooterChar"/>
    <w:uiPriority w:val="99"/>
    <w:unhideWhenUsed/>
    <w:rsid w:val="001A1151"/>
    <w:pPr>
      <w:tabs>
        <w:tab w:val="center" w:pos="4844"/>
        <w:tab w:val="right" w:pos="9689"/>
      </w:tabs>
    </w:pPr>
  </w:style>
  <w:style w:type="character" w:customStyle="1" w:styleId="FooterChar">
    <w:name w:val="Footer Char"/>
    <w:basedOn w:val="DefaultParagraphFont"/>
    <w:link w:val="Footer"/>
    <w:uiPriority w:val="99"/>
    <w:locked/>
    <w:rsid w:val="001A1151"/>
    <w:rPr>
      <w:rFonts w:ascii="Times New Roman" w:hAnsi="Times New Roman" w:cs="Times New Roman"/>
      <w:sz w:val="20"/>
      <w:lang w:val="en-GB" w:eastAsia="sr-Cyrl-CS"/>
    </w:rPr>
  </w:style>
  <w:style w:type="character" w:styleId="Emphasis">
    <w:name w:val="Emphasis"/>
    <w:basedOn w:val="DefaultParagraphFont"/>
    <w:uiPriority w:val="20"/>
    <w:qFormat/>
    <w:locked/>
    <w:rsid w:val="00291041"/>
    <w:rPr>
      <w:i/>
      <w:iCs/>
    </w:rPr>
  </w:style>
  <w:style w:type="character" w:styleId="Strong">
    <w:name w:val="Strong"/>
    <w:basedOn w:val="DefaultParagraphFont"/>
    <w:uiPriority w:val="22"/>
    <w:qFormat/>
    <w:locked/>
    <w:rsid w:val="00291041"/>
    <w:rPr>
      <w:b/>
      <w:bCs/>
    </w:rPr>
  </w:style>
  <w:style w:type="paragraph" w:styleId="CommentSubject">
    <w:name w:val="annotation subject"/>
    <w:basedOn w:val="CommentText"/>
    <w:next w:val="CommentText"/>
    <w:link w:val="CommentSubjectChar"/>
    <w:uiPriority w:val="99"/>
    <w:semiHidden/>
    <w:unhideWhenUsed/>
    <w:rsid w:val="0024553F"/>
    <w:pPr>
      <w:spacing w:after="0" w:line="240" w:lineRule="auto"/>
      <w:jc w:val="left"/>
    </w:pPr>
    <w:rPr>
      <w:rFonts w:ascii="Times New Roman" w:hAnsi="Times New Roman"/>
      <w:b/>
      <w:bCs/>
      <w:lang w:val="en-GB" w:eastAsia="sr-Cyrl-CS"/>
    </w:rPr>
  </w:style>
  <w:style w:type="character" w:customStyle="1" w:styleId="CommentSubjectChar">
    <w:name w:val="Comment Subject Char"/>
    <w:basedOn w:val="CommentTextChar"/>
    <w:link w:val="CommentSubject"/>
    <w:uiPriority w:val="99"/>
    <w:semiHidden/>
    <w:rsid w:val="0024553F"/>
    <w:rPr>
      <w:rFonts w:ascii="Times New Roman" w:hAnsi="Times New Roman" w:cs="Times New Roman"/>
      <w:b/>
      <w:bCs/>
      <w:sz w:val="20"/>
      <w:lang w:val="en-GB" w:eastAsia="sr-Cyrl-CS"/>
    </w:rPr>
  </w:style>
  <w:style w:type="character" w:styleId="Hyperlink">
    <w:name w:val="Hyperlink"/>
    <w:basedOn w:val="DefaultParagraphFont"/>
    <w:uiPriority w:val="99"/>
    <w:unhideWhenUsed/>
    <w:rsid w:val="00F85134"/>
    <w:rPr>
      <w:color w:val="0000FF" w:themeColor="hyperlink"/>
      <w:u w:val="single"/>
    </w:rPr>
  </w:style>
  <w:style w:type="paragraph" w:styleId="BodyTextIndent">
    <w:name w:val="Body Text Indent"/>
    <w:basedOn w:val="Normal"/>
    <w:link w:val="BodyTextIndentChar"/>
    <w:uiPriority w:val="99"/>
    <w:unhideWhenUsed/>
    <w:rsid w:val="00A55415"/>
    <w:pPr>
      <w:spacing w:after="120"/>
      <w:ind w:left="360"/>
    </w:pPr>
    <w:rPr>
      <w:szCs w:val="24"/>
      <w:lang w:eastAsia="en-US"/>
    </w:rPr>
  </w:style>
  <w:style w:type="character" w:customStyle="1" w:styleId="BodyTextIndentChar">
    <w:name w:val="Body Text Indent Char"/>
    <w:basedOn w:val="DefaultParagraphFont"/>
    <w:link w:val="BodyTextIndent"/>
    <w:uiPriority w:val="99"/>
    <w:rsid w:val="00A55415"/>
    <w:rPr>
      <w:rFonts w:ascii="Times New Roman" w:hAnsi="Times New Roman" w:cs="Times New Roman"/>
      <w:sz w:val="24"/>
      <w:szCs w:val="24"/>
      <w:lang w:val="en-GB"/>
    </w:rPr>
  </w:style>
  <w:style w:type="character" w:customStyle="1" w:styleId="ListParagraphChar">
    <w:name w:val="List Paragraph Char"/>
    <w:aliases w:val="List Paragraph 1 Char"/>
    <w:link w:val="ListParagraph"/>
    <w:uiPriority w:val="34"/>
    <w:locked/>
    <w:rsid w:val="000B109F"/>
    <w:rPr>
      <w:rFonts w:ascii="Times New Roman" w:hAnsi="Times New Roman" w:cs="Times New Roman"/>
      <w:sz w:val="24"/>
      <w:lang w:val="en-GB" w:eastAsia="sr-Cyrl-CS"/>
    </w:rPr>
  </w:style>
  <w:style w:type="character" w:customStyle="1" w:styleId="Heading2Char">
    <w:name w:val="Heading 2 Char"/>
    <w:basedOn w:val="DefaultParagraphFont"/>
    <w:link w:val="Heading2"/>
    <w:semiHidden/>
    <w:rsid w:val="00540E6B"/>
    <w:rPr>
      <w:rFonts w:asciiTheme="majorHAnsi" w:eastAsiaTheme="majorEastAsia" w:hAnsiTheme="majorHAnsi" w:cstheme="majorBidi"/>
      <w:b/>
      <w:bCs/>
      <w:color w:val="4F81BD" w:themeColor="accent1"/>
      <w:sz w:val="26"/>
      <w:szCs w:val="26"/>
      <w:lang w:val="en-GB" w:eastAsia="sr-Cyrl-CS"/>
    </w:rPr>
  </w:style>
  <w:style w:type="character" w:customStyle="1" w:styleId="Heading6Char">
    <w:name w:val="Heading 6 Char"/>
    <w:basedOn w:val="DefaultParagraphFont"/>
    <w:link w:val="Heading6"/>
    <w:uiPriority w:val="9"/>
    <w:rsid w:val="00540E6B"/>
    <w:rPr>
      <w:rFonts w:asciiTheme="majorHAnsi" w:eastAsiaTheme="majorEastAsia" w:hAnsiTheme="majorHAnsi" w:cstheme="majorBidi"/>
      <w:i/>
      <w:iCs/>
      <w:color w:val="243F60" w:themeColor="accent1" w:themeShade="7F"/>
      <w:sz w:val="24"/>
      <w:lang w:val="en-GB" w:eastAsia="sr-Cyrl-CS"/>
    </w:rPr>
  </w:style>
  <w:style w:type="paragraph" w:styleId="NoSpacing">
    <w:name w:val="No Spacing"/>
    <w:link w:val="NoSpacingChar"/>
    <w:uiPriority w:val="99"/>
    <w:qFormat/>
    <w:rsid w:val="00BA54C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99"/>
    <w:rsid w:val="00BA54CD"/>
    <w:rPr>
      <w:rFonts w:asciiTheme="minorHAnsi" w:eastAsiaTheme="minorEastAsia" w:hAnsiTheme="minorHAnsi" w:cstheme="minorBidi"/>
      <w:sz w:val="22"/>
      <w:szCs w:val="22"/>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rsid w:val="001A612C"/>
    <w:pPr>
      <w:spacing w:after="160" w:line="240" w:lineRule="exact"/>
    </w:pPr>
    <w:rPr>
      <w:rFonts w:ascii="Calibri" w:hAnsi="Calibri"/>
      <w:sz w:val="20"/>
      <w:vertAlign w:val="superscript"/>
      <w:lang w:val="en-US" w:eastAsia="en-US"/>
    </w:rPr>
  </w:style>
  <w:style w:type="character" w:customStyle="1" w:styleId="Mention">
    <w:name w:val="Mention"/>
    <w:basedOn w:val="DefaultParagraphFont"/>
    <w:uiPriority w:val="99"/>
    <w:semiHidden/>
    <w:unhideWhenUsed/>
    <w:rsid w:val="005733CA"/>
    <w:rPr>
      <w:color w:val="2B579A"/>
      <w:shd w:val="clear" w:color="auto" w:fill="E6E6E6"/>
    </w:rPr>
  </w:style>
  <w:style w:type="character" w:customStyle="1" w:styleId="UnresolvedMention">
    <w:name w:val="Unresolved Mention"/>
    <w:basedOn w:val="DefaultParagraphFont"/>
    <w:uiPriority w:val="99"/>
    <w:semiHidden/>
    <w:unhideWhenUsed/>
    <w:rsid w:val="00A5670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qFormat="1"/>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C6"/>
    <w:rPr>
      <w:rFonts w:ascii="Times New Roman" w:hAnsi="Times New Roman" w:cs="Times New Roman"/>
      <w:sz w:val="24"/>
      <w:lang w:val="en-GB" w:eastAsia="sr-Cyrl-CS"/>
    </w:rPr>
  </w:style>
  <w:style w:type="paragraph" w:styleId="Heading1">
    <w:name w:val="heading 1"/>
    <w:basedOn w:val="Normal"/>
    <w:next w:val="Normal"/>
    <w:link w:val="Heading1Char"/>
    <w:uiPriority w:val="99"/>
    <w:qFormat/>
    <w:rsid w:val="005E2A2D"/>
    <w:pPr>
      <w:keepNext/>
      <w:keepLines/>
      <w:spacing w:before="480" w:line="276" w:lineRule="auto"/>
      <w:outlineLvl w:val="0"/>
    </w:pPr>
    <w:rPr>
      <w:rFonts w:ascii="Cambria" w:hAnsi="Cambria"/>
      <w:b/>
      <w:bCs/>
      <w:color w:val="365F91"/>
      <w:sz w:val="28"/>
      <w:szCs w:val="28"/>
      <w:lang w:val="en-US" w:eastAsia="en-US"/>
    </w:rPr>
  </w:style>
  <w:style w:type="paragraph" w:styleId="Heading2">
    <w:name w:val="heading 2"/>
    <w:basedOn w:val="Normal"/>
    <w:next w:val="Normal"/>
    <w:link w:val="Heading2Char"/>
    <w:semiHidden/>
    <w:unhideWhenUsed/>
    <w:qFormat/>
    <w:locked/>
    <w:rsid w:val="00540E6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5E2A2D"/>
    <w:pPr>
      <w:spacing w:after="96" w:line="240" w:lineRule="atLeast"/>
      <w:outlineLvl w:val="2"/>
    </w:pPr>
    <w:rPr>
      <w:b/>
      <w:bCs/>
      <w:sz w:val="26"/>
      <w:szCs w:val="26"/>
      <w:lang w:val="en-US" w:eastAsia="en-US"/>
    </w:rPr>
  </w:style>
  <w:style w:type="paragraph" w:styleId="Heading6">
    <w:name w:val="heading 6"/>
    <w:basedOn w:val="Normal"/>
    <w:next w:val="Normal"/>
    <w:link w:val="Heading6Char"/>
    <w:semiHidden/>
    <w:unhideWhenUsed/>
    <w:qFormat/>
    <w:locked/>
    <w:rsid w:val="00540E6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2A2D"/>
    <w:rPr>
      <w:rFonts w:ascii="Cambria" w:hAnsi="Cambria" w:cs="Times New Roman"/>
      <w:b/>
      <w:color w:val="365F91"/>
      <w:sz w:val="28"/>
    </w:rPr>
  </w:style>
  <w:style w:type="character" w:customStyle="1" w:styleId="Heading3Char">
    <w:name w:val="Heading 3 Char"/>
    <w:basedOn w:val="DefaultParagraphFont"/>
    <w:link w:val="Heading3"/>
    <w:uiPriority w:val="99"/>
    <w:locked/>
    <w:rsid w:val="005E2A2D"/>
    <w:rPr>
      <w:rFonts w:ascii="Times New Roman" w:hAnsi="Times New Roman" w:cs="Times New Roman"/>
      <w:b/>
      <w:sz w:val="26"/>
    </w:rPr>
  </w:style>
  <w:style w:type="paragraph" w:styleId="FootnoteText">
    <w:name w:val="footnote text"/>
    <w:aliases w:val="FOOTNOTES,fn,single space,footnote text,f,Geneva 9,Font: Geneva 9,Boston 10,Footnote Text Char1,Footnote Text Char2 Char,Footnote Text Char1 Char Char,Footnote Text Char2 Char Char Char,Footnote Text Char1 Char Char Char Char,Char,FN,ft"/>
    <w:basedOn w:val="Normal"/>
    <w:link w:val="FootnoteTextChar"/>
    <w:uiPriority w:val="99"/>
    <w:qFormat/>
    <w:rsid w:val="00A23AC6"/>
    <w:pPr>
      <w:tabs>
        <w:tab w:val="left" w:pos="240"/>
      </w:tabs>
      <w:ind w:left="240" w:hanging="240"/>
      <w:jc w:val="both"/>
    </w:pPr>
    <w:rPr>
      <w:rFonts w:ascii="Century Gothic" w:hAnsi="Century Gothic"/>
      <w:sz w:val="20"/>
    </w:rPr>
  </w:style>
  <w:style w:type="character" w:customStyle="1" w:styleId="FootnoteTextChar">
    <w:name w:val="Footnote Text Char"/>
    <w:aliases w:val="FOOTNOTES Char,fn Char,single space Char,footnote text Char,f Char,Geneva 9 Char,Font: Geneva 9 Char,Boston 10 Char,Footnote Text Char1 Char,Footnote Text Char2 Char Char,Footnote Text Char1 Char Char Char,Char Char,FN Char,ft Char"/>
    <w:basedOn w:val="DefaultParagraphFont"/>
    <w:link w:val="FootnoteText"/>
    <w:uiPriority w:val="99"/>
    <w:locked/>
    <w:rsid w:val="00A23AC6"/>
    <w:rPr>
      <w:rFonts w:ascii="Century Gothic" w:hAnsi="Century Gothic" w:cs="Times New Roman"/>
      <w:sz w:val="20"/>
      <w:lang w:val="en-GB" w:eastAsia="sr-Cyrl-CS"/>
    </w:rPr>
  </w:style>
  <w:style w:type="character" w:styleId="FootnoteReference">
    <w:name w:val="footnote reference"/>
    <w:aliases w:val="Ref,de nota al pie,16 Point,Superscript 6 Point,Appel note de bas de page,ftref,BVI fnr,Footnote Reference Number, BVI fnr,Footnote,Char Char Char Char Car Char, Car1,Car1,Footnote Text Char2,Char Char1,FOOTNOTES Char1,fn Char1"/>
    <w:basedOn w:val="DefaultParagraphFont"/>
    <w:link w:val="FNRefeCharChar"/>
    <w:uiPriority w:val="99"/>
    <w:rsid w:val="00A23AC6"/>
    <w:rPr>
      <w:rFonts w:cs="Times New Roman"/>
      <w:vertAlign w:val="superscript"/>
    </w:rPr>
  </w:style>
  <w:style w:type="character" w:customStyle="1" w:styleId="CharacterStyle1">
    <w:name w:val="Character Style 1"/>
    <w:uiPriority w:val="99"/>
    <w:rsid w:val="00A23AC6"/>
    <w:rPr>
      <w:sz w:val="20"/>
    </w:rPr>
  </w:style>
  <w:style w:type="table" w:styleId="TableGrid">
    <w:name w:val="Table Grid"/>
    <w:basedOn w:val="TableNormal"/>
    <w:uiPriority w:val="59"/>
    <w:rsid w:val="00C4523A"/>
    <w:rPr>
      <w:rFonts w:cs="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uiPriority w:val="34"/>
    <w:qFormat/>
    <w:rsid w:val="00ED40A9"/>
    <w:pPr>
      <w:ind w:left="720"/>
      <w:contextualSpacing/>
    </w:pPr>
  </w:style>
  <w:style w:type="paragraph" w:styleId="NormalWeb">
    <w:name w:val="Normal (Web)"/>
    <w:basedOn w:val="Normal"/>
    <w:uiPriority w:val="99"/>
    <w:semiHidden/>
    <w:rsid w:val="005E2A2D"/>
    <w:pPr>
      <w:spacing w:before="240" w:after="240"/>
    </w:pPr>
    <w:rPr>
      <w:szCs w:val="24"/>
      <w:lang w:val="en-US" w:eastAsia="en-US"/>
    </w:rPr>
  </w:style>
  <w:style w:type="paragraph" w:styleId="CommentText">
    <w:name w:val="annotation text"/>
    <w:basedOn w:val="Normal"/>
    <w:link w:val="CommentTextChar"/>
    <w:uiPriority w:val="99"/>
    <w:unhideWhenUsed/>
    <w:rsid w:val="00BC3107"/>
    <w:pPr>
      <w:spacing w:after="200" w:line="276" w:lineRule="auto"/>
      <w:jc w:val="both"/>
    </w:pPr>
    <w:rPr>
      <w:rFonts w:ascii="Calibri" w:hAnsi="Calibri"/>
      <w:sz w:val="20"/>
      <w:lang w:val="hr-HR" w:eastAsia="en-US"/>
    </w:rPr>
  </w:style>
  <w:style w:type="character" w:customStyle="1" w:styleId="CommentTextChar">
    <w:name w:val="Comment Text Char"/>
    <w:basedOn w:val="DefaultParagraphFont"/>
    <w:link w:val="CommentText"/>
    <w:uiPriority w:val="99"/>
    <w:locked/>
    <w:rsid w:val="00BC3107"/>
    <w:rPr>
      <w:rFonts w:cs="Times New Roman"/>
      <w:sz w:val="20"/>
      <w:lang w:val="hr-HR" w:eastAsia="x-none"/>
    </w:rPr>
  </w:style>
  <w:style w:type="character" w:styleId="CommentReference">
    <w:name w:val="annotation reference"/>
    <w:basedOn w:val="DefaultParagraphFont"/>
    <w:uiPriority w:val="99"/>
    <w:semiHidden/>
    <w:unhideWhenUsed/>
    <w:rsid w:val="00BC3107"/>
    <w:rPr>
      <w:rFonts w:cs="Times New Roman"/>
      <w:sz w:val="16"/>
    </w:rPr>
  </w:style>
  <w:style w:type="paragraph" w:styleId="BalloonText">
    <w:name w:val="Balloon Text"/>
    <w:basedOn w:val="Normal"/>
    <w:link w:val="BalloonTextChar"/>
    <w:uiPriority w:val="99"/>
    <w:semiHidden/>
    <w:unhideWhenUsed/>
    <w:rsid w:val="00BC31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3107"/>
    <w:rPr>
      <w:rFonts w:ascii="Tahoma" w:hAnsi="Tahoma" w:cs="Times New Roman"/>
      <w:sz w:val="16"/>
      <w:lang w:val="en-GB" w:eastAsia="sr-Cyrl-CS"/>
    </w:rPr>
  </w:style>
  <w:style w:type="paragraph" w:styleId="Header">
    <w:name w:val="header"/>
    <w:basedOn w:val="Normal"/>
    <w:link w:val="HeaderChar"/>
    <w:uiPriority w:val="99"/>
    <w:unhideWhenUsed/>
    <w:rsid w:val="001A1151"/>
    <w:pPr>
      <w:tabs>
        <w:tab w:val="center" w:pos="4844"/>
        <w:tab w:val="right" w:pos="9689"/>
      </w:tabs>
    </w:pPr>
  </w:style>
  <w:style w:type="character" w:customStyle="1" w:styleId="HeaderChar">
    <w:name w:val="Header Char"/>
    <w:basedOn w:val="DefaultParagraphFont"/>
    <w:link w:val="Header"/>
    <w:uiPriority w:val="99"/>
    <w:locked/>
    <w:rsid w:val="001A1151"/>
    <w:rPr>
      <w:rFonts w:ascii="Times New Roman" w:hAnsi="Times New Roman" w:cs="Times New Roman"/>
      <w:sz w:val="20"/>
      <w:lang w:val="en-GB" w:eastAsia="sr-Cyrl-CS"/>
    </w:rPr>
  </w:style>
  <w:style w:type="paragraph" w:styleId="Footer">
    <w:name w:val="footer"/>
    <w:basedOn w:val="Normal"/>
    <w:link w:val="FooterChar"/>
    <w:uiPriority w:val="99"/>
    <w:unhideWhenUsed/>
    <w:rsid w:val="001A1151"/>
    <w:pPr>
      <w:tabs>
        <w:tab w:val="center" w:pos="4844"/>
        <w:tab w:val="right" w:pos="9689"/>
      </w:tabs>
    </w:pPr>
  </w:style>
  <w:style w:type="character" w:customStyle="1" w:styleId="FooterChar">
    <w:name w:val="Footer Char"/>
    <w:basedOn w:val="DefaultParagraphFont"/>
    <w:link w:val="Footer"/>
    <w:uiPriority w:val="99"/>
    <w:locked/>
    <w:rsid w:val="001A1151"/>
    <w:rPr>
      <w:rFonts w:ascii="Times New Roman" w:hAnsi="Times New Roman" w:cs="Times New Roman"/>
      <w:sz w:val="20"/>
      <w:lang w:val="en-GB" w:eastAsia="sr-Cyrl-CS"/>
    </w:rPr>
  </w:style>
  <w:style w:type="character" w:styleId="Emphasis">
    <w:name w:val="Emphasis"/>
    <w:basedOn w:val="DefaultParagraphFont"/>
    <w:uiPriority w:val="20"/>
    <w:qFormat/>
    <w:locked/>
    <w:rsid w:val="00291041"/>
    <w:rPr>
      <w:i/>
      <w:iCs/>
    </w:rPr>
  </w:style>
  <w:style w:type="character" w:styleId="Strong">
    <w:name w:val="Strong"/>
    <w:basedOn w:val="DefaultParagraphFont"/>
    <w:uiPriority w:val="22"/>
    <w:qFormat/>
    <w:locked/>
    <w:rsid w:val="00291041"/>
    <w:rPr>
      <w:b/>
      <w:bCs/>
    </w:rPr>
  </w:style>
  <w:style w:type="paragraph" w:styleId="CommentSubject">
    <w:name w:val="annotation subject"/>
    <w:basedOn w:val="CommentText"/>
    <w:next w:val="CommentText"/>
    <w:link w:val="CommentSubjectChar"/>
    <w:uiPriority w:val="99"/>
    <w:semiHidden/>
    <w:unhideWhenUsed/>
    <w:rsid w:val="0024553F"/>
    <w:pPr>
      <w:spacing w:after="0" w:line="240" w:lineRule="auto"/>
      <w:jc w:val="left"/>
    </w:pPr>
    <w:rPr>
      <w:rFonts w:ascii="Times New Roman" w:hAnsi="Times New Roman"/>
      <w:b/>
      <w:bCs/>
      <w:lang w:val="en-GB" w:eastAsia="sr-Cyrl-CS"/>
    </w:rPr>
  </w:style>
  <w:style w:type="character" w:customStyle="1" w:styleId="CommentSubjectChar">
    <w:name w:val="Comment Subject Char"/>
    <w:basedOn w:val="CommentTextChar"/>
    <w:link w:val="CommentSubject"/>
    <w:uiPriority w:val="99"/>
    <w:semiHidden/>
    <w:rsid w:val="0024553F"/>
    <w:rPr>
      <w:rFonts w:ascii="Times New Roman" w:hAnsi="Times New Roman" w:cs="Times New Roman"/>
      <w:b/>
      <w:bCs/>
      <w:sz w:val="20"/>
      <w:lang w:val="en-GB" w:eastAsia="sr-Cyrl-CS"/>
    </w:rPr>
  </w:style>
  <w:style w:type="character" w:styleId="Hyperlink">
    <w:name w:val="Hyperlink"/>
    <w:basedOn w:val="DefaultParagraphFont"/>
    <w:uiPriority w:val="99"/>
    <w:unhideWhenUsed/>
    <w:rsid w:val="00F85134"/>
    <w:rPr>
      <w:color w:val="0000FF" w:themeColor="hyperlink"/>
      <w:u w:val="single"/>
    </w:rPr>
  </w:style>
  <w:style w:type="paragraph" w:styleId="BodyTextIndent">
    <w:name w:val="Body Text Indent"/>
    <w:basedOn w:val="Normal"/>
    <w:link w:val="BodyTextIndentChar"/>
    <w:uiPriority w:val="99"/>
    <w:unhideWhenUsed/>
    <w:rsid w:val="00A55415"/>
    <w:pPr>
      <w:spacing w:after="120"/>
      <w:ind w:left="360"/>
    </w:pPr>
    <w:rPr>
      <w:szCs w:val="24"/>
      <w:lang w:eastAsia="en-US"/>
    </w:rPr>
  </w:style>
  <w:style w:type="character" w:customStyle="1" w:styleId="BodyTextIndentChar">
    <w:name w:val="Body Text Indent Char"/>
    <w:basedOn w:val="DefaultParagraphFont"/>
    <w:link w:val="BodyTextIndent"/>
    <w:uiPriority w:val="99"/>
    <w:rsid w:val="00A55415"/>
    <w:rPr>
      <w:rFonts w:ascii="Times New Roman" w:hAnsi="Times New Roman" w:cs="Times New Roman"/>
      <w:sz w:val="24"/>
      <w:szCs w:val="24"/>
      <w:lang w:val="en-GB"/>
    </w:rPr>
  </w:style>
  <w:style w:type="character" w:customStyle="1" w:styleId="ListParagraphChar">
    <w:name w:val="List Paragraph Char"/>
    <w:aliases w:val="List Paragraph 1 Char"/>
    <w:link w:val="ListParagraph"/>
    <w:uiPriority w:val="34"/>
    <w:locked/>
    <w:rsid w:val="000B109F"/>
    <w:rPr>
      <w:rFonts w:ascii="Times New Roman" w:hAnsi="Times New Roman" w:cs="Times New Roman"/>
      <w:sz w:val="24"/>
      <w:lang w:val="en-GB" w:eastAsia="sr-Cyrl-CS"/>
    </w:rPr>
  </w:style>
  <w:style w:type="character" w:customStyle="1" w:styleId="Heading2Char">
    <w:name w:val="Heading 2 Char"/>
    <w:basedOn w:val="DefaultParagraphFont"/>
    <w:link w:val="Heading2"/>
    <w:semiHidden/>
    <w:rsid w:val="00540E6B"/>
    <w:rPr>
      <w:rFonts w:asciiTheme="majorHAnsi" w:eastAsiaTheme="majorEastAsia" w:hAnsiTheme="majorHAnsi" w:cstheme="majorBidi"/>
      <w:b/>
      <w:bCs/>
      <w:color w:val="4F81BD" w:themeColor="accent1"/>
      <w:sz w:val="26"/>
      <w:szCs w:val="26"/>
      <w:lang w:val="en-GB" w:eastAsia="sr-Cyrl-CS"/>
    </w:rPr>
  </w:style>
  <w:style w:type="character" w:customStyle="1" w:styleId="Heading6Char">
    <w:name w:val="Heading 6 Char"/>
    <w:basedOn w:val="DefaultParagraphFont"/>
    <w:link w:val="Heading6"/>
    <w:uiPriority w:val="9"/>
    <w:rsid w:val="00540E6B"/>
    <w:rPr>
      <w:rFonts w:asciiTheme="majorHAnsi" w:eastAsiaTheme="majorEastAsia" w:hAnsiTheme="majorHAnsi" w:cstheme="majorBidi"/>
      <w:i/>
      <w:iCs/>
      <w:color w:val="243F60" w:themeColor="accent1" w:themeShade="7F"/>
      <w:sz w:val="24"/>
      <w:lang w:val="en-GB" w:eastAsia="sr-Cyrl-CS"/>
    </w:rPr>
  </w:style>
  <w:style w:type="paragraph" w:styleId="NoSpacing">
    <w:name w:val="No Spacing"/>
    <w:link w:val="NoSpacingChar"/>
    <w:uiPriority w:val="99"/>
    <w:qFormat/>
    <w:rsid w:val="00BA54C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99"/>
    <w:rsid w:val="00BA54CD"/>
    <w:rPr>
      <w:rFonts w:asciiTheme="minorHAnsi" w:eastAsiaTheme="minorEastAsia" w:hAnsiTheme="minorHAnsi" w:cstheme="minorBidi"/>
      <w:sz w:val="22"/>
      <w:szCs w:val="22"/>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Normal"/>
    <w:link w:val="FootnoteReference"/>
    <w:uiPriority w:val="99"/>
    <w:rsid w:val="001A612C"/>
    <w:pPr>
      <w:spacing w:after="160" w:line="240" w:lineRule="exact"/>
    </w:pPr>
    <w:rPr>
      <w:rFonts w:ascii="Calibri" w:hAnsi="Calibri"/>
      <w:sz w:val="20"/>
      <w:vertAlign w:val="superscript"/>
      <w:lang w:val="en-US" w:eastAsia="en-US"/>
    </w:rPr>
  </w:style>
  <w:style w:type="character" w:customStyle="1" w:styleId="Mention">
    <w:name w:val="Mention"/>
    <w:basedOn w:val="DefaultParagraphFont"/>
    <w:uiPriority w:val="99"/>
    <w:semiHidden/>
    <w:unhideWhenUsed/>
    <w:rsid w:val="005733CA"/>
    <w:rPr>
      <w:color w:val="2B579A"/>
      <w:shd w:val="clear" w:color="auto" w:fill="E6E6E6"/>
    </w:rPr>
  </w:style>
  <w:style w:type="character" w:customStyle="1" w:styleId="UnresolvedMention">
    <w:name w:val="Unresolved Mention"/>
    <w:basedOn w:val="DefaultParagraphFont"/>
    <w:uiPriority w:val="99"/>
    <w:semiHidden/>
    <w:unhideWhenUsed/>
    <w:rsid w:val="00A567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te.gov.m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data.gov.md/raw/category/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particip.gov.md"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8" Type="http://schemas.openxmlformats.org/officeDocument/2006/relationships/hyperlink" Target="http://www.oecd.org/dataoecd/30/44/45559222.pdf" TargetMode="External"/><Relationship Id="rId3" Type="http://schemas.openxmlformats.org/officeDocument/2006/relationships/hyperlink" Target="http://old.ms.gov.md/_files/15170-Ghidul_Siguranta%2520injectiilor.pdf" TargetMode="External"/><Relationship Id="rId7" Type="http://schemas.openxmlformats.org/officeDocument/2006/relationships/hyperlink" Target="http://www.unece.org/fileadmin/DAM/env/epr/epr_studies/moldova%20II%20m.pdf" TargetMode="External"/><Relationship Id="rId2" Type="http://schemas.openxmlformats.org/officeDocument/2006/relationships/hyperlink" Target="http://lex.justice.md/md/368030/" TargetMode="External"/><Relationship Id="rId1" Type="http://schemas.openxmlformats.org/officeDocument/2006/relationships/hyperlink" Target="http://www.fisc.md/Article.aspx?id=8896" TargetMode="External"/><Relationship Id="rId6" Type="http://schemas.openxmlformats.org/officeDocument/2006/relationships/hyperlink" Target="http://particip.gov.md/proiectview.php?l=ro&amp;idd=1841" TargetMode="External"/><Relationship Id="rId5" Type="http://schemas.openxmlformats.org/officeDocument/2006/relationships/hyperlink" Target="http://lex.justice.md/index.php?action=view&amp;view=doc&amp;lang=1&amp;id=306414" TargetMode="External"/><Relationship Id="rId4" Type="http://schemas.openxmlformats.org/officeDocument/2006/relationships/hyperlink" Target="http://cnsp.md/wp-content/uploads/2014/06/Ghid-A4_FINAL_copertat-ed.II_.pdf" TargetMode="External"/><Relationship Id="rId9" Type="http://schemas.openxmlformats.org/officeDocument/2006/relationships/hyperlink" Target="http://oecd.hybrid.pl/finfo.php?layer_id=14&amp;object_id=16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1278341871159614"/>
          <c:y val="3.1152647975077882E-2"/>
        </c:manualLayout>
      </c:layout>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donor funds allocation to health sector</c:v>
                </c:pt>
              </c:strCache>
            </c:strRef>
          </c:tx>
          <c:spPr>
            <a:ln w="22225" cap="rnd">
              <a:solidFill>
                <a:schemeClr val="accent1"/>
              </a:solidFill>
            </a:ln>
            <a:effectLst>
              <a:glow rad="139700">
                <a:schemeClr val="accent1">
                  <a:satMod val="175000"/>
                  <a:alpha val="14000"/>
                </a:schemeClr>
              </a:glow>
            </a:effectLst>
          </c:spPr>
          <c:marker>
            <c:symbol val="circle"/>
            <c:size val="3"/>
            <c:spPr>
              <a:solidFill>
                <a:schemeClr val="accent1">
                  <a:lumMod val="60000"/>
                  <a:lumOff val="40000"/>
                </a:schemeClr>
              </a:solidFill>
              <a:ln>
                <a:noFill/>
              </a:ln>
              <a:effectLst>
                <a:glow rad="63500">
                  <a:schemeClr val="accent1">
                    <a:satMod val="175000"/>
                    <a:alpha val="25000"/>
                  </a:schemeClr>
                </a:glow>
              </a:effectLst>
            </c:spPr>
          </c:marker>
          <c:xVal>
            <c:numRef>
              <c:f>Sheet1!$A$2:$A$6</c:f>
              <c:numCache>
                <c:formatCode>General</c:formatCode>
                <c:ptCount val="5"/>
                <c:pt idx="0">
                  <c:v>2012</c:v>
                </c:pt>
                <c:pt idx="1">
                  <c:v>2013</c:v>
                </c:pt>
                <c:pt idx="2">
                  <c:v>2014</c:v>
                </c:pt>
                <c:pt idx="3">
                  <c:v>2015</c:v>
                </c:pt>
                <c:pt idx="4">
                  <c:v>2016</c:v>
                </c:pt>
              </c:numCache>
            </c:numRef>
          </c:xVal>
          <c:yVal>
            <c:numRef>
              <c:f>Sheet1!$B$2:$B$6</c:f>
              <c:numCache>
                <c:formatCode>#,##0</c:formatCode>
                <c:ptCount val="5"/>
                <c:pt idx="0">
                  <c:v>46392051</c:v>
                </c:pt>
                <c:pt idx="1">
                  <c:v>64023141</c:v>
                </c:pt>
                <c:pt idx="2">
                  <c:v>50506864</c:v>
                </c:pt>
                <c:pt idx="3">
                  <c:v>24396072</c:v>
                </c:pt>
                <c:pt idx="4">
                  <c:v>30642651</c:v>
                </c:pt>
              </c:numCache>
            </c:numRef>
          </c:yVal>
          <c:smooth val="0"/>
          <c:extLst xmlns:c16r2="http://schemas.microsoft.com/office/drawing/2015/06/chart">
            <c:ext xmlns:c16="http://schemas.microsoft.com/office/drawing/2014/chart" uri="{C3380CC4-5D6E-409C-BE32-E72D297353CC}">
              <c16:uniqueId val="{00000000-7363-4E37-92FA-1CF4499E4B8A}"/>
            </c:ext>
          </c:extLst>
        </c:ser>
        <c:dLbls>
          <c:showLegendKey val="0"/>
          <c:showVal val="0"/>
          <c:showCatName val="0"/>
          <c:showSerName val="0"/>
          <c:showPercent val="0"/>
          <c:showBubbleSize val="0"/>
        </c:dLbls>
        <c:axId val="113314432"/>
        <c:axId val="120800384"/>
      </c:scatterChart>
      <c:valAx>
        <c:axId val="113314432"/>
        <c:scaling>
          <c:orientation val="minMax"/>
          <c:max val="2017"/>
          <c:min val="2011"/>
        </c:scaling>
        <c:delete val="0"/>
        <c:axPos val="b"/>
        <c:majorGridlines>
          <c:spPr>
            <a:ln w="9525" cap="flat" cmpd="sng" algn="ctr">
              <a:solidFill>
                <a:schemeClr val="dk1">
                  <a:lumMod val="65000"/>
                  <a:lumOff val="35000"/>
                  <a:alpha val="75000"/>
                </a:schemeClr>
              </a:solidFill>
              <a:round/>
            </a:ln>
            <a:effectLst/>
          </c:spPr>
        </c:majorGridlines>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20800384"/>
        <c:crosses val="autoZero"/>
        <c:crossBetween val="midCat"/>
      </c:valAx>
      <c:valAx>
        <c:axId val="120800384"/>
        <c:scaling>
          <c:orientation val="minMax"/>
        </c:scaling>
        <c:delete val="0"/>
        <c:axPos val="l"/>
        <c:majorGridlines>
          <c:spPr>
            <a:ln w="9525" cap="flat" cmpd="sng" algn="ctr">
              <a:solidFill>
                <a:schemeClr val="dk1">
                  <a:lumMod val="65000"/>
                  <a:lumOff val="35000"/>
                  <a:alpha val="75000"/>
                </a:schemeClr>
              </a:solidFill>
              <a:round/>
            </a:ln>
            <a:effectLst/>
          </c:spPr>
        </c:majorGridlines>
        <c:numFmt formatCode="#,##0" sourceLinked="1"/>
        <c:majorTickMark val="none"/>
        <c:minorTickMark val="none"/>
        <c:tickLblPos val="nextTo"/>
        <c:spPr>
          <a:noFill/>
          <a:ln w="9525" cap="flat" cmpd="sng" algn="ctr">
            <a:solidFill>
              <a:schemeClr val="lt1">
                <a:lumMod val="50000"/>
              </a:schemeClr>
            </a:solidFill>
            <a:round/>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113314432"/>
        <c:crosses val="autoZero"/>
        <c:crossBetween val="midCat"/>
      </c:valAx>
      <c:spPr>
        <a:noFill/>
        <a:ln>
          <a:noFill/>
        </a:ln>
        <a:effectLst/>
      </c:spPr>
    </c:plotArea>
    <c:plotVisOnly val="1"/>
    <c:dispBlanksAs val="gap"/>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18963-A35C-4BB7-A9AB-FAAFE5385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20260</Words>
  <Characters>115482</Characters>
  <Application>Microsoft Office Word</Application>
  <DocSecurity>0</DocSecurity>
  <Lines>962</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Table of Contents</vt:lpstr>
      <vt:lpstr>Table of Contents</vt:lpstr>
    </vt:vector>
  </TitlesOfParts>
  <Company>The World Bank Group</Company>
  <LinksUpToDate>false</LinksUpToDate>
  <CharactersWithSpaces>135472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Klavdiya Maksymenko</dc:creator>
  <cp:lastModifiedBy>Oleg Hincu</cp:lastModifiedBy>
  <cp:revision>3</cp:revision>
  <cp:lastPrinted>2018-02-22T06:30:00Z</cp:lastPrinted>
  <dcterms:created xsi:type="dcterms:W3CDTF">2018-03-16T12:23:00Z</dcterms:created>
  <dcterms:modified xsi:type="dcterms:W3CDTF">2018-03-16T12:26:00Z</dcterms:modified>
</cp:coreProperties>
</file>