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035898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035898">
        <w:rPr>
          <w:rFonts w:ascii="Times New Roman" w:hAnsi="Times New Roman"/>
          <w:b/>
          <w:sz w:val="26"/>
          <w:szCs w:val="26"/>
          <w:lang w:val="ro-MO"/>
        </w:rPr>
        <w:t>NOTĂ INFORMATIVĂ</w:t>
      </w:r>
    </w:p>
    <w:p w:rsidR="005B6A94" w:rsidRPr="00035898" w:rsidRDefault="005B6A94" w:rsidP="000B7E98">
      <w:pPr>
        <w:spacing w:after="0"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035898">
        <w:rPr>
          <w:rFonts w:ascii="Times New Roman" w:hAnsi="Times New Roman"/>
          <w:b/>
          <w:i/>
          <w:sz w:val="26"/>
          <w:szCs w:val="26"/>
          <w:lang w:val="ro-MO"/>
        </w:rPr>
        <w:t xml:space="preserve">la proiectul hotărârii Guvernului „Cu privire la </w:t>
      </w:r>
      <w:r w:rsidR="00E35BDD" w:rsidRPr="00035898">
        <w:rPr>
          <w:rFonts w:ascii="Times New Roman" w:hAnsi="Times New Roman"/>
          <w:b/>
          <w:i/>
          <w:sz w:val="26"/>
          <w:szCs w:val="26"/>
          <w:lang w:val="ro-MO"/>
        </w:rPr>
        <w:t>Serviciul de Stat de Arhivă</w:t>
      </w:r>
      <w:r w:rsidRPr="00035898">
        <w:rPr>
          <w:rFonts w:ascii="Times New Roman" w:hAnsi="Times New Roman"/>
          <w:b/>
          <w:i/>
          <w:sz w:val="26"/>
          <w:szCs w:val="26"/>
          <w:lang w:val="ro-MO"/>
        </w:rPr>
        <w:t>”</w:t>
      </w:r>
    </w:p>
    <w:p w:rsidR="00766A1D" w:rsidRPr="00AA73C4" w:rsidRDefault="00766A1D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5B6A94" w:rsidRPr="00F72AE6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F72AE6" w:rsidTr="002C3455">
        <w:tc>
          <w:tcPr>
            <w:tcW w:w="9360" w:type="dxa"/>
            <w:shd w:val="clear" w:color="auto" w:fill="auto"/>
          </w:tcPr>
          <w:p w:rsidR="008C6945" w:rsidRPr="00036DDF" w:rsidRDefault="008C6945" w:rsidP="008C694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Reforma administrației publice este un obiectiv prioritar asumat de Guvern în Programul de activitate pe anii 2016-2018.</w:t>
            </w:r>
          </w:p>
          <w:p w:rsidR="008C6945" w:rsidRDefault="008C6945" w:rsidP="008C694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 primă etapa de reformare a administrației publice a fost aprobarea de către Parlament a Listei ministerelor, prin Hotărârea nr.189/2017. Pentru realizarea acestor prevederi, Guvernul a restructurat administrația publică centrală de specialitate și a determinat domeniile de activitate a ministerelor prin aprobarea regulamentelor de organizare și funcționare a acestora.</w:t>
            </w:r>
          </w:p>
          <w:p w:rsidR="007108F1" w:rsidRDefault="007108F1" w:rsidP="008C694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 alt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ă etapă de reformare a administrației publice </w:t>
            </w:r>
            <w:r w:rsidR="001D0A5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 constituie inclusiv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restructurarea autorităților administrative centrale</w:t>
            </w:r>
            <w:r w:rsidR="001D0A5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din subordinea Guvernului.</w:t>
            </w:r>
          </w:p>
          <w:p w:rsidR="001D0A5D" w:rsidRPr="007108F1" w:rsidRDefault="00C47979" w:rsidP="008C694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acest sens, este de remarcat că potrivit </w:t>
            </w:r>
            <w:r w:rsidR="00311A7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pct.2 din Regulamentul privind organizarea și funcționar</w:t>
            </w:r>
            <w:r w:rsidR="00D9396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ea Serviciului de Stat de Arhivă</w:t>
            </w:r>
            <w:r w:rsidR="00311A7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aprobat prin </w:t>
            </w:r>
            <w:proofErr w:type="spellStart"/>
            <w:r w:rsidR="00311A7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Hotărîrea</w:t>
            </w:r>
            <w:proofErr w:type="spellEnd"/>
            <w:r w:rsidR="00311A7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Guvernului nr.695/14.09.</w:t>
            </w:r>
            <w:r w:rsidR="009B1A6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2012</w:t>
            </w:r>
            <w:r w:rsidR="005C051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="005C0514" w:rsidRPr="005C051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Serviciul este autoritate administrativă centrală de specialitate, subordonată Guvernului, care </w:t>
            </w:r>
            <w:r w:rsidR="005C0514" w:rsidRPr="005C0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elaborează şi promovează</w:t>
            </w:r>
            <w:r w:rsidR="005C0514" w:rsidRPr="005C051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politica statului în domeniul arhivistic.</w:t>
            </w:r>
            <w:r w:rsidR="001168B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Iar, </w:t>
            </w:r>
            <w:r w:rsidR="00254C8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conform</w:t>
            </w:r>
            <w:r w:rsidR="001168B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pct.</w:t>
            </w:r>
            <w:r w:rsidR="0040394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6 subpct.1) din Regulament, una din funcțiile de bază ale Serviciului este </w:t>
            </w:r>
            <w:r w:rsidR="0040394A" w:rsidRPr="00415619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elaborarea și implementarea</w:t>
            </w:r>
            <w:r w:rsidR="0040394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documentelor de politici în domeniul arhivistic.</w:t>
            </w:r>
          </w:p>
          <w:p w:rsidR="00CD465D" w:rsidRPr="00AA73C4" w:rsidRDefault="00BD6CBB" w:rsidP="00CD465D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Astfel, p</w:t>
            </w:r>
            <w:r w:rsidR="00B84705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otrivit</w:t>
            </w:r>
            <w:r w:rsidR="00CD465D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Legii nr.98/2012 privind administrația publică centrală de specialitate, unul din principiile fundamentale de organizare și funcționare a administrației publice centrale de specialitate este </w:t>
            </w:r>
            <w:r w:rsidR="00CD465D" w:rsidRPr="00AA73C4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delimitarea funcțiilor de elaborare și de promovarea a politicilor</w:t>
            </w:r>
            <w:r w:rsidR="00CD465D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</w:t>
            </w:r>
            <w:r w:rsidR="00CD465D" w:rsidRPr="00AA73C4">
              <w:rPr>
                <w:rFonts w:ascii="Times New Roman" w:hAnsi="Times New Roman" w:cs="Times New Roman"/>
                <w:sz w:val="26"/>
                <w:szCs w:val="26"/>
                <w:u w:val="single"/>
                <w:lang w:val="ro-MO"/>
              </w:rPr>
              <w:t>funcțiile de implementare a politicilor</w:t>
            </w:r>
            <w:r w:rsidR="00CD465D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</w:p>
          <w:p w:rsidR="007108F1" w:rsidRPr="003B0C01" w:rsidRDefault="007108F1" w:rsidP="007108F1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80FB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Prin urmare, </w:t>
            </w:r>
            <w:r w:rsidR="002A504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pentru asigurarea conformității cu principiile de organizare și funcționare</w:t>
            </w:r>
            <w:r w:rsidR="00ED7728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administrației publice centrale, se propune ca elaborarea politicii în domeniul </w:t>
            </w:r>
            <w:r w:rsidR="00D267B2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arhivistic să fie da</w:t>
            </w:r>
            <w:r w:rsidR="004D08A1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t</w:t>
            </w:r>
            <w:r w:rsidR="0036101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ă</w:t>
            </w:r>
            <w:r w:rsidR="004D08A1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în sfera de competență a Ministerului Justiției</w:t>
            </w:r>
            <w:r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iar Agenția </w:t>
            </w:r>
            <w:r w:rsidR="004D08A1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Națională a Arhivelor</w:t>
            </w:r>
            <w:r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ca autoritate administrativă în subordinea </w:t>
            </w:r>
            <w:r w:rsidR="0036101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acestui minister</w:t>
            </w:r>
            <w:r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</w:t>
            </w:r>
            <w:r w:rsidR="0036101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să fie </w:t>
            </w:r>
            <w:r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abilitată cu funcția de implementare politici</w:t>
            </w:r>
            <w:r w:rsidR="00011FA8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lor în domeniul arhivistic</w:t>
            </w:r>
            <w:r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047B2F" w:rsidRPr="003B0C01" w:rsidRDefault="0017722D" w:rsidP="00047B2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Acest fapt, </w:t>
            </w:r>
            <w:r w:rsidR="009518EA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corespunde conceptului reformei administrației publice</w:t>
            </w:r>
            <w:r w:rsidR="00237DED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</w:t>
            </w:r>
            <w:r w:rsidR="009518EA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cu referire la t</w:t>
            </w:r>
            <w:r w:rsidR="006A3C4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ra</w:t>
            </w:r>
            <w:r w:rsidR="00047B2F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nsfer</w:t>
            </w:r>
            <w:r w:rsidR="0036101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ul</w:t>
            </w:r>
            <w:r w:rsidR="00047B2F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6A3C4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Serviciului de Stat de Arhivă</w:t>
            </w:r>
            <w:r w:rsidR="00047B2F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în sfera de competență a </w:t>
            </w:r>
            <w:r w:rsidR="00212EF0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Ministerului </w:t>
            </w:r>
            <w:r w:rsidR="006A3C4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Justiției</w:t>
            </w:r>
            <w:r w:rsidR="00670EF9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  <w:r w:rsidR="00047B2F" w:rsidRPr="003B0C0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670EF9" w:rsidRPr="00F066F5" w:rsidRDefault="00670EF9" w:rsidP="006B1C51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F72AE6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5B6A94" w:rsidRPr="00F72AE6" w:rsidTr="002C3455">
        <w:tc>
          <w:tcPr>
            <w:tcW w:w="9360" w:type="dxa"/>
            <w:shd w:val="clear" w:color="auto" w:fill="auto"/>
          </w:tcPr>
          <w:p w:rsidR="00656E5D" w:rsidRPr="00656E5D" w:rsidRDefault="00656E5D" w:rsidP="00EA7866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0"/>
                <w:szCs w:val="28"/>
                <w:lang w:val="ro-MO"/>
              </w:rPr>
            </w:pPr>
          </w:p>
          <w:p w:rsidR="00EA7866" w:rsidRPr="00104597" w:rsidRDefault="00EA7866" w:rsidP="00EA7866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scopul </w:t>
            </w:r>
            <w:r w:rsidR="0081325A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asigurării conformității cu principiile de organizare și funcționare a administrației publice centrale, precum și conceptului reformei administrației publice</w:t>
            </w:r>
            <w:r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a fost elaborat proiectul </w:t>
            </w:r>
            <w:r w:rsidR="00547CEC" w:rsidRPr="00104597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hotărârii Guvernului ,,</w:t>
            </w:r>
            <w:r w:rsidR="00547CEC" w:rsidRPr="00104597">
              <w:rPr>
                <w:rFonts w:ascii="Times New Roman" w:hAnsi="Times New Roman"/>
                <w:i/>
                <w:sz w:val="26"/>
                <w:szCs w:val="26"/>
                <w:lang w:val="ro-MO"/>
              </w:rPr>
              <w:t>Cu privire la Serviciul de Stat de Arhivă</w:t>
            </w:r>
            <w:r w:rsidR="002B0CDE" w:rsidRPr="00104597">
              <w:rPr>
                <w:rFonts w:ascii="Times New Roman" w:hAnsi="Times New Roman"/>
                <w:i/>
                <w:sz w:val="26"/>
                <w:szCs w:val="26"/>
                <w:lang w:val="ro-MO"/>
              </w:rPr>
              <w:t>”</w:t>
            </w:r>
            <w:r w:rsidRPr="00104597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.</w:t>
            </w:r>
          </w:p>
          <w:p w:rsidR="00344B5D" w:rsidRPr="00104597" w:rsidRDefault="00EA7866" w:rsidP="00D042FE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</w:t>
            </w:r>
            <w:r w:rsidR="00CE5804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stfel, proiectul </w:t>
            </w:r>
            <w:r w:rsidR="00344B5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vizează:</w:t>
            </w:r>
          </w:p>
          <w:p w:rsidR="0070193D" w:rsidRPr="00104597" w:rsidRDefault="003F50DB" w:rsidP="0070193D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I. </w:t>
            </w:r>
            <w:r w:rsidR="00344B5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</w:t>
            </w:r>
            <w:r w:rsidR="006A114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eorganizarea prin transformare a </w:t>
            </w:r>
            <w:r w:rsidR="007B0C08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Serviciului de Stat de Arhivă </w:t>
            </w:r>
            <w:r w:rsidR="006A114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din autoritate administrativă centrală în su</w:t>
            </w:r>
            <w:r w:rsidR="005E4126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bordinea </w:t>
            </w:r>
            <w:r w:rsidR="005342CE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Guvernului</w:t>
            </w:r>
            <w:r w:rsidR="005E4126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în </w:t>
            </w:r>
            <w:r w:rsidR="007B0C08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Agenția Națională a Arhivelor - </w:t>
            </w:r>
            <w:r w:rsidR="005E4126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autoritate</w:t>
            </w:r>
            <w:r w:rsidR="006A114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administrativă în subordinea Ministerului </w:t>
            </w:r>
            <w:r w:rsidR="00F72AE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Justiț</w:t>
            </w:r>
            <w:bookmarkStart w:id="0" w:name="_GoBack"/>
            <w:bookmarkEnd w:id="0"/>
            <w:r w:rsidR="00F72AE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iei</w:t>
            </w:r>
            <w:r w:rsidR="006A114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70193D" w:rsidRPr="00104597" w:rsidRDefault="00D876EA" w:rsidP="0070193D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</w:t>
            </w:r>
            <w:r w:rsidR="007B6E7E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entru a asigura co</w:t>
            </w:r>
            <w:r w:rsidR="00337804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ntinuitatea conducerii Agenției, </w:t>
            </w:r>
            <w:proofErr w:type="spellStart"/>
            <w:r w:rsidR="00337804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pînă</w:t>
            </w:r>
            <w:proofErr w:type="spellEnd"/>
            <w:r w:rsidR="00337804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la </w:t>
            </w:r>
            <w:r w:rsidR="00FC1DC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numirea</w:t>
            </w:r>
            <w:r w:rsidR="00337804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directorului</w:t>
            </w:r>
            <w:r w:rsidR="0070193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</w:t>
            </w:r>
            <w:r w:rsidR="00E6368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la punctul 3</w:t>
            </w:r>
            <w:r w:rsidR="00337804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din proiect se propune </w:t>
            </w:r>
            <w:r w:rsidR="00FC1DC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ca </w:t>
            </w:r>
            <w:r w:rsidR="0070193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exercitarea împuternicirilor de conducere </w:t>
            </w:r>
            <w:r w:rsidR="00FC1DC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 Agenției să fie realizate </w:t>
            </w:r>
            <w:r w:rsidR="008507F6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continuare </w:t>
            </w:r>
            <w:r w:rsidR="0070193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de către </w:t>
            </w:r>
            <w:r w:rsidR="00454AA7" w:rsidRPr="0010459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directorul general al Serviciului de Stat de Arhivă</w:t>
            </w:r>
            <w:r w:rsidR="0070193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7B6E7E" w:rsidRPr="00104597" w:rsidRDefault="004F1A73" w:rsidP="009B6B8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Este de remarcat, că potrivit art.9</w:t>
            </w:r>
            <w:r w:rsidR="00E96DA8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alin.(1) litera a</w:t>
            </w:r>
            <w:r w:rsidR="00DF52B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) din Legea nr.158/2008</w:t>
            </w:r>
            <w:r w:rsidR="00E16D9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cu privire la funcția publică și statutul funcționarului public</w:t>
            </w:r>
            <w:r w:rsidR="00DF52BD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conducătorul și adjunctul conducătorului </w:t>
            </w:r>
            <w:r w:rsidR="00020B8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organul</w:t>
            </w:r>
            <w:r w:rsidR="00D43B6A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ui</w:t>
            </w:r>
            <w:r w:rsidR="00020B8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din subordinea ministerelor face parte din categoria func</w:t>
            </w:r>
            <w:r w:rsidR="002E0E6C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ționarilor publici de conducere.</w:t>
            </w:r>
          </w:p>
          <w:p w:rsidR="00716388" w:rsidRPr="00104597" w:rsidRDefault="00D43B6A" w:rsidP="00716388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lastRenderedPageBreak/>
              <w:t xml:space="preserve">Prin urmare, </w:t>
            </w:r>
            <w:r w:rsidR="009A3890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ocuparea funcției de director al Agenției </w:t>
            </w:r>
            <w:r w:rsidR="00615B2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Naționale</w:t>
            </w:r>
            <w:r w:rsidR="00EB382B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Arhivelor </w:t>
            </w:r>
            <w:r w:rsidR="00E16D9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se va realiza </w:t>
            </w:r>
            <w:r w:rsidR="00E6368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prin</w:t>
            </w:r>
            <w:r w:rsidR="00E16D9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modalitățile</w:t>
            </w:r>
            <w:r w:rsidR="0072150B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statuat</w:t>
            </w:r>
            <w:r w:rsidR="00E16D9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 la art.28 din Legea nr.158/200</w:t>
            </w:r>
            <w:r w:rsidR="0072150B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8</w:t>
            </w:r>
            <w:r w:rsidR="00E6368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00464C" w:rsidRPr="00104597" w:rsidRDefault="00E6368F" w:rsidP="0000464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</w:t>
            </w:r>
            <w:r w:rsidR="00673329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acest sens, la pct.4</w:t>
            </w:r>
            <w:r w:rsidR="00461087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din proiect</w:t>
            </w:r>
            <w:r w:rsidR="008507F6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</w:t>
            </w:r>
            <w:r w:rsidR="00461087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se pune în sarcina Ministerul</w:t>
            </w:r>
            <w:r w:rsidR="00615B2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ui Justiției</w:t>
            </w:r>
            <w:r w:rsidR="00461087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să inițieze </w:t>
            </w:r>
            <w:r w:rsidR="00EE22C1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procedurile </w:t>
            </w:r>
            <w:r w:rsidR="00716388" w:rsidRPr="00104597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>legale necesare pentru ocuparea funcției de director al Agenției</w:t>
            </w:r>
            <w:r w:rsidR="00615B2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Naționale a Arhivelor</w:t>
            </w:r>
            <w:r w:rsidR="00716388" w:rsidRPr="00104597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>.</w:t>
            </w:r>
          </w:p>
          <w:p w:rsidR="0000464C" w:rsidRPr="00104597" w:rsidRDefault="00EE22C1" w:rsidP="0000464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</w:pPr>
            <w:r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După numirea direc</w:t>
            </w:r>
            <w:r w:rsidR="00615B2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torului Agenției, în termen de 3</w:t>
            </w:r>
            <w:r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0 zile</w:t>
            </w:r>
            <w:r w:rsidR="0000464C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</w:t>
            </w:r>
            <w:r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00464C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Ministerul </w:t>
            </w:r>
            <w:r w:rsidR="00615B2F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Justiției</w:t>
            </w:r>
            <w:r w:rsidR="0000464C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D410E2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v</w:t>
            </w:r>
            <w:r w:rsidR="0000464C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 prezenta </w:t>
            </w:r>
            <w:r w:rsidR="0000464C" w:rsidRPr="00104597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 xml:space="preserve">Guvernului spre examinare, în modul stabilit, structura, efectivul-limită şi regulamentul de organizare şi funcţionare a Agenției </w:t>
            </w:r>
            <w:r w:rsidR="00C5223B" w:rsidRPr="0010459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Naționale a Arhivelor</w:t>
            </w:r>
            <w:r w:rsidR="00F904E6" w:rsidRPr="00104597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 xml:space="preserve"> în conformitate cu art.15 din Legea nr.98/2012 privind administrația publică centrală de specialitate.</w:t>
            </w:r>
          </w:p>
          <w:p w:rsidR="00D876EA" w:rsidRPr="002A6C8A" w:rsidRDefault="00D876EA" w:rsidP="0000464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</w:pPr>
            <w:r w:rsidRPr="002A6C8A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 xml:space="preserve">Totodată, proiectul de </w:t>
            </w:r>
            <w:proofErr w:type="spellStart"/>
            <w:r w:rsidRPr="002A6C8A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>hotărîre</w:t>
            </w:r>
            <w:proofErr w:type="spellEnd"/>
            <w:r w:rsidRPr="002A6C8A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 xml:space="preserve"> prevede reglementări privind personalul </w:t>
            </w:r>
            <w:r w:rsidR="002A6C8A" w:rsidRPr="002A6C8A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Serviciului de Stat de Arhivă</w:t>
            </w:r>
            <w:r w:rsidRPr="002A6C8A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 xml:space="preserve"> (pct.2 din proiect).</w:t>
            </w:r>
          </w:p>
          <w:p w:rsidR="00104597" w:rsidRPr="002A6C8A" w:rsidRDefault="00104597" w:rsidP="0000464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</w:pPr>
          </w:p>
          <w:p w:rsidR="00C5223B" w:rsidRPr="00880893" w:rsidRDefault="003F50DB" w:rsidP="0000464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880893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 xml:space="preserve">II. </w:t>
            </w:r>
            <w:r w:rsidR="00C5223B" w:rsidRPr="00880893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>Suplimentar,</w:t>
            </w:r>
            <w:r w:rsidR="00E42BFB" w:rsidRPr="00880893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 xml:space="preserve"> proiectul prevede la pct.5</w:t>
            </w:r>
            <w:r w:rsidRPr="0088089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modificări la </w:t>
            </w:r>
            <w:proofErr w:type="spellStart"/>
            <w:r w:rsidRPr="0088089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Hotărîrea</w:t>
            </w:r>
            <w:proofErr w:type="spellEnd"/>
            <w:r w:rsidRPr="0088089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Guvernului nr.698 din 30 august 2017 “Cu privire la organizarea şi funcţionarea Ministerului Justiției”</w:t>
            </w:r>
            <w:r w:rsidR="00E42BFB" w:rsidRPr="0088089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</w:t>
            </w:r>
            <w:proofErr w:type="spellStart"/>
            <w:r w:rsidR="00C5223B" w:rsidRPr="00880893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>avînd</w:t>
            </w:r>
            <w:proofErr w:type="spellEnd"/>
            <w:r w:rsidR="00C5223B" w:rsidRPr="00880893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 xml:space="preserve"> în vedere că </w:t>
            </w:r>
            <w:r w:rsidR="00104597" w:rsidRPr="0088089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elaborarea politicii în domeniul arhivistic este dată în sfera de competență a Ministerului Justiției</w:t>
            </w:r>
            <w:r w:rsidR="00E42BFB" w:rsidRPr="0088089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51001B" w:rsidRPr="00880893" w:rsidRDefault="00E42BFB" w:rsidP="0000464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88089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Acest fapt presupune necesitatea fortificării resurselor și capacităților acestui minister. În acest context, se propune majorarea efectivului – limită cu două unități de personal. De asemenea</w:t>
            </w:r>
            <w:r w:rsidR="00614E88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</w:t>
            </w:r>
            <w:r w:rsidRPr="0088089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se propune și completarea </w:t>
            </w:r>
            <w:r w:rsidR="0051001B" w:rsidRPr="0088089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domeniilor de activitate a acestui minister cu politicile în sfera</w:t>
            </w:r>
            <w:r w:rsidR="00880893" w:rsidRPr="00880893">
              <w:rPr>
                <w:rFonts w:ascii="Times New Roman" w:hAnsi="Times New Roman" w:cs="Times New Roman"/>
                <w:sz w:val="26"/>
                <w:szCs w:val="26"/>
                <w:lang w:val="ro-MO" w:eastAsia="ru-RU"/>
              </w:rPr>
              <w:t xml:space="preserve"> ,,arhivă și ținerea lucrărilor de secretariat”.</w:t>
            </w:r>
          </w:p>
          <w:p w:rsidR="006251D4" w:rsidRPr="00F066F5" w:rsidRDefault="006251D4" w:rsidP="00C814B3">
            <w:pPr>
              <w:pStyle w:val="NoSpacing"/>
              <w:ind w:firstLine="549"/>
              <w:jc w:val="both"/>
              <w:rPr>
                <w:rFonts w:ascii="Times New Roman" w:hAnsi="Times New Roman"/>
                <w:sz w:val="14"/>
                <w:szCs w:val="26"/>
                <w:lang w:val="ro-MO"/>
              </w:rPr>
            </w:pPr>
          </w:p>
        </w:tc>
      </w:tr>
      <w:tr w:rsidR="005B6A94" w:rsidRPr="00F72AE6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F72AE6" w:rsidTr="002C3455">
        <w:tc>
          <w:tcPr>
            <w:tcW w:w="9360" w:type="dxa"/>
            <w:shd w:val="clear" w:color="auto" w:fill="auto"/>
          </w:tcPr>
          <w:p w:rsidR="005B6A94" w:rsidRPr="00330406" w:rsidRDefault="005B6A94" w:rsidP="00366FD7">
            <w:pPr>
              <w:spacing w:after="120"/>
              <w:ind w:firstLine="778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330406">
              <w:rPr>
                <w:rFonts w:ascii="Times New Roman" w:hAnsi="Times New Roman"/>
                <w:sz w:val="26"/>
                <w:szCs w:val="26"/>
                <w:lang w:val="ro-MO"/>
              </w:rPr>
              <w:t>Prezentul proiect de nu contravine legislației Uniunii Europene.</w:t>
            </w:r>
          </w:p>
        </w:tc>
      </w:tr>
      <w:tr w:rsidR="005B6A94" w:rsidRPr="00AA73C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F72AE6" w:rsidTr="002C3455">
        <w:tc>
          <w:tcPr>
            <w:tcW w:w="9360" w:type="dxa"/>
            <w:shd w:val="clear" w:color="auto" w:fill="auto"/>
          </w:tcPr>
          <w:p w:rsidR="005B6A94" w:rsidRPr="008B5963" w:rsidRDefault="005B6A94" w:rsidP="008B5963">
            <w:pPr>
              <w:pStyle w:val="NoSpacing"/>
              <w:ind w:firstLine="549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8B59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Implementarea prevederilor proiectului nu necesită cheltuieli financiare suplimentare </w:t>
            </w:r>
            <w:r w:rsidR="00A82402" w:rsidRPr="008B5963">
              <w:rPr>
                <w:rFonts w:ascii="Times New Roman" w:hAnsi="Times New Roman"/>
                <w:sz w:val="26"/>
                <w:szCs w:val="26"/>
                <w:lang w:val="ro-MO"/>
              </w:rPr>
              <w:t>din bugetul de stat</w:t>
            </w:r>
            <w:r w:rsidR="00B52CE1" w:rsidRPr="008B59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, </w:t>
            </w:r>
            <w:r w:rsidR="002A6C8A" w:rsidRPr="008B5963">
              <w:rPr>
                <w:rFonts w:ascii="Times New Roman" w:hAnsi="Times New Roman"/>
                <w:sz w:val="26"/>
                <w:szCs w:val="26"/>
                <w:lang w:val="ro-MO"/>
              </w:rPr>
              <w:t>întrucât</w:t>
            </w:r>
            <w:r w:rsidR="00942443" w:rsidRPr="008B59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acestea vor fi </w:t>
            </w:r>
            <w:r w:rsidR="00B52CE1" w:rsidRPr="008B59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acoperite prin redistribuirea alocațiilor prevăzute </w:t>
            </w:r>
            <w:r w:rsidR="00B52CE1" w:rsidRPr="008B5963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MO"/>
              </w:rPr>
              <w:t xml:space="preserve">în </w:t>
            </w:r>
            <w:r w:rsidR="00942443" w:rsidRPr="008B5963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MO"/>
              </w:rPr>
              <w:t>bugetul autorității supuse reorganizării.</w:t>
            </w:r>
            <w:r w:rsidR="00B52CE1" w:rsidRPr="008B5963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MO"/>
              </w:rPr>
              <w:t> </w:t>
            </w:r>
            <w:r w:rsidR="009A0C27" w:rsidRPr="008B5963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MO"/>
              </w:rPr>
              <w:t xml:space="preserve">În acest sens, pct.6 din proiect pune în sarcina </w:t>
            </w:r>
            <w:r w:rsidR="009A0C27" w:rsidRPr="008B59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Ministerul</w:t>
            </w:r>
            <w:r w:rsidR="008B5963" w:rsidRPr="008B59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ui</w:t>
            </w:r>
            <w:r w:rsidR="009A0C27" w:rsidRPr="008B59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Finanţelor</w:t>
            </w:r>
            <w:r w:rsidR="008B5963" w:rsidRPr="008B59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redistribuirea alocaţiilor</w:t>
            </w:r>
            <w:r w:rsidR="00E162F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bugetare</w:t>
            </w:r>
            <w:r w:rsidR="008B5963" w:rsidRPr="008B59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</w:t>
            </w:r>
            <w:r w:rsidR="009A0C27" w:rsidRPr="008B59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conform propunerilor Ministerului Justiției, ca urmare a reorganizării Serviciului de Stat de Arhivă</w:t>
            </w:r>
            <w:r w:rsidR="008B5963" w:rsidRPr="008B59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  <w:r w:rsidR="009A0C27" w:rsidRPr="008B596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</w:tc>
      </w:tr>
    </w:tbl>
    <w:p w:rsidR="005B6A94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FB12DF" w:rsidRDefault="00FB12DF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FB12DF" w:rsidRPr="00AA73C4" w:rsidRDefault="00FB12DF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A4ECF" w:rsidRPr="00035898" w:rsidRDefault="00CA4ECF" w:rsidP="00CA4ECF">
      <w:pPr>
        <w:pStyle w:val="NoSpacing"/>
        <w:rPr>
          <w:rFonts w:ascii="Times New Roman" w:hAnsi="Times New Roman" w:cs="Times New Roman"/>
          <w:sz w:val="26"/>
          <w:szCs w:val="26"/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035898">
        <w:rPr>
          <w:rFonts w:ascii="Times New Roman" w:hAnsi="Times New Roman" w:cs="Times New Roman"/>
          <w:sz w:val="26"/>
          <w:szCs w:val="26"/>
          <w:lang w:val="ro-MO"/>
        </w:rPr>
        <w:t>Director                                                                                     Iurie CIOCAN</w:t>
      </w:r>
    </w:p>
    <w:p w:rsidR="00CA4ECF" w:rsidRPr="00035898" w:rsidRDefault="00CA4ECF" w:rsidP="005B6A94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035898">
        <w:rPr>
          <w:rFonts w:ascii="Times New Roman" w:hAnsi="Times New Roman" w:cs="Times New Roman"/>
          <w:sz w:val="26"/>
          <w:szCs w:val="26"/>
          <w:lang w:val="ro-MO"/>
        </w:rPr>
        <w:t xml:space="preserve">al Centrului de Implementare a  Reformelor                                      </w:t>
      </w:r>
    </w:p>
    <w:p w:rsidR="00F67792" w:rsidRPr="00AA73C4" w:rsidRDefault="005B6A94" w:rsidP="00A96FDA">
      <w:pPr>
        <w:pStyle w:val="NoSpacing"/>
        <w:jc w:val="both"/>
        <w:rPr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AA73C4" w:rsidSect="00FE5445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464C"/>
    <w:rsid w:val="0000757E"/>
    <w:rsid w:val="00011FA8"/>
    <w:rsid w:val="00020B8F"/>
    <w:rsid w:val="00024362"/>
    <w:rsid w:val="00035898"/>
    <w:rsid w:val="00036C50"/>
    <w:rsid w:val="00036DDF"/>
    <w:rsid w:val="00040179"/>
    <w:rsid w:val="00047B2F"/>
    <w:rsid w:val="00056C49"/>
    <w:rsid w:val="00071442"/>
    <w:rsid w:val="00071F39"/>
    <w:rsid w:val="00092D5F"/>
    <w:rsid w:val="000B7E98"/>
    <w:rsid w:val="000D118A"/>
    <w:rsid w:val="000D2111"/>
    <w:rsid w:val="00104597"/>
    <w:rsid w:val="00106395"/>
    <w:rsid w:val="00107E40"/>
    <w:rsid w:val="001111AC"/>
    <w:rsid w:val="001168B1"/>
    <w:rsid w:val="00134C7C"/>
    <w:rsid w:val="00142304"/>
    <w:rsid w:val="00147B1C"/>
    <w:rsid w:val="0017722D"/>
    <w:rsid w:val="00181ABA"/>
    <w:rsid w:val="00193943"/>
    <w:rsid w:val="001B2095"/>
    <w:rsid w:val="001C721B"/>
    <w:rsid w:val="001D0A5D"/>
    <w:rsid w:val="001D746A"/>
    <w:rsid w:val="001E362B"/>
    <w:rsid w:val="001E591D"/>
    <w:rsid w:val="0020762E"/>
    <w:rsid w:val="00212EF0"/>
    <w:rsid w:val="002230B2"/>
    <w:rsid w:val="00237DED"/>
    <w:rsid w:val="00250952"/>
    <w:rsid w:val="00251C46"/>
    <w:rsid w:val="00254C8B"/>
    <w:rsid w:val="00263529"/>
    <w:rsid w:val="00281139"/>
    <w:rsid w:val="00281E75"/>
    <w:rsid w:val="002A504D"/>
    <w:rsid w:val="002A6C8A"/>
    <w:rsid w:val="002A7F68"/>
    <w:rsid w:val="002B0CDE"/>
    <w:rsid w:val="002C0A44"/>
    <w:rsid w:val="002D43A4"/>
    <w:rsid w:val="002E0E6C"/>
    <w:rsid w:val="00303830"/>
    <w:rsid w:val="00311A7F"/>
    <w:rsid w:val="00314095"/>
    <w:rsid w:val="00323427"/>
    <w:rsid w:val="00330406"/>
    <w:rsid w:val="00332CDE"/>
    <w:rsid w:val="00336086"/>
    <w:rsid w:val="00337804"/>
    <w:rsid w:val="00344B5D"/>
    <w:rsid w:val="00344BE2"/>
    <w:rsid w:val="0035504B"/>
    <w:rsid w:val="00361016"/>
    <w:rsid w:val="00363AB5"/>
    <w:rsid w:val="00366FD7"/>
    <w:rsid w:val="00371499"/>
    <w:rsid w:val="00392233"/>
    <w:rsid w:val="00394FAC"/>
    <w:rsid w:val="003A4D14"/>
    <w:rsid w:val="003B0927"/>
    <w:rsid w:val="003B0C01"/>
    <w:rsid w:val="003B741B"/>
    <w:rsid w:val="003C049D"/>
    <w:rsid w:val="003D7C72"/>
    <w:rsid w:val="003E0A6E"/>
    <w:rsid w:val="003E682F"/>
    <w:rsid w:val="003E686D"/>
    <w:rsid w:val="003F4981"/>
    <w:rsid w:val="003F50DB"/>
    <w:rsid w:val="0040256E"/>
    <w:rsid w:val="0040394A"/>
    <w:rsid w:val="00415619"/>
    <w:rsid w:val="00417B12"/>
    <w:rsid w:val="004401DB"/>
    <w:rsid w:val="00445580"/>
    <w:rsid w:val="00454AA7"/>
    <w:rsid w:val="00461087"/>
    <w:rsid w:val="00481193"/>
    <w:rsid w:val="00487747"/>
    <w:rsid w:val="0049661F"/>
    <w:rsid w:val="004A7C7E"/>
    <w:rsid w:val="004B3E21"/>
    <w:rsid w:val="004D08A1"/>
    <w:rsid w:val="004E68C5"/>
    <w:rsid w:val="004F1A73"/>
    <w:rsid w:val="004F4094"/>
    <w:rsid w:val="004F6607"/>
    <w:rsid w:val="0051001B"/>
    <w:rsid w:val="005141E3"/>
    <w:rsid w:val="005171ED"/>
    <w:rsid w:val="0052386C"/>
    <w:rsid w:val="005247A9"/>
    <w:rsid w:val="005340F2"/>
    <w:rsid w:val="005342CE"/>
    <w:rsid w:val="00537706"/>
    <w:rsid w:val="00547CEC"/>
    <w:rsid w:val="0056337A"/>
    <w:rsid w:val="0058409C"/>
    <w:rsid w:val="005862BC"/>
    <w:rsid w:val="005B6A94"/>
    <w:rsid w:val="005C0514"/>
    <w:rsid w:val="005C1D73"/>
    <w:rsid w:val="005C55E0"/>
    <w:rsid w:val="005C7297"/>
    <w:rsid w:val="005D0544"/>
    <w:rsid w:val="005E3BBB"/>
    <w:rsid w:val="005E4126"/>
    <w:rsid w:val="005F263C"/>
    <w:rsid w:val="005F2DD3"/>
    <w:rsid w:val="00614E88"/>
    <w:rsid w:val="00615B2F"/>
    <w:rsid w:val="00617FC6"/>
    <w:rsid w:val="00624F20"/>
    <w:rsid w:val="006251D4"/>
    <w:rsid w:val="0063059D"/>
    <w:rsid w:val="00632904"/>
    <w:rsid w:val="006355B3"/>
    <w:rsid w:val="006526D0"/>
    <w:rsid w:val="006527B3"/>
    <w:rsid w:val="00656E5D"/>
    <w:rsid w:val="006627C5"/>
    <w:rsid w:val="00670EF9"/>
    <w:rsid w:val="00673329"/>
    <w:rsid w:val="00680BB7"/>
    <w:rsid w:val="006A114D"/>
    <w:rsid w:val="006A3C42"/>
    <w:rsid w:val="006B1C51"/>
    <w:rsid w:val="006B333B"/>
    <w:rsid w:val="006B7036"/>
    <w:rsid w:val="006B7E6B"/>
    <w:rsid w:val="006C27F1"/>
    <w:rsid w:val="006D7330"/>
    <w:rsid w:val="0070193D"/>
    <w:rsid w:val="007108F1"/>
    <w:rsid w:val="00716388"/>
    <w:rsid w:val="007206D3"/>
    <w:rsid w:val="0072150B"/>
    <w:rsid w:val="00727903"/>
    <w:rsid w:val="00740FA3"/>
    <w:rsid w:val="00753156"/>
    <w:rsid w:val="0075722B"/>
    <w:rsid w:val="007653E2"/>
    <w:rsid w:val="00766A1D"/>
    <w:rsid w:val="007B0C08"/>
    <w:rsid w:val="007B6E7E"/>
    <w:rsid w:val="007C12A9"/>
    <w:rsid w:val="007C242B"/>
    <w:rsid w:val="007E68AD"/>
    <w:rsid w:val="007E6ECD"/>
    <w:rsid w:val="008025A4"/>
    <w:rsid w:val="0080440B"/>
    <w:rsid w:val="0080641E"/>
    <w:rsid w:val="0081325A"/>
    <w:rsid w:val="00825A4F"/>
    <w:rsid w:val="00840919"/>
    <w:rsid w:val="008452C9"/>
    <w:rsid w:val="0085073D"/>
    <w:rsid w:val="008507F6"/>
    <w:rsid w:val="008509BE"/>
    <w:rsid w:val="00880893"/>
    <w:rsid w:val="008A5565"/>
    <w:rsid w:val="008B5963"/>
    <w:rsid w:val="008C6945"/>
    <w:rsid w:val="008F5CC2"/>
    <w:rsid w:val="009219DD"/>
    <w:rsid w:val="00922326"/>
    <w:rsid w:val="0092288F"/>
    <w:rsid w:val="00941E99"/>
    <w:rsid w:val="00942443"/>
    <w:rsid w:val="009518EA"/>
    <w:rsid w:val="0096161A"/>
    <w:rsid w:val="009736C4"/>
    <w:rsid w:val="00980FBE"/>
    <w:rsid w:val="00986C63"/>
    <w:rsid w:val="00992E4C"/>
    <w:rsid w:val="00997AB6"/>
    <w:rsid w:val="009A0C27"/>
    <w:rsid w:val="009A3890"/>
    <w:rsid w:val="009B1A6A"/>
    <w:rsid w:val="009B6B8F"/>
    <w:rsid w:val="009B72AA"/>
    <w:rsid w:val="00A43848"/>
    <w:rsid w:val="00A55156"/>
    <w:rsid w:val="00A65E11"/>
    <w:rsid w:val="00A665B2"/>
    <w:rsid w:val="00A767C7"/>
    <w:rsid w:val="00A82402"/>
    <w:rsid w:val="00A84B2F"/>
    <w:rsid w:val="00A864D1"/>
    <w:rsid w:val="00A9028C"/>
    <w:rsid w:val="00A96FDA"/>
    <w:rsid w:val="00AA29B9"/>
    <w:rsid w:val="00AA35DC"/>
    <w:rsid w:val="00AA73C4"/>
    <w:rsid w:val="00AB2245"/>
    <w:rsid w:val="00AB71CA"/>
    <w:rsid w:val="00AD4C0B"/>
    <w:rsid w:val="00AD7FE1"/>
    <w:rsid w:val="00B101AA"/>
    <w:rsid w:val="00B1207E"/>
    <w:rsid w:val="00B21F76"/>
    <w:rsid w:val="00B526EF"/>
    <w:rsid w:val="00B52CE1"/>
    <w:rsid w:val="00B84705"/>
    <w:rsid w:val="00BC0A05"/>
    <w:rsid w:val="00BD36D5"/>
    <w:rsid w:val="00BD6CBB"/>
    <w:rsid w:val="00C035B7"/>
    <w:rsid w:val="00C16CCB"/>
    <w:rsid w:val="00C20F99"/>
    <w:rsid w:val="00C215DD"/>
    <w:rsid w:val="00C25CE2"/>
    <w:rsid w:val="00C315FE"/>
    <w:rsid w:val="00C36009"/>
    <w:rsid w:val="00C47979"/>
    <w:rsid w:val="00C5223B"/>
    <w:rsid w:val="00C77266"/>
    <w:rsid w:val="00C814B3"/>
    <w:rsid w:val="00C85DF9"/>
    <w:rsid w:val="00CA47C0"/>
    <w:rsid w:val="00CA4ECF"/>
    <w:rsid w:val="00CA7FB5"/>
    <w:rsid w:val="00CB40AF"/>
    <w:rsid w:val="00CB5D92"/>
    <w:rsid w:val="00CC23EE"/>
    <w:rsid w:val="00CD465D"/>
    <w:rsid w:val="00CE5804"/>
    <w:rsid w:val="00D042FE"/>
    <w:rsid w:val="00D1315C"/>
    <w:rsid w:val="00D267B2"/>
    <w:rsid w:val="00D27051"/>
    <w:rsid w:val="00D410E2"/>
    <w:rsid w:val="00D43B6A"/>
    <w:rsid w:val="00D64413"/>
    <w:rsid w:val="00D77366"/>
    <w:rsid w:val="00D876EA"/>
    <w:rsid w:val="00D9396B"/>
    <w:rsid w:val="00DA2FA2"/>
    <w:rsid w:val="00DB7216"/>
    <w:rsid w:val="00DD0923"/>
    <w:rsid w:val="00DE0DDE"/>
    <w:rsid w:val="00DF52BD"/>
    <w:rsid w:val="00E04FC4"/>
    <w:rsid w:val="00E162F0"/>
    <w:rsid w:val="00E16D9F"/>
    <w:rsid w:val="00E34950"/>
    <w:rsid w:val="00E35BDD"/>
    <w:rsid w:val="00E42BFB"/>
    <w:rsid w:val="00E437A7"/>
    <w:rsid w:val="00E611FB"/>
    <w:rsid w:val="00E6368F"/>
    <w:rsid w:val="00E6540D"/>
    <w:rsid w:val="00E87BE6"/>
    <w:rsid w:val="00E92F49"/>
    <w:rsid w:val="00E96DA8"/>
    <w:rsid w:val="00EA7866"/>
    <w:rsid w:val="00EB0FA6"/>
    <w:rsid w:val="00EB382B"/>
    <w:rsid w:val="00EC659B"/>
    <w:rsid w:val="00EC6CDD"/>
    <w:rsid w:val="00ED7728"/>
    <w:rsid w:val="00EE0A17"/>
    <w:rsid w:val="00EE22C1"/>
    <w:rsid w:val="00F066F5"/>
    <w:rsid w:val="00F109A4"/>
    <w:rsid w:val="00F17D26"/>
    <w:rsid w:val="00F26B34"/>
    <w:rsid w:val="00F27731"/>
    <w:rsid w:val="00F4267A"/>
    <w:rsid w:val="00F44815"/>
    <w:rsid w:val="00F46D29"/>
    <w:rsid w:val="00F67792"/>
    <w:rsid w:val="00F70914"/>
    <w:rsid w:val="00F72AE6"/>
    <w:rsid w:val="00F72E1A"/>
    <w:rsid w:val="00F746E1"/>
    <w:rsid w:val="00F904E6"/>
    <w:rsid w:val="00F906CD"/>
    <w:rsid w:val="00F90806"/>
    <w:rsid w:val="00F92EF2"/>
    <w:rsid w:val="00F93A90"/>
    <w:rsid w:val="00FA0A7E"/>
    <w:rsid w:val="00FB12DF"/>
    <w:rsid w:val="00FB7398"/>
    <w:rsid w:val="00FC1DCD"/>
    <w:rsid w:val="00FC56E5"/>
    <w:rsid w:val="00FD299C"/>
    <w:rsid w:val="00FE4C09"/>
    <w:rsid w:val="00FE5445"/>
    <w:rsid w:val="00FF15E7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A8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39"/>
    <w:rsid w:val="003E682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Основной текст"/>
    <w:basedOn w:val="DefaultParagraphFont"/>
    <w:rsid w:val="003E6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A8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39"/>
    <w:rsid w:val="003E682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Основной текст"/>
    <w:basedOn w:val="DefaultParagraphFont"/>
    <w:rsid w:val="003E6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87</cp:revision>
  <cp:lastPrinted>2018-03-29T05:42:00Z</cp:lastPrinted>
  <dcterms:created xsi:type="dcterms:W3CDTF">2017-09-27T05:06:00Z</dcterms:created>
  <dcterms:modified xsi:type="dcterms:W3CDTF">2018-04-02T11:44:00Z</dcterms:modified>
</cp:coreProperties>
</file>