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 xml:space="preserve">Notă </w:t>
      </w:r>
      <w:r w:rsidR="00ED5879" w:rsidRPr="00876DFC">
        <w:rPr>
          <w:rFonts w:ascii="Times New Roman" w:hAnsi="Times New Roman"/>
          <w:b/>
          <w:sz w:val="28"/>
          <w:szCs w:val="28"/>
        </w:rPr>
        <w:t>inform</w:t>
      </w:r>
      <w:r w:rsidRPr="00876DFC">
        <w:rPr>
          <w:rFonts w:ascii="Times New Roman" w:hAnsi="Times New Roman"/>
          <w:b/>
          <w:sz w:val="28"/>
          <w:szCs w:val="28"/>
        </w:rPr>
        <w:t>ativă</w:t>
      </w:r>
    </w:p>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 xml:space="preserve">la proiectul de lege pentru modificarea </w:t>
      </w:r>
      <w:proofErr w:type="spellStart"/>
      <w:r w:rsidRPr="00876DFC">
        <w:rPr>
          <w:rFonts w:ascii="Times New Roman" w:hAnsi="Times New Roman"/>
          <w:b/>
          <w:sz w:val="28"/>
          <w:szCs w:val="28"/>
        </w:rPr>
        <w:t>şi</w:t>
      </w:r>
      <w:proofErr w:type="spellEnd"/>
      <w:r w:rsidRPr="00876DFC">
        <w:rPr>
          <w:rFonts w:ascii="Times New Roman" w:hAnsi="Times New Roman"/>
          <w:b/>
          <w:sz w:val="28"/>
          <w:szCs w:val="28"/>
        </w:rPr>
        <w:t xml:space="preserve"> completarea</w:t>
      </w:r>
    </w:p>
    <w:p w:rsidR="0051280A" w:rsidRPr="00876DFC" w:rsidRDefault="002E3417" w:rsidP="005A6D8D">
      <w:pPr>
        <w:spacing w:after="0" w:line="240" w:lineRule="auto"/>
        <w:jc w:val="center"/>
        <w:rPr>
          <w:rFonts w:ascii="Times New Roman" w:hAnsi="Times New Roman"/>
          <w:b/>
          <w:sz w:val="28"/>
          <w:szCs w:val="28"/>
        </w:rPr>
      </w:pPr>
      <w:r>
        <w:rPr>
          <w:rFonts w:ascii="Times New Roman" w:hAnsi="Times New Roman"/>
          <w:b/>
          <w:sz w:val="28"/>
          <w:szCs w:val="28"/>
        </w:rPr>
        <w:t>Legii finanțelor publice și responsabilității bugetar-fiscale nr.181/2014</w:t>
      </w:r>
    </w:p>
    <w:p w:rsidR="0051280A" w:rsidRPr="00876DFC" w:rsidRDefault="0051280A" w:rsidP="0051280A">
      <w:pPr>
        <w:tabs>
          <w:tab w:val="left" w:pos="0"/>
        </w:tabs>
        <w:spacing w:after="0" w:line="360" w:lineRule="auto"/>
        <w:jc w:val="both"/>
        <w:rPr>
          <w:rFonts w:ascii="Times New Roman" w:hAnsi="Times New Roman"/>
          <w:b/>
          <w:sz w:val="24"/>
          <w:szCs w:val="24"/>
        </w:rPr>
      </w:pPr>
    </w:p>
    <w:p w:rsidR="002E3417" w:rsidRDefault="002E3417" w:rsidP="003E5BBA">
      <w:pPr>
        <w:spacing w:after="0"/>
        <w:ind w:firstLine="567"/>
        <w:jc w:val="both"/>
        <w:rPr>
          <w:rFonts w:ascii="Times New Roman" w:hAnsi="Times New Roman" w:cs="Times New Roman"/>
          <w:b/>
          <w:sz w:val="28"/>
          <w:szCs w:val="28"/>
        </w:rPr>
      </w:pPr>
    </w:p>
    <w:p w:rsidR="006F26C4" w:rsidRDefault="00164764" w:rsidP="007E4C1E">
      <w:pPr>
        <w:spacing w:after="0"/>
        <w:ind w:firstLine="851"/>
        <w:jc w:val="both"/>
        <w:rPr>
          <w:rFonts w:ascii="Times New Roman" w:hAnsi="Times New Roman"/>
          <w:sz w:val="26"/>
          <w:szCs w:val="26"/>
        </w:rPr>
      </w:pPr>
      <w:r w:rsidRPr="000A1C70">
        <w:rPr>
          <w:rFonts w:ascii="Times New Roman" w:hAnsi="Times New Roman" w:cs="Times New Roman"/>
          <w:sz w:val="26"/>
          <w:szCs w:val="26"/>
        </w:rPr>
        <w:t>P</w:t>
      </w:r>
      <w:r w:rsidR="006F26C4" w:rsidRPr="000A1C70">
        <w:rPr>
          <w:rFonts w:ascii="Times New Roman" w:hAnsi="Times New Roman" w:cs="Times New Roman"/>
          <w:sz w:val="26"/>
          <w:szCs w:val="26"/>
        </w:rPr>
        <w:t xml:space="preserve">roiectul de lege pentru modificarea și completarea Legii </w:t>
      </w:r>
      <w:r w:rsidR="006F26C4" w:rsidRPr="000A1C70">
        <w:rPr>
          <w:rFonts w:ascii="Times New Roman" w:hAnsi="Times New Roman"/>
          <w:sz w:val="26"/>
          <w:szCs w:val="26"/>
        </w:rPr>
        <w:t>finanțelor publice și responsabilității bugetar-fiscale nr.181/201</w:t>
      </w:r>
      <w:r w:rsidR="00D67927" w:rsidRPr="000A1C70">
        <w:rPr>
          <w:rFonts w:ascii="Times New Roman" w:hAnsi="Times New Roman"/>
          <w:sz w:val="26"/>
          <w:szCs w:val="26"/>
        </w:rPr>
        <w:t>4</w:t>
      </w:r>
      <w:r w:rsidR="006F26C4" w:rsidRPr="000A1C70">
        <w:rPr>
          <w:rFonts w:ascii="Times New Roman" w:hAnsi="Times New Roman"/>
          <w:sz w:val="26"/>
          <w:szCs w:val="26"/>
        </w:rPr>
        <w:t xml:space="preserve"> este elaborat în scopul </w:t>
      </w:r>
      <w:r w:rsidR="008B5A05">
        <w:rPr>
          <w:rFonts w:ascii="Times New Roman" w:hAnsi="Times New Roman"/>
          <w:sz w:val="26"/>
          <w:szCs w:val="26"/>
        </w:rPr>
        <w:t>eliminării</w:t>
      </w:r>
      <w:r w:rsidR="006F26C4" w:rsidRPr="000A1C70">
        <w:rPr>
          <w:rFonts w:ascii="Times New Roman" w:hAnsi="Times New Roman"/>
          <w:sz w:val="26"/>
          <w:szCs w:val="26"/>
        </w:rPr>
        <w:t xml:space="preserve"> </w:t>
      </w:r>
      <w:r w:rsidR="00D67927" w:rsidRPr="000A1C70">
        <w:rPr>
          <w:rFonts w:ascii="Times New Roman" w:hAnsi="Times New Roman"/>
          <w:sz w:val="26"/>
          <w:szCs w:val="26"/>
        </w:rPr>
        <w:t>unor deficiențe identificate</w:t>
      </w:r>
      <w:r w:rsidR="006F26C4" w:rsidRPr="000A1C70">
        <w:rPr>
          <w:rFonts w:ascii="Times New Roman" w:hAnsi="Times New Roman"/>
          <w:sz w:val="26"/>
          <w:szCs w:val="26"/>
        </w:rPr>
        <w:t xml:space="preserve"> în procesul implementării legii vizate pe parcursul </w:t>
      </w:r>
      <w:r w:rsidR="00D67927" w:rsidRPr="000A1C70">
        <w:rPr>
          <w:rFonts w:ascii="Times New Roman" w:hAnsi="Times New Roman"/>
          <w:sz w:val="26"/>
          <w:szCs w:val="26"/>
        </w:rPr>
        <w:t xml:space="preserve">ultimilor </w:t>
      </w:r>
      <w:r w:rsidR="00F956D4" w:rsidRPr="000A1C70">
        <w:rPr>
          <w:rFonts w:ascii="Times New Roman" w:hAnsi="Times New Roman"/>
          <w:sz w:val="26"/>
          <w:szCs w:val="26"/>
        </w:rPr>
        <w:t>ani.</w:t>
      </w:r>
    </w:p>
    <w:p w:rsidR="000A1C70" w:rsidRPr="000A1C70" w:rsidRDefault="000A1C70" w:rsidP="007E4C1E">
      <w:pPr>
        <w:spacing w:after="0"/>
        <w:ind w:firstLine="851"/>
        <w:jc w:val="both"/>
        <w:rPr>
          <w:rFonts w:ascii="Times New Roman" w:hAnsi="Times New Roman"/>
          <w:sz w:val="20"/>
          <w:szCs w:val="20"/>
        </w:rPr>
      </w:pPr>
    </w:p>
    <w:p w:rsidR="001646F6" w:rsidRPr="000A1C70" w:rsidRDefault="001646F6" w:rsidP="001646F6">
      <w:pPr>
        <w:pStyle w:val="a3"/>
        <w:spacing w:line="276" w:lineRule="auto"/>
        <w:ind w:firstLine="851"/>
        <w:rPr>
          <w:sz w:val="26"/>
          <w:szCs w:val="26"/>
          <w:lang w:eastAsia="ro-RO"/>
        </w:rPr>
      </w:pPr>
      <w:r w:rsidRPr="00EB1AEA">
        <w:rPr>
          <w:sz w:val="26"/>
          <w:szCs w:val="26"/>
        </w:rPr>
        <w:t xml:space="preserve">Legea nr.181/2014 stabilește că </w:t>
      </w:r>
      <w:r w:rsidRPr="000A1C70">
        <w:rPr>
          <w:sz w:val="26"/>
          <w:szCs w:val="26"/>
          <w:lang w:eastAsia="ro-RO"/>
        </w:rPr>
        <w:t xml:space="preserve">actele legislative ce reglementează domenii specifice </w:t>
      </w:r>
      <w:proofErr w:type="spellStart"/>
      <w:r w:rsidRPr="000A1C70">
        <w:rPr>
          <w:sz w:val="26"/>
          <w:szCs w:val="26"/>
          <w:lang w:eastAsia="ro-RO"/>
        </w:rPr>
        <w:t>şi</w:t>
      </w:r>
      <w:proofErr w:type="spellEnd"/>
      <w:r w:rsidRPr="000A1C70">
        <w:rPr>
          <w:sz w:val="26"/>
          <w:szCs w:val="26"/>
          <w:lang w:eastAsia="ro-RO"/>
        </w:rPr>
        <w:t xml:space="preserve">/sau activitatea unor </w:t>
      </w:r>
      <w:proofErr w:type="spellStart"/>
      <w:r w:rsidRPr="000A1C70">
        <w:rPr>
          <w:sz w:val="26"/>
          <w:szCs w:val="26"/>
          <w:lang w:eastAsia="ro-RO"/>
        </w:rPr>
        <w:t>autorităţi</w:t>
      </w:r>
      <w:proofErr w:type="spellEnd"/>
      <w:r w:rsidRPr="000A1C70">
        <w:rPr>
          <w:sz w:val="26"/>
          <w:szCs w:val="26"/>
          <w:lang w:eastAsia="ro-RO"/>
        </w:rPr>
        <w:t>/</w:t>
      </w:r>
      <w:proofErr w:type="spellStart"/>
      <w:r w:rsidRPr="000A1C70">
        <w:rPr>
          <w:sz w:val="26"/>
          <w:szCs w:val="26"/>
          <w:lang w:eastAsia="ro-RO"/>
        </w:rPr>
        <w:t>instituţii</w:t>
      </w:r>
      <w:proofErr w:type="spellEnd"/>
      <w:r w:rsidRPr="000A1C70">
        <w:rPr>
          <w:sz w:val="26"/>
          <w:szCs w:val="26"/>
          <w:lang w:eastAsia="ro-RO"/>
        </w:rPr>
        <w:t xml:space="preserve"> bugetare, nu vor cuprinde prevederi ce </w:t>
      </w:r>
      <w:proofErr w:type="spellStart"/>
      <w:r w:rsidRPr="000A1C70">
        <w:rPr>
          <w:sz w:val="26"/>
          <w:szCs w:val="26"/>
          <w:lang w:eastAsia="ro-RO"/>
        </w:rPr>
        <w:t>ţin</w:t>
      </w:r>
      <w:proofErr w:type="spellEnd"/>
      <w:r w:rsidRPr="000A1C70">
        <w:rPr>
          <w:sz w:val="26"/>
          <w:szCs w:val="26"/>
          <w:lang w:eastAsia="ro-RO"/>
        </w:rPr>
        <w:t xml:space="preserve"> de elaborarea, aprobarea </w:t>
      </w:r>
      <w:proofErr w:type="spellStart"/>
      <w:r w:rsidRPr="000A1C70">
        <w:rPr>
          <w:sz w:val="26"/>
          <w:szCs w:val="26"/>
          <w:lang w:eastAsia="ro-RO"/>
        </w:rPr>
        <w:t>şi</w:t>
      </w:r>
      <w:proofErr w:type="spellEnd"/>
      <w:r w:rsidRPr="000A1C70">
        <w:rPr>
          <w:sz w:val="26"/>
          <w:szCs w:val="26"/>
          <w:lang w:eastAsia="ro-RO"/>
        </w:rPr>
        <w:t xml:space="preserve"> executarea bugetelor, precum </w:t>
      </w:r>
      <w:proofErr w:type="spellStart"/>
      <w:r w:rsidRPr="000A1C70">
        <w:rPr>
          <w:sz w:val="26"/>
          <w:szCs w:val="26"/>
          <w:lang w:eastAsia="ro-RO"/>
        </w:rPr>
        <w:t>şi</w:t>
      </w:r>
      <w:proofErr w:type="spellEnd"/>
      <w:r w:rsidRPr="000A1C70">
        <w:rPr>
          <w:sz w:val="26"/>
          <w:szCs w:val="26"/>
          <w:lang w:eastAsia="ro-RO"/>
        </w:rPr>
        <w:t xml:space="preserve"> alte proceduri aferente procesului bugetar, acestea fiind obiectul exclusiv al prezentei legi.</w:t>
      </w:r>
    </w:p>
    <w:p w:rsidR="001646F6" w:rsidRPr="000A1C70" w:rsidRDefault="001646F6" w:rsidP="001646F6">
      <w:pPr>
        <w:spacing w:after="0"/>
        <w:ind w:firstLine="851"/>
        <w:jc w:val="both"/>
        <w:rPr>
          <w:rFonts w:ascii="Times New Roman" w:eastAsia="Times New Roman" w:hAnsi="Times New Roman" w:cs="Times New Roman"/>
          <w:sz w:val="26"/>
          <w:szCs w:val="26"/>
          <w:lang w:eastAsia="ro-RO"/>
        </w:rPr>
      </w:pPr>
      <w:r w:rsidRPr="000A1C70">
        <w:rPr>
          <w:rFonts w:ascii="Times New Roman" w:eastAsia="Times New Roman" w:hAnsi="Times New Roman" w:cs="Times New Roman"/>
          <w:sz w:val="26"/>
          <w:szCs w:val="26"/>
          <w:lang w:eastAsia="ro-RO"/>
        </w:rPr>
        <w:t>Totodată, Constituția Republicii Moldova prevede că bugetele Parlamentului, Aparatului Președintelui, instanțelor judecătorești se aprobă de Parlament și se includ în proiectul bugetului de stat.</w:t>
      </w:r>
      <w:r w:rsidR="008B5A05">
        <w:rPr>
          <w:rFonts w:ascii="Times New Roman" w:eastAsia="Times New Roman" w:hAnsi="Times New Roman" w:cs="Times New Roman"/>
          <w:sz w:val="26"/>
          <w:szCs w:val="26"/>
          <w:lang w:eastAsia="ro-RO"/>
        </w:rPr>
        <w:t xml:space="preserve"> Î</w:t>
      </w:r>
      <w:r w:rsidRPr="000A1C70">
        <w:rPr>
          <w:rFonts w:ascii="Times New Roman" w:eastAsia="Times New Roman" w:hAnsi="Times New Roman" w:cs="Times New Roman"/>
          <w:sz w:val="26"/>
          <w:szCs w:val="26"/>
          <w:lang w:eastAsia="ro-RO"/>
        </w:rPr>
        <w:t>n scopul asigurării independenței financiare, în baza recomandărilor instituțiilor internaționale, prin legile care reglementează activitatea Comisiei Electorale Centrale, Centrului Național Anticorupție, Consiliului Concurenței, Consiliului Coordonator al Audiovizualului, Oficiului Avocatului Poporului, Centrului Național pentru Protecția Datelor cu Caracter Personal, Consiliului pentru Prevenirea ș</w:t>
      </w:r>
      <w:r w:rsidR="000D59F2">
        <w:rPr>
          <w:rFonts w:ascii="Times New Roman" w:eastAsia="Times New Roman" w:hAnsi="Times New Roman" w:cs="Times New Roman"/>
          <w:sz w:val="26"/>
          <w:szCs w:val="26"/>
          <w:lang w:eastAsia="ro-RO"/>
        </w:rPr>
        <w:t>i</w:t>
      </w:r>
      <w:r w:rsidRPr="000A1C70">
        <w:rPr>
          <w:rFonts w:ascii="Times New Roman" w:eastAsia="Times New Roman" w:hAnsi="Times New Roman" w:cs="Times New Roman"/>
          <w:sz w:val="26"/>
          <w:szCs w:val="26"/>
          <w:lang w:eastAsia="ro-RO"/>
        </w:rPr>
        <w:t xml:space="preserve"> Eliminare Discriminării și Asigurării Egalității, a fost stabilit modul aprobării bugetelor acestora similar autorităților indicate </w:t>
      </w:r>
      <w:r w:rsidR="008B5A05">
        <w:rPr>
          <w:rFonts w:ascii="Times New Roman" w:eastAsia="Times New Roman" w:hAnsi="Times New Roman" w:cs="Times New Roman"/>
          <w:sz w:val="26"/>
          <w:szCs w:val="26"/>
          <w:lang w:eastAsia="ro-RO"/>
        </w:rPr>
        <w:t>în</w:t>
      </w:r>
      <w:r w:rsidRPr="000A1C70">
        <w:rPr>
          <w:rFonts w:ascii="Times New Roman" w:eastAsia="Times New Roman" w:hAnsi="Times New Roman" w:cs="Times New Roman"/>
          <w:sz w:val="26"/>
          <w:szCs w:val="26"/>
          <w:lang w:eastAsia="ro-RO"/>
        </w:rPr>
        <w:t xml:space="preserve"> Constituție.</w:t>
      </w:r>
      <w:r w:rsidR="008B5A05">
        <w:rPr>
          <w:rFonts w:ascii="Times New Roman" w:eastAsia="Times New Roman" w:hAnsi="Times New Roman" w:cs="Times New Roman"/>
          <w:sz w:val="26"/>
          <w:szCs w:val="26"/>
          <w:lang w:eastAsia="ro-RO"/>
        </w:rPr>
        <w:t xml:space="preserve"> A</w:t>
      </w:r>
      <w:r w:rsidRPr="000A1C70">
        <w:rPr>
          <w:rFonts w:ascii="Times New Roman" w:eastAsia="Times New Roman" w:hAnsi="Times New Roman" w:cs="Times New Roman"/>
          <w:sz w:val="26"/>
          <w:szCs w:val="26"/>
          <w:lang w:eastAsia="ro-RO"/>
        </w:rPr>
        <w:t xml:space="preserve">utoritățile enumerate în ambele cazuri </w:t>
      </w:r>
      <w:proofErr w:type="spellStart"/>
      <w:r w:rsidRPr="000A1C70">
        <w:rPr>
          <w:rFonts w:ascii="Times New Roman" w:eastAsia="Times New Roman" w:hAnsi="Times New Roman" w:cs="Times New Roman"/>
          <w:sz w:val="26"/>
          <w:szCs w:val="26"/>
          <w:lang w:eastAsia="ro-RO"/>
        </w:rPr>
        <w:t>sînt</w:t>
      </w:r>
      <w:proofErr w:type="spellEnd"/>
      <w:r w:rsidRPr="000A1C70">
        <w:rPr>
          <w:rFonts w:ascii="Times New Roman" w:eastAsia="Times New Roman" w:hAnsi="Times New Roman" w:cs="Times New Roman"/>
          <w:sz w:val="26"/>
          <w:szCs w:val="26"/>
          <w:lang w:eastAsia="ro-RO"/>
        </w:rPr>
        <w:t xml:space="preserve"> autorități independente finanțate de la bugetul de stat și nu pot cădea sub incidența Legii nr.181/2014, care </w:t>
      </w:r>
      <w:r w:rsidRPr="000A1C70">
        <w:rPr>
          <w:rFonts w:ascii="Times New Roman" w:hAnsi="Times New Roman" w:cs="Times New Roman"/>
          <w:sz w:val="26"/>
          <w:szCs w:val="26"/>
        </w:rPr>
        <w:t>limitează independența autorităților vizate.</w:t>
      </w:r>
    </w:p>
    <w:p w:rsidR="001646F6" w:rsidRPr="000A1C70" w:rsidRDefault="001646F6" w:rsidP="001646F6">
      <w:pPr>
        <w:spacing w:after="0"/>
        <w:ind w:firstLine="851"/>
        <w:jc w:val="both"/>
        <w:rPr>
          <w:rFonts w:ascii="Times New Roman" w:hAnsi="Times New Roman" w:cs="Times New Roman"/>
          <w:sz w:val="26"/>
          <w:szCs w:val="26"/>
        </w:rPr>
      </w:pPr>
      <w:r w:rsidRPr="000A1C70">
        <w:rPr>
          <w:rFonts w:ascii="Times New Roman" w:hAnsi="Times New Roman" w:cs="Times New Roman"/>
          <w:sz w:val="26"/>
          <w:szCs w:val="26"/>
        </w:rPr>
        <w:t xml:space="preserve">În scopul </w:t>
      </w:r>
      <w:r w:rsidRPr="000A1C70">
        <w:rPr>
          <w:rFonts w:ascii="Times New Roman" w:eastAsia="Times New Roman" w:hAnsi="Times New Roman" w:cs="Times New Roman"/>
          <w:sz w:val="26"/>
          <w:szCs w:val="26"/>
          <w:lang w:eastAsia="ro-RO"/>
        </w:rPr>
        <w:t xml:space="preserve">conformării la prevederile Constituției, precum și </w:t>
      </w:r>
      <w:r w:rsidRPr="000A1C70">
        <w:rPr>
          <w:rFonts w:ascii="Times New Roman" w:hAnsi="Times New Roman" w:cs="Times New Roman"/>
          <w:sz w:val="26"/>
          <w:szCs w:val="26"/>
        </w:rPr>
        <w:t>asigurării independenței financiare autorităților menționate, se propune de completat art.3 cu noțiunea „</w:t>
      </w:r>
      <w:r w:rsidRPr="000A1C70">
        <w:rPr>
          <w:rFonts w:ascii="Times New Roman" w:hAnsi="Times New Roman" w:cs="Times New Roman"/>
          <w:i/>
          <w:sz w:val="26"/>
          <w:szCs w:val="26"/>
        </w:rPr>
        <w:t>autoritate bugetară independentă”,</w:t>
      </w:r>
      <w:r w:rsidRPr="000A1C70">
        <w:rPr>
          <w:rFonts w:ascii="Times New Roman" w:hAnsi="Times New Roman" w:cs="Times New Roman"/>
          <w:sz w:val="26"/>
          <w:szCs w:val="26"/>
        </w:rPr>
        <w:t xml:space="preserve"> </w:t>
      </w:r>
      <w:proofErr w:type="spellStart"/>
      <w:r w:rsidRPr="000A1C70">
        <w:rPr>
          <w:rFonts w:ascii="Times New Roman" w:hAnsi="Times New Roman" w:cs="Times New Roman"/>
          <w:sz w:val="26"/>
          <w:szCs w:val="26"/>
        </w:rPr>
        <w:t>limitîndu</w:t>
      </w:r>
      <w:proofErr w:type="spellEnd"/>
      <w:r w:rsidRPr="000A1C70">
        <w:rPr>
          <w:rFonts w:ascii="Times New Roman" w:hAnsi="Times New Roman" w:cs="Times New Roman"/>
          <w:sz w:val="26"/>
          <w:szCs w:val="26"/>
        </w:rPr>
        <w:t xml:space="preserve">-se </w:t>
      </w:r>
      <w:proofErr w:type="spellStart"/>
      <w:r w:rsidRPr="000A1C70">
        <w:rPr>
          <w:rFonts w:ascii="Times New Roman" w:hAnsi="Times New Roman" w:cs="Times New Roman"/>
          <w:sz w:val="26"/>
          <w:szCs w:val="26"/>
        </w:rPr>
        <w:t>răsfrîngerea</w:t>
      </w:r>
      <w:proofErr w:type="spellEnd"/>
      <w:r w:rsidRPr="000A1C70">
        <w:rPr>
          <w:rFonts w:ascii="Times New Roman" w:hAnsi="Times New Roman" w:cs="Times New Roman"/>
          <w:sz w:val="26"/>
          <w:szCs w:val="26"/>
        </w:rPr>
        <w:t xml:space="preserve"> prevederilor art.1 alin.(2) în partea ce se referă la aprobarea bugetelor asupra acestor autorități. Concomitent se propune </w:t>
      </w:r>
      <w:r w:rsidRPr="000A1C70">
        <w:rPr>
          <w:rFonts w:ascii="Times New Roman" w:eastAsia="Times New Roman" w:hAnsi="Times New Roman" w:cs="Times New Roman"/>
          <w:sz w:val="26"/>
          <w:szCs w:val="26"/>
        </w:rPr>
        <w:t>stabilirea regulilor unice în domeniul aprobării bugetului autorităților bugetare independente prin completarea art.51 cu alin.(2</w:t>
      </w:r>
      <w:r w:rsidRPr="000A1C70">
        <w:rPr>
          <w:rFonts w:ascii="Times New Roman" w:eastAsia="Times New Roman" w:hAnsi="Times New Roman" w:cs="Times New Roman"/>
          <w:sz w:val="26"/>
          <w:szCs w:val="26"/>
          <w:vertAlign w:val="superscript"/>
        </w:rPr>
        <w:t>1</w:t>
      </w:r>
      <w:r w:rsidRPr="000A1C70">
        <w:rPr>
          <w:rFonts w:ascii="Times New Roman" w:eastAsia="Times New Roman" w:hAnsi="Times New Roman" w:cs="Times New Roman"/>
          <w:sz w:val="26"/>
          <w:szCs w:val="26"/>
        </w:rPr>
        <w:t>).</w:t>
      </w:r>
    </w:p>
    <w:p w:rsidR="001646F6" w:rsidRDefault="001646F6" w:rsidP="007E4C1E">
      <w:pPr>
        <w:pStyle w:val="a3"/>
        <w:spacing w:line="276" w:lineRule="auto"/>
        <w:ind w:firstLine="851"/>
        <w:rPr>
          <w:sz w:val="26"/>
          <w:szCs w:val="26"/>
        </w:rPr>
      </w:pPr>
    </w:p>
    <w:p w:rsidR="00726039" w:rsidRPr="000A1C70" w:rsidRDefault="00854AE9" w:rsidP="007E4C1E">
      <w:pPr>
        <w:pStyle w:val="a3"/>
        <w:spacing w:line="276" w:lineRule="auto"/>
        <w:ind w:firstLine="851"/>
        <w:rPr>
          <w:sz w:val="26"/>
          <w:szCs w:val="26"/>
        </w:rPr>
      </w:pPr>
      <w:r w:rsidRPr="000A1C70">
        <w:rPr>
          <w:sz w:val="26"/>
          <w:szCs w:val="26"/>
        </w:rPr>
        <w:t xml:space="preserve">Legea </w:t>
      </w:r>
      <w:proofErr w:type="spellStart"/>
      <w:r w:rsidRPr="000A1C70">
        <w:rPr>
          <w:sz w:val="26"/>
          <w:szCs w:val="26"/>
        </w:rPr>
        <w:t>finanţelor</w:t>
      </w:r>
      <w:proofErr w:type="spellEnd"/>
      <w:r w:rsidRPr="000A1C70">
        <w:rPr>
          <w:sz w:val="26"/>
          <w:szCs w:val="26"/>
        </w:rPr>
        <w:t xml:space="preserve"> publice </w:t>
      </w:r>
      <w:proofErr w:type="spellStart"/>
      <w:r w:rsidRPr="000A1C70">
        <w:rPr>
          <w:sz w:val="26"/>
          <w:szCs w:val="26"/>
        </w:rPr>
        <w:t>şi</w:t>
      </w:r>
      <w:proofErr w:type="spellEnd"/>
      <w:r w:rsidRPr="000A1C70">
        <w:rPr>
          <w:sz w:val="26"/>
          <w:szCs w:val="26"/>
        </w:rPr>
        <w:t xml:space="preserve"> </w:t>
      </w:r>
      <w:proofErr w:type="spellStart"/>
      <w:r w:rsidRPr="000A1C70">
        <w:rPr>
          <w:sz w:val="26"/>
          <w:szCs w:val="26"/>
        </w:rPr>
        <w:t>responsabilităţii</w:t>
      </w:r>
      <w:proofErr w:type="spellEnd"/>
      <w:r w:rsidRPr="000A1C70">
        <w:rPr>
          <w:sz w:val="26"/>
          <w:szCs w:val="26"/>
        </w:rPr>
        <w:t xml:space="preserve"> bugetar-fiscale</w:t>
      </w:r>
      <w:r w:rsidR="00D67927" w:rsidRPr="000A1C70">
        <w:rPr>
          <w:sz w:val="26"/>
          <w:szCs w:val="26"/>
        </w:rPr>
        <w:t xml:space="preserve"> (art.47 și </w:t>
      </w:r>
      <w:r w:rsidR="006C320A" w:rsidRPr="000A1C70">
        <w:rPr>
          <w:sz w:val="26"/>
          <w:szCs w:val="26"/>
        </w:rPr>
        <w:t>art.</w:t>
      </w:r>
      <w:r w:rsidR="00D67927" w:rsidRPr="000A1C70">
        <w:rPr>
          <w:sz w:val="26"/>
          <w:szCs w:val="26"/>
        </w:rPr>
        <w:t>49)</w:t>
      </w:r>
      <w:r w:rsidRPr="000A1C70">
        <w:rPr>
          <w:b/>
          <w:sz w:val="26"/>
          <w:szCs w:val="26"/>
        </w:rPr>
        <w:t xml:space="preserve"> </w:t>
      </w:r>
      <w:r w:rsidR="00726039" w:rsidRPr="000A1C70">
        <w:rPr>
          <w:sz w:val="26"/>
          <w:szCs w:val="26"/>
        </w:rPr>
        <w:t>prevede că</w:t>
      </w:r>
      <w:r w:rsidR="00726039" w:rsidRPr="000A1C70">
        <w:rPr>
          <w:b/>
          <w:sz w:val="26"/>
          <w:szCs w:val="26"/>
        </w:rPr>
        <w:t xml:space="preserve"> </w:t>
      </w:r>
      <w:proofErr w:type="spellStart"/>
      <w:r w:rsidR="00726039" w:rsidRPr="000A1C70">
        <w:rPr>
          <w:sz w:val="26"/>
          <w:szCs w:val="26"/>
        </w:rPr>
        <w:t>începînd</w:t>
      </w:r>
      <w:proofErr w:type="spellEnd"/>
      <w:r w:rsidR="00726039" w:rsidRPr="000A1C70">
        <w:rPr>
          <w:sz w:val="26"/>
          <w:szCs w:val="26"/>
        </w:rPr>
        <w:t xml:space="preserve"> cu ciclul bugetar pe anii 2017-2019</w:t>
      </w:r>
      <w:r w:rsidR="00F956D4" w:rsidRPr="000A1C70">
        <w:rPr>
          <w:sz w:val="26"/>
          <w:szCs w:val="26"/>
        </w:rPr>
        <w:t>,</w:t>
      </w:r>
      <w:r w:rsidR="00726039" w:rsidRPr="000A1C70">
        <w:rPr>
          <w:sz w:val="26"/>
          <w:szCs w:val="26"/>
        </w:rPr>
        <w:t xml:space="preserve"> Parlamentul aprobă limitele </w:t>
      </w:r>
      <w:proofErr w:type="spellStart"/>
      <w:r w:rsidR="00726039" w:rsidRPr="000A1C70">
        <w:rPr>
          <w:sz w:val="26"/>
          <w:szCs w:val="26"/>
        </w:rPr>
        <w:t>macrobugetare</w:t>
      </w:r>
      <w:proofErr w:type="spellEnd"/>
      <w:r w:rsidR="00726039" w:rsidRPr="000A1C70">
        <w:rPr>
          <w:sz w:val="26"/>
          <w:szCs w:val="26"/>
        </w:rPr>
        <w:t xml:space="preserve"> pe termen mediu întru sporirea rolului CBTM în procesul bugetar, ca instrument de fundamentare a proiectelor bugetelor anuale, și asigurarea disciplinei </w:t>
      </w:r>
      <w:r w:rsidR="004D6F55">
        <w:rPr>
          <w:sz w:val="26"/>
          <w:szCs w:val="26"/>
        </w:rPr>
        <w:t>bugetare</w:t>
      </w:r>
      <w:r w:rsidR="004D6F55" w:rsidRPr="000A1C70">
        <w:rPr>
          <w:sz w:val="26"/>
          <w:szCs w:val="26"/>
        </w:rPr>
        <w:t xml:space="preserve"> </w:t>
      </w:r>
      <w:r w:rsidR="00726039" w:rsidRPr="000A1C70">
        <w:rPr>
          <w:sz w:val="26"/>
          <w:szCs w:val="26"/>
        </w:rPr>
        <w:t>generale și stabilității bugetului pe termen mediu.</w:t>
      </w:r>
    </w:p>
    <w:p w:rsidR="004D6F55" w:rsidRPr="000A1C70" w:rsidRDefault="0087488D" w:rsidP="004D6F55">
      <w:pPr>
        <w:pStyle w:val="a3"/>
        <w:spacing w:line="276" w:lineRule="auto"/>
        <w:ind w:firstLine="851"/>
        <w:rPr>
          <w:sz w:val="26"/>
          <w:szCs w:val="26"/>
        </w:rPr>
      </w:pPr>
      <w:r w:rsidRPr="000A1C70">
        <w:rPr>
          <w:color w:val="000000"/>
          <w:sz w:val="26"/>
          <w:szCs w:val="26"/>
          <w:lang w:eastAsia="ro-RO"/>
        </w:rPr>
        <w:t xml:space="preserve">Deși, </w:t>
      </w:r>
      <w:r w:rsidR="00EB1AEA">
        <w:rPr>
          <w:color w:val="000000"/>
          <w:sz w:val="26"/>
          <w:szCs w:val="26"/>
          <w:lang w:eastAsia="ro-RO"/>
        </w:rPr>
        <w:t xml:space="preserve">raționamentul includerii </w:t>
      </w:r>
      <w:r w:rsidR="004D6F55">
        <w:rPr>
          <w:color w:val="000000"/>
          <w:sz w:val="26"/>
          <w:szCs w:val="26"/>
          <w:lang w:eastAsia="ro-RO"/>
        </w:rPr>
        <w:t xml:space="preserve">acestor articole în Legea </w:t>
      </w:r>
      <w:proofErr w:type="spellStart"/>
      <w:r w:rsidR="004D6F55" w:rsidRPr="000A1C70">
        <w:rPr>
          <w:sz w:val="26"/>
          <w:szCs w:val="26"/>
        </w:rPr>
        <w:t>finanţelor</w:t>
      </w:r>
      <w:proofErr w:type="spellEnd"/>
      <w:r w:rsidR="004D6F55" w:rsidRPr="000A1C70">
        <w:rPr>
          <w:sz w:val="26"/>
          <w:szCs w:val="26"/>
        </w:rPr>
        <w:t xml:space="preserve"> publice </w:t>
      </w:r>
      <w:proofErr w:type="spellStart"/>
      <w:r w:rsidR="004D6F55" w:rsidRPr="000A1C70">
        <w:rPr>
          <w:sz w:val="26"/>
          <w:szCs w:val="26"/>
        </w:rPr>
        <w:t>şi</w:t>
      </w:r>
      <w:proofErr w:type="spellEnd"/>
      <w:r w:rsidR="004D6F55" w:rsidRPr="000A1C70">
        <w:rPr>
          <w:sz w:val="26"/>
          <w:szCs w:val="26"/>
        </w:rPr>
        <w:t xml:space="preserve"> </w:t>
      </w:r>
      <w:proofErr w:type="spellStart"/>
      <w:r w:rsidR="004D6F55" w:rsidRPr="000A1C70">
        <w:rPr>
          <w:sz w:val="26"/>
          <w:szCs w:val="26"/>
        </w:rPr>
        <w:t>responsabilităţii</w:t>
      </w:r>
      <w:proofErr w:type="spellEnd"/>
      <w:r w:rsidR="004D6F55" w:rsidRPr="000A1C70">
        <w:rPr>
          <w:sz w:val="26"/>
          <w:szCs w:val="26"/>
        </w:rPr>
        <w:t xml:space="preserve"> bugetar-fiscale</w:t>
      </w:r>
      <w:r w:rsidR="004D6F55">
        <w:rPr>
          <w:color w:val="000000"/>
          <w:sz w:val="26"/>
          <w:szCs w:val="26"/>
          <w:lang w:eastAsia="ro-RO"/>
        </w:rPr>
        <w:t xml:space="preserve"> a fost exemplul unor țări europene (România, Austria) </w:t>
      </w:r>
      <w:r w:rsidR="00EB1AEA">
        <w:rPr>
          <w:color w:val="000000"/>
          <w:sz w:val="26"/>
          <w:szCs w:val="26"/>
          <w:lang w:eastAsia="ro-RO"/>
        </w:rPr>
        <w:t>unde</w:t>
      </w:r>
      <w:r w:rsidRPr="000A1C70">
        <w:rPr>
          <w:color w:val="000000"/>
          <w:sz w:val="26"/>
          <w:szCs w:val="26"/>
          <w:lang w:eastAsia="ro-RO"/>
        </w:rPr>
        <w:t xml:space="preserve"> țintele </w:t>
      </w:r>
      <w:r w:rsidR="00EB1AEA">
        <w:rPr>
          <w:color w:val="000000"/>
          <w:sz w:val="26"/>
          <w:szCs w:val="26"/>
          <w:lang w:eastAsia="ro-RO"/>
        </w:rPr>
        <w:t>bugetar-</w:t>
      </w:r>
      <w:r w:rsidRPr="000A1C70">
        <w:rPr>
          <w:color w:val="000000"/>
          <w:sz w:val="26"/>
          <w:szCs w:val="26"/>
          <w:lang w:eastAsia="ro-RO"/>
        </w:rPr>
        <w:t xml:space="preserve">fiscale sunt aprobate prin lege, acestea de fapt reprezintă </w:t>
      </w:r>
      <w:r w:rsidR="008B5A05">
        <w:rPr>
          <w:color w:val="000000"/>
          <w:sz w:val="26"/>
          <w:szCs w:val="26"/>
          <w:lang w:eastAsia="ro-RO"/>
        </w:rPr>
        <w:t xml:space="preserve">mai degrabă </w:t>
      </w:r>
      <w:r w:rsidRPr="000A1C70">
        <w:rPr>
          <w:color w:val="000000"/>
          <w:sz w:val="26"/>
          <w:szCs w:val="26"/>
          <w:lang w:eastAsia="ro-RO"/>
        </w:rPr>
        <w:t>niște excepții în practica bugetară europeană, dec</w:t>
      </w:r>
      <w:r w:rsidR="004D6F55">
        <w:rPr>
          <w:color w:val="000000"/>
          <w:sz w:val="26"/>
          <w:szCs w:val="26"/>
          <w:lang w:eastAsia="ro-RO"/>
        </w:rPr>
        <w:t>â</w:t>
      </w:r>
      <w:r w:rsidRPr="000A1C70">
        <w:rPr>
          <w:color w:val="000000"/>
          <w:sz w:val="26"/>
          <w:szCs w:val="26"/>
          <w:lang w:eastAsia="ro-RO"/>
        </w:rPr>
        <w:t xml:space="preserve">t o regulă. </w:t>
      </w:r>
      <w:r w:rsidRPr="000A1C70">
        <w:rPr>
          <w:sz w:val="26"/>
          <w:szCs w:val="26"/>
        </w:rPr>
        <w:t xml:space="preserve">Bunele practici de transparență fiscală </w:t>
      </w:r>
      <w:r w:rsidRPr="000A1C70">
        <w:rPr>
          <w:i/>
          <w:sz w:val="26"/>
          <w:szCs w:val="26"/>
        </w:rPr>
        <w:t xml:space="preserve">(Cele mai bune practici pentru transparență bugetară, OCDE, 2002; Manualul FMI privind transparența fiscală elaborat în 2007; Ghidul “Open Budget </w:t>
      </w:r>
      <w:proofErr w:type="spellStart"/>
      <w:r w:rsidRPr="000A1C70">
        <w:rPr>
          <w:i/>
          <w:sz w:val="26"/>
          <w:szCs w:val="26"/>
        </w:rPr>
        <w:lastRenderedPageBreak/>
        <w:t>Survey</w:t>
      </w:r>
      <w:proofErr w:type="spellEnd"/>
      <w:r w:rsidRPr="000A1C70">
        <w:rPr>
          <w:i/>
          <w:sz w:val="26"/>
          <w:szCs w:val="26"/>
        </w:rPr>
        <w:t>” (sondajul bugetului deschis) de către Parteneriatul Bugetar Internațional în 2016; și</w:t>
      </w:r>
      <w:r w:rsidR="00A37C61">
        <w:rPr>
          <w:i/>
          <w:sz w:val="26"/>
          <w:szCs w:val="26"/>
        </w:rPr>
        <w:t xml:space="preserve"> </w:t>
      </w:r>
      <w:r w:rsidRPr="000A1C70">
        <w:rPr>
          <w:i/>
          <w:sz w:val="26"/>
          <w:szCs w:val="26"/>
        </w:rPr>
        <w:t>Cadrul RFCP (PEFA) privind evaluarea gestionării finanțelor publice, revizuit în 2016.</w:t>
      </w:r>
      <w:r w:rsidRPr="000A1C70">
        <w:rPr>
          <w:sz w:val="26"/>
          <w:szCs w:val="26"/>
        </w:rPr>
        <w:t xml:space="preserve">) nu conțin prevederi referitor la aprobarea prin lege a țintelor </w:t>
      </w:r>
      <w:proofErr w:type="spellStart"/>
      <w:r w:rsidRPr="000A1C70">
        <w:rPr>
          <w:sz w:val="26"/>
          <w:szCs w:val="26"/>
        </w:rPr>
        <w:t>macrofiscale</w:t>
      </w:r>
      <w:proofErr w:type="spellEnd"/>
      <w:r w:rsidRPr="000A1C70">
        <w:rPr>
          <w:sz w:val="26"/>
          <w:szCs w:val="26"/>
        </w:rPr>
        <w:t>.</w:t>
      </w:r>
      <w:r w:rsidR="004D6F55">
        <w:rPr>
          <w:sz w:val="26"/>
          <w:szCs w:val="26"/>
        </w:rPr>
        <w:t xml:space="preserve"> </w:t>
      </w:r>
      <w:r w:rsidR="00D31EBD" w:rsidRPr="000A1C70">
        <w:rPr>
          <w:sz w:val="26"/>
          <w:szCs w:val="26"/>
        </w:rPr>
        <w:t>De asemenea</w:t>
      </w:r>
      <w:r w:rsidR="006C320A" w:rsidRPr="000A1C70">
        <w:rPr>
          <w:sz w:val="26"/>
          <w:szCs w:val="26"/>
        </w:rPr>
        <w:t xml:space="preserve"> </w:t>
      </w:r>
      <w:r w:rsidR="00205C37" w:rsidRPr="000A1C70">
        <w:rPr>
          <w:sz w:val="26"/>
          <w:szCs w:val="26"/>
        </w:rPr>
        <w:t xml:space="preserve">e de menționat, că </w:t>
      </w:r>
      <w:r w:rsidR="00D31EBD" w:rsidRPr="000A1C70">
        <w:rPr>
          <w:sz w:val="26"/>
          <w:szCs w:val="26"/>
        </w:rPr>
        <w:t>prevederile art</w:t>
      </w:r>
      <w:r w:rsidR="006C320A" w:rsidRPr="000A1C70">
        <w:rPr>
          <w:sz w:val="26"/>
          <w:szCs w:val="26"/>
        </w:rPr>
        <w:t>.</w:t>
      </w:r>
      <w:r w:rsidR="00726039" w:rsidRPr="000A1C70">
        <w:rPr>
          <w:sz w:val="26"/>
          <w:szCs w:val="26"/>
        </w:rPr>
        <w:t>4</w:t>
      </w:r>
      <w:r w:rsidR="00205C37" w:rsidRPr="000A1C70">
        <w:rPr>
          <w:sz w:val="26"/>
          <w:szCs w:val="26"/>
        </w:rPr>
        <w:t>9</w:t>
      </w:r>
      <w:r w:rsidR="00726039" w:rsidRPr="000A1C70">
        <w:rPr>
          <w:sz w:val="26"/>
          <w:szCs w:val="26"/>
        </w:rPr>
        <w:t xml:space="preserve"> </w:t>
      </w:r>
      <w:r w:rsidR="004D6F55">
        <w:rPr>
          <w:sz w:val="26"/>
          <w:szCs w:val="26"/>
        </w:rPr>
        <w:t xml:space="preserve">nu reprezintă un element de regula bugetar-fiscală, dar </w:t>
      </w:r>
      <w:r w:rsidR="00726039" w:rsidRPr="000A1C70">
        <w:rPr>
          <w:sz w:val="26"/>
          <w:szCs w:val="26"/>
        </w:rPr>
        <w:t>în fond,</w:t>
      </w:r>
      <w:r w:rsidR="004D6F55">
        <w:rPr>
          <w:sz w:val="26"/>
          <w:szCs w:val="26"/>
        </w:rPr>
        <w:t xml:space="preserve"> acționează ca un element de </w:t>
      </w:r>
      <w:proofErr w:type="spellStart"/>
      <w:r w:rsidR="004D6F55">
        <w:rPr>
          <w:sz w:val="26"/>
          <w:szCs w:val="26"/>
        </w:rPr>
        <w:t>constrîngere</w:t>
      </w:r>
      <w:proofErr w:type="spellEnd"/>
      <w:r w:rsidR="004D6F55">
        <w:rPr>
          <w:sz w:val="26"/>
          <w:szCs w:val="26"/>
        </w:rPr>
        <w:t xml:space="preserve"> rigid care nu ține cont de evoluțiile macroeconomice curente, </w:t>
      </w:r>
      <w:proofErr w:type="spellStart"/>
      <w:r w:rsidR="004D6F55">
        <w:rPr>
          <w:sz w:val="26"/>
          <w:szCs w:val="26"/>
        </w:rPr>
        <w:t>cît</w:t>
      </w:r>
      <w:proofErr w:type="spellEnd"/>
      <w:r w:rsidR="004D6F55">
        <w:rPr>
          <w:sz w:val="26"/>
          <w:szCs w:val="26"/>
        </w:rPr>
        <w:t xml:space="preserve"> și de reformele structurale în desfășurare. Pe </w:t>
      </w:r>
      <w:proofErr w:type="spellStart"/>
      <w:r w:rsidR="004D6F55">
        <w:rPr>
          <w:sz w:val="26"/>
          <w:szCs w:val="26"/>
        </w:rPr>
        <w:t>cînd</w:t>
      </w:r>
      <w:proofErr w:type="spellEnd"/>
      <w:r w:rsidR="004D6F55">
        <w:rPr>
          <w:sz w:val="26"/>
          <w:szCs w:val="26"/>
        </w:rPr>
        <w:t xml:space="preserve"> </w:t>
      </w:r>
      <w:r w:rsidR="00726039" w:rsidRPr="000A1C70">
        <w:rPr>
          <w:sz w:val="26"/>
          <w:szCs w:val="26"/>
        </w:rPr>
        <w:t>prevederile art</w:t>
      </w:r>
      <w:r w:rsidR="006C320A" w:rsidRPr="000A1C70">
        <w:rPr>
          <w:sz w:val="26"/>
          <w:szCs w:val="26"/>
        </w:rPr>
        <w:t>.</w:t>
      </w:r>
      <w:r w:rsidR="00726039" w:rsidRPr="000A1C70">
        <w:rPr>
          <w:sz w:val="26"/>
          <w:szCs w:val="26"/>
        </w:rPr>
        <w:t xml:space="preserve">15 din Legea nr.181/2014, care stabilește regulile </w:t>
      </w:r>
      <w:r w:rsidR="00205C37" w:rsidRPr="000A1C70">
        <w:rPr>
          <w:sz w:val="26"/>
          <w:szCs w:val="26"/>
        </w:rPr>
        <w:t>politicii bugetar-</w:t>
      </w:r>
      <w:r w:rsidR="00726039" w:rsidRPr="000A1C70">
        <w:rPr>
          <w:sz w:val="26"/>
          <w:szCs w:val="26"/>
        </w:rPr>
        <w:t>fiscale</w:t>
      </w:r>
      <w:r w:rsidR="004D6F55">
        <w:rPr>
          <w:sz w:val="26"/>
          <w:szCs w:val="26"/>
        </w:rPr>
        <w:t>, urmăre</w:t>
      </w:r>
      <w:r w:rsidR="006C6E01">
        <w:rPr>
          <w:sz w:val="26"/>
          <w:szCs w:val="26"/>
        </w:rPr>
        <w:t xml:space="preserve">sc </w:t>
      </w:r>
      <w:r w:rsidR="004D6F55">
        <w:rPr>
          <w:sz w:val="26"/>
          <w:szCs w:val="26"/>
        </w:rPr>
        <w:t>sustenabilitatea bugetului prin limitarea deficitului bugetar</w:t>
      </w:r>
      <w:r w:rsidR="00726039" w:rsidRPr="000A1C70">
        <w:rPr>
          <w:sz w:val="26"/>
          <w:szCs w:val="26"/>
        </w:rPr>
        <w:t>.</w:t>
      </w:r>
    </w:p>
    <w:p w:rsidR="00E7163F" w:rsidRPr="00C7763C" w:rsidRDefault="00D31EBD" w:rsidP="007E4C1E">
      <w:pPr>
        <w:pStyle w:val="a3"/>
        <w:spacing w:line="276" w:lineRule="auto"/>
        <w:ind w:firstLine="851"/>
        <w:rPr>
          <w:sz w:val="26"/>
          <w:szCs w:val="26"/>
        </w:rPr>
      </w:pPr>
      <w:r w:rsidRPr="00C7763C">
        <w:rPr>
          <w:sz w:val="26"/>
          <w:szCs w:val="26"/>
        </w:rPr>
        <w:t xml:space="preserve">Reieșind din </w:t>
      </w:r>
      <w:r w:rsidR="004D6F55" w:rsidRPr="00C7763C">
        <w:rPr>
          <w:sz w:val="26"/>
          <w:szCs w:val="26"/>
        </w:rPr>
        <w:t xml:space="preserve">cele menționate, dar și din faptul că nu există dovezi care să sugereze că disciplina fiscală este îmbunătățită în cazul în care </w:t>
      </w:r>
      <w:r w:rsidR="00D51F1C" w:rsidRPr="00C7763C">
        <w:rPr>
          <w:sz w:val="26"/>
          <w:szCs w:val="26"/>
        </w:rPr>
        <w:t>limitele</w:t>
      </w:r>
      <w:r w:rsidR="004D6F55" w:rsidRPr="00C7763C">
        <w:rPr>
          <w:sz w:val="26"/>
          <w:szCs w:val="26"/>
        </w:rPr>
        <w:t xml:space="preserve"> bugetar-fiscal</w:t>
      </w:r>
      <w:r w:rsidR="00D51F1C" w:rsidRPr="00C7763C">
        <w:rPr>
          <w:sz w:val="26"/>
          <w:szCs w:val="26"/>
        </w:rPr>
        <w:t>e sunt</w:t>
      </w:r>
      <w:r w:rsidR="004D6F55" w:rsidRPr="00C7763C">
        <w:rPr>
          <w:sz w:val="26"/>
          <w:szCs w:val="26"/>
        </w:rPr>
        <w:t xml:space="preserve"> adoptat</w:t>
      </w:r>
      <w:r w:rsidR="00D51F1C" w:rsidRPr="00C7763C">
        <w:rPr>
          <w:sz w:val="26"/>
          <w:szCs w:val="26"/>
        </w:rPr>
        <w:t>e</w:t>
      </w:r>
      <w:r w:rsidR="004D6F55" w:rsidRPr="00C7763C">
        <w:rPr>
          <w:sz w:val="26"/>
          <w:szCs w:val="26"/>
        </w:rPr>
        <w:t xml:space="preserve"> prin lege, așa cum demonstrează și cazul României</w:t>
      </w:r>
      <w:r w:rsidR="00C7763C">
        <w:rPr>
          <w:rStyle w:val="af0"/>
          <w:sz w:val="26"/>
          <w:szCs w:val="26"/>
        </w:rPr>
        <w:footnoteReference w:id="1"/>
      </w:r>
      <w:r w:rsidRPr="00C7763C">
        <w:rPr>
          <w:sz w:val="26"/>
          <w:szCs w:val="26"/>
        </w:rPr>
        <w:t xml:space="preserve">, </w:t>
      </w:r>
      <w:r w:rsidR="00205C37" w:rsidRPr="00C7763C">
        <w:rPr>
          <w:sz w:val="26"/>
          <w:szCs w:val="26"/>
        </w:rPr>
        <w:t xml:space="preserve">legiferarea limitelor </w:t>
      </w:r>
      <w:proofErr w:type="spellStart"/>
      <w:r w:rsidR="00205C37" w:rsidRPr="00C7763C">
        <w:rPr>
          <w:sz w:val="26"/>
          <w:szCs w:val="26"/>
        </w:rPr>
        <w:t>mac</w:t>
      </w:r>
      <w:r w:rsidR="006C320A" w:rsidRPr="00C7763C">
        <w:rPr>
          <w:sz w:val="26"/>
          <w:szCs w:val="26"/>
        </w:rPr>
        <w:t>ro</w:t>
      </w:r>
      <w:r w:rsidR="00205C37" w:rsidRPr="00C7763C">
        <w:rPr>
          <w:sz w:val="26"/>
          <w:szCs w:val="26"/>
        </w:rPr>
        <w:t>bugetare</w:t>
      </w:r>
      <w:proofErr w:type="spellEnd"/>
      <w:r w:rsidR="00205C37" w:rsidRPr="00C7763C">
        <w:rPr>
          <w:sz w:val="26"/>
          <w:szCs w:val="26"/>
        </w:rPr>
        <w:t xml:space="preserve"> pe termen mediu</w:t>
      </w:r>
      <w:r w:rsidR="004D6F55" w:rsidRPr="00C7763C">
        <w:rPr>
          <w:sz w:val="26"/>
          <w:szCs w:val="26"/>
        </w:rPr>
        <w:t xml:space="preserve"> ar putea avea loc în economiile bine dezvoltate, cu funcționare robustă</w:t>
      </w:r>
      <w:r w:rsidR="00E7163F" w:rsidRPr="00C7763C">
        <w:rPr>
          <w:sz w:val="26"/>
          <w:szCs w:val="26"/>
        </w:rPr>
        <w:t xml:space="preserve">. </w:t>
      </w:r>
    </w:p>
    <w:p w:rsidR="00D31EBD" w:rsidRPr="00C7763C" w:rsidRDefault="00E7163F" w:rsidP="007E4C1E">
      <w:pPr>
        <w:pStyle w:val="a3"/>
        <w:spacing w:line="276" w:lineRule="auto"/>
        <w:ind w:firstLine="851"/>
        <w:rPr>
          <w:sz w:val="26"/>
          <w:szCs w:val="26"/>
        </w:rPr>
      </w:pPr>
      <w:r w:rsidRPr="00C7763C">
        <w:rPr>
          <w:sz w:val="26"/>
          <w:szCs w:val="26"/>
        </w:rPr>
        <w:t>P</w:t>
      </w:r>
      <w:r w:rsidR="004D6F55" w:rsidRPr="00C7763C">
        <w:rPr>
          <w:sz w:val="26"/>
          <w:szCs w:val="26"/>
        </w:rPr>
        <w:t xml:space="preserve">entru </w:t>
      </w:r>
      <w:r w:rsidRPr="00C7763C">
        <w:rPr>
          <w:sz w:val="26"/>
          <w:szCs w:val="26"/>
        </w:rPr>
        <w:t xml:space="preserve">Republica </w:t>
      </w:r>
      <w:r w:rsidR="004D6F55" w:rsidRPr="00C7763C">
        <w:rPr>
          <w:sz w:val="26"/>
          <w:szCs w:val="26"/>
        </w:rPr>
        <w:t xml:space="preserve">Moldova </w:t>
      </w:r>
      <w:r w:rsidR="00205C37" w:rsidRPr="00C7763C">
        <w:rPr>
          <w:sz w:val="26"/>
          <w:szCs w:val="26"/>
        </w:rPr>
        <w:t>se consideră prematur</w:t>
      </w:r>
      <w:r w:rsidR="004D6F55" w:rsidRPr="00C7763C">
        <w:rPr>
          <w:sz w:val="26"/>
          <w:szCs w:val="26"/>
        </w:rPr>
        <w:t xml:space="preserve">, dat fiind multitudinea de reforme structurale </w:t>
      </w:r>
      <w:r w:rsidRPr="00C7763C">
        <w:rPr>
          <w:sz w:val="26"/>
          <w:szCs w:val="26"/>
        </w:rPr>
        <w:t xml:space="preserve">in sectorul public </w:t>
      </w:r>
      <w:r w:rsidR="00C7763C" w:rsidRPr="00C7763C">
        <w:rPr>
          <w:sz w:val="26"/>
          <w:szCs w:val="26"/>
        </w:rPr>
        <w:t xml:space="preserve">care au fost/ sau </w:t>
      </w:r>
      <w:r w:rsidR="000D59F2" w:rsidRPr="00C7763C">
        <w:rPr>
          <w:sz w:val="26"/>
          <w:szCs w:val="26"/>
        </w:rPr>
        <w:t>urmează</w:t>
      </w:r>
      <w:r w:rsidR="00C7763C" w:rsidRPr="00C7763C">
        <w:rPr>
          <w:sz w:val="26"/>
          <w:szCs w:val="26"/>
        </w:rPr>
        <w:t xml:space="preserve"> a fi </w:t>
      </w:r>
      <w:r w:rsidR="000D59F2" w:rsidRPr="00C7763C">
        <w:rPr>
          <w:sz w:val="26"/>
          <w:szCs w:val="26"/>
        </w:rPr>
        <w:t>inițiate</w:t>
      </w:r>
      <w:r w:rsidRPr="00C7763C">
        <w:rPr>
          <w:sz w:val="26"/>
          <w:szCs w:val="26"/>
        </w:rPr>
        <w:t xml:space="preserve">. </w:t>
      </w:r>
    </w:p>
    <w:p w:rsidR="004D6F55" w:rsidRPr="00C7763C" w:rsidRDefault="00E506FF" w:rsidP="00E7163F">
      <w:pPr>
        <w:pStyle w:val="a3"/>
        <w:spacing w:after="120" w:line="276" w:lineRule="auto"/>
        <w:ind w:firstLine="851"/>
        <w:rPr>
          <w:sz w:val="26"/>
          <w:szCs w:val="26"/>
        </w:rPr>
      </w:pPr>
      <w:r w:rsidRPr="00C7763C">
        <w:rPr>
          <w:sz w:val="26"/>
          <w:szCs w:val="26"/>
        </w:rPr>
        <w:t xml:space="preserve">Mai mult ca </w:t>
      </w:r>
      <w:r w:rsidR="00CE2AD2" w:rsidRPr="00C7763C">
        <w:rPr>
          <w:sz w:val="26"/>
          <w:szCs w:val="26"/>
        </w:rPr>
        <w:t>atât</w:t>
      </w:r>
      <w:r w:rsidRPr="00C7763C">
        <w:rPr>
          <w:sz w:val="26"/>
          <w:szCs w:val="26"/>
        </w:rPr>
        <w:t xml:space="preserve">, </w:t>
      </w:r>
      <w:r w:rsidR="00560191" w:rsidRPr="00C7763C">
        <w:rPr>
          <w:sz w:val="26"/>
          <w:szCs w:val="26"/>
        </w:rPr>
        <w:t xml:space="preserve">în caz de apariție a acestor reforme structurale, </w:t>
      </w:r>
      <w:r w:rsidRPr="00C7763C">
        <w:rPr>
          <w:sz w:val="26"/>
          <w:szCs w:val="26"/>
        </w:rPr>
        <w:t xml:space="preserve">prevederile actuale ale legii impun Parlamentului adoptarea unor parametri bugetari pe termen mediu, pe care tot Parlamentul </w:t>
      </w:r>
      <w:r w:rsidR="00CE2AD2" w:rsidRPr="00C7763C">
        <w:rPr>
          <w:sz w:val="26"/>
          <w:szCs w:val="26"/>
        </w:rPr>
        <w:t xml:space="preserve">urmează să </w:t>
      </w:r>
      <w:r w:rsidR="00D57C08" w:rsidRPr="00C7763C">
        <w:rPr>
          <w:sz w:val="26"/>
          <w:szCs w:val="26"/>
        </w:rPr>
        <w:t>le</w:t>
      </w:r>
      <w:r w:rsidR="003C3D6E" w:rsidRPr="00C7763C">
        <w:rPr>
          <w:sz w:val="26"/>
          <w:szCs w:val="26"/>
        </w:rPr>
        <w:t xml:space="preserve"> </w:t>
      </w:r>
      <w:r w:rsidR="00CE2AD2" w:rsidRPr="00C7763C">
        <w:rPr>
          <w:sz w:val="26"/>
          <w:szCs w:val="26"/>
        </w:rPr>
        <w:t>respecte în ciclul bugetar ulterior, limitându-l în utilizarea surselor financiare suplimentare</w:t>
      </w:r>
      <w:r w:rsidR="00560191" w:rsidRPr="00C7763C">
        <w:rPr>
          <w:sz w:val="26"/>
          <w:szCs w:val="26"/>
        </w:rPr>
        <w:t xml:space="preserve">. </w:t>
      </w:r>
      <w:r w:rsidR="00CE2AD2" w:rsidRPr="00C7763C">
        <w:rPr>
          <w:sz w:val="26"/>
          <w:szCs w:val="26"/>
        </w:rPr>
        <w:t xml:space="preserve"> </w:t>
      </w:r>
    </w:p>
    <w:p w:rsidR="00B54C5C" w:rsidRPr="00B54C5C" w:rsidRDefault="00B54C5C" w:rsidP="00E7163F">
      <w:pPr>
        <w:pStyle w:val="a3"/>
        <w:spacing w:after="120" w:line="276" w:lineRule="auto"/>
        <w:ind w:firstLine="851"/>
        <w:rPr>
          <w:sz w:val="26"/>
          <w:szCs w:val="26"/>
        </w:rPr>
      </w:pPr>
      <w:r w:rsidRPr="00C7763C">
        <w:rPr>
          <w:sz w:val="26"/>
          <w:szCs w:val="26"/>
        </w:rPr>
        <w:t xml:space="preserve">Reieșind din </w:t>
      </w:r>
      <w:r w:rsidR="00870252" w:rsidRPr="00C7763C">
        <w:rPr>
          <w:sz w:val="26"/>
          <w:szCs w:val="26"/>
        </w:rPr>
        <w:t xml:space="preserve">cele expuse mai sus se </w:t>
      </w:r>
      <w:r w:rsidRPr="00C7763C">
        <w:rPr>
          <w:sz w:val="26"/>
          <w:szCs w:val="26"/>
        </w:rPr>
        <w:t>propune abrogarea articolului 49.</w:t>
      </w:r>
    </w:p>
    <w:p w:rsidR="00BE7AB0" w:rsidRPr="000A1C70" w:rsidRDefault="00BE7AB0" w:rsidP="007E4C1E">
      <w:pPr>
        <w:spacing w:after="0"/>
        <w:ind w:firstLine="851"/>
        <w:jc w:val="both"/>
        <w:rPr>
          <w:rFonts w:ascii="Times New Roman" w:eastAsia="Times New Roman" w:hAnsi="Times New Roman" w:cs="Times New Roman"/>
          <w:sz w:val="26"/>
          <w:szCs w:val="26"/>
          <w:lang w:eastAsia="ru-RU"/>
        </w:rPr>
      </w:pPr>
      <w:r w:rsidRPr="000A1C70">
        <w:rPr>
          <w:rFonts w:ascii="Times New Roman" w:eastAsia="Times New Roman" w:hAnsi="Times New Roman" w:cs="Times New Roman"/>
          <w:sz w:val="26"/>
          <w:szCs w:val="26"/>
          <w:lang w:eastAsia="ru-RU"/>
        </w:rPr>
        <w:t xml:space="preserve">Conform legii, Guvernul, </w:t>
      </w:r>
      <w:proofErr w:type="spellStart"/>
      <w:r w:rsidRPr="000A1C70">
        <w:rPr>
          <w:rFonts w:ascii="Times New Roman" w:eastAsia="Times New Roman" w:hAnsi="Times New Roman" w:cs="Times New Roman"/>
          <w:sz w:val="26"/>
          <w:szCs w:val="26"/>
          <w:lang w:eastAsia="ru-RU"/>
        </w:rPr>
        <w:t>pînă</w:t>
      </w:r>
      <w:proofErr w:type="spellEnd"/>
      <w:r w:rsidRPr="000A1C70">
        <w:rPr>
          <w:rFonts w:ascii="Times New Roman" w:eastAsia="Times New Roman" w:hAnsi="Times New Roman" w:cs="Times New Roman"/>
          <w:sz w:val="26"/>
          <w:szCs w:val="26"/>
          <w:lang w:eastAsia="ru-RU"/>
        </w:rPr>
        <w:t xml:space="preserve"> la 15 august, prezintă Parlamentului raportul </w:t>
      </w:r>
      <w:proofErr w:type="spellStart"/>
      <w:r w:rsidRPr="000A1C70">
        <w:rPr>
          <w:rFonts w:ascii="Times New Roman" w:eastAsia="Times New Roman" w:hAnsi="Times New Roman" w:cs="Times New Roman"/>
          <w:sz w:val="26"/>
          <w:szCs w:val="26"/>
          <w:lang w:eastAsia="ru-RU"/>
        </w:rPr>
        <w:t>semianual</w:t>
      </w:r>
      <w:proofErr w:type="spellEnd"/>
      <w:r w:rsidRPr="000A1C70">
        <w:rPr>
          <w:rFonts w:ascii="Times New Roman" w:eastAsia="Times New Roman" w:hAnsi="Times New Roman" w:cs="Times New Roman"/>
          <w:sz w:val="26"/>
          <w:szCs w:val="26"/>
          <w:lang w:eastAsia="ru-RU"/>
        </w:rPr>
        <w:t xml:space="preserve"> privind executarea bugetului public național </w:t>
      </w:r>
      <w:proofErr w:type="spellStart"/>
      <w:r w:rsidRPr="000A1C70">
        <w:rPr>
          <w:rFonts w:ascii="Times New Roman" w:eastAsia="Times New Roman" w:hAnsi="Times New Roman" w:cs="Times New Roman"/>
          <w:sz w:val="26"/>
          <w:szCs w:val="26"/>
        </w:rPr>
        <w:t>şi</w:t>
      </w:r>
      <w:proofErr w:type="spellEnd"/>
      <w:r w:rsidRPr="000A1C70">
        <w:rPr>
          <w:rFonts w:ascii="Times New Roman" w:eastAsia="Times New Roman" w:hAnsi="Times New Roman" w:cs="Times New Roman"/>
          <w:sz w:val="26"/>
          <w:szCs w:val="26"/>
        </w:rPr>
        <w:t xml:space="preserve"> a componentelor acestuia </w:t>
      </w:r>
      <w:r w:rsidRPr="000A1C70">
        <w:rPr>
          <w:rFonts w:ascii="Times New Roman" w:eastAsia="Times New Roman" w:hAnsi="Times New Roman" w:cs="Times New Roman"/>
          <w:sz w:val="26"/>
          <w:szCs w:val="26"/>
          <w:lang w:eastAsia="ru-RU"/>
        </w:rPr>
        <w:t xml:space="preserve">pe anul bugetar în curs. Raportul dat </w:t>
      </w:r>
      <w:r w:rsidRPr="000A1C70">
        <w:rPr>
          <w:rFonts w:ascii="Times New Roman" w:eastAsia="Times New Roman" w:hAnsi="Times New Roman" w:cs="Times New Roman"/>
          <w:sz w:val="26"/>
          <w:szCs w:val="26"/>
        </w:rPr>
        <w:t xml:space="preserve">implică o analiză amplă și complexă a executării bugetului și a factorilor de risc, care ar putea afecta executarea bugetului anual. </w:t>
      </w:r>
      <w:r w:rsidR="00682955">
        <w:rPr>
          <w:rFonts w:ascii="Times New Roman" w:eastAsia="Times New Roman" w:hAnsi="Times New Roman" w:cs="Times New Roman"/>
          <w:sz w:val="26"/>
          <w:szCs w:val="26"/>
        </w:rPr>
        <w:t xml:space="preserve">Experiența denotă, că termenul stabilit în lege nu este suficient pentru a </w:t>
      </w:r>
      <w:r w:rsidRPr="000A1C70">
        <w:rPr>
          <w:rFonts w:ascii="Times New Roman" w:eastAsia="Times New Roman" w:hAnsi="Times New Roman" w:cs="Times New Roman"/>
          <w:sz w:val="26"/>
          <w:szCs w:val="26"/>
        </w:rPr>
        <w:t xml:space="preserve">întocmirea calitativă a </w:t>
      </w:r>
      <w:r w:rsidR="00682955">
        <w:rPr>
          <w:rFonts w:ascii="Times New Roman" w:eastAsia="Times New Roman" w:hAnsi="Times New Roman" w:cs="Times New Roman"/>
          <w:sz w:val="26"/>
          <w:szCs w:val="26"/>
        </w:rPr>
        <w:t xml:space="preserve">acestui </w:t>
      </w:r>
      <w:r w:rsidRPr="000A1C70">
        <w:rPr>
          <w:rFonts w:ascii="Times New Roman" w:eastAsia="Times New Roman" w:hAnsi="Times New Roman" w:cs="Times New Roman"/>
          <w:sz w:val="26"/>
          <w:szCs w:val="26"/>
        </w:rPr>
        <w:t xml:space="preserve">raport. În acest context, se propune </w:t>
      </w:r>
      <w:r w:rsidRPr="000A1C70">
        <w:rPr>
          <w:rFonts w:ascii="Times New Roman" w:eastAsia="Times New Roman" w:hAnsi="Times New Roman" w:cs="Times New Roman"/>
          <w:sz w:val="26"/>
          <w:szCs w:val="26"/>
          <w:lang w:eastAsia="ru-RU"/>
        </w:rPr>
        <w:t xml:space="preserve">extinderea termenului de prezentare </w:t>
      </w:r>
      <w:r w:rsidRPr="000A1C70">
        <w:rPr>
          <w:rFonts w:ascii="Times New Roman" w:eastAsia="Times New Roman" w:hAnsi="Times New Roman" w:cs="Times New Roman"/>
          <w:sz w:val="26"/>
          <w:szCs w:val="26"/>
        </w:rPr>
        <w:t xml:space="preserve">Parlamentului </w:t>
      </w:r>
      <w:r w:rsidRPr="000A1C70">
        <w:rPr>
          <w:rFonts w:ascii="Times New Roman" w:eastAsia="Times New Roman" w:hAnsi="Times New Roman" w:cs="Times New Roman"/>
          <w:sz w:val="26"/>
          <w:szCs w:val="26"/>
          <w:lang w:eastAsia="ru-RU"/>
        </w:rPr>
        <w:t xml:space="preserve">a </w:t>
      </w:r>
      <w:r w:rsidRPr="000A1C70">
        <w:rPr>
          <w:rFonts w:ascii="Times New Roman" w:eastAsia="Times New Roman" w:hAnsi="Times New Roman" w:cs="Times New Roman"/>
          <w:sz w:val="26"/>
          <w:szCs w:val="26"/>
        </w:rPr>
        <w:t xml:space="preserve">raportului până la 15 septembrie, </w:t>
      </w:r>
      <w:proofErr w:type="spellStart"/>
      <w:r w:rsidRPr="000A1C70">
        <w:rPr>
          <w:rFonts w:ascii="Times New Roman" w:eastAsia="Times New Roman" w:hAnsi="Times New Roman" w:cs="Times New Roman"/>
          <w:sz w:val="26"/>
          <w:szCs w:val="26"/>
        </w:rPr>
        <w:t>modificîndu</w:t>
      </w:r>
      <w:proofErr w:type="spellEnd"/>
      <w:r w:rsidRPr="000A1C70">
        <w:rPr>
          <w:rFonts w:ascii="Times New Roman" w:eastAsia="Times New Roman" w:hAnsi="Times New Roman" w:cs="Times New Roman"/>
          <w:sz w:val="26"/>
          <w:szCs w:val="26"/>
        </w:rPr>
        <w:t>-se art.</w:t>
      </w:r>
      <w:r w:rsidRPr="000A1C70">
        <w:rPr>
          <w:rFonts w:ascii="Times New Roman" w:eastAsia="Times New Roman" w:hAnsi="Times New Roman" w:cs="Times New Roman"/>
          <w:sz w:val="26"/>
          <w:szCs w:val="26"/>
          <w:lang w:eastAsia="ru-RU"/>
        </w:rPr>
        <w:t xml:space="preserve">47 alin.(1) </w:t>
      </w:r>
      <w:proofErr w:type="spellStart"/>
      <w:r w:rsidRPr="000A1C70">
        <w:rPr>
          <w:rFonts w:ascii="Times New Roman" w:eastAsia="Times New Roman" w:hAnsi="Times New Roman" w:cs="Times New Roman"/>
          <w:sz w:val="26"/>
          <w:szCs w:val="26"/>
          <w:lang w:eastAsia="ru-RU"/>
        </w:rPr>
        <w:t>lit.</w:t>
      </w:r>
      <w:r w:rsidR="0087488D" w:rsidRPr="000A1C70">
        <w:rPr>
          <w:rFonts w:ascii="Times New Roman" w:eastAsia="Times New Roman" w:hAnsi="Times New Roman" w:cs="Times New Roman"/>
          <w:sz w:val="26"/>
          <w:szCs w:val="26"/>
          <w:lang w:eastAsia="ru-RU"/>
        </w:rPr>
        <w:t>c</w:t>
      </w:r>
      <w:proofErr w:type="spellEnd"/>
      <w:r w:rsidRPr="000A1C70">
        <w:rPr>
          <w:rFonts w:ascii="Times New Roman" w:eastAsia="Times New Roman" w:hAnsi="Times New Roman" w:cs="Times New Roman"/>
          <w:sz w:val="26"/>
          <w:szCs w:val="26"/>
          <w:lang w:eastAsia="ru-RU"/>
        </w:rPr>
        <w:t>).</w:t>
      </w:r>
    </w:p>
    <w:p w:rsidR="00BE7AB0" w:rsidRPr="000A1C70" w:rsidRDefault="002E127A" w:rsidP="007E4C1E">
      <w:pPr>
        <w:spacing w:after="0"/>
        <w:ind w:firstLine="851"/>
        <w:jc w:val="both"/>
        <w:rPr>
          <w:rFonts w:ascii="Times New Roman" w:eastAsia="Times New Roman" w:hAnsi="Times New Roman" w:cs="Times New Roman"/>
          <w:sz w:val="26"/>
          <w:szCs w:val="26"/>
          <w:lang w:eastAsia="ru-RU"/>
        </w:rPr>
      </w:pPr>
      <w:r w:rsidRPr="000A1C70">
        <w:rPr>
          <w:rFonts w:ascii="Times New Roman" w:eastAsia="Times New Roman" w:hAnsi="Times New Roman" w:cs="Times New Roman"/>
          <w:sz w:val="26"/>
          <w:szCs w:val="26"/>
        </w:rPr>
        <w:t>E de menționat că m</w:t>
      </w:r>
      <w:r w:rsidR="00BE7AB0" w:rsidRPr="000A1C70">
        <w:rPr>
          <w:rFonts w:ascii="Times New Roman" w:eastAsia="Times New Roman" w:hAnsi="Times New Roman" w:cs="Times New Roman"/>
          <w:sz w:val="26"/>
          <w:szCs w:val="26"/>
        </w:rPr>
        <w:t xml:space="preserve">odificarea în cauză este și în concordanță cu Codul FMI privind transparența fiscală și cu normele Metodologiei privind sondajul bugetelor deschise, care prevăd limita de </w:t>
      </w:r>
      <w:r w:rsidR="000C4E98" w:rsidRPr="000A1C70">
        <w:rPr>
          <w:rFonts w:ascii="Times New Roman" w:eastAsia="Times New Roman" w:hAnsi="Times New Roman" w:cs="Times New Roman"/>
          <w:sz w:val="26"/>
          <w:szCs w:val="26"/>
        </w:rPr>
        <w:t>trei</w:t>
      </w:r>
      <w:r w:rsidR="00BE7AB0" w:rsidRPr="000A1C70">
        <w:rPr>
          <w:rFonts w:ascii="Times New Roman" w:eastAsia="Times New Roman" w:hAnsi="Times New Roman" w:cs="Times New Roman"/>
          <w:sz w:val="26"/>
          <w:szCs w:val="26"/>
        </w:rPr>
        <w:t xml:space="preserve"> luni după perioada gestionară.</w:t>
      </w:r>
    </w:p>
    <w:p w:rsidR="00D31EBD" w:rsidRPr="000A1C70" w:rsidRDefault="00D31EBD" w:rsidP="007E4C1E">
      <w:pPr>
        <w:pStyle w:val="a3"/>
        <w:spacing w:line="276" w:lineRule="auto"/>
        <w:ind w:firstLine="851"/>
        <w:rPr>
          <w:sz w:val="20"/>
          <w:szCs w:val="20"/>
        </w:rPr>
      </w:pPr>
    </w:p>
    <w:p w:rsidR="00854AE9" w:rsidRPr="000A1C70" w:rsidRDefault="00726039" w:rsidP="00870252">
      <w:pPr>
        <w:pStyle w:val="a3"/>
        <w:spacing w:line="276" w:lineRule="auto"/>
        <w:ind w:firstLine="851"/>
        <w:rPr>
          <w:sz w:val="26"/>
          <w:szCs w:val="26"/>
        </w:rPr>
      </w:pPr>
      <w:r w:rsidRPr="000A1C70">
        <w:rPr>
          <w:sz w:val="26"/>
          <w:szCs w:val="26"/>
        </w:rPr>
        <w:t>Legea vizată</w:t>
      </w:r>
      <w:r w:rsidRPr="000A1C70">
        <w:rPr>
          <w:b/>
          <w:sz w:val="26"/>
          <w:szCs w:val="26"/>
        </w:rPr>
        <w:t xml:space="preserve"> </w:t>
      </w:r>
      <w:proofErr w:type="spellStart"/>
      <w:r w:rsidR="00854AE9" w:rsidRPr="000A1C70">
        <w:rPr>
          <w:sz w:val="26"/>
          <w:szCs w:val="26"/>
        </w:rPr>
        <w:t>stabileşte</w:t>
      </w:r>
      <w:proofErr w:type="spellEnd"/>
      <w:r w:rsidR="00854AE9" w:rsidRPr="000A1C70">
        <w:rPr>
          <w:sz w:val="26"/>
          <w:szCs w:val="26"/>
        </w:rPr>
        <w:t xml:space="preserve">, că în termen de 30 de zile de la data publicării legii bugetului de stat pe anul respectiv, </w:t>
      </w:r>
      <w:proofErr w:type="spellStart"/>
      <w:r w:rsidR="00854AE9" w:rsidRPr="000A1C70">
        <w:rPr>
          <w:sz w:val="26"/>
          <w:szCs w:val="26"/>
        </w:rPr>
        <w:t>autorităţile</w:t>
      </w:r>
      <w:proofErr w:type="spellEnd"/>
      <w:r w:rsidR="00854AE9" w:rsidRPr="000A1C70">
        <w:rPr>
          <w:sz w:val="26"/>
          <w:szCs w:val="26"/>
        </w:rPr>
        <w:t xml:space="preserve"> </w:t>
      </w:r>
      <w:proofErr w:type="spellStart"/>
      <w:r w:rsidR="00854AE9" w:rsidRPr="000A1C70">
        <w:rPr>
          <w:sz w:val="26"/>
          <w:szCs w:val="26"/>
        </w:rPr>
        <w:t>administraţiei</w:t>
      </w:r>
      <w:proofErr w:type="spellEnd"/>
      <w:r w:rsidR="00854AE9" w:rsidRPr="000A1C70">
        <w:rPr>
          <w:sz w:val="26"/>
          <w:szCs w:val="26"/>
        </w:rPr>
        <w:t xml:space="preserve"> publice locale de toate nivelurile aduc bugetele aprobate corespunzătoare în </w:t>
      </w:r>
      <w:proofErr w:type="spellStart"/>
      <w:r w:rsidR="00854AE9" w:rsidRPr="000A1C70">
        <w:rPr>
          <w:sz w:val="26"/>
          <w:szCs w:val="26"/>
        </w:rPr>
        <w:t>concordanţă</w:t>
      </w:r>
      <w:proofErr w:type="spellEnd"/>
      <w:r w:rsidR="00854AE9" w:rsidRPr="000A1C70">
        <w:rPr>
          <w:sz w:val="26"/>
          <w:szCs w:val="26"/>
        </w:rPr>
        <w:t xml:space="preserve"> cu prevederile legii </w:t>
      </w:r>
      <w:proofErr w:type="spellStart"/>
      <w:r w:rsidR="00854AE9" w:rsidRPr="000A1C70">
        <w:rPr>
          <w:sz w:val="26"/>
          <w:szCs w:val="26"/>
        </w:rPr>
        <w:t>menţionate</w:t>
      </w:r>
      <w:proofErr w:type="spellEnd"/>
      <w:r w:rsidR="00854AE9" w:rsidRPr="000A1C70">
        <w:rPr>
          <w:sz w:val="26"/>
          <w:szCs w:val="26"/>
        </w:rPr>
        <w:t xml:space="preserve">. Aceasta nu se referă la modificarea legii bugetului de stat pe parcursul anului, care afectează relațiile </w:t>
      </w:r>
      <w:proofErr w:type="spellStart"/>
      <w:r w:rsidR="00854AE9" w:rsidRPr="000A1C70">
        <w:rPr>
          <w:sz w:val="26"/>
          <w:szCs w:val="26"/>
        </w:rPr>
        <w:t>interbugetare</w:t>
      </w:r>
      <w:proofErr w:type="spellEnd"/>
      <w:r w:rsidR="00854AE9" w:rsidRPr="000A1C70">
        <w:rPr>
          <w:sz w:val="26"/>
          <w:szCs w:val="26"/>
        </w:rPr>
        <w:t>.</w:t>
      </w:r>
      <w:r w:rsidR="00682955">
        <w:rPr>
          <w:sz w:val="26"/>
          <w:szCs w:val="26"/>
        </w:rPr>
        <w:t xml:space="preserve"> </w:t>
      </w:r>
      <w:r w:rsidR="00854AE9" w:rsidRPr="000A1C70">
        <w:rPr>
          <w:sz w:val="26"/>
          <w:szCs w:val="26"/>
        </w:rPr>
        <w:t xml:space="preserve">Întru eliminarea acestei lacune, se propune </w:t>
      </w:r>
      <w:r w:rsidR="00682955">
        <w:rPr>
          <w:sz w:val="26"/>
          <w:szCs w:val="26"/>
        </w:rPr>
        <w:t xml:space="preserve">introducerea </w:t>
      </w:r>
      <w:r w:rsidR="00854AE9" w:rsidRPr="000A1C70">
        <w:rPr>
          <w:sz w:val="26"/>
          <w:szCs w:val="26"/>
        </w:rPr>
        <w:t>obliga</w:t>
      </w:r>
      <w:r w:rsidR="00682955">
        <w:rPr>
          <w:sz w:val="26"/>
          <w:szCs w:val="26"/>
        </w:rPr>
        <w:t xml:space="preserve">tivității aducerii în concordanță de către </w:t>
      </w:r>
      <w:r w:rsidR="00854AE9" w:rsidRPr="000A1C70">
        <w:rPr>
          <w:sz w:val="26"/>
          <w:szCs w:val="26"/>
        </w:rPr>
        <w:t xml:space="preserve"> autoritățile administrației publice locale </w:t>
      </w:r>
      <w:r w:rsidR="00682955">
        <w:rPr>
          <w:sz w:val="26"/>
          <w:szCs w:val="26"/>
        </w:rPr>
        <w:t>a</w:t>
      </w:r>
      <w:r w:rsidR="00870252">
        <w:rPr>
          <w:sz w:val="26"/>
          <w:szCs w:val="26"/>
        </w:rPr>
        <w:t xml:space="preserve"> </w:t>
      </w:r>
      <w:r w:rsidR="00854AE9" w:rsidRPr="000A1C70">
        <w:rPr>
          <w:sz w:val="26"/>
          <w:szCs w:val="26"/>
        </w:rPr>
        <w:t>bugetel</w:t>
      </w:r>
      <w:r w:rsidR="00682955">
        <w:rPr>
          <w:sz w:val="26"/>
          <w:szCs w:val="26"/>
        </w:rPr>
        <w:t>or</w:t>
      </w:r>
      <w:r w:rsidR="00854AE9" w:rsidRPr="000A1C70">
        <w:rPr>
          <w:sz w:val="26"/>
          <w:szCs w:val="26"/>
        </w:rPr>
        <w:t xml:space="preserve"> sale  cu modificările operate la legea bugetului de stat pe </w:t>
      </w:r>
      <w:r w:rsidR="00854AE9" w:rsidRPr="000A1C70">
        <w:rPr>
          <w:sz w:val="26"/>
          <w:szCs w:val="26"/>
        </w:rPr>
        <w:lastRenderedPageBreak/>
        <w:t>parcursul anului bugetar</w:t>
      </w:r>
      <w:r w:rsidR="002979EB">
        <w:rPr>
          <w:sz w:val="26"/>
          <w:szCs w:val="26"/>
        </w:rPr>
        <w:t>,</w:t>
      </w:r>
      <w:r w:rsidRPr="000A1C70">
        <w:rPr>
          <w:sz w:val="26"/>
          <w:szCs w:val="26"/>
        </w:rPr>
        <w:t xml:space="preserve"> care afectează relațiile </w:t>
      </w:r>
      <w:proofErr w:type="spellStart"/>
      <w:r w:rsidRPr="000A1C70">
        <w:rPr>
          <w:sz w:val="26"/>
          <w:szCs w:val="26"/>
        </w:rPr>
        <w:t>interbugetare</w:t>
      </w:r>
      <w:proofErr w:type="spellEnd"/>
      <w:r w:rsidR="002979EB">
        <w:rPr>
          <w:sz w:val="26"/>
          <w:szCs w:val="26"/>
        </w:rPr>
        <w:t>. Modificarea respectivă urmează a fi</w:t>
      </w:r>
      <w:r w:rsidR="00854AE9" w:rsidRPr="000A1C70">
        <w:rPr>
          <w:sz w:val="26"/>
          <w:szCs w:val="26"/>
        </w:rPr>
        <w:t xml:space="preserve"> efectu</w:t>
      </w:r>
      <w:r w:rsidR="002979EB">
        <w:rPr>
          <w:sz w:val="26"/>
          <w:szCs w:val="26"/>
        </w:rPr>
        <w:t>ată</w:t>
      </w:r>
      <w:r w:rsidR="00870252">
        <w:rPr>
          <w:sz w:val="26"/>
          <w:szCs w:val="26"/>
        </w:rPr>
        <w:t xml:space="preserve"> </w:t>
      </w:r>
      <w:r w:rsidR="00854AE9" w:rsidRPr="000A1C70">
        <w:rPr>
          <w:sz w:val="26"/>
          <w:szCs w:val="26"/>
        </w:rPr>
        <w:t xml:space="preserve">la </w:t>
      </w:r>
      <w:r w:rsidRPr="000A1C70">
        <w:rPr>
          <w:sz w:val="26"/>
          <w:szCs w:val="26"/>
        </w:rPr>
        <w:t>art.55 alin.(5)</w:t>
      </w:r>
      <w:r w:rsidR="00854AE9" w:rsidRPr="000A1C70">
        <w:rPr>
          <w:sz w:val="26"/>
          <w:szCs w:val="26"/>
        </w:rPr>
        <w:t>.</w:t>
      </w:r>
    </w:p>
    <w:p w:rsidR="00E84E2A" w:rsidRPr="000A1C70" w:rsidRDefault="00E84E2A" w:rsidP="007E4C1E">
      <w:pPr>
        <w:spacing w:after="0"/>
        <w:ind w:firstLine="851"/>
        <w:jc w:val="both"/>
        <w:rPr>
          <w:rFonts w:ascii="Times New Roman" w:hAnsi="Times New Roman" w:cs="Times New Roman"/>
          <w:sz w:val="20"/>
          <w:szCs w:val="20"/>
        </w:rPr>
      </w:pPr>
    </w:p>
    <w:p w:rsidR="00CC268F" w:rsidRPr="000A1C70" w:rsidRDefault="004A37AC" w:rsidP="007E4C1E">
      <w:pPr>
        <w:spacing w:after="0"/>
        <w:ind w:firstLine="851"/>
        <w:jc w:val="both"/>
        <w:rPr>
          <w:rFonts w:ascii="Times New Roman" w:hAnsi="Times New Roman" w:cs="Times New Roman"/>
          <w:sz w:val="26"/>
          <w:szCs w:val="26"/>
        </w:rPr>
      </w:pPr>
      <w:r w:rsidRPr="000A1C70">
        <w:rPr>
          <w:rFonts w:ascii="Times New Roman" w:hAnsi="Times New Roman" w:cs="Times New Roman"/>
          <w:sz w:val="26"/>
          <w:szCs w:val="26"/>
        </w:rPr>
        <w:t xml:space="preserve"> Articolul 57 prevede principiile de bază </w:t>
      </w:r>
      <w:r w:rsidR="002979EB">
        <w:rPr>
          <w:rFonts w:ascii="Times New Roman" w:hAnsi="Times New Roman" w:cs="Times New Roman"/>
          <w:sz w:val="26"/>
          <w:szCs w:val="26"/>
        </w:rPr>
        <w:t xml:space="preserve">ale </w:t>
      </w:r>
      <w:r w:rsidRPr="000A1C70">
        <w:rPr>
          <w:rFonts w:ascii="Times New Roman" w:hAnsi="Times New Roman" w:cs="Times New Roman"/>
          <w:sz w:val="26"/>
          <w:szCs w:val="26"/>
        </w:rPr>
        <w:t xml:space="preserve">formării și executării bugetului provizoriu. Totodată, </w:t>
      </w:r>
      <w:r w:rsidR="00E84E2A" w:rsidRPr="000A1C70">
        <w:rPr>
          <w:rFonts w:ascii="Times New Roman" w:hAnsi="Times New Roman" w:cs="Times New Roman"/>
          <w:sz w:val="26"/>
          <w:szCs w:val="26"/>
        </w:rPr>
        <w:t xml:space="preserve">legea nu reglementează expres volumul transferurilor de la </w:t>
      </w:r>
      <w:r w:rsidR="00B11D83" w:rsidRPr="000A1C70">
        <w:rPr>
          <w:rFonts w:ascii="Times New Roman" w:hAnsi="Times New Roman" w:cs="Times New Roman"/>
          <w:sz w:val="26"/>
          <w:szCs w:val="26"/>
        </w:rPr>
        <w:t xml:space="preserve">alte </w:t>
      </w:r>
      <w:r w:rsidR="00E84E2A" w:rsidRPr="000A1C70">
        <w:rPr>
          <w:rFonts w:ascii="Times New Roman" w:hAnsi="Times New Roman" w:cs="Times New Roman"/>
          <w:sz w:val="26"/>
          <w:szCs w:val="26"/>
        </w:rPr>
        <w:t>buget</w:t>
      </w:r>
      <w:r w:rsidR="00C43C01" w:rsidRPr="000A1C70">
        <w:rPr>
          <w:rFonts w:ascii="Times New Roman" w:hAnsi="Times New Roman" w:cs="Times New Roman"/>
          <w:sz w:val="26"/>
          <w:szCs w:val="26"/>
        </w:rPr>
        <w:t>e</w:t>
      </w:r>
      <w:r w:rsidR="00E84E2A" w:rsidRPr="000A1C70">
        <w:rPr>
          <w:rFonts w:ascii="Times New Roman" w:hAnsi="Times New Roman" w:cs="Times New Roman"/>
          <w:sz w:val="26"/>
          <w:szCs w:val="26"/>
        </w:rPr>
        <w:t xml:space="preserve"> care urmează să fie inclus în bugetele provizori</w:t>
      </w:r>
      <w:r w:rsidR="001646F6">
        <w:rPr>
          <w:rFonts w:ascii="Times New Roman" w:hAnsi="Times New Roman" w:cs="Times New Roman"/>
          <w:sz w:val="26"/>
          <w:szCs w:val="26"/>
        </w:rPr>
        <w:t>i</w:t>
      </w:r>
      <w:r w:rsidR="00E84E2A" w:rsidRPr="000A1C70">
        <w:rPr>
          <w:rFonts w:ascii="Times New Roman" w:hAnsi="Times New Roman" w:cs="Times New Roman"/>
          <w:sz w:val="26"/>
          <w:szCs w:val="26"/>
        </w:rPr>
        <w:t xml:space="preserve"> </w:t>
      </w:r>
      <w:r w:rsidR="001646F6">
        <w:rPr>
          <w:rFonts w:ascii="Times New Roman" w:hAnsi="Times New Roman" w:cs="Times New Roman"/>
          <w:sz w:val="26"/>
          <w:szCs w:val="26"/>
        </w:rPr>
        <w:t xml:space="preserve">ale </w:t>
      </w:r>
      <w:r w:rsidR="00E84E2A" w:rsidRPr="000A1C70">
        <w:rPr>
          <w:rFonts w:ascii="Times New Roman" w:hAnsi="Times New Roman" w:cs="Times New Roman"/>
          <w:sz w:val="26"/>
          <w:szCs w:val="26"/>
        </w:rPr>
        <w:t>be</w:t>
      </w:r>
      <w:r w:rsidR="00C43C01" w:rsidRPr="000A1C70">
        <w:rPr>
          <w:rFonts w:ascii="Times New Roman" w:hAnsi="Times New Roman" w:cs="Times New Roman"/>
          <w:sz w:val="26"/>
          <w:szCs w:val="26"/>
        </w:rPr>
        <w:t>n</w:t>
      </w:r>
      <w:r w:rsidR="00E84E2A" w:rsidRPr="000A1C70">
        <w:rPr>
          <w:rFonts w:ascii="Times New Roman" w:hAnsi="Times New Roman" w:cs="Times New Roman"/>
          <w:sz w:val="26"/>
          <w:szCs w:val="26"/>
        </w:rPr>
        <w:t>eficiar</w:t>
      </w:r>
      <w:r w:rsidR="001646F6">
        <w:rPr>
          <w:rFonts w:ascii="Times New Roman" w:hAnsi="Times New Roman" w:cs="Times New Roman"/>
          <w:sz w:val="26"/>
          <w:szCs w:val="26"/>
        </w:rPr>
        <w:t>ilor</w:t>
      </w:r>
      <w:r w:rsidR="00E84E2A" w:rsidRPr="000A1C70">
        <w:rPr>
          <w:rFonts w:ascii="Times New Roman" w:hAnsi="Times New Roman" w:cs="Times New Roman"/>
          <w:sz w:val="26"/>
          <w:szCs w:val="26"/>
        </w:rPr>
        <w:t xml:space="preserve"> de </w:t>
      </w:r>
      <w:r w:rsidR="00C43C01" w:rsidRPr="000A1C70">
        <w:rPr>
          <w:rFonts w:ascii="Times New Roman" w:hAnsi="Times New Roman" w:cs="Times New Roman"/>
          <w:sz w:val="26"/>
          <w:szCs w:val="26"/>
        </w:rPr>
        <w:t>aceste transfere. În realitate</w:t>
      </w:r>
      <w:r w:rsidR="00B11D83" w:rsidRPr="000A1C70">
        <w:rPr>
          <w:rFonts w:ascii="Times New Roman" w:hAnsi="Times New Roman" w:cs="Times New Roman"/>
          <w:sz w:val="26"/>
          <w:szCs w:val="26"/>
        </w:rPr>
        <w:t>,</w:t>
      </w:r>
      <w:r w:rsidR="00E84E2A" w:rsidRPr="000A1C70">
        <w:rPr>
          <w:rFonts w:ascii="Times New Roman" w:hAnsi="Times New Roman" w:cs="Times New Roman"/>
          <w:sz w:val="26"/>
          <w:szCs w:val="26"/>
        </w:rPr>
        <w:t xml:space="preserve"> </w:t>
      </w:r>
      <w:proofErr w:type="spellStart"/>
      <w:r w:rsidR="00C43C01" w:rsidRPr="000A1C70">
        <w:rPr>
          <w:rFonts w:ascii="Times New Roman" w:hAnsi="Times New Roman" w:cs="Times New Roman"/>
          <w:sz w:val="26"/>
          <w:szCs w:val="26"/>
        </w:rPr>
        <w:t>sînt</w:t>
      </w:r>
      <w:proofErr w:type="spellEnd"/>
      <w:r w:rsidRPr="000A1C70">
        <w:rPr>
          <w:rFonts w:ascii="Times New Roman" w:hAnsi="Times New Roman" w:cs="Times New Roman"/>
          <w:sz w:val="26"/>
          <w:szCs w:val="26"/>
        </w:rPr>
        <w:t xml:space="preserve"> cazuri </w:t>
      </w:r>
      <w:proofErr w:type="spellStart"/>
      <w:r w:rsidR="00C43C01" w:rsidRPr="000A1C70">
        <w:rPr>
          <w:rFonts w:ascii="Times New Roman" w:hAnsi="Times New Roman" w:cs="Times New Roman"/>
          <w:sz w:val="26"/>
          <w:szCs w:val="26"/>
        </w:rPr>
        <w:t>cînd</w:t>
      </w:r>
      <w:proofErr w:type="spellEnd"/>
      <w:r w:rsidR="00C43C01" w:rsidRPr="000A1C70">
        <w:rPr>
          <w:rFonts w:ascii="Times New Roman" w:hAnsi="Times New Roman" w:cs="Times New Roman"/>
          <w:sz w:val="26"/>
          <w:szCs w:val="26"/>
        </w:rPr>
        <w:t xml:space="preserve"> </w:t>
      </w:r>
      <w:r w:rsidR="00E84E2A" w:rsidRPr="000A1C70">
        <w:rPr>
          <w:rFonts w:ascii="Times New Roman" w:hAnsi="Times New Roman" w:cs="Times New Roman"/>
          <w:sz w:val="26"/>
          <w:szCs w:val="26"/>
        </w:rPr>
        <w:t xml:space="preserve">în </w:t>
      </w:r>
      <w:r w:rsidRPr="000A1C70">
        <w:rPr>
          <w:rFonts w:ascii="Times New Roman" w:hAnsi="Times New Roman" w:cs="Times New Roman"/>
          <w:sz w:val="26"/>
          <w:szCs w:val="26"/>
        </w:rPr>
        <w:t>bugetele provizori</w:t>
      </w:r>
      <w:r w:rsidR="001646F6">
        <w:rPr>
          <w:rFonts w:ascii="Times New Roman" w:hAnsi="Times New Roman" w:cs="Times New Roman"/>
          <w:sz w:val="26"/>
          <w:szCs w:val="26"/>
        </w:rPr>
        <w:t>i</w:t>
      </w:r>
      <w:r w:rsidRPr="000A1C70">
        <w:rPr>
          <w:rFonts w:ascii="Times New Roman" w:hAnsi="Times New Roman" w:cs="Times New Roman"/>
          <w:sz w:val="26"/>
          <w:szCs w:val="26"/>
        </w:rPr>
        <w:t xml:space="preserve"> </w:t>
      </w:r>
      <w:proofErr w:type="spellStart"/>
      <w:r w:rsidR="00E84E2A" w:rsidRPr="000A1C70">
        <w:rPr>
          <w:rFonts w:ascii="Times New Roman" w:hAnsi="Times New Roman" w:cs="Times New Roman"/>
          <w:sz w:val="26"/>
          <w:szCs w:val="26"/>
        </w:rPr>
        <w:t>sînt</w:t>
      </w:r>
      <w:proofErr w:type="spellEnd"/>
      <w:r w:rsidR="00E84E2A" w:rsidRPr="000A1C70">
        <w:rPr>
          <w:rFonts w:ascii="Times New Roman" w:hAnsi="Times New Roman" w:cs="Times New Roman"/>
          <w:sz w:val="26"/>
          <w:szCs w:val="26"/>
        </w:rPr>
        <w:t xml:space="preserve"> stabilite transferurile de la </w:t>
      </w:r>
      <w:r w:rsidR="00B11D83" w:rsidRPr="000A1C70">
        <w:rPr>
          <w:rFonts w:ascii="Times New Roman" w:hAnsi="Times New Roman" w:cs="Times New Roman"/>
          <w:sz w:val="26"/>
          <w:szCs w:val="26"/>
        </w:rPr>
        <w:t xml:space="preserve">alte </w:t>
      </w:r>
      <w:r w:rsidR="00E84E2A" w:rsidRPr="000A1C70">
        <w:rPr>
          <w:rFonts w:ascii="Times New Roman" w:hAnsi="Times New Roman" w:cs="Times New Roman"/>
          <w:sz w:val="26"/>
          <w:szCs w:val="26"/>
        </w:rPr>
        <w:t>buget</w:t>
      </w:r>
      <w:r w:rsidR="00B11D83" w:rsidRPr="000A1C70">
        <w:rPr>
          <w:rFonts w:ascii="Times New Roman" w:hAnsi="Times New Roman" w:cs="Times New Roman"/>
          <w:sz w:val="26"/>
          <w:szCs w:val="26"/>
        </w:rPr>
        <w:t>e</w:t>
      </w:r>
      <w:r w:rsidR="00E84E2A" w:rsidRPr="000A1C70">
        <w:rPr>
          <w:rFonts w:ascii="Times New Roman" w:hAnsi="Times New Roman" w:cs="Times New Roman"/>
          <w:sz w:val="26"/>
          <w:szCs w:val="26"/>
        </w:rPr>
        <w:t xml:space="preserve"> în alte volume</w:t>
      </w:r>
      <w:r w:rsidR="002979EB">
        <w:rPr>
          <w:rFonts w:ascii="Times New Roman" w:hAnsi="Times New Roman" w:cs="Times New Roman"/>
          <w:sz w:val="26"/>
          <w:szCs w:val="26"/>
        </w:rPr>
        <w:t>,</w:t>
      </w:r>
      <w:r w:rsidR="00E84E2A" w:rsidRPr="000A1C70">
        <w:rPr>
          <w:rFonts w:ascii="Times New Roman" w:hAnsi="Times New Roman" w:cs="Times New Roman"/>
          <w:sz w:val="26"/>
          <w:szCs w:val="26"/>
        </w:rPr>
        <w:t xml:space="preserve"> </w:t>
      </w:r>
      <w:proofErr w:type="spellStart"/>
      <w:r w:rsidR="00E84E2A" w:rsidRPr="000A1C70">
        <w:rPr>
          <w:rFonts w:ascii="Times New Roman" w:hAnsi="Times New Roman" w:cs="Times New Roman"/>
          <w:sz w:val="26"/>
          <w:szCs w:val="26"/>
        </w:rPr>
        <w:t>decăt</w:t>
      </w:r>
      <w:proofErr w:type="spellEnd"/>
      <w:r w:rsidR="00E84E2A" w:rsidRPr="000A1C70">
        <w:rPr>
          <w:rFonts w:ascii="Times New Roman" w:hAnsi="Times New Roman" w:cs="Times New Roman"/>
          <w:sz w:val="26"/>
          <w:szCs w:val="26"/>
        </w:rPr>
        <w:t xml:space="preserve"> </w:t>
      </w:r>
      <w:r w:rsidR="001646F6">
        <w:rPr>
          <w:rFonts w:ascii="Times New Roman" w:hAnsi="Times New Roman" w:cs="Times New Roman"/>
          <w:sz w:val="26"/>
          <w:szCs w:val="26"/>
        </w:rPr>
        <w:t xml:space="preserve">cele </w:t>
      </w:r>
      <w:r w:rsidR="00E84E2A" w:rsidRPr="000A1C70">
        <w:rPr>
          <w:rFonts w:ascii="Times New Roman" w:hAnsi="Times New Roman" w:cs="Times New Roman"/>
          <w:sz w:val="26"/>
          <w:szCs w:val="26"/>
        </w:rPr>
        <w:t xml:space="preserve">prevăzute pentru alocare de la </w:t>
      </w:r>
      <w:r w:rsidR="00B11D83" w:rsidRPr="000A1C70">
        <w:rPr>
          <w:rFonts w:ascii="Times New Roman" w:hAnsi="Times New Roman" w:cs="Times New Roman"/>
          <w:sz w:val="26"/>
          <w:szCs w:val="26"/>
        </w:rPr>
        <w:t xml:space="preserve">aceste </w:t>
      </w:r>
      <w:r w:rsidR="00E84E2A" w:rsidRPr="000A1C70">
        <w:rPr>
          <w:rFonts w:ascii="Times New Roman" w:hAnsi="Times New Roman" w:cs="Times New Roman"/>
          <w:sz w:val="26"/>
          <w:szCs w:val="26"/>
        </w:rPr>
        <w:t>buget</w:t>
      </w:r>
      <w:r w:rsidR="00B11D83" w:rsidRPr="000A1C70">
        <w:rPr>
          <w:rFonts w:ascii="Times New Roman" w:hAnsi="Times New Roman" w:cs="Times New Roman"/>
          <w:sz w:val="26"/>
          <w:szCs w:val="26"/>
        </w:rPr>
        <w:t>e</w:t>
      </w:r>
      <w:r w:rsidR="00E84E2A" w:rsidRPr="000A1C70">
        <w:rPr>
          <w:rFonts w:ascii="Times New Roman" w:hAnsi="Times New Roman" w:cs="Times New Roman"/>
          <w:sz w:val="26"/>
          <w:szCs w:val="26"/>
        </w:rPr>
        <w:t xml:space="preserve">. Pentru excluderea pe viitor </w:t>
      </w:r>
      <w:r w:rsidR="00C43C01" w:rsidRPr="000A1C70">
        <w:rPr>
          <w:rFonts w:ascii="Times New Roman" w:hAnsi="Times New Roman" w:cs="Times New Roman"/>
          <w:sz w:val="26"/>
          <w:szCs w:val="26"/>
        </w:rPr>
        <w:t xml:space="preserve">a </w:t>
      </w:r>
      <w:r w:rsidR="00E84E2A" w:rsidRPr="000A1C70">
        <w:rPr>
          <w:rFonts w:ascii="Times New Roman" w:hAnsi="Times New Roman" w:cs="Times New Roman"/>
          <w:sz w:val="26"/>
          <w:szCs w:val="26"/>
        </w:rPr>
        <w:t>acestor situații, se propune c</w:t>
      </w:r>
      <w:r w:rsidRPr="000A1C70">
        <w:rPr>
          <w:rFonts w:ascii="Times New Roman" w:hAnsi="Times New Roman" w:cs="Times New Roman"/>
          <w:sz w:val="26"/>
          <w:szCs w:val="26"/>
        </w:rPr>
        <w:t xml:space="preserve">ompletarea art. 57 alin.(2) cu </w:t>
      </w:r>
      <w:proofErr w:type="spellStart"/>
      <w:r w:rsidRPr="000A1C70">
        <w:rPr>
          <w:rFonts w:ascii="Times New Roman" w:hAnsi="Times New Roman" w:cs="Times New Roman"/>
          <w:sz w:val="26"/>
          <w:szCs w:val="26"/>
        </w:rPr>
        <w:t>lit.c</w:t>
      </w:r>
      <w:proofErr w:type="spellEnd"/>
      <w:r w:rsidRPr="000A1C70">
        <w:rPr>
          <w:rFonts w:ascii="Times New Roman" w:hAnsi="Times New Roman" w:cs="Times New Roman"/>
          <w:sz w:val="26"/>
          <w:szCs w:val="26"/>
        </w:rPr>
        <w:t>)</w:t>
      </w:r>
      <w:r w:rsidR="00E84E2A" w:rsidRPr="000A1C70">
        <w:rPr>
          <w:rFonts w:ascii="Times New Roman" w:hAnsi="Times New Roman" w:cs="Times New Roman"/>
          <w:sz w:val="26"/>
          <w:szCs w:val="26"/>
        </w:rPr>
        <w:t>.</w:t>
      </w:r>
      <w:r w:rsidRPr="000A1C70">
        <w:rPr>
          <w:rFonts w:ascii="Times New Roman" w:hAnsi="Times New Roman" w:cs="Times New Roman"/>
          <w:sz w:val="26"/>
          <w:szCs w:val="26"/>
        </w:rPr>
        <w:t xml:space="preserve"> </w:t>
      </w:r>
      <w:r w:rsidR="00C43C01" w:rsidRPr="000A1C70">
        <w:rPr>
          <w:rFonts w:ascii="Times New Roman" w:hAnsi="Times New Roman" w:cs="Times New Roman"/>
          <w:sz w:val="26"/>
          <w:szCs w:val="26"/>
        </w:rPr>
        <w:t>cu prevederea</w:t>
      </w:r>
      <w:r w:rsidR="002979EB">
        <w:rPr>
          <w:rFonts w:ascii="Times New Roman" w:hAnsi="Times New Roman" w:cs="Times New Roman"/>
          <w:sz w:val="26"/>
          <w:szCs w:val="26"/>
        </w:rPr>
        <w:t>,</w:t>
      </w:r>
      <w:r w:rsidR="00C43C01" w:rsidRPr="000A1C70">
        <w:rPr>
          <w:rFonts w:ascii="Times New Roman" w:hAnsi="Times New Roman" w:cs="Times New Roman"/>
          <w:sz w:val="26"/>
          <w:szCs w:val="26"/>
        </w:rPr>
        <w:t xml:space="preserve"> că </w:t>
      </w:r>
      <w:r w:rsidR="00C43C01" w:rsidRPr="000A1C70">
        <w:rPr>
          <w:rFonts w:ascii="Times New Roman" w:hAnsi="Times New Roman"/>
          <w:sz w:val="26"/>
          <w:szCs w:val="26"/>
        </w:rPr>
        <w:t>volumul transferurilor în bugetul provizoriu urmează a fi aprobat la nivelul cel</w:t>
      </w:r>
      <w:r w:rsidR="002979EB">
        <w:rPr>
          <w:rFonts w:ascii="Times New Roman" w:hAnsi="Times New Roman"/>
          <w:sz w:val="26"/>
          <w:szCs w:val="26"/>
        </w:rPr>
        <w:t>ui</w:t>
      </w:r>
      <w:r w:rsidR="00C43C01" w:rsidRPr="000A1C70">
        <w:rPr>
          <w:rFonts w:ascii="Times New Roman" w:hAnsi="Times New Roman"/>
          <w:sz w:val="26"/>
          <w:szCs w:val="26"/>
        </w:rPr>
        <w:t xml:space="preserve"> prevăzut în bugetul de la care se efectuează aceste transferuri.</w:t>
      </w:r>
    </w:p>
    <w:p w:rsidR="00F940A1" w:rsidRPr="000A1C70" w:rsidRDefault="00F940A1" w:rsidP="00B11D83">
      <w:pPr>
        <w:spacing w:after="0"/>
        <w:jc w:val="both"/>
        <w:rPr>
          <w:rFonts w:ascii="Times New Roman" w:hAnsi="Times New Roman" w:cs="Times New Roman"/>
          <w:sz w:val="20"/>
          <w:szCs w:val="20"/>
        </w:rPr>
      </w:pPr>
    </w:p>
    <w:p w:rsidR="004A704F" w:rsidRPr="000A1C70" w:rsidRDefault="00F51028" w:rsidP="007E4C1E">
      <w:pPr>
        <w:spacing w:after="0"/>
        <w:ind w:firstLine="851"/>
        <w:jc w:val="both"/>
        <w:rPr>
          <w:rFonts w:ascii="Times New Roman" w:eastAsia="Times New Roman" w:hAnsi="Times New Roman" w:cs="Times New Roman"/>
          <w:sz w:val="26"/>
          <w:szCs w:val="26"/>
        </w:rPr>
      </w:pPr>
      <w:r w:rsidRPr="000A1C70">
        <w:rPr>
          <w:rFonts w:ascii="Times New Roman" w:hAnsi="Times New Roman" w:cs="Times New Roman"/>
          <w:sz w:val="26"/>
          <w:szCs w:val="26"/>
        </w:rPr>
        <w:t>Conform</w:t>
      </w:r>
      <w:r w:rsidR="00017942" w:rsidRPr="000A1C70">
        <w:rPr>
          <w:rFonts w:ascii="Times New Roman" w:hAnsi="Times New Roman" w:cs="Times New Roman"/>
          <w:sz w:val="26"/>
          <w:szCs w:val="26"/>
        </w:rPr>
        <w:t xml:space="preserve"> legii, </w:t>
      </w:r>
      <w:r w:rsidR="000C4E98" w:rsidRPr="000A1C70">
        <w:rPr>
          <w:rFonts w:ascii="Times New Roman" w:hAnsi="Times New Roman" w:cs="Times New Roman"/>
          <w:sz w:val="26"/>
          <w:szCs w:val="26"/>
        </w:rPr>
        <w:t>a</w:t>
      </w:r>
      <w:r w:rsidR="000C4E98" w:rsidRPr="000A1C70">
        <w:rPr>
          <w:rFonts w:ascii="Times New Roman" w:eastAsia="Times New Roman" w:hAnsi="Times New Roman" w:cs="Times New Roman"/>
          <w:sz w:val="26"/>
          <w:szCs w:val="26"/>
        </w:rPr>
        <w:t xml:space="preserve">sumarea angajamentelor de către </w:t>
      </w:r>
      <w:proofErr w:type="spellStart"/>
      <w:r w:rsidR="000C4E98" w:rsidRPr="000A1C70">
        <w:rPr>
          <w:rFonts w:ascii="Times New Roman" w:eastAsia="Times New Roman" w:hAnsi="Times New Roman" w:cs="Times New Roman"/>
          <w:sz w:val="26"/>
          <w:szCs w:val="26"/>
        </w:rPr>
        <w:t>autorităţile</w:t>
      </w:r>
      <w:proofErr w:type="spellEnd"/>
      <w:r w:rsidR="000C4E98" w:rsidRPr="000A1C70">
        <w:rPr>
          <w:rFonts w:ascii="Times New Roman" w:eastAsia="Times New Roman" w:hAnsi="Times New Roman" w:cs="Times New Roman"/>
          <w:sz w:val="26"/>
          <w:szCs w:val="26"/>
        </w:rPr>
        <w:t>/</w:t>
      </w:r>
      <w:proofErr w:type="spellStart"/>
      <w:r w:rsidR="000C4E98" w:rsidRPr="000A1C70">
        <w:rPr>
          <w:rFonts w:ascii="Times New Roman" w:eastAsia="Times New Roman" w:hAnsi="Times New Roman" w:cs="Times New Roman"/>
          <w:sz w:val="26"/>
          <w:szCs w:val="26"/>
        </w:rPr>
        <w:t>instituţiile</w:t>
      </w:r>
      <w:proofErr w:type="spellEnd"/>
      <w:r w:rsidR="000C4E98" w:rsidRPr="000A1C70">
        <w:rPr>
          <w:rFonts w:ascii="Times New Roman" w:eastAsia="Times New Roman" w:hAnsi="Times New Roman" w:cs="Times New Roman"/>
          <w:sz w:val="26"/>
          <w:szCs w:val="26"/>
        </w:rPr>
        <w:t xml:space="preserve"> bugetare se permite doar în scopurile </w:t>
      </w:r>
      <w:proofErr w:type="spellStart"/>
      <w:r w:rsidR="000C4E98" w:rsidRPr="000A1C70">
        <w:rPr>
          <w:rFonts w:ascii="Times New Roman" w:eastAsia="Times New Roman" w:hAnsi="Times New Roman" w:cs="Times New Roman"/>
          <w:sz w:val="26"/>
          <w:szCs w:val="26"/>
        </w:rPr>
        <w:t>şi</w:t>
      </w:r>
      <w:proofErr w:type="spellEnd"/>
      <w:r w:rsidR="000C4E98" w:rsidRPr="000A1C70">
        <w:rPr>
          <w:rFonts w:ascii="Times New Roman" w:eastAsia="Times New Roman" w:hAnsi="Times New Roman" w:cs="Times New Roman"/>
          <w:sz w:val="26"/>
          <w:szCs w:val="26"/>
        </w:rPr>
        <w:t xml:space="preserve"> în limitele </w:t>
      </w:r>
      <w:proofErr w:type="spellStart"/>
      <w:r w:rsidR="000C4E98" w:rsidRPr="000A1C70">
        <w:rPr>
          <w:rFonts w:ascii="Times New Roman" w:eastAsia="Times New Roman" w:hAnsi="Times New Roman" w:cs="Times New Roman"/>
          <w:sz w:val="26"/>
          <w:szCs w:val="26"/>
        </w:rPr>
        <w:t>alocaţiilor</w:t>
      </w:r>
      <w:proofErr w:type="spellEnd"/>
      <w:r w:rsidR="000C4E98" w:rsidRPr="000A1C70">
        <w:rPr>
          <w:rFonts w:ascii="Times New Roman" w:eastAsia="Times New Roman" w:hAnsi="Times New Roman" w:cs="Times New Roman"/>
          <w:sz w:val="26"/>
          <w:szCs w:val="26"/>
        </w:rPr>
        <w:t xml:space="preserve"> bugetare</w:t>
      </w:r>
      <w:r w:rsidRPr="000A1C70">
        <w:rPr>
          <w:rFonts w:ascii="Times New Roman" w:eastAsia="Times New Roman" w:hAnsi="Times New Roman" w:cs="Times New Roman"/>
          <w:sz w:val="26"/>
          <w:szCs w:val="26"/>
        </w:rPr>
        <w:t xml:space="preserve">, iar </w:t>
      </w:r>
      <w:r w:rsidR="00DF6442" w:rsidRPr="000A1C70">
        <w:rPr>
          <w:rFonts w:ascii="Times New Roman" w:hAnsi="Times New Roman" w:cs="Times New Roman"/>
          <w:sz w:val="26"/>
          <w:szCs w:val="26"/>
        </w:rPr>
        <w:t>d</w:t>
      </w:r>
      <w:r w:rsidR="00017942" w:rsidRPr="000A1C70">
        <w:rPr>
          <w:rFonts w:ascii="Times New Roman" w:hAnsi="Times New Roman" w:cs="Times New Roman"/>
          <w:sz w:val="26"/>
          <w:szCs w:val="26"/>
        </w:rPr>
        <w:t xml:space="preserve">atoriile </w:t>
      </w:r>
      <w:proofErr w:type="spellStart"/>
      <w:r w:rsidR="00017942" w:rsidRPr="000A1C70">
        <w:rPr>
          <w:rFonts w:ascii="Times New Roman" w:hAnsi="Times New Roman" w:cs="Times New Roman"/>
          <w:sz w:val="26"/>
          <w:szCs w:val="26"/>
        </w:rPr>
        <w:t>autorităţilor</w:t>
      </w:r>
      <w:proofErr w:type="spellEnd"/>
      <w:r w:rsidR="00017942" w:rsidRPr="000A1C70">
        <w:rPr>
          <w:rFonts w:ascii="Times New Roman" w:hAnsi="Times New Roman" w:cs="Times New Roman"/>
          <w:sz w:val="26"/>
          <w:szCs w:val="26"/>
        </w:rPr>
        <w:t>/</w:t>
      </w:r>
      <w:proofErr w:type="spellStart"/>
      <w:r w:rsidR="00017942" w:rsidRPr="000A1C70">
        <w:rPr>
          <w:rFonts w:ascii="Times New Roman" w:hAnsi="Times New Roman" w:cs="Times New Roman"/>
          <w:sz w:val="26"/>
          <w:szCs w:val="26"/>
        </w:rPr>
        <w:t>instituţiilor</w:t>
      </w:r>
      <w:proofErr w:type="spellEnd"/>
      <w:r w:rsidR="00017942" w:rsidRPr="000A1C70">
        <w:rPr>
          <w:rFonts w:ascii="Times New Roman" w:hAnsi="Times New Roman" w:cs="Times New Roman"/>
          <w:sz w:val="26"/>
          <w:szCs w:val="26"/>
        </w:rPr>
        <w:t xml:space="preserve"> bugetare din anii </w:t>
      </w:r>
      <w:proofErr w:type="spellStart"/>
      <w:r w:rsidR="00017942" w:rsidRPr="000A1C70">
        <w:rPr>
          <w:rFonts w:ascii="Times New Roman" w:hAnsi="Times New Roman" w:cs="Times New Roman"/>
          <w:sz w:val="26"/>
          <w:szCs w:val="26"/>
        </w:rPr>
        <w:t>precedenţi</w:t>
      </w:r>
      <w:proofErr w:type="spellEnd"/>
      <w:r w:rsidR="00017942" w:rsidRPr="000A1C70">
        <w:rPr>
          <w:rFonts w:ascii="Times New Roman" w:hAnsi="Times New Roman" w:cs="Times New Roman"/>
          <w:sz w:val="26"/>
          <w:szCs w:val="26"/>
        </w:rPr>
        <w:t xml:space="preserve"> se achită de către acestea din contul </w:t>
      </w:r>
      <w:proofErr w:type="spellStart"/>
      <w:r w:rsidR="00017942" w:rsidRPr="000A1C70">
        <w:rPr>
          <w:rFonts w:ascii="Times New Roman" w:hAnsi="Times New Roman" w:cs="Times New Roman"/>
          <w:sz w:val="26"/>
          <w:szCs w:val="26"/>
        </w:rPr>
        <w:t>şi</w:t>
      </w:r>
      <w:proofErr w:type="spellEnd"/>
      <w:r w:rsidR="00017942" w:rsidRPr="000A1C70">
        <w:rPr>
          <w:rFonts w:ascii="Times New Roman" w:hAnsi="Times New Roman" w:cs="Times New Roman"/>
          <w:sz w:val="26"/>
          <w:szCs w:val="26"/>
        </w:rPr>
        <w:t xml:space="preserve"> în limita bugetelor </w:t>
      </w:r>
      <w:proofErr w:type="spellStart"/>
      <w:r w:rsidR="00017942" w:rsidRPr="000A1C70">
        <w:rPr>
          <w:rFonts w:ascii="Times New Roman" w:hAnsi="Times New Roman" w:cs="Times New Roman"/>
          <w:sz w:val="26"/>
          <w:szCs w:val="26"/>
        </w:rPr>
        <w:t>autorităţilor</w:t>
      </w:r>
      <w:proofErr w:type="spellEnd"/>
      <w:r w:rsidR="00017942" w:rsidRPr="000A1C70">
        <w:rPr>
          <w:rFonts w:ascii="Times New Roman" w:hAnsi="Times New Roman" w:cs="Times New Roman"/>
          <w:sz w:val="26"/>
          <w:szCs w:val="26"/>
        </w:rPr>
        <w:t>/</w:t>
      </w:r>
      <w:proofErr w:type="spellStart"/>
      <w:r w:rsidR="00017942" w:rsidRPr="000A1C70">
        <w:rPr>
          <w:rFonts w:ascii="Times New Roman" w:hAnsi="Times New Roman" w:cs="Times New Roman"/>
          <w:sz w:val="26"/>
          <w:szCs w:val="26"/>
        </w:rPr>
        <w:t>instituţiilor</w:t>
      </w:r>
      <w:proofErr w:type="spellEnd"/>
      <w:r w:rsidR="00017942" w:rsidRPr="000A1C70">
        <w:rPr>
          <w:rFonts w:ascii="Times New Roman" w:hAnsi="Times New Roman" w:cs="Times New Roman"/>
          <w:sz w:val="26"/>
          <w:szCs w:val="26"/>
        </w:rPr>
        <w:t xml:space="preserve"> respective aprobate pe anul bugetar curent</w:t>
      </w:r>
      <w:r w:rsidR="00DF6442" w:rsidRPr="000A1C70">
        <w:rPr>
          <w:rFonts w:ascii="Times New Roman" w:hAnsi="Times New Roman" w:cs="Times New Roman"/>
          <w:sz w:val="26"/>
          <w:szCs w:val="26"/>
        </w:rPr>
        <w:t xml:space="preserve">. </w:t>
      </w:r>
      <w:r w:rsidR="000C4E98" w:rsidRPr="000A1C70">
        <w:rPr>
          <w:rFonts w:ascii="Times New Roman" w:hAnsi="Times New Roman" w:cs="Times New Roman"/>
          <w:sz w:val="26"/>
          <w:szCs w:val="26"/>
        </w:rPr>
        <w:t xml:space="preserve">Cu toate acestea, legea nu reglementează </w:t>
      </w:r>
      <w:r w:rsidRPr="000A1C70">
        <w:rPr>
          <w:rFonts w:ascii="Times New Roman" w:hAnsi="Times New Roman" w:cs="Times New Roman"/>
          <w:sz w:val="26"/>
          <w:szCs w:val="26"/>
        </w:rPr>
        <w:t xml:space="preserve">necesitatea luării în considerare a datoriilor la asumarea angajamentelor noi și nici </w:t>
      </w:r>
      <w:r w:rsidR="000C4E98" w:rsidRPr="000A1C70">
        <w:rPr>
          <w:rFonts w:ascii="Times New Roman" w:hAnsi="Times New Roman" w:cs="Times New Roman"/>
          <w:sz w:val="26"/>
          <w:szCs w:val="26"/>
        </w:rPr>
        <w:t>prioritatea achitării datoriilor cu termen de achitare expirat, inclusiv la plățile curente</w:t>
      </w:r>
      <w:r w:rsidR="004A704F" w:rsidRPr="000A1C70">
        <w:rPr>
          <w:rFonts w:ascii="Times New Roman" w:hAnsi="Times New Roman" w:cs="Times New Roman"/>
          <w:sz w:val="26"/>
          <w:szCs w:val="26"/>
        </w:rPr>
        <w:t xml:space="preserve">, ceea ce creează </w:t>
      </w:r>
      <w:r w:rsidR="00EE4862" w:rsidRPr="000A1C70">
        <w:rPr>
          <w:rFonts w:ascii="Times New Roman" w:hAnsi="Times New Roman" w:cs="Times New Roman"/>
          <w:sz w:val="26"/>
          <w:szCs w:val="26"/>
        </w:rPr>
        <w:t>premise</w:t>
      </w:r>
      <w:r w:rsidR="004A704F" w:rsidRPr="000A1C70">
        <w:rPr>
          <w:rFonts w:ascii="Times New Roman" w:hAnsi="Times New Roman" w:cs="Times New Roman"/>
          <w:sz w:val="26"/>
          <w:szCs w:val="26"/>
        </w:rPr>
        <w:t xml:space="preserve"> pentru acumularea datoriilor</w:t>
      </w:r>
      <w:r w:rsidR="000C4E98" w:rsidRPr="000A1C70">
        <w:rPr>
          <w:rFonts w:ascii="Times New Roman" w:hAnsi="Times New Roman" w:cs="Times New Roman"/>
          <w:sz w:val="26"/>
          <w:szCs w:val="26"/>
        </w:rPr>
        <w:t xml:space="preserve">. </w:t>
      </w:r>
      <w:r w:rsidRPr="000A1C70">
        <w:rPr>
          <w:rFonts w:ascii="Times New Roman" w:hAnsi="Times New Roman" w:cs="Times New Roman"/>
          <w:sz w:val="26"/>
          <w:szCs w:val="26"/>
        </w:rPr>
        <w:t xml:space="preserve">Aceste lacune vor fi eliminate prin </w:t>
      </w:r>
      <w:r w:rsidR="000E1787" w:rsidRPr="000A1C70">
        <w:rPr>
          <w:rFonts w:ascii="Times New Roman" w:hAnsi="Times New Roman" w:cs="Times New Roman"/>
          <w:sz w:val="26"/>
          <w:szCs w:val="26"/>
        </w:rPr>
        <w:t>complet</w:t>
      </w:r>
      <w:r w:rsidRPr="000A1C70">
        <w:rPr>
          <w:rFonts w:ascii="Times New Roman" w:hAnsi="Times New Roman" w:cs="Times New Roman"/>
          <w:sz w:val="26"/>
          <w:szCs w:val="26"/>
        </w:rPr>
        <w:t>ările propuse la</w:t>
      </w:r>
      <w:r w:rsidR="000E1787" w:rsidRPr="000A1C70">
        <w:rPr>
          <w:rFonts w:ascii="Times New Roman" w:hAnsi="Times New Roman" w:cs="Times New Roman"/>
          <w:sz w:val="26"/>
          <w:szCs w:val="26"/>
        </w:rPr>
        <w:t xml:space="preserve"> </w:t>
      </w:r>
      <w:r w:rsidRPr="000A1C70">
        <w:rPr>
          <w:rFonts w:ascii="Times New Roman" w:eastAsia="Times New Roman" w:hAnsi="Times New Roman" w:cs="Times New Roman"/>
          <w:sz w:val="26"/>
          <w:szCs w:val="26"/>
        </w:rPr>
        <w:t>art.66</w:t>
      </w:r>
      <w:r w:rsidR="006C320A" w:rsidRPr="000A1C70">
        <w:rPr>
          <w:rFonts w:ascii="Times New Roman" w:eastAsia="Times New Roman" w:hAnsi="Times New Roman" w:cs="Times New Roman"/>
          <w:sz w:val="26"/>
          <w:szCs w:val="26"/>
        </w:rPr>
        <w:t xml:space="preserve"> </w:t>
      </w:r>
      <w:r w:rsidRPr="000A1C70">
        <w:rPr>
          <w:rFonts w:ascii="Times New Roman" w:eastAsia="Times New Roman" w:hAnsi="Times New Roman" w:cs="Times New Roman"/>
          <w:sz w:val="26"/>
          <w:szCs w:val="26"/>
        </w:rPr>
        <w:t>alin.(2) și la art.67, potrivit cărora la asumarea angajamentelor de către autoritățile/instituțiile bugetare, acestea vor trebui să țină cont de datoriile înregistrate la finele anului precedent, precum și faptul, că</w:t>
      </w:r>
      <w:r w:rsidR="00A37C61">
        <w:rPr>
          <w:rFonts w:ascii="Times New Roman" w:eastAsia="Times New Roman" w:hAnsi="Times New Roman" w:cs="Times New Roman"/>
          <w:sz w:val="26"/>
          <w:szCs w:val="26"/>
        </w:rPr>
        <w:t xml:space="preserve"> </w:t>
      </w:r>
      <w:r w:rsidRPr="000A1C70">
        <w:rPr>
          <w:rFonts w:ascii="Times New Roman" w:eastAsia="Times New Roman" w:hAnsi="Times New Roman" w:cs="Times New Roman"/>
          <w:sz w:val="26"/>
          <w:szCs w:val="26"/>
        </w:rPr>
        <w:t xml:space="preserve">acestea nu vor putea efectua plăți curente </w:t>
      </w:r>
      <w:proofErr w:type="spellStart"/>
      <w:r w:rsidRPr="000A1C70">
        <w:rPr>
          <w:rFonts w:ascii="Times New Roman" w:eastAsia="Times New Roman" w:hAnsi="Times New Roman" w:cs="Times New Roman"/>
          <w:sz w:val="26"/>
          <w:szCs w:val="26"/>
        </w:rPr>
        <w:t>pînă</w:t>
      </w:r>
      <w:proofErr w:type="spellEnd"/>
      <w:r w:rsidRPr="000A1C70">
        <w:rPr>
          <w:rFonts w:ascii="Times New Roman" w:eastAsia="Times New Roman" w:hAnsi="Times New Roman" w:cs="Times New Roman"/>
          <w:sz w:val="26"/>
          <w:szCs w:val="26"/>
        </w:rPr>
        <w:t xml:space="preserve"> la stingerea datoriilor cu termen de achitare expirat. Modificarea are drept scop </w:t>
      </w:r>
      <w:r w:rsidR="002979EB">
        <w:rPr>
          <w:rFonts w:ascii="Times New Roman" w:eastAsia="Times New Roman" w:hAnsi="Times New Roman" w:cs="Times New Roman"/>
          <w:sz w:val="26"/>
          <w:szCs w:val="26"/>
        </w:rPr>
        <w:t>evitarea</w:t>
      </w:r>
      <w:r w:rsidR="00870252">
        <w:rPr>
          <w:rFonts w:ascii="Times New Roman" w:eastAsia="Times New Roman" w:hAnsi="Times New Roman" w:cs="Times New Roman"/>
          <w:sz w:val="26"/>
          <w:szCs w:val="26"/>
        </w:rPr>
        <w:t xml:space="preserve"> </w:t>
      </w:r>
      <w:r w:rsidRPr="000A1C70">
        <w:rPr>
          <w:rFonts w:ascii="Times New Roman" w:eastAsia="Times New Roman" w:hAnsi="Times New Roman" w:cs="Times New Roman"/>
          <w:sz w:val="26"/>
          <w:szCs w:val="26"/>
        </w:rPr>
        <w:t>acumul</w:t>
      </w:r>
      <w:r w:rsidR="002979EB">
        <w:rPr>
          <w:rFonts w:ascii="Times New Roman" w:eastAsia="Times New Roman" w:hAnsi="Times New Roman" w:cs="Times New Roman"/>
          <w:sz w:val="26"/>
          <w:szCs w:val="26"/>
        </w:rPr>
        <w:t>ării</w:t>
      </w:r>
      <w:r w:rsidRPr="000A1C70">
        <w:rPr>
          <w:rFonts w:ascii="Times New Roman" w:eastAsia="Times New Roman" w:hAnsi="Times New Roman" w:cs="Times New Roman"/>
          <w:sz w:val="26"/>
          <w:szCs w:val="26"/>
        </w:rPr>
        <w:t xml:space="preserve"> datoriilor de către autoritățile/instituțiile bugetare, precum și responsabilizarea conducătorului </w:t>
      </w:r>
      <w:proofErr w:type="spellStart"/>
      <w:r w:rsidRPr="000A1C70">
        <w:rPr>
          <w:rFonts w:ascii="Times New Roman" w:hAnsi="Times New Roman" w:cs="Times New Roman"/>
          <w:sz w:val="26"/>
          <w:szCs w:val="26"/>
        </w:rPr>
        <w:t>autorităţilor</w:t>
      </w:r>
      <w:proofErr w:type="spellEnd"/>
      <w:r w:rsidRPr="000A1C70">
        <w:rPr>
          <w:rFonts w:ascii="Times New Roman" w:hAnsi="Times New Roman" w:cs="Times New Roman"/>
          <w:sz w:val="26"/>
          <w:szCs w:val="26"/>
        </w:rPr>
        <w:t>/</w:t>
      </w:r>
      <w:proofErr w:type="spellStart"/>
      <w:r w:rsidRPr="000A1C70">
        <w:rPr>
          <w:rFonts w:ascii="Times New Roman" w:hAnsi="Times New Roman" w:cs="Times New Roman"/>
          <w:sz w:val="26"/>
          <w:szCs w:val="26"/>
        </w:rPr>
        <w:t>instituţiilor</w:t>
      </w:r>
      <w:proofErr w:type="spellEnd"/>
      <w:r w:rsidRPr="000A1C70">
        <w:rPr>
          <w:rFonts w:ascii="Times New Roman" w:hAnsi="Times New Roman" w:cs="Times New Roman"/>
          <w:sz w:val="26"/>
          <w:szCs w:val="26"/>
        </w:rPr>
        <w:t xml:space="preserve"> bugetare în efectuarea eficientă și eficace a cheltuielilor</w:t>
      </w:r>
      <w:r w:rsidR="002979EB">
        <w:rPr>
          <w:rFonts w:ascii="Times New Roman" w:hAnsi="Times New Roman" w:cs="Times New Roman"/>
          <w:sz w:val="26"/>
          <w:szCs w:val="26"/>
        </w:rPr>
        <w:t>,</w:t>
      </w:r>
      <w:r w:rsidRPr="000A1C70">
        <w:rPr>
          <w:rFonts w:ascii="Times New Roman" w:hAnsi="Times New Roman" w:cs="Times New Roman"/>
          <w:sz w:val="26"/>
          <w:szCs w:val="26"/>
        </w:rPr>
        <w:t xml:space="preserve"> întru neadmiterea de arierate </w:t>
      </w:r>
      <w:r w:rsidRPr="000A1C70">
        <w:rPr>
          <w:rFonts w:ascii="Times New Roman" w:eastAsia="Times New Roman" w:hAnsi="Times New Roman" w:cs="Times New Roman"/>
          <w:sz w:val="26"/>
          <w:szCs w:val="26"/>
        </w:rPr>
        <w:t>în procesul de executare a bugetului. De asemenea, astfel se va asigura îmbunătățirea indicatorului evaluat în cadrul Memorandumului încheiat cu Fondul Monetar Internațional.</w:t>
      </w:r>
      <w:r w:rsidR="004A704F" w:rsidRPr="000A1C70">
        <w:rPr>
          <w:rFonts w:ascii="Times New Roman" w:eastAsia="Times New Roman" w:hAnsi="Times New Roman" w:cs="Times New Roman"/>
          <w:sz w:val="26"/>
          <w:szCs w:val="26"/>
        </w:rPr>
        <w:t xml:space="preserve"> E de menționat că datoriile cu termen de achitare expirat (</w:t>
      </w:r>
      <w:r w:rsidR="006C320A" w:rsidRPr="000A1C70">
        <w:rPr>
          <w:rFonts w:ascii="Times New Roman" w:eastAsia="Times New Roman" w:hAnsi="Times New Roman" w:cs="Times New Roman"/>
          <w:sz w:val="26"/>
          <w:szCs w:val="26"/>
        </w:rPr>
        <w:t>arierate</w:t>
      </w:r>
      <w:r w:rsidR="004A704F" w:rsidRPr="000A1C70">
        <w:rPr>
          <w:rFonts w:ascii="Times New Roman" w:eastAsia="Times New Roman" w:hAnsi="Times New Roman" w:cs="Times New Roman"/>
          <w:sz w:val="26"/>
          <w:szCs w:val="26"/>
        </w:rPr>
        <w:t>)</w:t>
      </w:r>
      <w:r w:rsidR="002979EB">
        <w:rPr>
          <w:rFonts w:ascii="Times New Roman" w:eastAsia="Times New Roman" w:hAnsi="Times New Roman" w:cs="Times New Roman"/>
          <w:sz w:val="26"/>
          <w:szCs w:val="26"/>
        </w:rPr>
        <w:t xml:space="preserve"> constituie</w:t>
      </w:r>
      <w:r w:rsidR="004A704F" w:rsidRPr="000A1C70">
        <w:rPr>
          <w:rFonts w:ascii="Times New Roman" w:eastAsia="Times New Roman" w:hAnsi="Times New Roman" w:cs="Times New Roman"/>
          <w:sz w:val="26"/>
          <w:szCs w:val="26"/>
        </w:rPr>
        <w:t xml:space="preserve"> un indicator evaluat în cadrul Cheltuielilor publice și responsabilității financiare (PEFA).</w:t>
      </w:r>
    </w:p>
    <w:p w:rsidR="00CC268F" w:rsidRPr="000A1C70" w:rsidRDefault="00CC268F" w:rsidP="007E4C1E">
      <w:pPr>
        <w:spacing w:before="120" w:after="0"/>
        <w:ind w:firstLine="851"/>
        <w:jc w:val="both"/>
        <w:rPr>
          <w:rFonts w:ascii="Times New Roman" w:hAnsi="Times New Roman" w:cs="Times New Roman"/>
          <w:sz w:val="26"/>
          <w:szCs w:val="26"/>
        </w:rPr>
      </w:pPr>
      <w:r w:rsidRPr="000A1C70">
        <w:rPr>
          <w:rFonts w:ascii="Times New Roman" w:hAnsi="Times New Roman" w:cs="Times New Roman"/>
          <w:sz w:val="26"/>
          <w:szCs w:val="26"/>
        </w:rPr>
        <w:t>Legea</w:t>
      </w:r>
      <w:r w:rsidR="004A704F" w:rsidRPr="000A1C70">
        <w:rPr>
          <w:rFonts w:ascii="Times New Roman" w:hAnsi="Times New Roman" w:cs="Times New Roman"/>
          <w:sz w:val="26"/>
          <w:szCs w:val="26"/>
        </w:rPr>
        <w:t xml:space="preserve"> în vigoare</w:t>
      </w:r>
      <w:r w:rsidRPr="000A1C70">
        <w:rPr>
          <w:rFonts w:ascii="Times New Roman" w:hAnsi="Times New Roman" w:cs="Times New Roman"/>
          <w:sz w:val="26"/>
          <w:szCs w:val="26"/>
        </w:rPr>
        <w:t xml:space="preserve"> reglementează succesiunea stingerii datoriilor expirate aferente împrumuturilor acordate </w:t>
      </w:r>
      <w:proofErr w:type="spellStart"/>
      <w:r w:rsidRPr="000A1C70">
        <w:rPr>
          <w:rFonts w:ascii="Times New Roman" w:hAnsi="Times New Roman" w:cs="Times New Roman"/>
          <w:sz w:val="26"/>
          <w:szCs w:val="26"/>
        </w:rPr>
        <w:t>şi</w:t>
      </w:r>
      <w:proofErr w:type="spellEnd"/>
      <w:r w:rsidRPr="000A1C70">
        <w:rPr>
          <w:rFonts w:ascii="Times New Roman" w:hAnsi="Times New Roman" w:cs="Times New Roman"/>
          <w:sz w:val="26"/>
          <w:szCs w:val="26"/>
        </w:rPr>
        <w:t xml:space="preserve">/sau </w:t>
      </w:r>
      <w:proofErr w:type="spellStart"/>
      <w:r w:rsidRPr="000A1C70">
        <w:rPr>
          <w:rFonts w:ascii="Times New Roman" w:hAnsi="Times New Roman" w:cs="Times New Roman"/>
          <w:sz w:val="26"/>
          <w:szCs w:val="26"/>
        </w:rPr>
        <w:t>recreditate</w:t>
      </w:r>
      <w:proofErr w:type="spellEnd"/>
      <w:r w:rsidRPr="000A1C70">
        <w:rPr>
          <w:rFonts w:ascii="Times New Roman" w:hAnsi="Times New Roman" w:cs="Times New Roman"/>
          <w:sz w:val="26"/>
          <w:szCs w:val="26"/>
        </w:rPr>
        <w:t xml:space="preserve"> de Ministerul </w:t>
      </w:r>
      <w:proofErr w:type="spellStart"/>
      <w:r w:rsidRPr="000A1C70">
        <w:rPr>
          <w:rFonts w:ascii="Times New Roman" w:hAnsi="Times New Roman" w:cs="Times New Roman"/>
          <w:sz w:val="26"/>
          <w:szCs w:val="26"/>
        </w:rPr>
        <w:t>Finanţelor</w:t>
      </w:r>
      <w:proofErr w:type="spellEnd"/>
      <w:r w:rsidRPr="000A1C70">
        <w:rPr>
          <w:rFonts w:ascii="Times New Roman" w:hAnsi="Times New Roman" w:cs="Times New Roman"/>
          <w:sz w:val="26"/>
          <w:szCs w:val="26"/>
        </w:rPr>
        <w:t xml:space="preserve">, precum </w:t>
      </w:r>
      <w:proofErr w:type="spellStart"/>
      <w:r w:rsidRPr="000A1C70">
        <w:rPr>
          <w:rFonts w:ascii="Times New Roman" w:hAnsi="Times New Roman" w:cs="Times New Roman"/>
          <w:sz w:val="26"/>
          <w:szCs w:val="26"/>
        </w:rPr>
        <w:t>şi</w:t>
      </w:r>
      <w:proofErr w:type="spellEnd"/>
      <w:r w:rsidRPr="000A1C70">
        <w:rPr>
          <w:rFonts w:ascii="Times New Roman" w:hAnsi="Times New Roman" w:cs="Times New Roman"/>
          <w:sz w:val="26"/>
          <w:szCs w:val="26"/>
        </w:rPr>
        <w:t xml:space="preserve"> a împrumuturilor achitate din contul bugetului de stat conform </w:t>
      </w:r>
      <w:proofErr w:type="spellStart"/>
      <w:r w:rsidRPr="000A1C70">
        <w:rPr>
          <w:rFonts w:ascii="Times New Roman" w:hAnsi="Times New Roman" w:cs="Times New Roman"/>
          <w:sz w:val="26"/>
          <w:szCs w:val="26"/>
        </w:rPr>
        <w:t>garanţiei</w:t>
      </w:r>
      <w:proofErr w:type="spellEnd"/>
      <w:r w:rsidRPr="000A1C70">
        <w:rPr>
          <w:rFonts w:ascii="Times New Roman" w:hAnsi="Times New Roman" w:cs="Times New Roman"/>
          <w:sz w:val="26"/>
          <w:szCs w:val="26"/>
        </w:rPr>
        <w:t xml:space="preserve"> de stat, și an</w:t>
      </w:r>
      <w:r w:rsidR="00E554F9" w:rsidRPr="000A1C70">
        <w:rPr>
          <w:rFonts w:ascii="Times New Roman" w:hAnsi="Times New Roman" w:cs="Times New Roman"/>
          <w:sz w:val="26"/>
          <w:szCs w:val="26"/>
        </w:rPr>
        <w:t>u</w:t>
      </w:r>
      <w:r w:rsidRPr="000A1C70">
        <w:rPr>
          <w:rFonts w:ascii="Times New Roman" w:hAnsi="Times New Roman" w:cs="Times New Roman"/>
          <w:sz w:val="26"/>
          <w:szCs w:val="26"/>
        </w:rPr>
        <w:t xml:space="preserve">me: suma principală a împrumutului, </w:t>
      </w:r>
      <w:proofErr w:type="spellStart"/>
      <w:r w:rsidRPr="000A1C70">
        <w:rPr>
          <w:rFonts w:ascii="Times New Roman" w:hAnsi="Times New Roman" w:cs="Times New Roman"/>
          <w:sz w:val="26"/>
          <w:szCs w:val="26"/>
        </w:rPr>
        <w:t>dobînda</w:t>
      </w:r>
      <w:proofErr w:type="spellEnd"/>
      <w:r w:rsidRPr="000A1C70">
        <w:rPr>
          <w:rFonts w:ascii="Times New Roman" w:hAnsi="Times New Roman" w:cs="Times New Roman"/>
          <w:sz w:val="26"/>
          <w:szCs w:val="26"/>
        </w:rPr>
        <w:t xml:space="preserve"> </w:t>
      </w:r>
      <w:proofErr w:type="spellStart"/>
      <w:r w:rsidRPr="000A1C70">
        <w:rPr>
          <w:rFonts w:ascii="Times New Roman" w:hAnsi="Times New Roman" w:cs="Times New Roman"/>
          <w:sz w:val="26"/>
          <w:szCs w:val="26"/>
        </w:rPr>
        <w:t>şi</w:t>
      </w:r>
      <w:proofErr w:type="spellEnd"/>
      <w:r w:rsidRPr="000A1C70">
        <w:rPr>
          <w:rFonts w:ascii="Times New Roman" w:hAnsi="Times New Roman" w:cs="Times New Roman"/>
          <w:sz w:val="26"/>
          <w:szCs w:val="26"/>
        </w:rPr>
        <w:t xml:space="preserve"> alte </w:t>
      </w:r>
      <w:proofErr w:type="spellStart"/>
      <w:r w:rsidRPr="000A1C70">
        <w:rPr>
          <w:rFonts w:ascii="Times New Roman" w:hAnsi="Times New Roman" w:cs="Times New Roman"/>
          <w:sz w:val="26"/>
          <w:szCs w:val="26"/>
        </w:rPr>
        <w:t>plăţi</w:t>
      </w:r>
      <w:proofErr w:type="spellEnd"/>
      <w:r w:rsidRPr="000A1C70">
        <w:rPr>
          <w:rFonts w:ascii="Times New Roman" w:hAnsi="Times New Roman" w:cs="Times New Roman"/>
          <w:sz w:val="26"/>
          <w:szCs w:val="26"/>
        </w:rPr>
        <w:t>, penalitatea.</w:t>
      </w:r>
    </w:p>
    <w:p w:rsidR="00CC268F" w:rsidRPr="000A1C70" w:rsidRDefault="00CC268F" w:rsidP="007E4C1E">
      <w:pPr>
        <w:shd w:val="clear" w:color="auto" w:fill="FFFFFF"/>
        <w:spacing w:after="0"/>
        <w:ind w:firstLine="851"/>
        <w:jc w:val="both"/>
        <w:rPr>
          <w:rFonts w:ascii="Times New Roman" w:eastAsia="Times New Roman" w:hAnsi="Times New Roman" w:cs="Times New Roman"/>
          <w:color w:val="000000"/>
          <w:sz w:val="26"/>
          <w:szCs w:val="26"/>
          <w:lang w:eastAsia="ro-RO"/>
        </w:rPr>
      </w:pPr>
      <w:r w:rsidRPr="000A1C70">
        <w:rPr>
          <w:rFonts w:ascii="Times New Roman" w:eastAsia="Times New Roman" w:hAnsi="Times New Roman" w:cs="Times New Roman"/>
          <w:color w:val="000000"/>
          <w:sz w:val="26"/>
          <w:szCs w:val="26"/>
          <w:lang w:eastAsia="ro-RO"/>
        </w:rPr>
        <w:t>În aceste condiții, în cazul recreditării împrumuturilor, precum și emiterii garanțiilor de stat, bugetul de stat este expus unor riscuri de credit semnificative.</w:t>
      </w:r>
      <w:r w:rsidR="004A704F" w:rsidRPr="000A1C70">
        <w:rPr>
          <w:rFonts w:ascii="Times New Roman" w:eastAsia="Times New Roman" w:hAnsi="Times New Roman" w:cs="Times New Roman"/>
          <w:color w:val="000000"/>
          <w:sz w:val="26"/>
          <w:szCs w:val="26"/>
          <w:lang w:eastAsia="ro-RO"/>
        </w:rPr>
        <w:t xml:space="preserve"> </w:t>
      </w:r>
      <w:r w:rsidRPr="000A1C70">
        <w:rPr>
          <w:rFonts w:ascii="Times New Roman" w:eastAsia="Times New Roman" w:hAnsi="Times New Roman" w:cs="Times New Roman"/>
          <w:color w:val="000000"/>
          <w:sz w:val="26"/>
          <w:szCs w:val="26"/>
          <w:lang w:eastAsia="ro-RO"/>
        </w:rPr>
        <w:t xml:space="preserve">E de menționat că la situația din </w:t>
      </w:r>
      <w:r w:rsidR="00C0032C" w:rsidRPr="00C0032C">
        <w:rPr>
          <w:rFonts w:ascii="Times New Roman" w:eastAsia="Times New Roman" w:hAnsi="Times New Roman" w:cs="Times New Roman"/>
          <w:sz w:val="26"/>
          <w:szCs w:val="26"/>
          <w:lang w:eastAsia="ro-RO"/>
        </w:rPr>
        <w:t>30.0</w:t>
      </w:r>
      <w:r w:rsidR="00E93080">
        <w:rPr>
          <w:rFonts w:ascii="Times New Roman" w:eastAsia="Times New Roman" w:hAnsi="Times New Roman" w:cs="Times New Roman"/>
          <w:sz w:val="26"/>
          <w:szCs w:val="26"/>
          <w:lang w:eastAsia="ro-RO"/>
        </w:rPr>
        <w:t>9</w:t>
      </w:r>
      <w:r w:rsidR="00C0032C" w:rsidRPr="00C0032C">
        <w:rPr>
          <w:rFonts w:ascii="Times New Roman" w:eastAsia="Times New Roman" w:hAnsi="Times New Roman" w:cs="Times New Roman"/>
          <w:sz w:val="26"/>
          <w:szCs w:val="26"/>
          <w:lang w:eastAsia="ro-RO"/>
        </w:rPr>
        <w:t>.2017</w:t>
      </w:r>
      <w:r w:rsidRPr="000A1C70">
        <w:rPr>
          <w:rFonts w:ascii="Times New Roman" w:eastAsia="Times New Roman" w:hAnsi="Times New Roman" w:cs="Times New Roman"/>
          <w:color w:val="000000"/>
          <w:sz w:val="26"/>
          <w:szCs w:val="26"/>
          <w:lang w:eastAsia="ro-RO"/>
        </w:rPr>
        <w:t xml:space="preserve">, datoria cu termen de achitare expirat la împrumuturile </w:t>
      </w:r>
      <w:proofErr w:type="spellStart"/>
      <w:r w:rsidRPr="000A1C70">
        <w:rPr>
          <w:rFonts w:ascii="Times New Roman" w:eastAsia="Times New Roman" w:hAnsi="Times New Roman" w:cs="Times New Roman"/>
          <w:color w:val="000000"/>
          <w:sz w:val="26"/>
          <w:szCs w:val="26"/>
          <w:lang w:eastAsia="ro-RO"/>
        </w:rPr>
        <w:t>recreditate</w:t>
      </w:r>
      <w:proofErr w:type="spellEnd"/>
      <w:r w:rsidRPr="000A1C70">
        <w:rPr>
          <w:rFonts w:ascii="Times New Roman" w:eastAsia="Times New Roman" w:hAnsi="Times New Roman" w:cs="Times New Roman"/>
          <w:color w:val="000000"/>
          <w:sz w:val="26"/>
          <w:szCs w:val="26"/>
          <w:lang w:eastAsia="ro-RO"/>
        </w:rPr>
        <w:t xml:space="preserve"> prin intermediul Ministerului Finanțelor a constituit suma de cca </w:t>
      </w:r>
      <w:r w:rsidR="00E93080">
        <w:rPr>
          <w:rFonts w:ascii="Times New Roman" w:eastAsia="Times New Roman" w:hAnsi="Times New Roman" w:cs="Times New Roman"/>
          <w:sz w:val="26"/>
          <w:szCs w:val="26"/>
          <w:lang w:eastAsia="ro-RO"/>
        </w:rPr>
        <w:t>314,5</w:t>
      </w:r>
      <w:r w:rsidRPr="00C0032C">
        <w:rPr>
          <w:rFonts w:ascii="Times New Roman" w:eastAsia="Times New Roman" w:hAnsi="Times New Roman" w:cs="Times New Roman"/>
          <w:sz w:val="26"/>
          <w:szCs w:val="26"/>
          <w:lang w:eastAsia="ro-RO"/>
        </w:rPr>
        <w:t xml:space="preserve"> mil. lei</w:t>
      </w:r>
      <w:r w:rsidRPr="000A1C70">
        <w:rPr>
          <w:rFonts w:ascii="Times New Roman" w:eastAsia="Times New Roman" w:hAnsi="Times New Roman" w:cs="Times New Roman"/>
          <w:color w:val="000000"/>
          <w:sz w:val="26"/>
          <w:szCs w:val="26"/>
          <w:lang w:eastAsia="ro-RO"/>
        </w:rPr>
        <w:t>, dintre care partea majoră (</w:t>
      </w:r>
      <w:r w:rsidR="00E93080">
        <w:rPr>
          <w:rFonts w:ascii="Times New Roman" w:eastAsia="Times New Roman" w:hAnsi="Times New Roman" w:cs="Times New Roman"/>
          <w:sz w:val="26"/>
          <w:szCs w:val="26"/>
          <w:lang w:eastAsia="ro-RO"/>
        </w:rPr>
        <w:t>56,3</w:t>
      </w:r>
      <w:r w:rsidRPr="00C0032C">
        <w:rPr>
          <w:rFonts w:ascii="Times New Roman" w:eastAsia="Times New Roman" w:hAnsi="Times New Roman" w:cs="Times New Roman"/>
          <w:sz w:val="26"/>
          <w:szCs w:val="26"/>
          <w:lang w:eastAsia="ro-RO"/>
        </w:rPr>
        <w:t>%</w:t>
      </w:r>
      <w:r w:rsidRPr="000A1C70">
        <w:rPr>
          <w:rFonts w:ascii="Times New Roman" w:eastAsia="Times New Roman" w:hAnsi="Times New Roman" w:cs="Times New Roman"/>
          <w:color w:val="000000"/>
          <w:sz w:val="26"/>
          <w:szCs w:val="26"/>
          <w:lang w:eastAsia="ro-RO"/>
        </w:rPr>
        <w:t xml:space="preserve">) constituie penalitatea, </w:t>
      </w:r>
      <w:proofErr w:type="spellStart"/>
      <w:r w:rsidRPr="000A1C70">
        <w:rPr>
          <w:rFonts w:ascii="Times New Roman" w:eastAsia="Times New Roman" w:hAnsi="Times New Roman" w:cs="Times New Roman"/>
          <w:color w:val="000000"/>
          <w:sz w:val="26"/>
          <w:szCs w:val="26"/>
          <w:lang w:eastAsia="ro-RO"/>
        </w:rPr>
        <w:t>dobînda</w:t>
      </w:r>
      <w:proofErr w:type="spellEnd"/>
      <w:r w:rsidRPr="000A1C70">
        <w:rPr>
          <w:rFonts w:ascii="Times New Roman" w:eastAsia="Times New Roman" w:hAnsi="Times New Roman" w:cs="Times New Roman"/>
          <w:color w:val="000000"/>
          <w:sz w:val="26"/>
          <w:szCs w:val="26"/>
          <w:lang w:eastAsia="ro-RO"/>
        </w:rPr>
        <w:t xml:space="preserve"> și alte plăți de deservire. Astfel, </w:t>
      </w:r>
      <w:r w:rsidR="002979EB">
        <w:rPr>
          <w:rFonts w:ascii="Times New Roman" w:eastAsia="Times New Roman" w:hAnsi="Times New Roman" w:cs="Times New Roman"/>
          <w:color w:val="000000"/>
          <w:sz w:val="26"/>
          <w:szCs w:val="26"/>
          <w:lang w:eastAsia="ro-RO"/>
        </w:rPr>
        <w:t>sporește</w:t>
      </w:r>
      <w:r w:rsidR="002979EB" w:rsidRPr="000A1C70">
        <w:rPr>
          <w:rFonts w:ascii="Times New Roman" w:eastAsia="Times New Roman" w:hAnsi="Times New Roman" w:cs="Times New Roman"/>
          <w:color w:val="000000"/>
          <w:sz w:val="26"/>
          <w:szCs w:val="26"/>
          <w:lang w:eastAsia="ro-RO"/>
        </w:rPr>
        <w:t xml:space="preserve"> </w:t>
      </w:r>
      <w:r w:rsidRPr="000A1C70">
        <w:rPr>
          <w:rFonts w:ascii="Times New Roman" w:eastAsia="Times New Roman" w:hAnsi="Times New Roman" w:cs="Times New Roman"/>
          <w:color w:val="000000"/>
          <w:sz w:val="26"/>
          <w:szCs w:val="26"/>
          <w:lang w:eastAsia="ro-RO"/>
        </w:rPr>
        <w:t>riscul  de neîncasare a acestor mijloace financiare, precum și ratarea veniturilor viitoare</w:t>
      </w:r>
      <w:r w:rsidR="002979EB">
        <w:rPr>
          <w:rFonts w:ascii="Times New Roman" w:eastAsia="Times New Roman" w:hAnsi="Times New Roman" w:cs="Times New Roman"/>
          <w:color w:val="000000"/>
          <w:sz w:val="26"/>
          <w:szCs w:val="26"/>
          <w:lang w:eastAsia="ro-RO"/>
        </w:rPr>
        <w:t>,</w:t>
      </w:r>
      <w:r w:rsidRPr="000A1C70">
        <w:rPr>
          <w:rFonts w:ascii="Times New Roman" w:eastAsia="Times New Roman" w:hAnsi="Times New Roman" w:cs="Times New Roman"/>
          <w:color w:val="000000"/>
          <w:sz w:val="26"/>
          <w:szCs w:val="26"/>
          <w:lang w:eastAsia="ro-RO"/>
        </w:rPr>
        <w:t xml:space="preserve"> dat fiind faptul, că în cazul achitării prioritare a sumei de bază, </w:t>
      </w:r>
      <w:r w:rsidRPr="000A1C70">
        <w:rPr>
          <w:rFonts w:ascii="Times New Roman" w:eastAsia="Times New Roman" w:hAnsi="Times New Roman" w:cs="Times New Roman"/>
          <w:color w:val="000000"/>
          <w:sz w:val="26"/>
          <w:szCs w:val="26"/>
          <w:lang w:eastAsia="ro-RO"/>
        </w:rPr>
        <w:lastRenderedPageBreak/>
        <w:t xml:space="preserve">aceasta nu va putea genera </w:t>
      </w:r>
      <w:proofErr w:type="spellStart"/>
      <w:r w:rsidRPr="000A1C70">
        <w:rPr>
          <w:rFonts w:ascii="Times New Roman" w:eastAsia="Times New Roman" w:hAnsi="Times New Roman" w:cs="Times New Roman"/>
          <w:color w:val="000000"/>
          <w:sz w:val="26"/>
          <w:szCs w:val="26"/>
          <w:lang w:eastAsia="ro-RO"/>
        </w:rPr>
        <w:t>dobînzi</w:t>
      </w:r>
      <w:proofErr w:type="spellEnd"/>
      <w:r w:rsidRPr="000A1C70">
        <w:rPr>
          <w:rFonts w:ascii="Times New Roman" w:eastAsia="Times New Roman" w:hAnsi="Times New Roman" w:cs="Times New Roman"/>
          <w:color w:val="000000"/>
          <w:sz w:val="26"/>
          <w:szCs w:val="26"/>
          <w:lang w:eastAsia="ro-RO"/>
        </w:rPr>
        <w:t xml:space="preserve"> în viitor, </w:t>
      </w:r>
      <w:proofErr w:type="spellStart"/>
      <w:r w:rsidRPr="000A1C70">
        <w:rPr>
          <w:rFonts w:ascii="Times New Roman" w:eastAsia="Times New Roman" w:hAnsi="Times New Roman" w:cs="Times New Roman"/>
          <w:color w:val="000000"/>
          <w:sz w:val="26"/>
          <w:szCs w:val="26"/>
          <w:lang w:eastAsia="ro-RO"/>
        </w:rPr>
        <w:t>menținînd</w:t>
      </w:r>
      <w:proofErr w:type="spellEnd"/>
      <w:r w:rsidRPr="000A1C70">
        <w:rPr>
          <w:rFonts w:ascii="Times New Roman" w:eastAsia="Times New Roman" w:hAnsi="Times New Roman" w:cs="Times New Roman"/>
          <w:color w:val="000000"/>
          <w:sz w:val="26"/>
          <w:szCs w:val="26"/>
          <w:lang w:eastAsia="ro-RO"/>
        </w:rPr>
        <w:t xml:space="preserve"> totodată arierate la plăți de deservire a împrumutului.</w:t>
      </w:r>
    </w:p>
    <w:p w:rsidR="00CC268F" w:rsidRPr="000A1C70" w:rsidRDefault="00CC268F" w:rsidP="007E4C1E">
      <w:pPr>
        <w:spacing w:after="0"/>
        <w:ind w:firstLine="851"/>
        <w:jc w:val="both"/>
        <w:rPr>
          <w:rFonts w:ascii="Times New Roman" w:hAnsi="Times New Roman" w:cs="Times New Roman"/>
          <w:sz w:val="26"/>
          <w:szCs w:val="26"/>
        </w:rPr>
      </w:pPr>
      <w:r w:rsidRPr="000A1C70">
        <w:rPr>
          <w:rFonts w:ascii="Times New Roman" w:eastAsia="Times New Roman" w:hAnsi="Times New Roman" w:cs="Times New Roman"/>
          <w:color w:val="000000"/>
          <w:sz w:val="26"/>
          <w:szCs w:val="26"/>
          <w:lang w:eastAsia="ro-RO"/>
        </w:rPr>
        <w:t xml:space="preserve">În scopul îmbunătățirii </w:t>
      </w:r>
      <w:proofErr w:type="spellStart"/>
      <w:r w:rsidRPr="000A1C70">
        <w:rPr>
          <w:rFonts w:ascii="Times New Roman" w:eastAsia="Times New Roman" w:hAnsi="Times New Roman" w:cs="Times New Roman"/>
          <w:color w:val="000000"/>
          <w:sz w:val="26"/>
          <w:szCs w:val="26"/>
          <w:lang w:eastAsia="ro-RO"/>
        </w:rPr>
        <w:t>atît</w:t>
      </w:r>
      <w:proofErr w:type="spellEnd"/>
      <w:r w:rsidRPr="000A1C70">
        <w:rPr>
          <w:rFonts w:ascii="Times New Roman" w:eastAsia="Times New Roman" w:hAnsi="Times New Roman" w:cs="Times New Roman"/>
          <w:color w:val="000000"/>
          <w:sz w:val="26"/>
          <w:szCs w:val="26"/>
          <w:lang w:eastAsia="ro-RO"/>
        </w:rPr>
        <w:t xml:space="preserve"> a disciplinei fiscale, </w:t>
      </w:r>
      <w:proofErr w:type="spellStart"/>
      <w:r w:rsidRPr="000A1C70">
        <w:rPr>
          <w:rFonts w:ascii="Times New Roman" w:eastAsia="Times New Roman" w:hAnsi="Times New Roman" w:cs="Times New Roman"/>
          <w:color w:val="000000"/>
          <w:sz w:val="26"/>
          <w:szCs w:val="26"/>
          <w:lang w:eastAsia="ro-RO"/>
        </w:rPr>
        <w:t>cît</w:t>
      </w:r>
      <w:proofErr w:type="spellEnd"/>
      <w:r w:rsidRPr="000A1C70">
        <w:rPr>
          <w:rFonts w:ascii="Times New Roman" w:eastAsia="Times New Roman" w:hAnsi="Times New Roman" w:cs="Times New Roman"/>
          <w:color w:val="000000"/>
          <w:sz w:val="26"/>
          <w:szCs w:val="26"/>
          <w:lang w:eastAsia="ro-RO"/>
        </w:rPr>
        <w:t xml:space="preserve"> și a managementului riscurilor bugetar-fiscale, </w:t>
      </w:r>
      <w:r w:rsidR="0048394B" w:rsidRPr="000A1C70">
        <w:rPr>
          <w:rFonts w:ascii="Times New Roman" w:eastAsia="Times New Roman" w:hAnsi="Times New Roman" w:cs="Times New Roman"/>
          <w:color w:val="000000"/>
          <w:sz w:val="26"/>
          <w:szCs w:val="26"/>
          <w:lang w:eastAsia="ro-RO"/>
        </w:rPr>
        <w:t xml:space="preserve">precum și alinierii la practica bancară internațională și națională, </w:t>
      </w:r>
      <w:r w:rsidRPr="000A1C70">
        <w:rPr>
          <w:rFonts w:ascii="Times New Roman" w:eastAsia="Times New Roman" w:hAnsi="Times New Roman" w:cs="Times New Roman"/>
          <w:color w:val="000000"/>
          <w:sz w:val="26"/>
          <w:szCs w:val="26"/>
          <w:lang w:eastAsia="ro-RO"/>
        </w:rPr>
        <w:t xml:space="preserve">se propune modificarea </w:t>
      </w:r>
      <w:r w:rsidRPr="000A1C70">
        <w:rPr>
          <w:rFonts w:ascii="Times New Roman" w:hAnsi="Times New Roman" w:cs="Times New Roman"/>
          <w:sz w:val="26"/>
          <w:szCs w:val="26"/>
        </w:rPr>
        <w:t xml:space="preserve">succesiunii stingerii datoriilor menționate în fel următor: penalitatea, </w:t>
      </w:r>
      <w:proofErr w:type="spellStart"/>
      <w:r w:rsidRPr="000A1C70">
        <w:rPr>
          <w:rFonts w:ascii="Times New Roman" w:hAnsi="Times New Roman" w:cs="Times New Roman"/>
          <w:sz w:val="26"/>
          <w:szCs w:val="26"/>
        </w:rPr>
        <w:t>dobînda</w:t>
      </w:r>
      <w:proofErr w:type="spellEnd"/>
      <w:r w:rsidRPr="000A1C70">
        <w:rPr>
          <w:rFonts w:ascii="Times New Roman" w:hAnsi="Times New Roman" w:cs="Times New Roman"/>
          <w:sz w:val="26"/>
          <w:szCs w:val="26"/>
        </w:rPr>
        <w:t xml:space="preserve"> </w:t>
      </w:r>
      <w:proofErr w:type="spellStart"/>
      <w:r w:rsidRPr="000A1C70">
        <w:rPr>
          <w:rFonts w:ascii="Times New Roman" w:hAnsi="Times New Roman" w:cs="Times New Roman"/>
          <w:sz w:val="26"/>
          <w:szCs w:val="26"/>
        </w:rPr>
        <w:t>şi</w:t>
      </w:r>
      <w:proofErr w:type="spellEnd"/>
      <w:r w:rsidRPr="000A1C70">
        <w:rPr>
          <w:rFonts w:ascii="Times New Roman" w:hAnsi="Times New Roman" w:cs="Times New Roman"/>
          <w:sz w:val="26"/>
          <w:szCs w:val="26"/>
        </w:rPr>
        <w:t xml:space="preserve"> alte </w:t>
      </w:r>
      <w:proofErr w:type="spellStart"/>
      <w:r w:rsidRPr="000A1C70">
        <w:rPr>
          <w:rFonts w:ascii="Times New Roman" w:hAnsi="Times New Roman" w:cs="Times New Roman"/>
          <w:sz w:val="26"/>
          <w:szCs w:val="26"/>
        </w:rPr>
        <w:t>plăţi</w:t>
      </w:r>
      <w:proofErr w:type="spellEnd"/>
      <w:r w:rsidRPr="000A1C70">
        <w:rPr>
          <w:rFonts w:ascii="Times New Roman" w:hAnsi="Times New Roman" w:cs="Times New Roman"/>
          <w:sz w:val="26"/>
          <w:szCs w:val="26"/>
        </w:rPr>
        <w:t xml:space="preserve">, suma principală a împrumutului, </w:t>
      </w:r>
      <w:proofErr w:type="spellStart"/>
      <w:r w:rsidRPr="000A1C70">
        <w:rPr>
          <w:rFonts w:ascii="Times New Roman" w:hAnsi="Times New Roman" w:cs="Times New Roman"/>
          <w:sz w:val="26"/>
          <w:szCs w:val="26"/>
        </w:rPr>
        <w:t>efectuîndu</w:t>
      </w:r>
      <w:proofErr w:type="spellEnd"/>
      <w:r w:rsidRPr="000A1C70">
        <w:rPr>
          <w:rFonts w:ascii="Times New Roman" w:hAnsi="Times New Roman" w:cs="Times New Roman"/>
          <w:sz w:val="26"/>
          <w:szCs w:val="26"/>
        </w:rPr>
        <w:t xml:space="preserve">-se precizări </w:t>
      </w:r>
      <w:r w:rsidR="0048394B" w:rsidRPr="000A1C70">
        <w:rPr>
          <w:rFonts w:ascii="Times New Roman" w:hAnsi="Times New Roman" w:cs="Times New Roman"/>
          <w:sz w:val="26"/>
          <w:szCs w:val="26"/>
        </w:rPr>
        <w:t xml:space="preserve">respective </w:t>
      </w:r>
      <w:r w:rsidRPr="000A1C70">
        <w:rPr>
          <w:rFonts w:ascii="Times New Roman" w:hAnsi="Times New Roman" w:cs="Times New Roman"/>
          <w:sz w:val="26"/>
          <w:szCs w:val="26"/>
        </w:rPr>
        <w:t>la art.80 alin.(5).</w:t>
      </w:r>
    </w:p>
    <w:p w:rsidR="00AE189D" w:rsidRPr="000A1C70" w:rsidRDefault="00AE189D" w:rsidP="007E4C1E">
      <w:pPr>
        <w:spacing w:after="0"/>
        <w:ind w:firstLine="851"/>
        <w:jc w:val="both"/>
        <w:rPr>
          <w:rFonts w:ascii="Times New Roman" w:eastAsia="Times New Roman" w:hAnsi="Times New Roman" w:cs="Times New Roman"/>
          <w:color w:val="000000"/>
          <w:sz w:val="20"/>
          <w:szCs w:val="20"/>
          <w:lang w:eastAsia="ro-RO"/>
        </w:rPr>
      </w:pPr>
    </w:p>
    <w:p w:rsidR="0087488D" w:rsidRPr="000A1C70" w:rsidRDefault="0087488D" w:rsidP="007E4C1E">
      <w:pPr>
        <w:spacing w:after="0"/>
        <w:ind w:firstLine="851"/>
        <w:jc w:val="both"/>
        <w:rPr>
          <w:rFonts w:ascii="Times New Roman" w:eastAsia="Times New Roman" w:hAnsi="Times New Roman" w:cs="Times New Roman"/>
          <w:sz w:val="26"/>
          <w:szCs w:val="26"/>
        </w:rPr>
      </w:pPr>
      <w:r w:rsidRPr="000A1C70">
        <w:rPr>
          <w:rFonts w:ascii="Times New Roman" w:eastAsia="Times New Roman" w:hAnsi="Times New Roman" w:cs="Times New Roman"/>
          <w:color w:val="000000"/>
          <w:sz w:val="26"/>
          <w:szCs w:val="26"/>
          <w:lang w:eastAsia="ro-RO"/>
        </w:rPr>
        <w:t xml:space="preserve">Ministerul Finanțelor </w:t>
      </w:r>
      <w:r w:rsidR="00E57D18" w:rsidRPr="000A1C70">
        <w:rPr>
          <w:rFonts w:ascii="Times New Roman" w:eastAsia="Times New Roman" w:hAnsi="Times New Roman" w:cs="Times New Roman"/>
          <w:color w:val="000000"/>
          <w:sz w:val="26"/>
          <w:szCs w:val="26"/>
          <w:lang w:eastAsia="ro-RO"/>
        </w:rPr>
        <w:t>este</w:t>
      </w:r>
      <w:r w:rsidRPr="000A1C70">
        <w:rPr>
          <w:rFonts w:ascii="Times New Roman" w:eastAsia="Times New Roman" w:hAnsi="Times New Roman" w:cs="Times New Roman"/>
          <w:color w:val="000000"/>
          <w:sz w:val="26"/>
          <w:szCs w:val="26"/>
          <w:lang w:eastAsia="ro-RO"/>
        </w:rPr>
        <w:t xml:space="preserve"> organul abilitat cu funcția de raportare a bugetului public național</w:t>
      </w:r>
      <w:r w:rsidR="00E57D18" w:rsidRPr="000A1C70">
        <w:rPr>
          <w:rFonts w:ascii="Times New Roman" w:eastAsia="Times New Roman" w:hAnsi="Times New Roman" w:cs="Times New Roman"/>
          <w:color w:val="000000"/>
          <w:sz w:val="26"/>
          <w:szCs w:val="26"/>
          <w:lang w:eastAsia="ro-RO"/>
        </w:rPr>
        <w:t>. În ultimul timp</w:t>
      </w:r>
      <w:r w:rsidR="002979EB">
        <w:rPr>
          <w:rFonts w:ascii="Times New Roman" w:eastAsia="Times New Roman" w:hAnsi="Times New Roman" w:cs="Times New Roman"/>
          <w:color w:val="000000"/>
          <w:sz w:val="26"/>
          <w:szCs w:val="26"/>
          <w:lang w:eastAsia="ro-RO"/>
        </w:rPr>
        <w:t xml:space="preserve"> se atestă o diminuare a </w:t>
      </w:r>
      <w:r w:rsidR="00E57D18" w:rsidRPr="000A1C70">
        <w:rPr>
          <w:rFonts w:ascii="Times New Roman" w:eastAsia="Times New Roman" w:hAnsi="Times New Roman" w:cs="Times New Roman"/>
          <w:color w:val="000000"/>
          <w:sz w:val="26"/>
          <w:szCs w:val="26"/>
          <w:lang w:eastAsia="ro-RO"/>
        </w:rPr>
        <w:t xml:space="preserve"> disciplin</w:t>
      </w:r>
      <w:r w:rsidR="002979EB">
        <w:rPr>
          <w:rFonts w:ascii="Times New Roman" w:eastAsia="Times New Roman" w:hAnsi="Times New Roman" w:cs="Times New Roman"/>
          <w:color w:val="000000"/>
          <w:sz w:val="26"/>
          <w:szCs w:val="26"/>
          <w:lang w:eastAsia="ro-RO"/>
        </w:rPr>
        <w:t>ei</w:t>
      </w:r>
      <w:r w:rsidR="00E57D18" w:rsidRPr="000A1C70">
        <w:rPr>
          <w:rFonts w:ascii="Times New Roman" w:eastAsia="Times New Roman" w:hAnsi="Times New Roman" w:cs="Times New Roman"/>
          <w:color w:val="000000"/>
          <w:sz w:val="26"/>
          <w:szCs w:val="26"/>
          <w:lang w:eastAsia="ro-RO"/>
        </w:rPr>
        <w:t xml:space="preserve"> </w:t>
      </w:r>
      <w:r w:rsidR="001B4F7D">
        <w:rPr>
          <w:rFonts w:ascii="Times New Roman" w:eastAsia="Times New Roman" w:hAnsi="Times New Roman" w:cs="Times New Roman"/>
          <w:color w:val="000000"/>
          <w:sz w:val="26"/>
          <w:szCs w:val="26"/>
          <w:lang w:eastAsia="ro-RO"/>
        </w:rPr>
        <w:t xml:space="preserve">în unele </w:t>
      </w:r>
      <w:r w:rsidR="00E57D18" w:rsidRPr="000A1C70">
        <w:rPr>
          <w:rFonts w:ascii="Times New Roman" w:eastAsia="Times New Roman" w:hAnsi="Times New Roman" w:cs="Times New Roman"/>
          <w:color w:val="000000"/>
          <w:sz w:val="26"/>
          <w:szCs w:val="26"/>
          <w:lang w:eastAsia="ro-RO"/>
        </w:rPr>
        <w:t xml:space="preserve"> autorități/instituții bugetare </w:t>
      </w:r>
      <w:r w:rsidR="001B4F7D">
        <w:rPr>
          <w:rFonts w:ascii="Times New Roman" w:eastAsia="Times New Roman" w:hAnsi="Times New Roman" w:cs="Times New Roman"/>
          <w:color w:val="000000"/>
          <w:sz w:val="26"/>
          <w:szCs w:val="26"/>
          <w:lang w:eastAsia="ro-RO"/>
        </w:rPr>
        <w:t xml:space="preserve">vis-a-vis de </w:t>
      </w:r>
      <w:r w:rsidR="00E57D18" w:rsidRPr="000A1C70">
        <w:rPr>
          <w:rFonts w:ascii="Times New Roman" w:eastAsia="Times New Roman" w:hAnsi="Times New Roman" w:cs="Times New Roman"/>
          <w:color w:val="000000"/>
          <w:sz w:val="26"/>
          <w:szCs w:val="26"/>
          <w:lang w:eastAsia="ro-RO"/>
        </w:rPr>
        <w:t xml:space="preserve"> prezentarea în termen a </w:t>
      </w:r>
      <w:r w:rsidR="00E57D18" w:rsidRPr="000A1C70">
        <w:rPr>
          <w:rFonts w:ascii="Times New Roman" w:eastAsia="Times New Roman" w:hAnsi="Times New Roman" w:cs="Times New Roman"/>
          <w:sz w:val="26"/>
          <w:szCs w:val="26"/>
          <w:lang w:eastAsia="ro-RO"/>
        </w:rPr>
        <w:t xml:space="preserve">rapoartelor privind utilizarea mijloacelor alocate, înlăturarea încălcărilor </w:t>
      </w:r>
      <w:proofErr w:type="spellStart"/>
      <w:r w:rsidR="00E57D18" w:rsidRPr="000A1C70">
        <w:rPr>
          <w:rFonts w:ascii="Times New Roman" w:eastAsia="Times New Roman" w:hAnsi="Times New Roman" w:cs="Times New Roman"/>
          <w:sz w:val="26"/>
          <w:szCs w:val="26"/>
          <w:lang w:eastAsia="ro-RO"/>
        </w:rPr>
        <w:t>şi</w:t>
      </w:r>
      <w:proofErr w:type="spellEnd"/>
      <w:r w:rsidR="00E57D18" w:rsidRPr="000A1C70">
        <w:rPr>
          <w:rFonts w:ascii="Times New Roman" w:eastAsia="Times New Roman" w:hAnsi="Times New Roman" w:cs="Times New Roman"/>
          <w:sz w:val="26"/>
          <w:szCs w:val="26"/>
          <w:lang w:eastAsia="ro-RO"/>
        </w:rPr>
        <w:t xml:space="preserve"> neajunsurilor depistate, precum </w:t>
      </w:r>
      <w:proofErr w:type="spellStart"/>
      <w:r w:rsidR="00E57D18" w:rsidRPr="000A1C70">
        <w:rPr>
          <w:rFonts w:ascii="Times New Roman" w:eastAsia="Times New Roman" w:hAnsi="Times New Roman" w:cs="Times New Roman"/>
          <w:sz w:val="26"/>
          <w:szCs w:val="26"/>
          <w:lang w:eastAsia="ro-RO"/>
        </w:rPr>
        <w:t>şi</w:t>
      </w:r>
      <w:proofErr w:type="spellEnd"/>
      <w:r w:rsidR="00E57D18" w:rsidRPr="000A1C70">
        <w:rPr>
          <w:rFonts w:ascii="Times New Roman" w:eastAsia="Times New Roman" w:hAnsi="Times New Roman" w:cs="Times New Roman"/>
          <w:sz w:val="26"/>
          <w:szCs w:val="26"/>
          <w:lang w:eastAsia="ro-RO"/>
        </w:rPr>
        <w:t xml:space="preserve"> altor rapoarte/documente/</w:t>
      </w:r>
      <w:proofErr w:type="spellStart"/>
      <w:r w:rsidR="00E57D18" w:rsidRPr="000A1C70">
        <w:rPr>
          <w:rFonts w:ascii="Times New Roman" w:eastAsia="Times New Roman" w:hAnsi="Times New Roman" w:cs="Times New Roman"/>
          <w:sz w:val="26"/>
          <w:szCs w:val="26"/>
          <w:lang w:eastAsia="ro-RO"/>
        </w:rPr>
        <w:t>informaţii</w:t>
      </w:r>
      <w:proofErr w:type="spellEnd"/>
      <w:r w:rsidR="00E57D18" w:rsidRPr="000A1C70">
        <w:rPr>
          <w:rFonts w:ascii="Times New Roman" w:eastAsia="Times New Roman" w:hAnsi="Times New Roman" w:cs="Times New Roman"/>
          <w:sz w:val="26"/>
          <w:szCs w:val="26"/>
          <w:lang w:eastAsia="ro-RO"/>
        </w:rPr>
        <w:t xml:space="preserve"> solicitate, necesare pentru realizarea </w:t>
      </w:r>
      <w:proofErr w:type="spellStart"/>
      <w:r w:rsidR="00E57D18" w:rsidRPr="000A1C70">
        <w:rPr>
          <w:rFonts w:ascii="Times New Roman" w:eastAsia="Times New Roman" w:hAnsi="Times New Roman" w:cs="Times New Roman"/>
          <w:sz w:val="26"/>
          <w:szCs w:val="26"/>
          <w:lang w:eastAsia="ro-RO"/>
        </w:rPr>
        <w:t>funcţiilor</w:t>
      </w:r>
      <w:proofErr w:type="spellEnd"/>
      <w:r w:rsidR="00E57D18" w:rsidRPr="000A1C70">
        <w:rPr>
          <w:rFonts w:ascii="Times New Roman" w:eastAsia="Times New Roman" w:hAnsi="Times New Roman" w:cs="Times New Roman"/>
          <w:sz w:val="26"/>
          <w:szCs w:val="26"/>
          <w:lang w:eastAsia="ro-RO"/>
        </w:rPr>
        <w:t xml:space="preserve"> Ministerului Finanțelor</w:t>
      </w:r>
      <w:r w:rsidR="001B4F7D">
        <w:rPr>
          <w:rFonts w:ascii="Times New Roman" w:eastAsia="Times New Roman" w:hAnsi="Times New Roman" w:cs="Times New Roman"/>
          <w:sz w:val="26"/>
          <w:szCs w:val="26"/>
          <w:lang w:eastAsia="ro-RO"/>
        </w:rPr>
        <w:t>. Astfel,</w:t>
      </w:r>
      <w:r w:rsidR="00E57D18" w:rsidRPr="000A1C70">
        <w:rPr>
          <w:rFonts w:ascii="Times New Roman" w:eastAsia="Times New Roman" w:hAnsi="Times New Roman" w:cs="Times New Roman"/>
          <w:sz w:val="26"/>
          <w:szCs w:val="26"/>
          <w:lang w:eastAsia="ro-RO"/>
        </w:rPr>
        <w:t xml:space="preserve"> </w:t>
      </w:r>
      <w:r w:rsidR="005A2BCF" w:rsidRPr="000A1C70">
        <w:rPr>
          <w:rFonts w:ascii="Times New Roman" w:eastAsia="Times New Roman" w:hAnsi="Times New Roman" w:cs="Times New Roman"/>
          <w:sz w:val="26"/>
          <w:szCs w:val="26"/>
        </w:rPr>
        <w:t>sporește riscul de neprezentare, în termenii stabiliți de legislație, a rapoartelor, altor informații la Guvern, Fondul Monetar Internațional, Curtea de Conturi, etc.</w:t>
      </w:r>
    </w:p>
    <w:p w:rsidR="00AE189D" w:rsidRPr="000A1C70" w:rsidRDefault="00AE189D" w:rsidP="007E4C1E">
      <w:pPr>
        <w:spacing w:after="0"/>
        <w:ind w:firstLine="851"/>
        <w:jc w:val="both"/>
        <w:rPr>
          <w:rFonts w:ascii="Times New Roman" w:eastAsia="Times New Roman" w:hAnsi="Times New Roman" w:cs="Times New Roman"/>
          <w:sz w:val="26"/>
          <w:szCs w:val="26"/>
        </w:rPr>
      </w:pPr>
      <w:r w:rsidRPr="000A1C70">
        <w:rPr>
          <w:rFonts w:ascii="Times New Roman" w:eastAsia="Times New Roman" w:hAnsi="Times New Roman" w:cs="Times New Roman"/>
          <w:sz w:val="26"/>
          <w:szCs w:val="26"/>
        </w:rPr>
        <w:t xml:space="preserve">Întru prevenirea riscului menționat și fortificarea disciplinei și responsabilității bugetar-fiscale a factorilor de decizie în procesul de executare și raportare a bugetelor componente ale bugetului public național, </w:t>
      </w:r>
      <w:bookmarkStart w:id="0" w:name="_GoBack"/>
      <w:bookmarkEnd w:id="0"/>
      <w:r w:rsidRPr="000A1C70">
        <w:rPr>
          <w:rFonts w:ascii="Times New Roman" w:eastAsia="Times New Roman" w:hAnsi="Times New Roman" w:cs="Times New Roman"/>
          <w:sz w:val="26"/>
          <w:szCs w:val="26"/>
        </w:rPr>
        <w:t xml:space="preserve">se propune </w:t>
      </w:r>
      <w:r w:rsidR="001B4F7D">
        <w:rPr>
          <w:rFonts w:ascii="Times New Roman" w:eastAsia="Times New Roman" w:hAnsi="Times New Roman" w:cs="Times New Roman"/>
          <w:sz w:val="26"/>
          <w:szCs w:val="26"/>
        </w:rPr>
        <w:t>atribuirea dreptului</w:t>
      </w:r>
      <w:r w:rsidRPr="000A1C70">
        <w:rPr>
          <w:rFonts w:ascii="Times New Roman" w:eastAsia="Times New Roman" w:hAnsi="Times New Roman" w:cs="Times New Roman"/>
          <w:sz w:val="26"/>
          <w:szCs w:val="26"/>
        </w:rPr>
        <w:t xml:space="preserve"> Ministerul</w:t>
      </w:r>
      <w:r w:rsidR="001C177B" w:rsidRPr="000A1C70">
        <w:rPr>
          <w:rFonts w:ascii="Times New Roman" w:eastAsia="Times New Roman" w:hAnsi="Times New Roman" w:cs="Times New Roman"/>
          <w:sz w:val="26"/>
          <w:szCs w:val="26"/>
        </w:rPr>
        <w:t>ui</w:t>
      </w:r>
      <w:r w:rsidRPr="000A1C70">
        <w:rPr>
          <w:rFonts w:ascii="Times New Roman" w:eastAsia="Times New Roman" w:hAnsi="Times New Roman" w:cs="Times New Roman"/>
          <w:sz w:val="26"/>
          <w:szCs w:val="26"/>
        </w:rPr>
        <w:t xml:space="preserve"> Finanțelor </w:t>
      </w:r>
      <w:r w:rsidR="001C177B" w:rsidRPr="000A1C70">
        <w:rPr>
          <w:rFonts w:ascii="Times New Roman" w:eastAsia="Times New Roman" w:hAnsi="Times New Roman" w:cs="Times New Roman"/>
          <w:sz w:val="26"/>
          <w:szCs w:val="26"/>
        </w:rPr>
        <w:t xml:space="preserve">de a aplica </w:t>
      </w:r>
      <w:r w:rsidR="001C177B" w:rsidRPr="000A1C70">
        <w:rPr>
          <w:rFonts w:ascii="Times New Roman" w:hAnsi="Times New Roman" w:cs="Times New Roman"/>
          <w:sz w:val="26"/>
          <w:szCs w:val="26"/>
        </w:rPr>
        <w:t>măsuri</w:t>
      </w:r>
      <w:r w:rsidR="001B4F7D">
        <w:rPr>
          <w:rFonts w:ascii="Times New Roman" w:hAnsi="Times New Roman" w:cs="Times New Roman"/>
          <w:sz w:val="26"/>
          <w:szCs w:val="26"/>
        </w:rPr>
        <w:t xml:space="preserve"> </w:t>
      </w:r>
      <w:r w:rsidR="001C177B" w:rsidRPr="000A1C70">
        <w:rPr>
          <w:rFonts w:ascii="Times New Roman" w:hAnsi="Times New Roman" w:cs="Times New Roman"/>
          <w:sz w:val="26"/>
          <w:szCs w:val="26"/>
        </w:rPr>
        <w:t xml:space="preserve"> cu caracter temporar</w:t>
      </w:r>
      <w:r w:rsidR="001B4F7D">
        <w:rPr>
          <w:rFonts w:ascii="Times New Roman" w:hAnsi="Times New Roman" w:cs="Times New Roman"/>
          <w:sz w:val="26"/>
          <w:szCs w:val="26"/>
        </w:rPr>
        <w:t xml:space="preserve"> față  de</w:t>
      </w:r>
      <w:r w:rsidR="001C177B" w:rsidRPr="000A1C70">
        <w:rPr>
          <w:rFonts w:ascii="Times New Roman" w:hAnsi="Times New Roman" w:cs="Times New Roman"/>
          <w:sz w:val="26"/>
          <w:szCs w:val="26"/>
        </w:rPr>
        <w:t xml:space="preserve"> autoritățile/instituțiile bugetare și alți beneficiari de mijloace bugetare nedisciplinați</w:t>
      </w:r>
      <w:r w:rsidR="001B4F7D">
        <w:rPr>
          <w:rFonts w:ascii="Times New Roman" w:hAnsi="Times New Roman" w:cs="Times New Roman"/>
          <w:sz w:val="26"/>
          <w:szCs w:val="26"/>
        </w:rPr>
        <w:t xml:space="preserve">. Modificările respective urmează a fi operate la </w:t>
      </w:r>
      <w:r w:rsidR="001C177B" w:rsidRPr="000A1C70">
        <w:rPr>
          <w:rFonts w:ascii="Times New Roman" w:hAnsi="Times New Roman" w:cs="Times New Roman"/>
          <w:sz w:val="26"/>
          <w:szCs w:val="26"/>
        </w:rPr>
        <w:t>art.80</w:t>
      </w:r>
      <w:r w:rsidR="001B4F7D">
        <w:rPr>
          <w:rFonts w:ascii="Times New Roman" w:hAnsi="Times New Roman" w:cs="Times New Roman"/>
          <w:sz w:val="26"/>
          <w:szCs w:val="26"/>
        </w:rPr>
        <w:t>, adăugând aliniatele</w:t>
      </w:r>
      <w:r w:rsidR="00213666">
        <w:rPr>
          <w:rFonts w:ascii="Times New Roman" w:hAnsi="Times New Roman" w:cs="Times New Roman"/>
          <w:sz w:val="26"/>
          <w:szCs w:val="26"/>
        </w:rPr>
        <w:t xml:space="preserve"> </w:t>
      </w:r>
      <w:r w:rsidR="001C177B" w:rsidRPr="000A1C70">
        <w:rPr>
          <w:rFonts w:ascii="Times New Roman" w:hAnsi="Times New Roman" w:cs="Times New Roman"/>
          <w:sz w:val="26"/>
          <w:szCs w:val="26"/>
        </w:rPr>
        <w:t>(9) și (10).</w:t>
      </w:r>
    </w:p>
    <w:p w:rsidR="00DD4B89" w:rsidRPr="000A1C70" w:rsidRDefault="00DD4B89" w:rsidP="007E4C1E">
      <w:pPr>
        <w:spacing w:after="0"/>
        <w:ind w:firstLine="851"/>
        <w:jc w:val="both"/>
        <w:rPr>
          <w:rFonts w:ascii="Times New Roman" w:hAnsi="Times New Roman" w:cs="Times New Roman"/>
          <w:sz w:val="20"/>
          <w:szCs w:val="20"/>
        </w:rPr>
      </w:pPr>
    </w:p>
    <w:p w:rsidR="00854AE9" w:rsidRPr="000A1C70" w:rsidRDefault="00D514CA" w:rsidP="007E4C1E">
      <w:pPr>
        <w:spacing w:after="0"/>
        <w:ind w:firstLine="851"/>
        <w:jc w:val="both"/>
        <w:rPr>
          <w:rFonts w:ascii="Times New Roman" w:hAnsi="Times New Roman" w:cs="Times New Roman"/>
          <w:bCs/>
          <w:sz w:val="26"/>
          <w:szCs w:val="26"/>
        </w:rPr>
      </w:pPr>
      <w:r w:rsidRPr="000A1C70">
        <w:rPr>
          <w:rFonts w:ascii="Times New Roman" w:hAnsi="Times New Roman" w:cs="Times New Roman"/>
          <w:bCs/>
          <w:sz w:val="26"/>
          <w:szCs w:val="26"/>
        </w:rPr>
        <w:t xml:space="preserve">Proiectul de lege include </w:t>
      </w:r>
      <w:r w:rsidR="00A231DF" w:rsidRPr="000A1C70">
        <w:rPr>
          <w:rFonts w:ascii="Times New Roman" w:hAnsi="Times New Roman" w:cs="Times New Roman"/>
          <w:bCs/>
          <w:sz w:val="26"/>
          <w:szCs w:val="26"/>
        </w:rPr>
        <w:t xml:space="preserve">și unele </w:t>
      </w:r>
      <w:r w:rsidRPr="000A1C70">
        <w:rPr>
          <w:rFonts w:ascii="Times New Roman" w:hAnsi="Times New Roman" w:cs="Times New Roman"/>
          <w:bCs/>
          <w:sz w:val="26"/>
          <w:szCs w:val="26"/>
        </w:rPr>
        <w:t>modificări cu caracter redacțional, precum și aducerea în concordanță</w:t>
      </w:r>
      <w:r w:rsidR="001B4F7D">
        <w:rPr>
          <w:rFonts w:ascii="Times New Roman" w:hAnsi="Times New Roman" w:cs="Times New Roman"/>
          <w:bCs/>
          <w:sz w:val="26"/>
          <w:szCs w:val="26"/>
        </w:rPr>
        <w:t xml:space="preserve"> a </w:t>
      </w:r>
      <w:r w:rsidR="001B4F7D" w:rsidRPr="001B4F7D">
        <w:rPr>
          <w:rFonts w:ascii="Times New Roman" w:hAnsi="Times New Roman" w:cs="Times New Roman"/>
          <w:bCs/>
          <w:sz w:val="26"/>
          <w:szCs w:val="26"/>
        </w:rPr>
        <w:t>Legii finanțelor publice și responsabilității bugetar-fiscale nr.181/2014</w:t>
      </w:r>
      <w:r w:rsidRPr="000A1C70">
        <w:rPr>
          <w:rFonts w:ascii="Times New Roman" w:hAnsi="Times New Roman" w:cs="Times New Roman"/>
          <w:bCs/>
          <w:sz w:val="26"/>
          <w:szCs w:val="26"/>
        </w:rPr>
        <w:t xml:space="preserve"> cu</w:t>
      </w:r>
      <w:r w:rsidR="00A37C61">
        <w:rPr>
          <w:rFonts w:ascii="Times New Roman" w:hAnsi="Times New Roman" w:cs="Times New Roman"/>
          <w:bCs/>
          <w:sz w:val="26"/>
          <w:szCs w:val="26"/>
        </w:rPr>
        <w:t xml:space="preserve"> </w:t>
      </w:r>
      <w:r w:rsidR="002E127A" w:rsidRPr="000A1C70">
        <w:rPr>
          <w:rFonts w:ascii="Times New Roman" w:hAnsi="Times New Roman" w:cs="Times New Roman"/>
          <w:bCs/>
          <w:sz w:val="26"/>
          <w:szCs w:val="26"/>
        </w:rPr>
        <w:t>prevederile altor legi.</w:t>
      </w:r>
    </w:p>
    <w:p w:rsidR="000A1C70" w:rsidRPr="000A1C70" w:rsidRDefault="000A1C70" w:rsidP="000A1C70">
      <w:pPr>
        <w:tabs>
          <w:tab w:val="left" w:pos="1080"/>
        </w:tabs>
        <w:spacing w:after="120"/>
        <w:ind w:firstLine="567"/>
        <w:jc w:val="both"/>
        <w:rPr>
          <w:rFonts w:ascii="Times New Roman" w:hAnsi="Times New Roman"/>
          <w:sz w:val="26"/>
          <w:szCs w:val="26"/>
        </w:rPr>
      </w:pPr>
      <w:r w:rsidRPr="000A1C70">
        <w:rPr>
          <w:rFonts w:ascii="Times New Roman" w:hAnsi="Times New Roman"/>
          <w:sz w:val="26"/>
          <w:szCs w:val="26"/>
        </w:rPr>
        <w:t xml:space="preserve">Proiectul de lege respectiv nu necesită efectuarea expertizei </w:t>
      </w:r>
      <w:proofErr w:type="spellStart"/>
      <w:r w:rsidRPr="000A1C70">
        <w:rPr>
          <w:rFonts w:ascii="Times New Roman" w:hAnsi="Times New Roman"/>
          <w:sz w:val="26"/>
          <w:szCs w:val="26"/>
        </w:rPr>
        <w:t>compatibilităţii</w:t>
      </w:r>
      <w:proofErr w:type="spellEnd"/>
      <w:r w:rsidRPr="000A1C70">
        <w:rPr>
          <w:rFonts w:ascii="Times New Roman" w:hAnsi="Times New Roman"/>
          <w:sz w:val="26"/>
          <w:szCs w:val="26"/>
        </w:rPr>
        <w:t xml:space="preserve"> cu </w:t>
      </w:r>
      <w:proofErr w:type="spellStart"/>
      <w:r w:rsidRPr="000A1C70">
        <w:rPr>
          <w:rFonts w:ascii="Times New Roman" w:hAnsi="Times New Roman"/>
          <w:sz w:val="26"/>
          <w:szCs w:val="26"/>
        </w:rPr>
        <w:t>legislaţia</w:t>
      </w:r>
      <w:proofErr w:type="spellEnd"/>
      <w:r w:rsidRPr="000A1C70">
        <w:rPr>
          <w:rFonts w:ascii="Times New Roman" w:hAnsi="Times New Roman"/>
          <w:sz w:val="26"/>
          <w:szCs w:val="26"/>
        </w:rPr>
        <w:t xml:space="preserve"> comunitară, deoarece nu are ca scop direct armonizarea cadrului normativ </w:t>
      </w:r>
      <w:proofErr w:type="spellStart"/>
      <w:r w:rsidRPr="000A1C70">
        <w:rPr>
          <w:rFonts w:ascii="Times New Roman" w:hAnsi="Times New Roman"/>
          <w:sz w:val="26"/>
          <w:szCs w:val="26"/>
        </w:rPr>
        <w:t>naţional</w:t>
      </w:r>
      <w:proofErr w:type="spellEnd"/>
      <w:r w:rsidRPr="000A1C70">
        <w:rPr>
          <w:rFonts w:ascii="Times New Roman" w:hAnsi="Times New Roman"/>
          <w:sz w:val="26"/>
          <w:szCs w:val="26"/>
        </w:rPr>
        <w:t xml:space="preserve"> la cel comunitar.</w:t>
      </w:r>
    </w:p>
    <w:p w:rsidR="000A1C70" w:rsidRPr="000A1C70" w:rsidRDefault="00A37C61" w:rsidP="000A1C70">
      <w:pPr>
        <w:tabs>
          <w:tab w:val="left" w:pos="1080"/>
        </w:tabs>
        <w:spacing w:after="120"/>
        <w:ind w:firstLine="567"/>
        <w:jc w:val="both"/>
        <w:rPr>
          <w:rFonts w:ascii="Times New Roman" w:hAnsi="Times New Roman"/>
          <w:sz w:val="26"/>
          <w:szCs w:val="26"/>
        </w:rPr>
      </w:pPr>
      <w:r>
        <w:rPr>
          <w:rFonts w:ascii="Times New Roman" w:hAnsi="Times New Roman"/>
          <w:sz w:val="26"/>
          <w:szCs w:val="26"/>
        </w:rPr>
        <w:t xml:space="preserve"> </w:t>
      </w:r>
      <w:r w:rsidR="000A1C70">
        <w:rPr>
          <w:rFonts w:ascii="Times New Roman" w:hAnsi="Times New Roman"/>
          <w:sz w:val="26"/>
          <w:szCs w:val="26"/>
        </w:rPr>
        <w:t xml:space="preserve"> </w:t>
      </w:r>
      <w:r w:rsidR="000A1C70" w:rsidRPr="000A1C70">
        <w:rPr>
          <w:rFonts w:ascii="Times New Roman" w:hAnsi="Times New Roman"/>
          <w:sz w:val="26"/>
          <w:szCs w:val="26"/>
        </w:rPr>
        <w:t>De asemenea, proiectul în cauză nu implică costuri suplimentare pentru implementare.</w:t>
      </w:r>
    </w:p>
    <w:p w:rsidR="00E06551" w:rsidRPr="000A1C70" w:rsidRDefault="00E06551" w:rsidP="00E06551">
      <w:pPr>
        <w:spacing w:after="0"/>
        <w:ind w:firstLine="851"/>
        <w:jc w:val="both"/>
        <w:rPr>
          <w:rFonts w:ascii="Times New Roman" w:hAnsi="Times New Roman" w:cs="Times New Roman"/>
          <w:bCs/>
          <w:sz w:val="26"/>
          <w:szCs w:val="26"/>
        </w:rPr>
      </w:pPr>
      <w:r w:rsidRPr="000A1C70">
        <w:rPr>
          <w:rFonts w:ascii="Times New Roman" w:hAnsi="Times New Roman" w:cs="Times New Roman"/>
          <w:bCs/>
          <w:sz w:val="26"/>
          <w:szCs w:val="26"/>
        </w:rPr>
        <w:t>Proiectul de lege a fost consultat cu părțile interesate în modul stabilit.</w:t>
      </w:r>
    </w:p>
    <w:p w:rsidR="00EE7A35" w:rsidRPr="000A1C70" w:rsidRDefault="00EE7A35" w:rsidP="00E06551">
      <w:pPr>
        <w:spacing w:after="0"/>
        <w:ind w:firstLine="851"/>
        <w:jc w:val="both"/>
        <w:rPr>
          <w:rFonts w:ascii="Times New Roman" w:hAnsi="Times New Roman" w:cs="Times New Roman"/>
          <w:bCs/>
          <w:sz w:val="20"/>
          <w:szCs w:val="20"/>
        </w:rPr>
      </w:pPr>
    </w:p>
    <w:p w:rsidR="00B11D83" w:rsidRPr="000A1C70" w:rsidRDefault="00B11D83" w:rsidP="00E06551">
      <w:pPr>
        <w:spacing w:after="0"/>
        <w:ind w:firstLine="851"/>
        <w:jc w:val="both"/>
        <w:rPr>
          <w:rFonts w:ascii="Times New Roman" w:hAnsi="Times New Roman" w:cs="Times New Roman"/>
          <w:bCs/>
          <w:sz w:val="26"/>
          <w:szCs w:val="26"/>
        </w:rPr>
      </w:pPr>
      <w:r w:rsidRPr="000A1C70">
        <w:rPr>
          <w:rFonts w:ascii="Times New Roman" w:hAnsi="Times New Roman" w:cs="Times New Roman"/>
          <w:bCs/>
          <w:sz w:val="26"/>
          <w:szCs w:val="26"/>
        </w:rPr>
        <w:t xml:space="preserve">Materiale aferente proiectului de </w:t>
      </w:r>
      <w:r w:rsidR="00172ACB" w:rsidRPr="000A1C70">
        <w:rPr>
          <w:rFonts w:ascii="Times New Roman" w:hAnsi="Times New Roman" w:cs="Times New Roman"/>
          <w:bCs/>
          <w:sz w:val="26"/>
          <w:szCs w:val="26"/>
        </w:rPr>
        <w:t>l</w:t>
      </w:r>
      <w:r w:rsidRPr="000A1C70">
        <w:rPr>
          <w:rFonts w:ascii="Times New Roman" w:hAnsi="Times New Roman" w:cs="Times New Roman"/>
          <w:bCs/>
          <w:sz w:val="26"/>
          <w:szCs w:val="26"/>
        </w:rPr>
        <w:t xml:space="preserve">ege </w:t>
      </w:r>
      <w:proofErr w:type="spellStart"/>
      <w:r w:rsidR="00172ACB" w:rsidRPr="000A1C70">
        <w:rPr>
          <w:rFonts w:ascii="Times New Roman" w:hAnsi="Times New Roman" w:cs="Times New Roman"/>
          <w:bCs/>
          <w:sz w:val="26"/>
          <w:szCs w:val="26"/>
        </w:rPr>
        <w:t>sînt</w:t>
      </w:r>
      <w:proofErr w:type="spellEnd"/>
      <w:r w:rsidR="00172ACB" w:rsidRPr="000A1C70">
        <w:rPr>
          <w:rFonts w:ascii="Times New Roman" w:hAnsi="Times New Roman" w:cs="Times New Roman"/>
          <w:bCs/>
          <w:sz w:val="26"/>
          <w:szCs w:val="26"/>
        </w:rPr>
        <w:t xml:space="preserve"> plasate pe pagina web a Ministerului Finanțelor în rubrica </w:t>
      </w:r>
      <w:hyperlink w:history="1">
        <w:r w:rsidR="00172ACB" w:rsidRPr="000A1C70">
          <w:rPr>
            <w:rStyle w:val="ad"/>
            <w:rFonts w:ascii="Times New Roman" w:hAnsi="Times New Roman" w:cs="Times New Roman"/>
            <w:bCs/>
            <w:sz w:val="26"/>
            <w:szCs w:val="26"/>
          </w:rPr>
          <w:t>» Transparența decizională » Procesul decizional</w:t>
        </w:r>
      </w:hyperlink>
      <w:r w:rsidR="00172ACB" w:rsidRPr="000A1C70">
        <w:rPr>
          <w:rFonts w:ascii="Times New Roman" w:hAnsi="Times New Roman" w:cs="Times New Roman"/>
          <w:bCs/>
          <w:sz w:val="26"/>
          <w:szCs w:val="26"/>
        </w:rPr>
        <w:t>.</w:t>
      </w:r>
    </w:p>
    <w:p w:rsidR="00EE4862" w:rsidRDefault="00EE4862" w:rsidP="007E4C1E">
      <w:pPr>
        <w:spacing w:after="0"/>
        <w:ind w:firstLine="851"/>
        <w:jc w:val="both"/>
        <w:rPr>
          <w:rFonts w:ascii="Times New Roman" w:hAnsi="Times New Roman" w:cs="Times New Roman"/>
          <w:bCs/>
          <w:sz w:val="28"/>
          <w:szCs w:val="28"/>
        </w:rPr>
      </w:pPr>
    </w:p>
    <w:p w:rsidR="000D59F2" w:rsidRDefault="00870252" w:rsidP="00870252">
      <w:pPr>
        <w:ind w:firstLine="851"/>
        <w:jc w:val="both"/>
        <w:rPr>
          <w:rFonts w:ascii="Times New Roman" w:hAnsi="Times New Roman" w:cs="Times New Roman"/>
          <w:b/>
          <w:bCs/>
          <w:sz w:val="28"/>
          <w:szCs w:val="28"/>
        </w:rPr>
      </w:pPr>
      <w:r w:rsidRPr="00870252">
        <w:rPr>
          <w:rFonts w:ascii="Times New Roman" w:hAnsi="Times New Roman" w:cs="Times New Roman"/>
          <w:b/>
          <w:bCs/>
          <w:sz w:val="28"/>
          <w:szCs w:val="28"/>
        </w:rPr>
        <w:t xml:space="preserve"> </w:t>
      </w:r>
    </w:p>
    <w:p w:rsidR="000A1C70" w:rsidRDefault="000D59F2" w:rsidP="00870252">
      <w:pPr>
        <w:ind w:firstLine="851"/>
        <w:jc w:val="both"/>
        <w:rPr>
          <w:rFonts w:ascii="Times New Roman" w:hAnsi="Times New Roman" w:cs="Times New Roman"/>
          <w:bCs/>
          <w:sz w:val="28"/>
          <w:szCs w:val="28"/>
        </w:rPr>
      </w:pPr>
      <w:r>
        <w:rPr>
          <w:rFonts w:ascii="Times New Roman" w:hAnsi="Times New Roman" w:cs="Times New Roman"/>
          <w:b/>
          <w:bCs/>
          <w:sz w:val="28"/>
          <w:szCs w:val="28"/>
        </w:rPr>
        <w:t xml:space="preserve">Secretar de Stat                                                  Tatiana </w:t>
      </w:r>
      <w:proofErr w:type="spellStart"/>
      <w:r>
        <w:rPr>
          <w:rFonts w:ascii="Times New Roman" w:hAnsi="Times New Roman" w:cs="Times New Roman"/>
          <w:b/>
          <w:bCs/>
          <w:sz w:val="28"/>
          <w:szCs w:val="28"/>
        </w:rPr>
        <w:t>Ivanicichina</w:t>
      </w:r>
      <w:proofErr w:type="spellEnd"/>
    </w:p>
    <w:sectPr w:rsidR="000A1C70" w:rsidSect="005A6B5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6AA" w:rsidRDefault="004E46AA" w:rsidP="00123BC6">
      <w:pPr>
        <w:spacing w:after="0" w:line="240" w:lineRule="auto"/>
      </w:pPr>
      <w:r>
        <w:separator/>
      </w:r>
    </w:p>
  </w:endnote>
  <w:endnote w:type="continuationSeparator" w:id="0">
    <w:p w:rsidR="004E46AA" w:rsidRDefault="004E46AA" w:rsidP="0012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469"/>
      <w:docPartObj>
        <w:docPartGallery w:val="Page Numbers (Bottom of Page)"/>
        <w:docPartUnique/>
      </w:docPartObj>
    </w:sdtPr>
    <w:sdtEndPr>
      <w:rPr>
        <w:rFonts w:ascii="Times New Roman" w:hAnsi="Times New Roman" w:cs="Times New Roman"/>
        <w:sz w:val="16"/>
        <w:szCs w:val="16"/>
      </w:rPr>
    </w:sdtEndPr>
    <w:sdtContent>
      <w:p w:rsidR="007B1F0B" w:rsidRDefault="007F15C8">
        <w:pPr>
          <w:pStyle w:val="a7"/>
          <w:jc w:val="right"/>
        </w:pPr>
        <w:r w:rsidRPr="00123BC6">
          <w:rPr>
            <w:rFonts w:ascii="Times New Roman" w:hAnsi="Times New Roman" w:cs="Times New Roman"/>
            <w:sz w:val="16"/>
            <w:szCs w:val="16"/>
          </w:rPr>
          <w:fldChar w:fldCharType="begin"/>
        </w:r>
        <w:r w:rsidR="007B1F0B" w:rsidRPr="00123BC6">
          <w:rPr>
            <w:rFonts w:ascii="Times New Roman" w:hAnsi="Times New Roman" w:cs="Times New Roman"/>
            <w:sz w:val="16"/>
            <w:szCs w:val="16"/>
          </w:rPr>
          <w:instrText xml:space="preserve"> PAGE   \* MERGEFORMAT </w:instrText>
        </w:r>
        <w:r w:rsidRPr="00123BC6">
          <w:rPr>
            <w:rFonts w:ascii="Times New Roman" w:hAnsi="Times New Roman" w:cs="Times New Roman"/>
            <w:sz w:val="16"/>
            <w:szCs w:val="16"/>
          </w:rPr>
          <w:fldChar w:fldCharType="separate"/>
        </w:r>
        <w:r w:rsidR="00CF2A16">
          <w:rPr>
            <w:rFonts w:ascii="Times New Roman" w:hAnsi="Times New Roman" w:cs="Times New Roman"/>
            <w:noProof/>
            <w:sz w:val="16"/>
            <w:szCs w:val="16"/>
          </w:rPr>
          <w:t>3</w:t>
        </w:r>
        <w:r w:rsidRPr="00123BC6">
          <w:rPr>
            <w:rFonts w:ascii="Times New Roman" w:hAnsi="Times New Roman" w:cs="Times New Roman"/>
            <w:sz w:val="16"/>
            <w:szCs w:val="16"/>
          </w:rPr>
          <w:fldChar w:fldCharType="end"/>
        </w:r>
      </w:p>
    </w:sdtContent>
  </w:sdt>
  <w:p w:rsidR="007B1F0B" w:rsidRDefault="007B1F0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6AA" w:rsidRDefault="004E46AA" w:rsidP="00123BC6">
      <w:pPr>
        <w:spacing w:after="0" w:line="240" w:lineRule="auto"/>
      </w:pPr>
      <w:r>
        <w:separator/>
      </w:r>
    </w:p>
  </w:footnote>
  <w:footnote w:type="continuationSeparator" w:id="0">
    <w:p w:rsidR="004E46AA" w:rsidRDefault="004E46AA" w:rsidP="00123BC6">
      <w:pPr>
        <w:spacing w:after="0" w:line="240" w:lineRule="auto"/>
      </w:pPr>
      <w:r>
        <w:continuationSeparator/>
      </w:r>
    </w:p>
  </w:footnote>
  <w:footnote w:id="1">
    <w:p w:rsidR="00C7763C" w:rsidRPr="00C7763C" w:rsidRDefault="00C7763C" w:rsidP="00C7763C">
      <w:pPr>
        <w:autoSpaceDE w:val="0"/>
        <w:autoSpaceDN w:val="0"/>
        <w:adjustRightInd w:val="0"/>
        <w:spacing w:before="120" w:after="120"/>
        <w:ind w:left="360"/>
        <w:jc w:val="both"/>
        <w:rPr>
          <w:rFonts w:cs="Calibri"/>
          <w:color w:val="000000"/>
          <w:sz w:val="20"/>
          <w:szCs w:val="20"/>
        </w:rPr>
      </w:pPr>
      <w:r>
        <w:rPr>
          <w:rStyle w:val="af0"/>
        </w:rPr>
        <w:footnoteRef/>
      </w:r>
      <w:r w:rsidRPr="00C7763C">
        <w:rPr>
          <w:lang w:val="en-US"/>
        </w:rPr>
        <w:t xml:space="preserve"> </w:t>
      </w:r>
      <w:r w:rsidRPr="00C7763C">
        <w:rPr>
          <w:rFonts w:cs="Calibri"/>
          <w:color w:val="000000"/>
          <w:sz w:val="20"/>
          <w:szCs w:val="20"/>
        </w:rPr>
        <w:t>Dumitrescu B. A.; Cadrul fiscal din România – Eficiența regulilor fiscale</w:t>
      </w:r>
    </w:p>
    <w:p w:rsidR="00C7763C" w:rsidRDefault="00C7763C">
      <w:pPr>
        <w:pStyle w:val="a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67" w:rsidRPr="00A93D3D" w:rsidRDefault="004A37AC">
    <w:pPr>
      <w:pStyle w:val="a5"/>
      <w:rPr>
        <w:rFonts w:ascii="Times New Roman" w:hAnsi="Times New Roman" w:cs="Times New Roman"/>
        <w:color w:val="FFFFFF" w:themeColor="background1"/>
        <w:sz w:val="16"/>
        <w:szCs w:val="16"/>
      </w:rPr>
    </w:pPr>
    <w:r w:rsidRPr="00A93D3D">
      <w:rPr>
        <w:rFonts w:ascii="Times New Roman" w:hAnsi="Times New Roman" w:cs="Times New Roman"/>
        <w:color w:val="FFFFFF" w:themeColor="background1"/>
        <w:sz w:val="16"/>
        <w:szCs w:val="16"/>
      </w:rPr>
      <w:fldChar w:fldCharType="begin"/>
    </w:r>
    <w:r w:rsidRPr="00A93D3D">
      <w:rPr>
        <w:rFonts w:ascii="Times New Roman" w:hAnsi="Times New Roman" w:cs="Times New Roman"/>
        <w:color w:val="FFFFFF" w:themeColor="background1"/>
        <w:sz w:val="16"/>
        <w:szCs w:val="16"/>
      </w:rPr>
      <w:instrText xml:space="preserve"> FILENAME  \* Lower \p  \* MERGEFORMAT </w:instrText>
    </w:r>
    <w:r w:rsidRPr="00A93D3D">
      <w:rPr>
        <w:rFonts w:ascii="Times New Roman" w:hAnsi="Times New Roman" w:cs="Times New Roman"/>
        <w:color w:val="FFFFFF" w:themeColor="background1"/>
        <w:sz w:val="16"/>
        <w:szCs w:val="16"/>
      </w:rPr>
      <w:fldChar w:fldCharType="separate"/>
    </w:r>
    <w:r w:rsidR="00EC7AC5">
      <w:rPr>
        <w:rFonts w:ascii="Times New Roman" w:hAnsi="Times New Roman" w:cs="Times New Roman"/>
        <w:noProof/>
        <w:color w:val="FFFFFF" w:themeColor="background1"/>
        <w:sz w:val="16"/>
        <w:szCs w:val="16"/>
      </w:rPr>
      <w:t>c:\users\rotarunina\desktop\legea nr181_modificare\modificarea_l181\nota informativa\ro\12.nota informativă_pt cna_dupa mf  06.02.18.docx</w:t>
    </w:r>
    <w:r w:rsidRPr="00A93D3D">
      <w:rPr>
        <w:rFonts w:ascii="Times New Roman" w:hAnsi="Times New Roman" w:cs="Times New Roman"/>
        <w:color w:val="FFFFFF" w:themeColor="background1"/>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51950"/>
    <w:multiLevelType w:val="hybridMultilevel"/>
    <w:tmpl w:val="F39E8F5E"/>
    <w:lvl w:ilvl="0" w:tplc="160C4276">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34021AF"/>
    <w:multiLevelType w:val="hybridMultilevel"/>
    <w:tmpl w:val="B908E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BB"/>
    <w:rsid w:val="000115CC"/>
    <w:rsid w:val="00017942"/>
    <w:rsid w:val="00020120"/>
    <w:rsid w:val="00040B8E"/>
    <w:rsid w:val="00045A77"/>
    <w:rsid w:val="000528B6"/>
    <w:rsid w:val="000534EF"/>
    <w:rsid w:val="00055549"/>
    <w:rsid w:val="00063A15"/>
    <w:rsid w:val="0006408C"/>
    <w:rsid w:val="00066238"/>
    <w:rsid w:val="000700DC"/>
    <w:rsid w:val="00076736"/>
    <w:rsid w:val="00080067"/>
    <w:rsid w:val="000817D0"/>
    <w:rsid w:val="00082644"/>
    <w:rsid w:val="000836DA"/>
    <w:rsid w:val="00087792"/>
    <w:rsid w:val="00093476"/>
    <w:rsid w:val="00093B16"/>
    <w:rsid w:val="000A1C70"/>
    <w:rsid w:val="000B3BB3"/>
    <w:rsid w:val="000C244C"/>
    <w:rsid w:val="000C4E98"/>
    <w:rsid w:val="000C6CF2"/>
    <w:rsid w:val="000D44F7"/>
    <w:rsid w:val="000D5768"/>
    <w:rsid w:val="000D59F2"/>
    <w:rsid w:val="000E174A"/>
    <w:rsid w:val="000E1787"/>
    <w:rsid w:val="000E43FE"/>
    <w:rsid w:val="000E6AA5"/>
    <w:rsid w:val="000F1A38"/>
    <w:rsid w:val="000F20D7"/>
    <w:rsid w:val="00106B37"/>
    <w:rsid w:val="00111125"/>
    <w:rsid w:val="001134BB"/>
    <w:rsid w:val="0012123D"/>
    <w:rsid w:val="00123BC6"/>
    <w:rsid w:val="00123EEC"/>
    <w:rsid w:val="00127BC9"/>
    <w:rsid w:val="00145C46"/>
    <w:rsid w:val="00146D04"/>
    <w:rsid w:val="0015087D"/>
    <w:rsid w:val="00160D0E"/>
    <w:rsid w:val="001646F6"/>
    <w:rsid w:val="00164764"/>
    <w:rsid w:val="0016708C"/>
    <w:rsid w:val="00167D0C"/>
    <w:rsid w:val="00172ACB"/>
    <w:rsid w:val="001730FE"/>
    <w:rsid w:val="00175628"/>
    <w:rsid w:val="00175C6D"/>
    <w:rsid w:val="001771A8"/>
    <w:rsid w:val="00181032"/>
    <w:rsid w:val="00184BDA"/>
    <w:rsid w:val="0019121E"/>
    <w:rsid w:val="001A25AF"/>
    <w:rsid w:val="001A4FBA"/>
    <w:rsid w:val="001A5423"/>
    <w:rsid w:val="001A6F00"/>
    <w:rsid w:val="001A6F42"/>
    <w:rsid w:val="001B4A55"/>
    <w:rsid w:val="001B4F7D"/>
    <w:rsid w:val="001C0548"/>
    <w:rsid w:val="001C177B"/>
    <w:rsid w:val="001C1DC1"/>
    <w:rsid w:val="001C35D4"/>
    <w:rsid w:val="001D0DB1"/>
    <w:rsid w:val="001D1C69"/>
    <w:rsid w:val="001D2E8D"/>
    <w:rsid w:val="001D3522"/>
    <w:rsid w:val="001D573C"/>
    <w:rsid w:val="001E75C6"/>
    <w:rsid w:val="002057C0"/>
    <w:rsid w:val="00205C37"/>
    <w:rsid w:val="00205E1C"/>
    <w:rsid w:val="00213100"/>
    <w:rsid w:val="00213666"/>
    <w:rsid w:val="002149D7"/>
    <w:rsid w:val="00217F80"/>
    <w:rsid w:val="00233426"/>
    <w:rsid w:val="002358A2"/>
    <w:rsid w:val="00237058"/>
    <w:rsid w:val="00241B13"/>
    <w:rsid w:val="00250861"/>
    <w:rsid w:val="0025365C"/>
    <w:rsid w:val="00257B96"/>
    <w:rsid w:val="00260135"/>
    <w:rsid w:val="00260A92"/>
    <w:rsid w:val="00262BE1"/>
    <w:rsid w:val="002630CB"/>
    <w:rsid w:val="00264524"/>
    <w:rsid w:val="00264B6E"/>
    <w:rsid w:val="00265A21"/>
    <w:rsid w:val="002675E5"/>
    <w:rsid w:val="00273023"/>
    <w:rsid w:val="00274FF7"/>
    <w:rsid w:val="002774A3"/>
    <w:rsid w:val="00283EC5"/>
    <w:rsid w:val="00292B47"/>
    <w:rsid w:val="002979EB"/>
    <w:rsid w:val="002A0DEC"/>
    <w:rsid w:val="002A2F99"/>
    <w:rsid w:val="002B0BF9"/>
    <w:rsid w:val="002B5005"/>
    <w:rsid w:val="002B71DB"/>
    <w:rsid w:val="002D43F4"/>
    <w:rsid w:val="002E007A"/>
    <w:rsid w:val="002E127A"/>
    <w:rsid w:val="002E3417"/>
    <w:rsid w:val="002E3BD0"/>
    <w:rsid w:val="0031782D"/>
    <w:rsid w:val="00323177"/>
    <w:rsid w:val="00323558"/>
    <w:rsid w:val="00327196"/>
    <w:rsid w:val="0033360C"/>
    <w:rsid w:val="003339C7"/>
    <w:rsid w:val="00335B0D"/>
    <w:rsid w:val="0033756D"/>
    <w:rsid w:val="00337C08"/>
    <w:rsid w:val="00344F32"/>
    <w:rsid w:val="0034718C"/>
    <w:rsid w:val="00347538"/>
    <w:rsid w:val="00353B82"/>
    <w:rsid w:val="00360C93"/>
    <w:rsid w:val="00361AC1"/>
    <w:rsid w:val="00361C23"/>
    <w:rsid w:val="00376FF4"/>
    <w:rsid w:val="00377D3E"/>
    <w:rsid w:val="00383627"/>
    <w:rsid w:val="00395D2A"/>
    <w:rsid w:val="003A0C3C"/>
    <w:rsid w:val="003A3FC1"/>
    <w:rsid w:val="003A6549"/>
    <w:rsid w:val="003B3065"/>
    <w:rsid w:val="003B4BCE"/>
    <w:rsid w:val="003B6030"/>
    <w:rsid w:val="003B681B"/>
    <w:rsid w:val="003B7016"/>
    <w:rsid w:val="003C3D6E"/>
    <w:rsid w:val="003C7B25"/>
    <w:rsid w:val="003D7F7B"/>
    <w:rsid w:val="003E5BBA"/>
    <w:rsid w:val="003F0B6C"/>
    <w:rsid w:val="003F4F8E"/>
    <w:rsid w:val="003F5897"/>
    <w:rsid w:val="004007E8"/>
    <w:rsid w:val="00400F54"/>
    <w:rsid w:val="00424AC4"/>
    <w:rsid w:val="00432A99"/>
    <w:rsid w:val="00435747"/>
    <w:rsid w:val="00437ABF"/>
    <w:rsid w:val="00445197"/>
    <w:rsid w:val="004531AB"/>
    <w:rsid w:val="004613D4"/>
    <w:rsid w:val="004644F6"/>
    <w:rsid w:val="004649DC"/>
    <w:rsid w:val="00464E2F"/>
    <w:rsid w:val="00467963"/>
    <w:rsid w:val="00471F7C"/>
    <w:rsid w:val="0048394B"/>
    <w:rsid w:val="00491124"/>
    <w:rsid w:val="004A134B"/>
    <w:rsid w:val="004A2CBC"/>
    <w:rsid w:val="004A37AC"/>
    <w:rsid w:val="004A583B"/>
    <w:rsid w:val="004A704F"/>
    <w:rsid w:val="004A7E7C"/>
    <w:rsid w:val="004B4EC3"/>
    <w:rsid w:val="004C5F93"/>
    <w:rsid w:val="004D2F67"/>
    <w:rsid w:val="004D5E95"/>
    <w:rsid w:val="004D6F55"/>
    <w:rsid w:val="004E17E7"/>
    <w:rsid w:val="004E46AA"/>
    <w:rsid w:val="004F0BEC"/>
    <w:rsid w:val="004F33BA"/>
    <w:rsid w:val="00507766"/>
    <w:rsid w:val="00512013"/>
    <w:rsid w:val="0051280A"/>
    <w:rsid w:val="00513A46"/>
    <w:rsid w:val="00514AD8"/>
    <w:rsid w:val="005177D1"/>
    <w:rsid w:val="00521FEE"/>
    <w:rsid w:val="0052203A"/>
    <w:rsid w:val="005247C9"/>
    <w:rsid w:val="00527B8D"/>
    <w:rsid w:val="00532379"/>
    <w:rsid w:val="00536252"/>
    <w:rsid w:val="005378DC"/>
    <w:rsid w:val="00544305"/>
    <w:rsid w:val="0054471A"/>
    <w:rsid w:val="0054657C"/>
    <w:rsid w:val="0054714A"/>
    <w:rsid w:val="00551C22"/>
    <w:rsid w:val="00553B06"/>
    <w:rsid w:val="005557E9"/>
    <w:rsid w:val="00557C68"/>
    <w:rsid w:val="00560191"/>
    <w:rsid w:val="00563E89"/>
    <w:rsid w:val="0057463D"/>
    <w:rsid w:val="00582D40"/>
    <w:rsid w:val="00583073"/>
    <w:rsid w:val="005860B9"/>
    <w:rsid w:val="00586C32"/>
    <w:rsid w:val="005979AA"/>
    <w:rsid w:val="005A2BCF"/>
    <w:rsid w:val="005A6B58"/>
    <w:rsid w:val="005A6D8D"/>
    <w:rsid w:val="005B186B"/>
    <w:rsid w:val="005B217C"/>
    <w:rsid w:val="005B3656"/>
    <w:rsid w:val="005B37C7"/>
    <w:rsid w:val="005B5541"/>
    <w:rsid w:val="005C31F0"/>
    <w:rsid w:val="00610C08"/>
    <w:rsid w:val="00612AF8"/>
    <w:rsid w:val="006237E6"/>
    <w:rsid w:val="00625CBB"/>
    <w:rsid w:val="0062761C"/>
    <w:rsid w:val="00634F6A"/>
    <w:rsid w:val="00644C84"/>
    <w:rsid w:val="00654399"/>
    <w:rsid w:val="00657926"/>
    <w:rsid w:val="00664799"/>
    <w:rsid w:val="0066519C"/>
    <w:rsid w:val="00666310"/>
    <w:rsid w:val="006762DA"/>
    <w:rsid w:val="00677904"/>
    <w:rsid w:val="00682955"/>
    <w:rsid w:val="00691F22"/>
    <w:rsid w:val="006A5853"/>
    <w:rsid w:val="006A5865"/>
    <w:rsid w:val="006C0B69"/>
    <w:rsid w:val="006C320A"/>
    <w:rsid w:val="006C6E01"/>
    <w:rsid w:val="006D15C6"/>
    <w:rsid w:val="006E3769"/>
    <w:rsid w:val="006F26C4"/>
    <w:rsid w:val="006F6190"/>
    <w:rsid w:val="00704DA2"/>
    <w:rsid w:val="0071357E"/>
    <w:rsid w:val="0071532F"/>
    <w:rsid w:val="00717CA3"/>
    <w:rsid w:val="00720704"/>
    <w:rsid w:val="00726039"/>
    <w:rsid w:val="00734E65"/>
    <w:rsid w:val="00735D91"/>
    <w:rsid w:val="00736A7F"/>
    <w:rsid w:val="00740BCC"/>
    <w:rsid w:val="0074178D"/>
    <w:rsid w:val="00744E99"/>
    <w:rsid w:val="00745C61"/>
    <w:rsid w:val="00747300"/>
    <w:rsid w:val="007506EA"/>
    <w:rsid w:val="00772596"/>
    <w:rsid w:val="0077564A"/>
    <w:rsid w:val="00783D5D"/>
    <w:rsid w:val="007915E3"/>
    <w:rsid w:val="00792B1A"/>
    <w:rsid w:val="007933E3"/>
    <w:rsid w:val="007A16D8"/>
    <w:rsid w:val="007B1F0B"/>
    <w:rsid w:val="007B63FB"/>
    <w:rsid w:val="007B682B"/>
    <w:rsid w:val="007B724B"/>
    <w:rsid w:val="007B7D27"/>
    <w:rsid w:val="007C4AF2"/>
    <w:rsid w:val="007C61FC"/>
    <w:rsid w:val="007C622B"/>
    <w:rsid w:val="007D37CF"/>
    <w:rsid w:val="007D4914"/>
    <w:rsid w:val="007E4C1E"/>
    <w:rsid w:val="007F15C8"/>
    <w:rsid w:val="007F4F37"/>
    <w:rsid w:val="007F57B7"/>
    <w:rsid w:val="008004FE"/>
    <w:rsid w:val="00802751"/>
    <w:rsid w:val="00802B96"/>
    <w:rsid w:val="008037EF"/>
    <w:rsid w:val="0081368D"/>
    <w:rsid w:val="0081486E"/>
    <w:rsid w:val="00816F42"/>
    <w:rsid w:val="00826341"/>
    <w:rsid w:val="00841604"/>
    <w:rsid w:val="00841BB0"/>
    <w:rsid w:val="00843420"/>
    <w:rsid w:val="00854AE9"/>
    <w:rsid w:val="0086004E"/>
    <w:rsid w:val="008621DC"/>
    <w:rsid w:val="00870252"/>
    <w:rsid w:val="00874702"/>
    <w:rsid w:val="0087488D"/>
    <w:rsid w:val="00876DFC"/>
    <w:rsid w:val="00880823"/>
    <w:rsid w:val="00881CE6"/>
    <w:rsid w:val="00896CA7"/>
    <w:rsid w:val="008A06CA"/>
    <w:rsid w:val="008A4074"/>
    <w:rsid w:val="008B0386"/>
    <w:rsid w:val="008B5A05"/>
    <w:rsid w:val="008D60E5"/>
    <w:rsid w:val="008E64E7"/>
    <w:rsid w:val="008E6F38"/>
    <w:rsid w:val="008F53EE"/>
    <w:rsid w:val="00903386"/>
    <w:rsid w:val="009113A0"/>
    <w:rsid w:val="00913354"/>
    <w:rsid w:val="00913664"/>
    <w:rsid w:val="009220C5"/>
    <w:rsid w:val="00923A06"/>
    <w:rsid w:val="00924FF0"/>
    <w:rsid w:val="00930093"/>
    <w:rsid w:val="009344A1"/>
    <w:rsid w:val="00943AE0"/>
    <w:rsid w:val="0094419C"/>
    <w:rsid w:val="0095304C"/>
    <w:rsid w:val="009544F2"/>
    <w:rsid w:val="00967515"/>
    <w:rsid w:val="009759C7"/>
    <w:rsid w:val="0098063A"/>
    <w:rsid w:val="00980A30"/>
    <w:rsid w:val="00980E15"/>
    <w:rsid w:val="00982CFE"/>
    <w:rsid w:val="00987817"/>
    <w:rsid w:val="009A1B48"/>
    <w:rsid w:val="009A2F89"/>
    <w:rsid w:val="009A6C1A"/>
    <w:rsid w:val="009A6FE0"/>
    <w:rsid w:val="009B724E"/>
    <w:rsid w:val="009C3E2C"/>
    <w:rsid w:val="009C434E"/>
    <w:rsid w:val="009C5BA4"/>
    <w:rsid w:val="009E07B7"/>
    <w:rsid w:val="009E3C44"/>
    <w:rsid w:val="009E5998"/>
    <w:rsid w:val="009E69DA"/>
    <w:rsid w:val="009E6DB0"/>
    <w:rsid w:val="009F51A0"/>
    <w:rsid w:val="00A05948"/>
    <w:rsid w:val="00A0710D"/>
    <w:rsid w:val="00A0772A"/>
    <w:rsid w:val="00A231DF"/>
    <w:rsid w:val="00A30FF5"/>
    <w:rsid w:val="00A37C61"/>
    <w:rsid w:val="00A43114"/>
    <w:rsid w:val="00A53617"/>
    <w:rsid w:val="00A54BFC"/>
    <w:rsid w:val="00A565B9"/>
    <w:rsid w:val="00A61B7E"/>
    <w:rsid w:val="00A6239D"/>
    <w:rsid w:val="00A6565B"/>
    <w:rsid w:val="00A65800"/>
    <w:rsid w:val="00A75D12"/>
    <w:rsid w:val="00A81B2A"/>
    <w:rsid w:val="00A90AE5"/>
    <w:rsid w:val="00A93D3D"/>
    <w:rsid w:val="00A93EF1"/>
    <w:rsid w:val="00A97EC1"/>
    <w:rsid w:val="00AA0C3A"/>
    <w:rsid w:val="00AB373E"/>
    <w:rsid w:val="00AB3DE2"/>
    <w:rsid w:val="00AC1E38"/>
    <w:rsid w:val="00AC20DD"/>
    <w:rsid w:val="00AD0F62"/>
    <w:rsid w:val="00AD5FEB"/>
    <w:rsid w:val="00AD67F4"/>
    <w:rsid w:val="00AE189D"/>
    <w:rsid w:val="00AE6963"/>
    <w:rsid w:val="00AF4B1A"/>
    <w:rsid w:val="00B00795"/>
    <w:rsid w:val="00B01F50"/>
    <w:rsid w:val="00B11D83"/>
    <w:rsid w:val="00B122C2"/>
    <w:rsid w:val="00B14793"/>
    <w:rsid w:val="00B1599C"/>
    <w:rsid w:val="00B3111D"/>
    <w:rsid w:val="00B31F31"/>
    <w:rsid w:val="00B54014"/>
    <w:rsid w:val="00B54C5C"/>
    <w:rsid w:val="00B63D7F"/>
    <w:rsid w:val="00B76DF4"/>
    <w:rsid w:val="00B802AB"/>
    <w:rsid w:val="00B81A41"/>
    <w:rsid w:val="00BC1765"/>
    <w:rsid w:val="00BC25E2"/>
    <w:rsid w:val="00BC51AC"/>
    <w:rsid w:val="00BD0953"/>
    <w:rsid w:val="00BD0BFF"/>
    <w:rsid w:val="00BE7AB0"/>
    <w:rsid w:val="00BF64AB"/>
    <w:rsid w:val="00C0032C"/>
    <w:rsid w:val="00C043AC"/>
    <w:rsid w:val="00C172F3"/>
    <w:rsid w:val="00C36CBA"/>
    <w:rsid w:val="00C3761C"/>
    <w:rsid w:val="00C37E25"/>
    <w:rsid w:val="00C43C01"/>
    <w:rsid w:val="00C55134"/>
    <w:rsid w:val="00C56126"/>
    <w:rsid w:val="00C60920"/>
    <w:rsid w:val="00C60D63"/>
    <w:rsid w:val="00C675CB"/>
    <w:rsid w:val="00C7038B"/>
    <w:rsid w:val="00C723B8"/>
    <w:rsid w:val="00C7763C"/>
    <w:rsid w:val="00C83017"/>
    <w:rsid w:val="00C86382"/>
    <w:rsid w:val="00C877EC"/>
    <w:rsid w:val="00C924C4"/>
    <w:rsid w:val="00CA33C8"/>
    <w:rsid w:val="00CA3B4B"/>
    <w:rsid w:val="00CA5699"/>
    <w:rsid w:val="00CB20AA"/>
    <w:rsid w:val="00CC12F6"/>
    <w:rsid w:val="00CC268F"/>
    <w:rsid w:val="00CC3137"/>
    <w:rsid w:val="00CC6C68"/>
    <w:rsid w:val="00CD4F2D"/>
    <w:rsid w:val="00CD7566"/>
    <w:rsid w:val="00CD7FFC"/>
    <w:rsid w:val="00CE2AD2"/>
    <w:rsid w:val="00CE4ABD"/>
    <w:rsid w:val="00CF2A16"/>
    <w:rsid w:val="00CF2C31"/>
    <w:rsid w:val="00D0678F"/>
    <w:rsid w:val="00D068D0"/>
    <w:rsid w:val="00D117AA"/>
    <w:rsid w:val="00D13C7C"/>
    <w:rsid w:val="00D146C3"/>
    <w:rsid w:val="00D155EA"/>
    <w:rsid w:val="00D15642"/>
    <w:rsid w:val="00D1638A"/>
    <w:rsid w:val="00D20CFB"/>
    <w:rsid w:val="00D232BD"/>
    <w:rsid w:val="00D267AF"/>
    <w:rsid w:val="00D31EBD"/>
    <w:rsid w:val="00D33570"/>
    <w:rsid w:val="00D36446"/>
    <w:rsid w:val="00D401BB"/>
    <w:rsid w:val="00D4073A"/>
    <w:rsid w:val="00D42C56"/>
    <w:rsid w:val="00D514CA"/>
    <w:rsid w:val="00D51F1C"/>
    <w:rsid w:val="00D5317A"/>
    <w:rsid w:val="00D57C08"/>
    <w:rsid w:val="00D61468"/>
    <w:rsid w:val="00D6313F"/>
    <w:rsid w:val="00D67927"/>
    <w:rsid w:val="00D91A7C"/>
    <w:rsid w:val="00D92816"/>
    <w:rsid w:val="00D93DFD"/>
    <w:rsid w:val="00DB4E56"/>
    <w:rsid w:val="00DC2830"/>
    <w:rsid w:val="00DD049A"/>
    <w:rsid w:val="00DD0933"/>
    <w:rsid w:val="00DD1B97"/>
    <w:rsid w:val="00DD1CA4"/>
    <w:rsid w:val="00DD31D7"/>
    <w:rsid w:val="00DD4B89"/>
    <w:rsid w:val="00DD53A1"/>
    <w:rsid w:val="00DE3891"/>
    <w:rsid w:val="00DE4FFA"/>
    <w:rsid w:val="00DE5AEE"/>
    <w:rsid w:val="00DF1EBF"/>
    <w:rsid w:val="00DF4341"/>
    <w:rsid w:val="00DF6442"/>
    <w:rsid w:val="00DF6F61"/>
    <w:rsid w:val="00DF7E6B"/>
    <w:rsid w:val="00E049DE"/>
    <w:rsid w:val="00E06551"/>
    <w:rsid w:val="00E1394A"/>
    <w:rsid w:val="00E2285B"/>
    <w:rsid w:val="00E41F01"/>
    <w:rsid w:val="00E42103"/>
    <w:rsid w:val="00E426F8"/>
    <w:rsid w:val="00E47230"/>
    <w:rsid w:val="00E506FF"/>
    <w:rsid w:val="00E5086C"/>
    <w:rsid w:val="00E525A3"/>
    <w:rsid w:val="00E554F9"/>
    <w:rsid w:val="00E57D18"/>
    <w:rsid w:val="00E6602F"/>
    <w:rsid w:val="00E66043"/>
    <w:rsid w:val="00E7163F"/>
    <w:rsid w:val="00E81308"/>
    <w:rsid w:val="00E82595"/>
    <w:rsid w:val="00E82F61"/>
    <w:rsid w:val="00E84E2A"/>
    <w:rsid w:val="00E90ABD"/>
    <w:rsid w:val="00E90B76"/>
    <w:rsid w:val="00E93080"/>
    <w:rsid w:val="00EA10FB"/>
    <w:rsid w:val="00EA4C38"/>
    <w:rsid w:val="00EA7D75"/>
    <w:rsid w:val="00EB1AEA"/>
    <w:rsid w:val="00EB2D67"/>
    <w:rsid w:val="00EC1EC2"/>
    <w:rsid w:val="00EC438D"/>
    <w:rsid w:val="00EC69A9"/>
    <w:rsid w:val="00EC6C39"/>
    <w:rsid w:val="00EC7AC5"/>
    <w:rsid w:val="00ED5879"/>
    <w:rsid w:val="00EE156B"/>
    <w:rsid w:val="00EE2DBE"/>
    <w:rsid w:val="00EE36EF"/>
    <w:rsid w:val="00EE4862"/>
    <w:rsid w:val="00EE7A35"/>
    <w:rsid w:val="00EF0F7F"/>
    <w:rsid w:val="00EF2DBB"/>
    <w:rsid w:val="00EF7AD0"/>
    <w:rsid w:val="00F026ED"/>
    <w:rsid w:val="00F02AEB"/>
    <w:rsid w:val="00F02EB2"/>
    <w:rsid w:val="00F03193"/>
    <w:rsid w:val="00F147AD"/>
    <w:rsid w:val="00F17B92"/>
    <w:rsid w:val="00F23A4D"/>
    <w:rsid w:val="00F261D5"/>
    <w:rsid w:val="00F26977"/>
    <w:rsid w:val="00F3095A"/>
    <w:rsid w:val="00F30F8A"/>
    <w:rsid w:val="00F345A4"/>
    <w:rsid w:val="00F3558A"/>
    <w:rsid w:val="00F365EF"/>
    <w:rsid w:val="00F37D79"/>
    <w:rsid w:val="00F40451"/>
    <w:rsid w:val="00F41819"/>
    <w:rsid w:val="00F418DA"/>
    <w:rsid w:val="00F46F77"/>
    <w:rsid w:val="00F50610"/>
    <w:rsid w:val="00F51028"/>
    <w:rsid w:val="00F567E0"/>
    <w:rsid w:val="00F60649"/>
    <w:rsid w:val="00F67CC4"/>
    <w:rsid w:val="00F81BD6"/>
    <w:rsid w:val="00F83E66"/>
    <w:rsid w:val="00F8516F"/>
    <w:rsid w:val="00F86589"/>
    <w:rsid w:val="00F86760"/>
    <w:rsid w:val="00F86D72"/>
    <w:rsid w:val="00F900A0"/>
    <w:rsid w:val="00F91ABB"/>
    <w:rsid w:val="00F926A9"/>
    <w:rsid w:val="00F93A37"/>
    <w:rsid w:val="00F940A1"/>
    <w:rsid w:val="00F956D4"/>
    <w:rsid w:val="00F9587B"/>
    <w:rsid w:val="00F95EF5"/>
    <w:rsid w:val="00FA04CB"/>
    <w:rsid w:val="00FA2355"/>
    <w:rsid w:val="00FA7628"/>
    <w:rsid w:val="00FC3C21"/>
    <w:rsid w:val="00FC4D5D"/>
    <w:rsid w:val="00FC6B2E"/>
    <w:rsid w:val="00FD5E55"/>
    <w:rsid w:val="00FD5E6A"/>
    <w:rsid w:val="00FD6535"/>
    <w:rsid w:val="00FE24A7"/>
    <w:rsid w:val="00FE3D41"/>
    <w:rsid w:val="00FE5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8FCE"/>
  <w15:docId w15:val="{E732BFED-40BF-45FF-8814-6465463F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D04"/>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webb, Знак Знак"/>
    <w:basedOn w:val="a"/>
    <w:link w:val="a4"/>
    <w:uiPriority w:val="99"/>
    <w:unhideWhenUsed/>
    <w:qFormat/>
    <w:rsid w:val="008004F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 Знак Знак1,webb Знак Знак Знак,webb Знак, Знак Знак Знак"/>
    <w:basedOn w:val="a0"/>
    <w:link w:val="a3"/>
    <w:uiPriority w:val="99"/>
    <w:locked/>
    <w:rsid w:val="008004FE"/>
    <w:rPr>
      <w:rFonts w:ascii="Times New Roman" w:eastAsia="Times New Roman" w:hAnsi="Times New Roman" w:cs="Times New Roman"/>
      <w:sz w:val="24"/>
      <w:szCs w:val="24"/>
      <w:lang w:val="ro-RO" w:eastAsia="ru-RU"/>
    </w:rPr>
  </w:style>
  <w:style w:type="paragraph" w:styleId="a5">
    <w:name w:val="header"/>
    <w:basedOn w:val="a"/>
    <w:link w:val="a6"/>
    <w:uiPriority w:val="99"/>
    <w:unhideWhenUsed/>
    <w:rsid w:val="00123B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3BC6"/>
    <w:rPr>
      <w:lang w:val="ro-RO"/>
    </w:rPr>
  </w:style>
  <w:style w:type="paragraph" w:styleId="a7">
    <w:name w:val="footer"/>
    <w:basedOn w:val="a"/>
    <w:link w:val="a8"/>
    <w:uiPriority w:val="99"/>
    <w:unhideWhenUsed/>
    <w:rsid w:val="00123B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3BC6"/>
    <w:rPr>
      <w:lang w:val="ro-RO"/>
    </w:rPr>
  </w:style>
  <w:style w:type="paragraph" w:styleId="a9">
    <w:name w:val="List Paragraph"/>
    <w:basedOn w:val="a"/>
    <w:uiPriority w:val="34"/>
    <w:qFormat/>
    <w:rsid w:val="007915E3"/>
    <w:pPr>
      <w:spacing w:after="0" w:line="240" w:lineRule="auto"/>
      <w:ind w:left="720"/>
    </w:pPr>
    <w:rPr>
      <w:rFonts w:ascii="Calibri" w:hAnsi="Calibri" w:cs="Times New Roman"/>
      <w:lang w:val="ru-RU" w:eastAsia="ru-RU"/>
    </w:rPr>
  </w:style>
  <w:style w:type="table" w:styleId="aa">
    <w:name w:val="Table Grid"/>
    <w:basedOn w:val="a1"/>
    <w:uiPriority w:val="59"/>
    <w:rsid w:val="00260A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26039"/>
    <w:pPr>
      <w:autoSpaceDE w:val="0"/>
      <w:autoSpaceDN w:val="0"/>
      <w:adjustRightInd w:val="0"/>
      <w:spacing w:after="0" w:line="240" w:lineRule="auto"/>
    </w:pPr>
    <w:rPr>
      <w:rFonts w:ascii="Calibri" w:eastAsia="Calibri" w:hAnsi="Calibri" w:cs="Calibri"/>
      <w:color w:val="000000"/>
      <w:sz w:val="24"/>
      <w:szCs w:val="24"/>
      <w:lang w:val="en-GB"/>
    </w:rPr>
  </w:style>
  <w:style w:type="paragraph" w:styleId="ab">
    <w:name w:val="Balloon Text"/>
    <w:basedOn w:val="a"/>
    <w:link w:val="ac"/>
    <w:uiPriority w:val="99"/>
    <w:semiHidden/>
    <w:unhideWhenUsed/>
    <w:rsid w:val="008748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7488D"/>
    <w:rPr>
      <w:rFonts w:ascii="Segoe UI" w:hAnsi="Segoe UI" w:cs="Segoe UI"/>
      <w:sz w:val="18"/>
      <w:szCs w:val="18"/>
      <w:lang w:val="ro-RO"/>
    </w:rPr>
  </w:style>
  <w:style w:type="character" w:styleId="ad">
    <w:name w:val="Hyperlink"/>
    <w:basedOn w:val="a0"/>
    <w:uiPriority w:val="99"/>
    <w:unhideWhenUsed/>
    <w:rsid w:val="00EE4862"/>
    <w:rPr>
      <w:color w:val="0000FF" w:themeColor="hyperlink"/>
      <w:u w:val="single"/>
    </w:rPr>
  </w:style>
  <w:style w:type="paragraph" w:styleId="ae">
    <w:name w:val="footnote text"/>
    <w:basedOn w:val="a"/>
    <w:link w:val="af"/>
    <w:uiPriority w:val="99"/>
    <w:semiHidden/>
    <w:unhideWhenUsed/>
    <w:rsid w:val="00C7763C"/>
    <w:pPr>
      <w:spacing w:after="0" w:line="240" w:lineRule="auto"/>
    </w:pPr>
    <w:rPr>
      <w:sz w:val="20"/>
      <w:szCs w:val="20"/>
    </w:rPr>
  </w:style>
  <w:style w:type="character" w:customStyle="1" w:styleId="af">
    <w:name w:val="Текст сноски Знак"/>
    <w:basedOn w:val="a0"/>
    <w:link w:val="ae"/>
    <w:uiPriority w:val="99"/>
    <w:semiHidden/>
    <w:rsid w:val="00C7763C"/>
    <w:rPr>
      <w:sz w:val="20"/>
      <w:szCs w:val="20"/>
      <w:lang w:val="ro-RO"/>
    </w:rPr>
  </w:style>
  <w:style w:type="character" w:styleId="af0">
    <w:name w:val="footnote reference"/>
    <w:basedOn w:val="a0"/>
    <w:uiPriority w:val="99"/>
    <w:semiHidden/>
    <w:unhideWhenUsed/>
    <w:rsid w:val="00C77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2477">
      <w:bodyDiv w:val="1"/>
      <w:marLeft w:val="0"/>
      <w:marRight w:val="0"/>
      <w:marTop w:val="0"/>
      <w:marBottom w:val="0"/>
      <w:divBdr>
        <w:top w:val="none" w:sz="0" w:space="0" w:color="auto"/>
        <w:left w:val="none" w:sz="0" w:space="0" w:color="auto"/>
        <w:bottom w:val="none" w:sz="0" w:space="0" w:color="auto"/>
        <w:right w:val="none" w:sz="0" w:space="0" w:color="auto"/>
      </w:divBdr>
    </w:div>
    <w:div w:id="159855105">
      <w:bodyDiv w:val="1"/>
      <w:marLeft w:val="0"/>
      <w:marRight w:val="0"/>
      <w:marTop w:val="0"/>
      <w:marBottom w:val="0"/>
      <w:divBdr>
        <w:top w:val="none" w:sz="0" w:space="0" w:color="auto"/>
        <w:left w:val="none" w:sz="0" w:space="0" w:color="auto"/>
        <w:bottom w:val="none" w:sz="0" w:space="0" w:color="auto"/>
        <w:right w:val="none" w:sz="0" w:space="0" w:color="auto"/>
      </w:divBdr>
    </w:div>
    <w:div w:id="168100501">
      <w:bodyDiv w:val="1"/>
      <w:marLeft w:val="0"/>
      <w:marRight w:val="0"/>
      <w:marTop w:val="0"/>
      <w:marBottom w:val="0"/>
      <w:divBdr>
        <w:top w:val="none" w:sz="0" w:space="0" w:color="auto"/>
        <w:left w:val="none" w:sz="0" w:space="0" w:color="auto"/>
        <w:bottom w:val="none" w:sz="0" w:space="0" w:color="auto"/>
        <w:right w:val="none" w:sz="0" w:space="0" w:color="auto"/>
      </w:divBdr>
    </w:div>
    <w:div w:id="280108455">
      <w:bodyDiv w:val="1"/>
      <w:marLeft w:val="0"/>
      <w:marRight w:val="0"/>
      <w:marTop w:val="0"/>
      <w:marBottom w:val="0"/>
      <w:divBdr>
        <w:top w:val="none" w:sz="0" w:space="0" w:color="auto"/>
        <w:left w:val="none" w:sz="0" w:space="0" w:color="auto"/>
        <w:bottom w:val="none" w:sz="0" w:space="0" w:color="auto"/>
        <w:right w:val="none" w:sz="0" w:space="0" w:color="auto"/>
      </w:divBdr>
    </w:div>
    <w:div w:id="415173531">
      <w:bodyDiv w:val="1"/>
      <w:marLeft w:val="0"/>
      <w:marRight w:val="0"/>
      <w:marTop w:val="0"/>
      <w:marBottom w:val="0"/>
      <w:divBdr>
        <w:top w:val="none" w:sz="0" w:space="0" w:color="auto"/>
        <w:left w:val="none" w:sz="0" w:space="0" w:color="auto"/>
        <w:bottom w:val="none" w:sz="0" w:space="0" w:color="auto"/>
        <w:right w:val="none" w:sz="0" w:space="0" w:color="auto"/>
      </w:divBdr>
    </w:div>
    <w:div w:id="485587645">
      <w:bodyDiv w:val="1"/>
      <w:marLeft w:val="0"/>
      <w:marRight w:val="0"/>
      <w:marTop w:val="0"/>
      <w:marBottom w:val="0"/>
      <w:divBdr>
        <w:top w:val="none" w:sz="0" w:space="0" w:color="auto"/>
        <w:left w:val="none" w:sz="0" w:space="0" w:color="auto"/>
        <w:bottom w:val="none" w:sz="0" w:space="0" w:color="auto"/>
        <w:right w:val="none" w:sz="0" w:space="0" w:color="auto"/>
      </w:divBdr>
    </w:div>
    <w:div w:id="491340610">
      <w:bodyDiv w:val="1"/>
      <w:marLeft w:val="0"/>
      <w:marRight w:val="0"/>
      <w:marTop w:val="0"/>
      <w:marBottom w:val="0"/>
      <w:divBdr>
        <w:top w:val="none" w:sz="0" w:space="0" w:color="auto"/>
        <w:left w:val="none" w:sz="0" w:space="0" w:color="auto"/>
        <w:bottom w:val="none" w:sz="0" w:space="0" w:color="auto"/>
        <w:right w:val="none" w:sz="0" w:space="0" w:color="auto"/>
      </w:divBdr>
    </w:div>
    <w:div w:id="530846747">
      <w:bodyDiv w:val="1"/>
      <w:marLeft w:val="0"/>
      <w:marRight w:val="0"/>
      <w:marTop w:val="0"/>
      <w:marBottom w:val="0"/>
      <w:divBdr>
        <w:top w:val="none" w:sz="0" w:space="0" w:color="auto"/>
        <w:left w:val="none" w:sz="0" w:space="0" w:color="auto"/>
        <w:bottom w:val="none" w:sz="0" w:space="0" w:color="auto"/>
        <w:right w:val="none" w:sz="0" w:space="0" w:color="auto"/>
      </w:divBdr>
    </w:div>
    <w:div w:id="603072118">
      <w:bodyDiv w:val="1"/>
      <w:marLeft w:val="0"/>
      <w:marRight w:val="0"/>
      <w:marTop w:val="0"/>
      <w:marBottom w:val="0"/>
      <w:divBdr>
        <w:top w:val="none" w:sz="0" w:space="0" w:color="auto"/>
        <w:left w:val="none" w:sz="0" w:space="0" w:color="auto"/>
        <w:bottom w:val="none" w:sz="0" w:space="0" w:color="auto"/>
        <w:right w:val="none" w:sz="0" w:space="0" w:color="auto"/>
      </w:divBdr>
    </w:div>
    <w:div w:id="661395299">
      <w:bodyDiv w:val="1"/>
      <w:marLeft w:val="0"/>
      <w:marRight w:val="0"/>
      <w:marTop w:val="0"/>
      <w:marBottom w:val="0"/>
      <w:divBdr>
        <w:top w:val="none" w:sz="0" w:space="0" w:color="auto"/>
        <w:left w:val="none" w:sz="0" w:space="0" w:color="auto"/>
        <w:bottom w:val="none" w:sz="0" w:space="0" w:color="auto"/>
        <w:right w:val="none" w:sz="0" w:space="0" w:color="auto"/>
      </w:divBdr>
    </w:div>
    <w:div w:id="686565701">
      <w:bodyDiv w:val="1"/>
      <w:marLeft w:val="0"/>
      <w:marRight w:val="0"/>
      <w:marTop w:val="0"/>
      <w:marBottom w:val="0"/>
      <w:divBdr>
        <w:top w:val="none" w:sz="0" w:space="0" w:color="auto"/>
        <w:left w:val="none" w:sz="0" w:space="0" w:color="auto"/>
        <w:bottom w:val="none" w:sz="0" w:space="0" w:color="auto"/>
        <w:right w:val="none" w:sz="0" w:space="0" w:color="auto"/>
      </w:divBdr>
    </w:div>
    <w:div w:id="855462677">
      <w:bodyDiv w:val="1"/>
      <w:marLeft w:val="0"/>
      <w:marRight w:val="0"/>
      <w:marTop w:val="0"/>
      <w:marBottom w:val="0"/>
      <w:divBdr>
        <w:top w:val="none" w:sz="0" w:space="0" w:color="auto"/>
        <w:left w:val="none" w:sz="0" w:space="0" w:color="auto"/>
        <w:bottom w:val="none" w:sz="0" w:space="0" w:color="auto"/>
        <w:right w:val="none" w:sz="0" w:space="0" w:color="auto"/>
      </w:divBdr>
    </w:div>
    <w:div w:id="867452875">
      <w:bodyDiv w:val="1"/>
      <w:marLeft w:val="0"/>
      <w:marRight w:val="0"/>
      <w:marTop w:val="0"/>
      <w:marBottom w:val="0"/>
      <w:divBdr>
        <w:top w:val="none" w:sz="0" w:space="0" w:color="auto"/>
        <w:left w:val="none" w:sz="0" w:space="0" w:color="auto"/>
        <w:bottom w:val="none" w:sz="0" w:space="0" w:color="auto"/>
        <w:right w:val="none" w:sz="0" w:space="0" w:color="auto"/>
      </w:divBdr>
    </w:div>
    <w:div w:id="941490939">
      <w:bodyDiv w:val="1"/>
      <w:marLeft w:val="0"/>
      <w:marRight w:val="0"/>
      <w:marTop w:val="0"/>
      <w:marBottom w:val="0"/>
      <w:divBdr>
        <w:top w:val="none" w:sz="0" w:space="0" w:color="auto"/>
        <w:left w:val="none" w:sz="0" w:space="0" w:color="auto"/>
        <w:bottom w:val="none" w:sz="0" w:space="0" w:color="auto"/>
        <w:right w:val="none" w:sz="0" w:space="0" w:color="auto"/>
      </w:divBdr>
    </w:div>
    <w:div w:id="951862283">
      <w:bodyDiv w:val="1"/>
      <w:marLeft w:val="0"/>
      <w:marRight w:val="0"/>
      <w:marTop w:val="0"/>
      <w:marBottom w:val="0"/>
      <w:divBdr>
        <w:top w:val="none" w:sz="0" w:space="0" w:color="auto"/>
        <w:left w:val="none" w:sz="0" w:space="0" w:color="auto"/>
        <w:bottom w:val="none" w:sz="0" w:space="0" w:color="auto"/>
        <w:right w:val="none" w:sz="0" w:space="0" w:color="auto"/>
      </w:divBdr>
    </w:div>
    <w:div w:id="1184514949">
      <w:bodyDiv w:val="1"/>
      <w:marLeft w:val="0"/>
      <w:marRight w:val="0"/>
      <w:marTop w:val="0"/>
      <w:marBottom w:val="0"/>
      <w:divBdr>
        <w:top w:val="none" w:sz="0" w:space="0" w:color="auto"/>
        <w:left w:val="none" w:sz="0" w:space="0" w:color="auto"/>
        <w:bottom w:val="none" w:sz="0" w:space="0" w:color="auto"/>
        <w:right w:val="none" w:sz="0" w:space="0" w:color="auto"/>
      </w:divBdr>
    </w:div>
    <w:div w:id="1198153554">
      <w:bodyDiv w:val="1"/>
      <w:marLeft w:val="0"/>
      <w:marRight w:val="0"/>
      <w:marTop w:val="0"/>
      <w:marBottom w:val="0"/>
      <w:divBdr>
        <w:top w:val="none" w:sz="0" w:space="0" w:color="auto"/>
        <w:left w:val="none" w:sz="0" w:space="0" w:color="auto"/>
        <w:bottom w:val="none" w:sz="0" w:space="0" w:color="auto"/>
        <w:right w:val="none" w:sz="0" w:space="0" w:color="auto"/>
      </w:divBdr>
    </w:div>
    <w:div w:id="1386180834">
      <w:bodyDiv w:val="1"/>
      <w:marLeft w:val="0"/>
      <w:marRight w:val="0"/>
      <w:marTop w:val="0"/>
      <w:marBottom w:val="0"/>
      <w:divBdr>
        <w:top w:val="none" w:sz="0" w:space="0" w:color="auto"/>
        <w:left w:val="none" w:sz="0" w:space="0" w:color="auto"/>
        <w:bottom w:val="none" w:sz="0" w:space="0" w:color="auto"/>
        <w:right w:val="none" w:sz="0" w:space="0" w:color="auto"/>
      </w:divBdr>
    </w:div>
    <w:div w:id="1439566037">
      <w:bodyDiv w:val="1"/>
      <w:marLeft w:val="0"/>
      <w:marRight w:val="0"/>
      <w:marTop w:val="0"/>
      <w:marBottom w:val="0"/>
      <w:divBdr>
        <w:top w:val="none" w:sz="0" w:space="0" w:color="auto"/>
        <w:left w:val="none" w:sz="0" w:space="0" w:color="auto"/>
        <w:bottom w:val="none" w:sz="0" w:space="0" w:color="auto"/>
        <w:right w:val="none" w:sz="0" w:space="0" w:color="auto"/>
      </w:divBdr>
    </w:div>
    <w:div w:id="1705520733">
      <w:bodyDiv w:val="1"/>
      <w:marLeft w:val="0"/>
      <w:marRight w:val="0"/>
      <w:marTop w:val="0"/>
      <w:marBottom w:val="0"/>
      <w:divBdr>
        <w:top w:val="none" w:sz="0" w:space="0" w:color="auto"/>
        <w:left w:val="none" w:sz="0" w:space="0" w:color="auto"/>
        <w:bottom w:val="none" w:sz="0" w:space="0" w:color="auto"/>
        <w:right w:val="none" w:sz="0" w:space="0" w:color="auto"/>
      </w:divBdr>
    </w:div>
    <w:div w:id="1736080539">
      <w:bodyDiv w:val="1"/>
      <w:marLeft w:val="0"/>
      <w:marRight w:val="0"/>
      <w:marTop w:val="0"/>
      <w:marBottom w:val="0"/>
      <w:divBdr>
        <w:top w:val="none" w:sz="0" w:space="0" w:color="auto"/>
        <w:left w:val="none" w:sz="0" w:space="0" w:color="auto"/>
        <w:bottom w:val="none" w:sz="0" w:space="0" w:color="auto"/>
        <w:right w:val="none" w:sz="0" w:space="0" w:color="auto"/>
      </w:divBdr>
    </w:div>
    <w:div w:id="1810322099">
      <w:bodyDiv w:val="1"/>
      <w:marLeft w:val="0"/>
      <w:marRight w:val="0"/>
      <w:marTop w:val="0"/>
      <w:marBottom w:val="0"/>
      <w:divBdr>
        <w:top w:val="none" w:sz="0" w:space="0" w:color="auto"/>
        <w:left w:val="none" w:sz="0" w:space="0" w:color="auto"/>
        <w:bottom w:val="none" w:sz="0" w:space="0" w:color="auto"/>
        <w:right w:val="none" w:sz="0" w:space="0" w:color="auto"/>
      </w:divBdr>
    </w:div>
    <w:div w:id="1830562271">
      <w:bodyDiv w:val="1"/>
      <w:marLeft w:val="0"/>
      <w:marRight w:val="0"/>
      <w:marTop w:val="0"/>
      <w:marBottom w:val="0"/>
      <w:divBdr>
        <w:top w:val="none" w:sz="0" w:space="0" w:color="auto"/>
        <w:left w:val="none" w:sz="0" w:space="0" w:color="auto"/>
        <w:bottom w:val="none" w:sz="0" w:space="0" w:color="auto"/>
        <w:right w:val="none" w:sz="0" w:space="0" w:color="auto"/>
      </w:divBdr>
    </w:div>
    <w:div w:id="1930239112">
      <w:bodyDiv w:val="1"/>
      <w:marLeft w:val="0"/>
      <w:marRight w:val="0"/>
      <w:marTop w:val="0"/>
      <w:marBottom w:val="0"/>
      <w:divBdr>
        <w:top w:val="none" w:sz="0" w:space="0" w:color="auto"/>
        <w:left w:val="none" w:sz="0" w:space="0" w:color="auto"/>
        <w:bottom w:val="none" w:sz="0" w:space="0" w:color="auto"/>
        <w:right w:val="none" w:sz="0" w:space="0" w:color="auto"/>
      </w:divBdr>
    </w:div>
    <w:div w:id="2107652264">
      <w:bodyDiv w:val="1"/>
      <w:marLeft w:val="0"/>
      <w:marRight w:val="0"/>
      <w:marTop w:val="0"/>
      <w:marBottom w:val="0"/>
      <w:divBdr>
        <w:top w:val="none" w:sz="0" w:space="0" w:color="auto"/>
        <w:left w:val="none" w:sz="0" w:space="0" w:color="auto"/>
        <w:bottom w:val="none" w:sz="0" w:space="0" w:color="auto"/>
        <w:right w:val="none" w:sz="0" w:space="0" w:color="auto"/>
      </w:divBdr>
    </w:div>
    <w:div w:id="21275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0C09-2558-47C8-844F-7D5C54B3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1785</Words>
  <Characters>10178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Rotaru</dc:creator>
  <cp:lastModifiedBy>Nina Rotaru</cp:lastModifiedBy>
  <cp:revision>5</cp:revision>
  <cp:lastPrinted>2018-02-06T12:57:00Z</cp:lastPrinted>
  <dcterms:created xsi:type="dcterms:W3CDTF">2018-02-06T13:24:00Z</dcterms:created>
  <dcterms:modified xsi:type="dcterms:W3CDTF">2018-02-07T07:21:00Z</dcterms:modified>
</cp:coreProperties>
</file>