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C9958" w14:textId="77777777" w:rsidR="0001450F" w:rsidRPr="00C26501" w:rsidRDefault="0001450F" w:rsidP="00C44462">
      <w:pPr>
        <w:spacing w:before="120" w:after="120" w:line="276" w:lineRule="auto"/>
        <w:jc w:val="center"/>
        <w:rPr>
          <w:b/>
          <w:sz w:val="25"/>
          <w:szCs w:val="25"/>
          <w:u w:val="single"/>
        </w:rPr>
      </w:pPr>
      <w:r w:rsidRPr="00C26501">
        <w:rPr>
          <w:b/>
          <w:sz w:val="25"/>
          <w:szCs w:val="25"/>
          <w:u w:val="single"/>
        </w:rPr>
        <w:t>N</w:t>
      </w:r>
      <w:r w:rsidR="001B1B74" w:rsidRPr="00C26501">
        <w:rPr>
          <w:b/>
          <w:sz w:val="25"/>
          <w:szCs w:val="25"/>
          <w:u w:val="single"/>
        </w:rPr>
        <w:t xml:space="preserve"> </w:t>
      </w:r>
      <w:r w:rsidRPr="00C26501">
        <w:rPr>
          <w:b/>
          <w:sz w:val="25"/>
          <w:szCs w:val="25"/>
          <w:u w:val="single"/>
        </w:rPr>
        <w:t>O</w:t>
      </w:r>
      <w:r w:rsidR="001B1B74" w:rsidRPr="00C26501">
        <w:rPr>
          <w:b/>
          <w:sz w:val="25"/>
          <w:szCs w:val="25"/>
          <w:u w:val="single"/>
        </w:rPr>
        <w:t xml:space="preserve"> </w:t>
      </w:r>
      <w:r w:rsidRPr="00C26501">
        <w:rPr>
          <w:b/>
          <w:sz w:val="25"/>
          <w:szCs w:val="25"/>
          <w:u w:val="single"/>
        </w:rPr>
        <w:t>T</w:t>
      </w:r>
      <w:r w:rsidR="001B1B74" w:rsidRPr="00C26501">
        <w:rPr>
          <w:b/>
          <w:sz w:val="25"/>
          <w:szCs w:val="25"/>
          <w:u w:val="single"/>
        </w:rPr>
        <w:t xml:space="preserve"> </w:t>
      </w:r>
      <w:r w:rsidRPr="00C26501">
        <w:rPr>
          <w:b/>
          <w:sz w:val="25"/>
          <w:szCs w:val="25"/>
          <w:u w:val="single"/>
        </w:rPr>
        <w:t>Ă  I</w:t>
      </w:r>
      <w:r w:rsidR="001B1B74" w:rsidRPr="00C26501">
        <w:rPr>
          <w:b/>
          <w:sz w:val="25"/>
          <w:szCs w:val="25"/>
          <w:u w:val="single"/>
        </w:rPr>
        <w:t xml:space="preserve"> </w:t>
      </w:r>
      <w:r w:rsidRPr="00C26501">
        <w:rPr>
          <w:b/>
          <w:sz w:val="25"/>
          <w:szCs w:val="25"/>
          <w:u w:val="single"/>
        </w:rPr>
        <w:t>N</w:t>
      </w:r>
      <w:r w:rsidR="001B1B74" w:rsidRPr="00C26501">
        <w:rPr>
          <w:b/>
          <w:sz w:val="25"/>
          <w:szCs w:val="25"/>
          <w:u w:val="single"/>
        </w:rPr>
        <w:t xml:space="preserve"> </w:t>
      </w:r>
      <w:r w:rsidRPr="00C26501">
        <w:rPr>
          <w:b/>
          <w:sz w:val="25"/>
          <w:szCs w:val="25"/>
          <w:u w:val="single"/>
        </w:rPr>
        <w:t>F</w:t>
      </w:r>
      <w:r w:rsidR="001B1B74" w:rsidRPr="00C26501">
        <w:rPr>
          <w:b/>
          <w:sz w:val="25"/>
          <w:szCs w:val="25"/>
          <w:u w:val="single"/>
        </w:rPr>
        <w:t xml:space="preserve"> </w:t>
      </w:r>
      <w:r w:rsidRPr="00C26501">
        <w:rPr>
          <w:b/>
          <w:sz w:val="25"/>
          <w:szCs w:val="25"/>
          <w:u w:val="single"/>
        </w:rPr>
        <w:t>O</w:t>
      </w:r>
      <w:r w:rsidR="001B1B74" w:rsidRPr="00C26501">
        <w:rPr>
          <w:b/>
          <w:sz w:val="25"/>
          <w:szCs w:val="25"/>
          <w:u w:val="single"/>
        </w:rPr>
        <w:t xml:space="preserve"> </w:t>
      </w:r>
      <w:r w:rsidRPr="00C26501">
        <w:rPr>
          <w:b/>
          <w:sz w:val="25"/>
          <w:szCs w:val="25"/>
          <w:u w:val="single"/>
        </w:rPr>
        <w:t>R</w:t>
      </w:r>
      <w:r w:rsidR="001B1B74" w:rsidRPr="00C26501">
        <w:rPr>
          <w:b/>
          <w:sz w:val="25"/>
          <w:szCs w:val="25"/>
          <w:u w:val="single"/>
        </w:rPr>
        <w:t xml:space="preserve"> </w:t>
      </w:r>
      <w:r w:rsidRPr="00C26501">
        <w:rPr>
          <w:b/>
          <w:sz w:val="25"/>
          <w:szCs w:val="25"/>
          <w:u w:val="single"/>
        </w:rPr>
        <w:t>M</w:t>
      </w:r>
      <w:r w:rsidR="001B1B74" w:rsidRPr="00C26501">
        <w:rPr>
          <w:b/>
          <w:sz w:val="25"/>
          <w:szCs w:val="25"/>
          <w:u w:val="single"/>
        </w:rPr>
        <w:t xml:space="preserve"> </w:t>
      </w:r>
      <w:r w:rsidRPr="00C26501">
        <w:rPr>
          <w:b/>
          <w:sz w:val="25"/>
          <w:szCs w:val="25"/>
          <w:u w:val="single"/>
        </w:rPr>
        <w:t>A</w:t>
      </w:r>
      <w:r w:rsidR="001B1B74" w:rsidRPr="00C26501">
        <w:rPr>
          <w:b/>
          <w:sz w:val="25"/>
          <w:szCs w:val="25"/>
          <w:u w:val="single"/>
        </w:rPr>
        <w:t xml:space="preserve"> </w:t>
      </w:r>
      <w:r w:rsidRPr="00C26501">
        <w:rPr>
          <w:b/>
          <w:sz w:val="25"/>
          <w:szCs w:val="25"/>
          <w:u w:val="single"/>
        </w:rPr>
        <w:t>T</w:t>
      </w:r>
      <w:r w:rsidR="001B1B74" w:rsidRPr="00C26501">
        <w:rPr>
          <w:b/>
          <w:sz w:val="25"/>
          <w:szCs w:val="25"/>
          <w:u w:val="single"/>
        </w:rPr>
        <w:t xml:space="preserve"> </w:t>
      </w:r>
      <w:r w:rsidRPr="00C26501">
        <w:rPr>
          <w:b/>
          <w:sz w:val="25"/>
          <w:szCs w:val="25"/>
          <w:u w:val="single"/>
        </w:rPr>
        <w:t>I</w:t>
      </w:r>
      <w:r w:rsidR="001B1B74" w:rsidRPr="00C26501">
        <w:rPr>
          <w:b/>
          <w:sz w:val="25"/>
          <w:szCs w:val="25"/>
          <w:u w:val="single"/>
        </w:rPr>
        <w:t xml:space="preserve"> </w:t>
      </w:r>
      <w:r w:rsidRPr="00C26501">
        <w:rPr>
          <w:b/>
          <w:sz w:val="25"/>
          <w:szCs w:val="25"/>
          <w:u w:val="single"/>
        </w:rPr>
        <w:t>V</w:t>
      </w:r>
      <w:r w:rsidR="001B1B74" w:rsidRPr="00C26501">
        <w:rPr>
          <w:b/>
          <w:sz w:val="25"/>
          <w:szCs w:val="25"/>
          <w:u w:val="single"/>
        </w:rPr>
        <w:t xml:space="preserve"> </w:t>
      </w:r>
      <w:r w:rsidRPr="00C26501">
        <w:rPr>
          <w:b/>
          <w:sz w:val="25"/>
          <w:szCs w:val="25"/>
          <w:u w:val="single"/>
        </w:rPr>
        <w:t>Ă</w:t>
      </w:r>
    </w:p>
    <w:p w14:paraId="2E2B4E1A" w14:textId="77777777" w:rsidR="00C01337" w:rsidRDefault="00107A7A" w:rsidP="00C44462">
      <w:pPr>
        <w:spacing w:before="120" w:after="120"/>
        <w:jc w:val="center"/>
        <w:rPr>
          <w:b/>
          <w:sz w:val="25"/>
          <w:szCs w:val="25"/>
          <w:lang w:val="ro-RO"/>
        </w:rPr>
      </w:pPr>
      <w:r w:rsidRPr="00C26501">
        <w:rPr>
          <w:b/>
          <w:sz w:val="25"/>
          <w:szCs w:val="25"/>
        </w:rPr>
        <w:t>la proiectul Hotărârii Guvernului</w:t>
      </w:r>
      <w:r w:rsidR="001B1B74" w:rsidRPr="00C26501">
        <w:rPr>
          <w:b/>
          <w:sz w:val="25"/>
          <w:szCs w:val="25"/>
        </w:rPr>
        <w:t xml:space="preserve"> </w:t>
      </w:r>
      <w:r w:rsidRPr="00C26501">
        <w:rPr>
          <w:b/>
          <w:sz w:val="25"/>
          <w:szCs w:val="25"/>
        </w:rPr>
        <w:t xml:space="preserve">cu privire la </w:t>
      </w:r>
      <w:r w:rsidR="00C01337" w:rsidRPr="00C01337">
        <w:rPr>
          <w:b/>
          <w:sz w:val="25"/>
          <w:szCs w:val="25"/>
          <w:lang w:val="ro-RO"/>
        </w:rPr>
        <w:t xml:space="preserve">aprobarea limitelor de capacitate, cotelor maxime și categoriilor de capacitate în domeniul </w:t>
      </w:r>
    </w:p>
    <w:p w14:paraId="216C9959" w14:textId="4E60046D" w:rsidR="00C01337" w:rsidRPr="00C26501" w:rsidRDefault="00C01337" w:rsidP="00C44462">
      <w:pPr>
        <w:spacing w:before="120" w:after="120"/>
        <w:jc w:val="center"/>
        <w:rPr>
          <w:b/>
          <w:sz w:val="25"/>
          <w:szCs w:val="25"/>
        </w:rPr>
      </w:pPr>
      <w:r w:rsidRPr="00C01337">
        <w:rPr>
          <w:b/>
          <w:sz w:val="25"/>
          <w:szCs w:val="25"/>
          <w:lang w:val="ro-RO"/>
        </w:rPr>
        <w:t>energiei din surse regenerabile</w:t>
      </w:r>
      <w:r w:rsidRPr="00C01337">
        <w:rPr>
          <w:b/>
          <w:sz w:val="25"/>
          <w:szCs w:val="25"/>
        </w:rPr>
        <w:t xml:space="preserve"> </w:t>
      </w:r>
    </w:p>
    <w:p w14:paraId="216C995A" w14:textId="4AECF4DA" w:rsidR="0001450F" w:rsidRPr="00C26501" w:rsidRDefault="0001450F" w:rsidP="00C44462">
      <w:pPr>
        <w:spacing w:before="120" w:after="120"/>
        <w:jc w:val="center"/>
        <w:rPr>
          <w:b/>
          <w:sz w:val="25"/>
          <w:szCs w:val="25"/>
        </w:rPr>
      </w:pPr>
    </w:p>
    <w:p w14:paraId="43276559" w14:textId="3AD4EE77" w:rsidR="00C35AA4" w:rsidRPr="00C01337" w:rsidRDefault="002D3E8C" w:rsidP="00C44462">
      <w:pPr>
        <w:spacing w:before="120" w:after="120" w:line="276" w:lineRule="auto"/>
        <w:jc w:val="both"/>
        <w:rPr>
          <w:bCs/>
          <w:i/>
          <w:sz w:val="25"/>
          <w:szCs w:val="25"/>
        </w:rPr>
      </w:pPr>
      <w:r w:rsidRPr="00E3374E">
        <w:rPr>
          <w:bCs/>
          <w:sz w:val="25"/>
          <w:szCs w:val="25"/>
        </w:rPr>
        <w:t xml:space="preserve">În vederea </w:t>
      </w:r>
      <w:r w:rsidR="006106FC" w:rsidRPr="00E3374E">
        <w:rPr>
          <w:bCs/>
          <w:sz w:val="25"/>
          <w:szCs w:val="25"/>
        </w:rPr>
        <w:t>implementării</w:t>
      </w:r>
      <w:r w:rsidRPr="00E3374E">
        <w:rPr>
          <w:bCs/>
          <w:sz w:val="25"/>
          <w:szCs w:val="25"/>
        </w:rPr>
        <w:t xml:space="preserve"> prevederilor </w:t>
      </w:r>
      <w:r w:rsidR="00EC79AE" w:rsidRPr="00E3374E">
        <w:rPr>
          <w:bCs/>
          <w:sz w:val="25"/>
          <w:szCs w:val="25"/>
        </w:rPr>
        <w:t xml:space="preserve">art.10 lit. </w:t>
      </w:r>
      <w:r w:rsidR="00A54995">
        <w:rPr>
          <w:bCs/>
          <w:sz w:val="25"/>
          <w:szCs w:val="25"/>
        </w:rPr>
        <w:t>e</w:t>
      </w:r>
      <w:r w:rsidR="00EC79AE" w:rsidRPr="00E3374E">
        <w:rPr>
          <w:bCs/>
          <w:sz w:val="25"/>
          <w:szCs w:val="25"/>
        </w:rPr>
        <w:t xml:space="preserve">) al </w:t>
      </w:r>
      <w:r w:rsidR="003D10D7" w:rsidRPr="00E3374E">
        <w:rPr>
          <w:bCs/>
          <w:sz w:val="25"/>
          <w:szCs w:val="25"/>
        </w:rPr>
        <w:t>Legii Nr. 10 din 26.02.2016</w:t>
      </w:r>
      <w:r w:rsidR="006106FC" w:rsidRPr="00E3374E">
        <w:rPr>
          <w:bCs/>
          <w:sz w:val="25"/>
          <w:szCs w:val="25"/>
        </w:rPr>
        <w:t xml:space="preserve"> privind promovarea utilizării </w:t>
      </w:r>
      <w:r w:rsidR="003D10D7" w:rsidRPr="00E3374E">
        <w:rPr>
          <w:bCs/>
          <w:sz w:val="25"/>
          <w:szCs w:val="25"/>
        </w:rPr>
        <w:t>energiei din surse regenerabile</w:t>
      </w:r>
      <w:r w:rsidR="003D10D7" w:rsidRPr="00E3374E">
        <w:rPr>
          <w:sz w:val="25"/>
          <w:szCs w:val="25"/>
        </w:rPr>
        <w:t xml:space="preserve"> (</w:t>
      </w:r>
      <w:r w:rsidR="003D10D7" w:rsidRPr="00E3374E">
        <w:rPr>
          <w:bCs/>
          <w:sz w:val="25"/>
          <w:szCs w:val="25"/>
        </w:rPr>
        <w:t>Monitorul Oficial Nr. 69-77</w:t>
      </w:r>
      <w:r w:rsidR="00A54995">
        <w:rPr>
          <w:bCs/>
          <w:sz w:val="25"/>
          <w:szCs w:val="25"/>
        </w:rPr>
        <w:t xml:space="preserve">, </w:t>
      </w:r>
      <w:r w:rsidR="00EC79AE" w:rsidRPr="00E3374E">
        <w:rPr>
          <w:bCs/>
          <w:sz w:val="25"/>
          <w:szCs w:val="25"/>
        </w:rPr>
        <w:t>2016</w:t>
      </w:r>
      <w:r w:rsidR="00ED06F3">
        <w:rPr>
          <w:bCs/>
          <w:sz w:val="25"/>
          <w:szCs w:val="25"/>
        </w:rPr>
        <w:t>,</w:t>
      </w:r>
      <w:r w:rsidR="00EC79AE" w:rsidRPr="00E3374E">
        <w:rPr>
          <w:bCs/>
          <w:sz w:val="25"/>
          <w:szCs w:val="25"/>
        </w:rPr>
        <w:t xml:space="preserve"> </w:t>
      </w:r>
      <w:r w:rsidR="003D10D7" w:rsidRPr="00E3374E">
        <w:rPr>
          <w:bCs/>
          <w:sz w:val="25"/>
          <w:szCs w:val="25"/>
        </w:rPr>
        <w:t>art</w:t>
      </w:r>
      <w:r w:rsidR="00EC79AE" w:rsidRPr="00E3374E">
        <w:rPr>
          <w:bCs/>
          <w:sz w:val="25"/>
          <w:szCs w:val="25"/>
        </w:rPr>
        <w:t>. Nr</w:t>
      </w:r>
      <w:r w:rsidR="003D10D7" w:rsidRPr="00E3374E">
        <w:rPr>
          <w:bCs/>
          <w:sz w:val="25"/>
          <w:szCs w:val="25"/>
        </w:rPr>
        <w:t>: 117</w:t>
      </w:r>
      <w:r w:rsidR="00EC79AE" w:rsidRPr="00E3374E">
        <w:rPr>
          <w:bCs/>
          <w:sz w:val="25"/>
          <w:szCs w:val="25"/>
        </w:rPr>
        <w:t>)</w:t>
      </w:r>
      <w:r w:rsidR="003D10D7" w:rsidRPr="00E3374E">
        <w:rPr>
          <w:bCs/>
          <w:sz w:val="25"/>
          <w:szCs w:val="25"/>
        </w:rPr>
        <w:t xml:space="preserve">, </w:t>
      </w:r>
      <w:r w:rsidR="006106FC" w:rsidRPr="00E3374E">
        <w:rPr>
          <w:bCs/>
          <w:sz w:val="25"/>
          <w:szCs w:val="25"/>
        </w:rPr>
        <w:t>Ministerul Economiei</w:t>
      </w:r>
      <w:r w:rsidR="00076B81">
        <w:rPr>
          <w:bCs/>
          <w:sz w:val="25"/>
          <w:szCs w:val="25"/>
        </w:rPr>
        <w:t xml:space="preserve"> și Infrastructurii</w:t>
      </w:r>
      <w:r w:rsidR="006106FC" w:rsidRPr="00E3374E">
        <w:rPr>
          <w:bCs/>
          <w:sz w:val="25"/>
          <w:szCs w:val="25"/>
        </w:rPr>
        <w:t xml:space="preserve"> a elab</w:t>
      </w:r>
      <w:r w:rsidR="00A54995">
        <w:rPr>
          <w:bCs/>
          <w:sz w:val="25"/>
          <w:szCs w:val="25"/>
        </w:rPr>
        <w:t>orat și propune spre promovare</w:t>
      </w:r>
      <w:r w:rsidR="006106FC" w:rsidRPr="00E3374E">
        <w:rPr>
          <w:bCs/>
          <w:sz w:val="25"/>
          <w:szCs w:val="25"/>
        </w:rPr>
        <w:t xml:space="preserve"> </w:t>
      </w:r>
      <w:r w:rsidR="00A54995" w:rsidRPr="00A54995">
        <w:rPr>
          <w:bCs/>
          <w:i/>
          <w:sz w:val="25"/>
          <w:szCs w:val="25"/>
        </w:rPr>
        <w:t xml:space="preserve">proiectul Hotărârii Guvernului cu privire la aprobarea </w:t>
      </w:r>
      <w:r w:rsidR="00C01337" w:rsidRPr="00C01337">
        <w:rPr>
          <w:bCs/>
          <w:i/>
          <w:sz w:val="25"/>
          <w:szCs w:val="25"/>
        </w:rPr>
        <w:t>limitelor de capacitate, cotelor maxime și categori</w:t>
      </w:r>
      <w:r w:rsidR="00C01337">
        <w:rPr>
          <w:bCs/>
          <w:i/>
          <w:sz w:val="25"/>
          <w:szCs w:val="25"/>
        </w:rPr>
        <w:t xml:space="preserve">ilor de capacitate în domeniul </w:t>
      </w:r>
      <w:r w:rsidR="00C01337" w:rsidRPr="00C01337">
        <w:rPr>
          <w:bCs/>
          <w:i/>
          <w:sz w:val="25"/>
          <w:szCs w:val="25"/>
        </w:rPr>
        <w:t>energiei din surse regenerabile</w:t>
      </w:r>
      <w:r w:rsidR="001B1B74" w:rsidRPr="00E3374E">
        <w:rPr>
          <w:bCs/>
          <w:sz w:val="25"/>
          <w:szCs w:val="25"/>
        </w:rPr>
        <w:t>.</w:t>
      </w:r>
      <w:r w:rsidR="006106FC" w:rsidRPr="00E3374E">
        <w:rPr>
          <w:bCs/>
          <w:sz w:val="25"/>
          <w:szCs w:val="25"/>
        </w:rPr>
        <w:t xml:space="preserve"> </w:t>
      </w:r>
    </w:p>
    <w:p w14:paraId="216C995B" w14:textId="0549760D" w:rsidR="00334F84" w:rsidRPr="00E3374E" w:rsidRDefault="00754A61" w:rsidP="00C44462">
      <w:pPr>
        <w:spacing w:before="120" w:after="120" w:line="276" w:lineRule="auto"/>
        <w:jc w:val="both"/>
        <w:rPr>
          <w:bCs/>
          <w:sz w:val="25"/>
          <w:szCs w:val="25"/>
        </w:rPr>
      </w:pPr>
      <w:r w:rsidRPr="00754A61">
        <w:rPr>
          <w:bCs/>
          <w:sz w:val="25"/>
          <w:szCs w:val="25"/>
        </w:rPr>
        <w:t>Hotărâr</w:t>
      </w:r>
      <w:r>
        <w:rPr>
          <w:bCs/>
          <w:sz w:val="25"/>
          <w:szCs w:val="25"/>
        </w:rPr>
        <w:t>ea</w:t>
      </w:r>
      <w:r w:rsidRPr="00754A61">
        <w:rPr>
          <w:bCs/>
          <w:sz w:val="25"/>
          <w:szCs w:val="25"/>
        </w:rPr>
        <w:t xml:space="preserve"> Guvernului </w:t>
      </w:r>
      <w:r w:rsidR="009C4860" w:rsidRPr="00E3374E">
        <w:rPr>
          <w:bCs/>
          <w:sz w:val="25"/>
          <w:szCs w:val="25"/>
        </w:rPr>
        <w:t>menționat</w:t>
      </w:r>
      <w:r>
        <w:rPr>
          <w:bCs/>
          <w:sz w:val="25"/>
          <w:szCs w:val="25"/>
        </w:rPr>
        <w:t>ă</w:t>
      </w:r>
      <w:r w:rsidR="009C4860" w:rsidRPr="00E3374E">
        <w:rPr>
          <w:bCs/>
          <w:sz w:val="25"/>
          <w:szCs w:val="25"/>
        </w:rPr>
        <w:t xml:space="preserve"> </w:t>
      </w:r>
      <w:r w:rsidR="00ED06F3">
        <w:rPr>
          <w:bCs/>
          <w:sz w:val="25"/>
          <w:szCs w:val="25"/>
        </w:rPr>
        <w:t xml:space="preserve">este elaborată </w:t>
      </w:r>
      <w:r w:rsidR="009C4860" w:rsidRPr="00E3374E">
        <w:rPr>
          <w:bCs/>
          <w:sz w:val="25"/>
          <w:szCs w:val="25"/>
        </w:rPr>
        <w:t xml:space="preserve">întru crearea cadrului juridic necesar </w:t>
      </w:r>
      <w:r>
        <w:rPr>
          <w:bCs/>
          <w:sz w:val="25"/>
          <w:szCs w:val="25"/>
        </w:rPr>
        <w:t>aplicării/</w:t>
      </w:r>
      <w:r w:rsidR="00C35AA4">
        <w:rPr>
          <w:bCs/>
          <w:sz w:val="25"/>
          <w:szCs w:val="25"/>
        </w:rPr>
        <w:t xml:space="preserve"> </w:t>
      </w:r>
      <w:r w:rsidR="009C4860" w:rsidRPr="00E3374E">
        <w:rPr>
          <w:bCs/>
          <w:sz w:val="25"/>
          <w:szCs w:val="25"/>
        </w:rPr>
        <w:t xml:space="preserve">implementării </w:t>
      </w:r>
      <w:r w:rsidR="00FB6E64">
        <w:rPr>
          <w:bCs/>
          <w:sz w:val="25"/>
          <w:szCs w:val="25"/>
        </w:rPr>
        <w:t>scheme</w:t>
      </w:r>
      <w:r w:rsidR="00C35AA4">
        <w:rPr>
          <w:bCs/>
          <w:sz w:val="25"/>
          <w:szCs w:val="25"/>
        </w:rPr>
        <w:t>lor</w:t>
      </w:r>
      <w:r w:rsidR="009C4860" w:rsidRPr="00E3374E">
        <w:rPr>
          <w:bCs/>
          <w:sz w:val="25"/>
          <w:szCs w:val="25"/>
        </w:rPr>
        <w:t xml:space="preserve"> de</w:t>
      </w:r>
      <w:r w:rsidR="00C35AA4">
        <w:rPr>
          <w:bCs/>
          <w:sz w:val="25"/>
          <w:szCs w:val="25"/>
        </w:rPr>
        <w:t xml:space="preserve"> suport</w:t>
      </w:r>
      <w:r w:rsidR="009C4860" w:rsidRPr="00E3374E">
        <w:rPr>
          <w:bCs/>
          <w:sz w:val="25"/>
          <w:szCs w:val="25"/>
        </w:rPr>
        <w:t xml:space="preserve"> </w:t>
      </w:r>
      <w:r w:rsidR="00ED06F3">
        <w:rPr>
          <w:bCs/>
          <w:sz w:val="25"/>
          <w:szCs w:val="25"/>
        </w:rPr>
        <w:t>prevăzute la art.</w:t>
      </w:r>
      <w:r w:rsidR="00C35AA4">
        <w:rPr>
          <w:bCs/>
          <w:sz w:val="25"/>
          <w:szCs w:val="25"/>
        </w:rPr>
        <w:t xml:space="preserve"> </w:t>
      </w:r>
      <w:r w:rsidR="002853AB" w:rsidRPr="002853AB">
        <w:rPr>
          <w:bCs/>
          <w:sz w:val="25"/>
          <w:szCs w:val="25"/>
        </w:rPr>
        <w:t>34 a</w:t>
      </w:r>
      <w:r w:rsidR="00ED06F3">
        <w:rPr>
          <w:bCs/>
          <w:sz w:val="25"/>
          <w:szCs w:val="25"/>
        </w:rPr>
        <w:t>l</w:t>
      </w:r>
      <w:r w:rsidR="002853AB" w:rsidRPr="002853AB">
        <w:rPr>
          <w:bCs/>
          <w:sz w:val="25"/>
          <w:szCs w:val="25"/>
        </w:rPr>
        <w:t xml:space="preserve"> Legii nr.10/2016 privind promovarea utilizării energiei din surse regenerabile</w:t>
      </w:r>
      <w:r w:rsidR="009C4860" w:rsidRPr="00E3374E">
        <w:rPr>
          <w:bCs/>
          <w:sz w:val="25"/>
          <w:szCs w:val="25"/>
        </w:rPr>
        <w:t xml:space="preserve">, și anume </w:t>
      </w:r>
      <w:r w:rsidR="002853AB" w:rsidRPr="002853AB">
        <w:rPr>
          <w:bCs/>
          <w:i/>
          <w:sz w:val="25"/>
          <w:szCs w:val="25"/>
        </w:rPr>
        <w:t>preț fix,</w:t>
      </w:r>
      <w:r w:rsidR="002853AB" w:rsidRPr="002853AB">
        <w:rPr>
          <w:bCs/>
          <w:sz w:val="25"/>
          <w:szCs w:val="25"/>
        </w:rPr>
        <w:t xml:space="preserve"> stabilit în cadrul licitației, </w:t>
      </w:r>
      <w:r w:rsidR="0020628F">
        <w:rPr>
          <w:bCs/>
          <w:sz w:val="25"/>
          <w:szCs w:val="25"/>
        </w:rPr>
        <w:t>pentru producătorii</w:t>
      </w:r>
      <w:r w:rsidR="002853AB" w:rsidRPr="002853AB">
        <w:rPr>
          <w:bCs/>
          <w:sz w:val="25"/>
          <w:szCs w:val="25"/>
        </w:rPr>
        <w:t xml:space="preserve"> eligibil</w:t>
      </w:r>
      <w:r w:rsidR="0020628F">
        <w:rPr>
          <w:bCs/>
          <w:sz w:val="25"/>
          <w:szCs w:val="25"/>
        </w:rPr>
        <w:t>i</w:t>
      </w:r>
      <w:r w:rsidR="002853AB" w:rsidRPr="002853AB">
        <w:rPr>
          <w:bCs/>
          <w:sz w:val="25"/>
          <w:szCs w:val="25"/>
        </w:rPr>
        <w:t xml:space="preserve"> care dețin sau urmează să dețină centrale electrice cu o putere cumulată mai mare </w:t>
      </w:r>
      <w:r w:rsidR="0020628F" w:rsidRPr="002853AB">
        <w:rPr>
          <w:bCs/>
          <w:sz w:val="25"/>
          <w:szCs w:val="25"/>
        </w:rPr>
        <w:t>decât</w:t>
      </w:r>
      <w:r w:rsidR="002853AB" w:rsidRPr="002853AB">
        <w:rPr>
          <w:bCs/>
          <w:sz w:val="25"/>
          <w:szCs w:val="25"/>
        </w:rPr>
        <w:t xml:space="preserve"> limita de capacitate stabilită </w:t>
      </w:r>
      <w:r w:rsidR="0020628F">
        <w:rPr>
          <w:bCs/>
          <w:sz w:val="25"/>
          <w:szCs w:val="25"/>
        </w:rPr>
        <w:t>de Guvern și</w:t>
      </w:r>
      <w:r w:rsidR="002853AB" w:rsidRPr="002853AB">
        <w:rPr>
          <w:bCs/>
          <w:sz w:val="25"/>
          <w:szCs w:val="25"/>
        </w:rPr>
        <w:t xml:space="preserve"> </w:t>
      </w:r>
      <w:r w:rsidR="002853AB" w:rsidRPr="0020628F">
        <w:rPr>
          <w:bCs/>
          <w:i/>
          <w:sz w:val="25"/>
          <w:szCs w:val="25"/>
        </w:rPr>
        <w:t>tarif fix,</w:t>
      </w:r>
      <w:r w:rsidR="002853AB" w:rsidRPr="002853AB">
        <w:rPr>
          <w:bCs/>
          <w:sz w:val="25"/>
          <w:szCs w:val="25"/>
        </w:rPr>
        <w:t xml:space="preserve"> stabilit</w:t>
      </w:r>
      <w:r w:rsidR="001A7CD7">
        <w:rPr>
          <w:bCs/>
          <w:sz w:val="25"/>
          <w:szCs w:val="25"/>
        </w:rPr>
        <w:t xml:space="preserve"> și aprobat de ANRE</w:t>
      </w:r>
      <w:r w:rsidR="002853AB" w:rsidRPr="002853AB">
        <w:rPr>
          <w:bCs/>
          <w:sz w:val="25"/>
          <w:szCs w:val="25"/>
        </w:rPr>
        <w:t xml:space="preserve"> pentru producător</w:t>
      </w:r>
      <w:r w:rsidR="0020628F">
        <w:rPr>
          <w:bCs/>
          <w:sz w:val="25"/>
          <w:szCs w:val="25"/>
        </w:rPr>
        <w:t>ii</w:t>
      </w:r>
      <w:r w:rsidR="002853AB" w:rsidRPr="002853AB">
        <w:rPr>
          <w:bCs/>
          <w:sz w:val="25"/>
          <w:szCs w:val="25"/>
        </w:rPr>
        <w:t xml:space="preserve"> eligibil</w:t>
      </w:r>
      <w:r w:rsidR="0020628F">
        <w:rPr>
          <w:bCs/>
          <w:sz w:val="25"/>
          <w:szCs w:val="25"/>
        </w:rPr>
        <w:t>i</w:t>
      </w:r>
      <w:r w:rsidR="002853AB" w:rsidRPr="002853AB">
        <w:rPr>
          <w:bCs/>
          <w:sz w:val="25"/>
          <w:szCs w:val="25"/>
        </w:rPr>
        <w:t xml:space="preserve"> care dețin sau urmează să dețină centrale electrice cu o putere cumulată ce nu depășește limita de capacitate stabilită </w:t>
      </w:r>
      <w:r w:rsidR="00A474AE">
        <w:rPr>
          <w:bCs/>
          <w:sz w:val="25"/>
          <w:szCs w:val="25"/>
        </w:rPr>
        <w:t>de Guvern</w:t>
      </w:r>
      <w:r w:rsidR="002853AB" w:rsidRPr="002853AB">
        <w:rPr>
          <w:bCs/>
          <w:sz w:val="25"/>
          <w:szCs w:val="25"/>
        </w:rPr>
        <w:t xml:space="preserve">, dar care nu </w:t>
      </w:r>
      <w:r w:rsidR="00A474AE">
        <w:rPr>
          <w:bCs/>
          <w:sz w:val="25"/>
          <w:szCs w:val="25"/>
        </w:rPr>
        <w:t>trebuie să fie</w:t>
      </w:r>
      <w:r w:rsidR="002853AB" w:rsidRPr="002853AB">
        <w:rPr>
          <w:bCs/>
          <w:sz w:val="25"/>
          <w:szCs w:val="25"/>
        </w:rPr>
        <w:t xml:space="preserve"> mai mică de 10</w:t>
      </w:r>
      <w:r w:rsidR="00DB2BE7">
        <w:rPr>
          <w:bCs/>
          <w:sz w:val="25"/>
          <w:szCs w:val="25"/>
        </w:rPr>
        <w:t xml:space="preserve"> kW</w:t>
      </w:r>
      <w:r w:rsidR="002853AB" w:rsidRPr="002853AB">
        <w:rPr>
          <w:bCs/>
          <w:sz w:val="25"/>
          <w:szCs w:val="25"/>
        </w:rPr>
        <w:t>.</w:t>
      </w:r>
      <w:r w:rsidR="002853AB" w:rsidRPr="002853AB">
        <w:rPr>
          <w:bCs/>
          <w:i/>
          <w:sz w:val="25"/>
          <w:szCs w:val="25"/>
        </w:rPr>
        <w:t xml:space="preserve"> </w:t>
      </w:r>
    </w:p>
    <w:p w14:paraId="216C995C" w14:textId="0426CEED" w:rsidR="009774EB" w:rsidRDefault="005C2E42" w:rsidP="00C44462">
      <w:pPr>
        <w:spacing w:before="120" w:after="120" w:line="276" w:lineRule="auto"/>
        <w:jc w:val="both"/>
        <w:rPr>
          <w:bCs/>
          <w:sz w:val="25"/>
          <w:szCs w:val="25"/>
          <w:lang w:val="ro-RO"/>
        </w:rPr>
      </w:pPr>
      <w:r w:rsidRPr="005C2E42">
        <w:rPr>
          <w:bCs/>
          <w:noProof/>
          <w:sz w:val="25"/>
          <w:szCs w:val="25"/>
          <w:lang w:val="en-US" w:eastAsia="en-US"/>
        </w:rPr>
        <w:drawing>
          <wp:anchor distT="0" distB="0" distL="114300" distR="114300" simplePos="0" relativeHeight="251660288" behindDoc="0" locked="0" layoutInCell="1" allowOverlap="1" wp14:anchorId="3054FB4A" wp14:editId="0D67A5B8">
            <wp:simplePos x="0" y="0"/>
            <wp:positionH relativeFrom="column">
              <wp:posOffset>2859394</wp:posOffset>
            </wp:positionH>
            <wp:positionV relativeFrom="paragraph">
              <wp:posOffset>1664886</wp:posOffset>
            </wp:positionV>
            <wp:extent cx="3076216" cy="2328545"/>
            <wp:effectExtent l="0" t="0" r="0" b="0"/>
            <wp:wrapNone/>
            <wp:docPr id="2" name="Chart 2" descr="Descriere: Ponderea energiei regenerabile în mixul de resurse energetic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65FCD">
        <w:rPr>
          <w:bCs/>
          <w:sz w:val="25"/>
          <w:szCs w:val="25"/>
          <w:lang w:val="ro-RO"/>
        </w:rPr>
        <w:t>Astfel, l</w:t>
      </w:r>
      <w:r w:rsidR="008225A7" w:rsidRPr="00A60EBA">
        <w:rPr>
          <w:bCs/>
          <w:sz w:val="25"/>
          <w:szCs w:val="25"/>
          <w:lang w:val="ro-RO"/>
        </w:rPr>
        <w:t xml:space="preserve">a </w:t>
      </w:r>
      <w:r w:rsidR="00CA02B1">
        <w:rPr>
          <w:bCs/>
          <w:sz w:val="25"/>
          <w:szCs w:val="25"/>
          <w:lang w:val="ro-RO"/>
        </w:rPr>
        <w:t>baza</w:t>
      </w:r>
      <w:r w:rsidR="008225A7" w:rsidRPr="00A60EBA">
        <w:rPr>
          <w:bCs/>
          <w:sz w:val="25"/>
          <w:szCs w:val="25"/>
          <w:lang w:val="ro-RO"/>
        </w:rPr>
        <w:t xml:space="preserve"> limitelor, cotelor maxime și categoriilor de capacitate în domeniul energiei din surse regenerabile</w:t>
      </w:r>
      <w:r w:rsidR="008225A7" w:rsidRPr="008225A7">
        <w:rPr>
          <w:bCs/>
          <w:sz w:val="25"/>
          <w:szCs w:val="25"/>
          <w:lang w:val="ro-RO"/>
        </w:rPr>
        <w:t xml:space="preserve"> </w:t>
      </w:r>
      <w:r w:rsidR="00C35AA4">
        <w:rPr>
          <w:bCs/>
          <w:sz w:val="25"/>
          <w:szCs w:val="25"/>
          <w:lang w:val="ro-RO"/>
        </w:rPr>
        <w:t>propuse</w:t>
      </w:r>
      <w:r w:rsidR="008225A7" w:rsidRPr="008225A7">
        <w:rPr>
          <w:bCs/>
          <w:sz w:val="25"/>
          <w:szCs w:val="25"/>
          <w:lang w:val="ro-RO"/>
        </w:rPr>
        <w:t xml:space="preserve">, </w:t>
      </w:r>
      <w:r w:rsidR="00AD413E">
        <w:rPr>
          <w:bCs/>
          <w:sz w:val="25"/>
          <w:szCs w:val="25"/>
          <w:lang w:val="ro-RO"/>
        </w:rPr>
        <w:t>stau</w:t>
      </w:r>
      <w:r w:rsidR="00104262">
        <w:rPr>
          <w:bCs/>
          <w:sz w:val="25"/>
          <w:szCs w:val="25"/>
          <w:lang w:val="ro-RO"/>
        </w:rPr>
        <w:t xml:space="preserve"> o serie de </w:t>
      </w:r>
      <w:r w:rsidR="008225A7" w:rsidRPr="008225A7">
        <w:rPr>
          <w:bCs/>
          <w:sz w:val="25"/>
          <w:szCs w:val="25"/>
          <w:lang w:val="ro-RO"/>
        </w:rPr>
        <w:t>principii și constatări generale</w:t>
      </w:r>
      <w:r w:rsidR="00FB3DCF">
        <w:rPr>
          <w:bCs/>
          <w:sz w:val="25"/>
          <w:szCs w:val="25"/>
          <w:lang w:val="ro-RO"/>
        </w:rPr>
        <w:t>.</w:t>
      </w:r>
      <w:r w:rsidR="003C6E70">
        <w:rPr>
          <w:bCs/>
          <w:sz w:val="25"/>
          <w:szCs w:val="25"/>
          <w:lang w:val="ro-RO"/>
        </w:rPr>
        <w:t xml:space="preserve"> </w:t>
      </w:r>
      <w:r w:rsidR="00165FCD">
        <w:rPr>
          <w:bCs/>
          <w:sz w:val="25"/>
          <w:szCs w:val="25"/>
          <w:lang w:val="ro-RO"/>
        </w:rPr>
        <w:t>C</w:t>
      </w:r>
      <w:r w:rsidR="00E43B19">
        <w:rPr>
          <w:bCs/>
          <w:sz w:val="25"/>
          <w:szCs w:val="25"/>
          <w:lang w:val="ro-RO"/>
        </w:rPr>
        <w:t>onform ultimelor</w:t>
      </w:r>
      <w:r w:rsidR="00104262">
        <w:rPr>
          <w:bCs/>
          <w:sz w:val="25"/>
          <w:szCs w:val="25"/>
          <w:lang w:val="ro-RO"/>
        </w:rPr>
        <w:t xml:space="preserve"> date statistice disponibile la moment</w:t>
      </w:r>
      <w:r w:rsidR="00165FCD">
        <w:rPr>
          <w:bCs/>
          <w:sz w:val="25"/>
          <w:szCs w:val="25"/>
          <w:lang w:val="ro-RO"/>
        </w:rPr>
        <w:t xml:space="preserve"> </w:t>
      </w:r>
      <w:r w:rsidR="000247DE">
        <w:rPr>
          <w:bCs/>
          <w:sz w:val="25"/>
          <w:szCs w:val="25"/>
          <w:lang w:val="ro-RO"/>
        </w:rPr>
        <w:t>(2016)</w:t>
      </w:r>
      <w:r w:rsidR="00104262">
        <w:rPr>
          <w:bCs/>
          <w:sz w:val="25"/>
          <w:szCs w:val="25"/>
          <w:lang w:val="ro-RO"/>
        </w:rPr>
        <w:t xml:space="preserve">, Republica </w:t>
      </w:r>
      <w:r w:rsidR="00647147">
        <w:rPr>
          <w:bCs/>
          <w:sz w:val="25"/>
          <w:szCs w:val="25"/>
          <w:lang w:val="ro-RO"/>
        </w:rPr>
        <w:t xml:space="preserve">Moldova a depășit obiectivul global </w:t>
      </w:r>
      <w:r w:rsidR="00E43B19">
        <w:rPr>
          <w:bCs/>
          <w:sz w:val="25"/>
          <w:szCs w:val="25"/>
          <w:lang w:val="ro-RO"/>
        </w:rPr>
        <w:t xml:space="preserve">stabilit </w:t>
      </w:r>
      <w:r w:rsidR="000247DE">
        <w:rPr>
          <w:bCs/>
          <w:sz w:val="25"/>
          <w:szCs w:val="25"/>
          <w:lang w:val="ro-RO"/>
        </w:rPr>
        <w:t xml:space="preserve">pentru </w:t>
      </w:r>
      <w:r w:rsidR="00E43B19">
        <w:rPr>
          <w:bCs/>
          <w:sz w:val="25"/>
          <w:szCs w:val="25"/>
          <w:lang w:val="ro-RO"/>
        </w:rPr>
        <w:t xml:space="preserve">anul 2020, </w:t>
      </w:r>
      <w:r w:rsidR="00207110">
        <w:rPr>
          <w:bCs/>
          <w:sz w:val="25"/>
          <w:szCs w:val="25"/>
          <w:lang w:val="ro-RO"/>
        </w:rPr>
        <w:t xml:space="preserve">sumând o pondere </w:t>
      </w:r>
      <w:r w:rsidR="006F78A8">
        <w:rPr>
          <w:bCs/>
          <w:sz w:val="25"/>
          <w:szCs w:val="25"/>
          <w:lang w:val="ro-RO"/>
        </w:rPr>
        <w:t>a</w:t>
      </w:r>
      <w:r w:rsidR="00207110">
        <w:rPr>
          <w:bCs/>
          <w:sz w:val="25"/>
          <w:szCs w:val="25"/>
          <w:lang w:val="ro-RO"/>
        </w:rPr>
        <w:t xml:space="preserve"> energie din surse regenerabile </w:t>
      </w:r>
      <w:r w:rsidR="001C7784">
        <w:rPr>
          <w:bCs/>
          <w:sz w:val="25"/>
          <w:szCs w:val="25"/>
          <w:lang w:val="ro-RO"/>
        </w:rPr>
        <w:t xml:space="preserve">în consumul final brut de energie </w:t>
      </w:r>
      <w:r w:rsidR="00207110">
        <w:rPr>
          <w:bCs/>
          <w:sz w:val="25"/>
          <w:szCs w:val="25"/>
          <w:lang w:val="ro-RO"/>
        </w:rPr>
        <w:t xml:space="preserve">de peste </w:t>
      </w:r>
      <w:r w:rsidR="00E22DAE">
        <w:rPr>
          <w:bCs/>
          <w:sz w:val="25"/>
          <w:szCs w:val="25"/>
          <w:lang w:val="ro-RO"/>
        </w:rPr>
        <w:t>26</w:t>
      </w:r>
      <w:r w:rsidR="001C7784">
        <w:rPr>
          <w:bCs/>
          <w:sz w:val="25"/>
          <w:szCs w:val="25"/>
          <w:lang w:val="ro-RO"/>
        </w:rPr>
        <w:t>%</w:t>
      </w:r>
      <w:r w:rsidR="006F78A8">
        <w:rPr>
          <w:bCs/>
          <w:sz w:val="25"/>
          <w:szCs w:val="25"/>
          <w:lang w:val="ro-RO"/>
        </w:rPr>
        <w:t>,</w:t>
      </w:r>
      <w:r w:rsidR="001C7784">
        <w:rPr>
          <w:bCs/>
          <w:sz w:val="25"/>
          <w:szCs w:val="25"/>
          <w:lang w:val="ro-RO"/>
        </w:rPr>
        <w:t xml:space="preserve"> față de ținta</w:t>
      </w:r>
      <w:r w:rsidR="00E43B19" w:rsidRPr="00E43B19">
        <w:rPr>
          <w:bCs/>
          <w:sz w:val="25"/>
          <w:szCs w:val="25"/>
          <w:lang w:val="ro-RO"/>
        </w:rPr>
        <w:t xml:space="preserve"> </w:t>
      </w:r>
      <w:r w:rsidR="00E22DAE">
        <w:rPr>
          <w:bCs/>
          <w:sz w:val="25"/>
          <w:szCs w:val="25"/>
          <w:lang w:val="ro-RO"/>
        </w:rPr>
        <w:t xml:space="preserve">globală </w:t>
      </w:r>
      <w:r w:rsidR="00027DAD">
        <w:rPr>
          <w:bCs/>
          <w:sz w:val="25"/>
          <w:szCs w:val="25"/>
          <w:lang w:val="ro-RO"/>
        </w:rPr>
        <w:t>d</w:t>
      </w:r>
      <w:r w:rsidR="00E43B19">
        <w:rPr>
          <w:bCs/>
          <w:sz w:val="25"/>
          <w:szCs w:val="25"/>
          <w:lang w:val="ro-RO"/>
        </w:rPr>
        <w:t>e 17%</w:t>
      </w:r>
      <w:r w:rsidR="001C7784">
        <w:rPr>
          <w:bCs/>
          <w:sz w:val="25"/>
          <w:szCs w:val="25"/>
          <w:lang w:val="ro-RO"/>
        </w:rPr>
        <w:t xml:space="preserve">. </w:t>
      </w:r>
      <w:r w:rsidR="00E22DAE">
        <w:rPr>
          <w:bCs/>
          <w:sz w:val="25"/>
          <w:szCs w:val="25"/>
          <w:lang w:val="ro-RO"/>
        </w:rPr>
        <w:t>Însă</w:t>
      </w:r>
      <w:r w:rsidR="00027DAD">
        <w:rPr>
          <w:bCs/>
          <w:sz w:val="25"/>
          <w:szCs w:val="25"/>
          <w:lang w:val="ro-RO"/>
        </w:rPr>
        <w:t>, l</w:t>
      </w:r>
      <w:r w:rsidR="00ED66A7">
        <w:rPr>
          <w:bCs/>
          <w:sz w:val="25"/>
          <w:szCs w:val="25"/>
          <w:lang w:val="ro-RO"/>
        </w:rPr>
        <w:t>a capitolul p</w:t>
      </w:r>
      <w:r w:rsidR="00E002D0">
        <w:rPr>
          <w:bCs/>
          <w:sz w:val="25"/>
          <w:szCs w:val="25"/>
          <w:lang w:val="ro-RO"/>
        </w:rPr>
        <w:t>onderii</w:t>
      </w:r>
      <w:r w:rsidR="001C7784" w:rsidRPr="001C7784">
        <w:rPr>
          <w:bCs/>
          <w:sz w:val="25"/>
          <w:szCs w:val="25"/>
          <w:lang w:val="ro-RO"/>
        </w:rPr>
        <w:t xml:space="preserve"> consumul</w:t>
      </w:r>
      <w:r w:rsidR="002F6EE7">
        <w:rPr>
          <w:bCs/>
          <w:sz w:val="25"/>
          <w:szCs w:val="25"/>
          <w:lang w:val="ro-RO"/>
        </w:rPr>
        <w:t>ui</w:t>
      </w:r>
      <w:r w:rsidR="001C7784" w:rsidRPr="001C7784">
        <w:rPr>
          <w:bCs/>
          <w:sz w:val="25"/>
          <w:szCs w:val="25"/>
          <w:lang w:val="ro-RO"/>
        </w:rPr>
        <w:t xml:space="preserve"> final de energie electrică din surse regenerabile</w:t>
      </w:r>
      <w:r w:rsidR="00581200">
        <w:rPr>
          <w:bCs/>
          <w:sz w:val="25"/>
          <w:szCs w:val="25"/>
          <w:lang w:val="ro-RO"/>
        </w:rPr>
        <w:t xml:space="preserve"> în </w:t>
      </w:r>
      <w:r w:rsidR="00ED66A7">
        <w:rPr>
          <w:bCs/>
          <w:sz w:val="25"/>
          <w:szCs w:val="25"/>
          <w:lang w:val="ro-RO"/>
        </w:rPr>
        <w:t>c</w:t>
      </w:r>
      <w:r w:rsidR="00581200">
        <w:rPr>
          <w:bCs/>
          <w:sz w:val="25"/>
          <w:szCs w:val="25"/>
          <w:lang w:val="ro-RO"/>
        </w:rPr>
        <w:t>onsumul f</w:t>
      </w:r>
      <w:r w:rsidR="002F6EE7">
        <w:rPr>
          <w:bCs/>
          <w:sz w:val="25"/>
          <w:szCs w:val="25"/>
          <w:lang w:val="ro-RO"/>
        </w:rPr>
        <w:t xml:space="preserve">inal brut de energie </w:t>
      </w:r>
      <w:bookmarkStart w:id="0" w:name="_GoBack"/>
      <w:bookmarkEnd w:id="0"/>
      <w:r w:rsidR="002F6EE7">
        <w:rPr>
          <w:bCs/>
          <w:sz w:val="25"/>
          <w:szCs w:val="25"/>
          <w:lang w:val="ro-RO"/>
        </w:rPr>
        <w:t xml:space="preserve">electrică </w:t>
      </w:r>
      <w:r w:rsidR="00554EAC">
        <w:rPr>
          <w:bCs/>
          <w:sz w:val="25"/>
          <w:szCs w:val="25"/>
          <w:lang w:val="ro-RO"/>
        </w:rPr>
        <w:t xml:space="preserve">(CFBEE) </w:t>
      </w:r>
      <w:r w:rsidR="002F6EE7">
        <w:rPr>
          <w:bCs/>
          <w:sz w:val="25"/>
          <w:szCs w:val="25"/>
          <w:lang w:val="ro-RO"/>
        </w:rPr>
        <w:t>se atestă</w:t>
      </w:r>
      <w:r w:rsidR="00581200">
        <w:rPr>
          <w:bCs/>
          <w:sz w:val="25"/>
          <w:szCs w:val="25"/>
          <w:lang w:val="ro-RO"/>
        </w:rPr>
        <w:t xml:space="preserve"> realizări mai modeste</w:t>
      </w:r>
      <w:r w:rsidR="002F6EE7">
        <w:rPr>
          <w:bCs/>
          <w:sz w:val="25"/>
          <w:szCs w:val="25"/>
          <w:lang w:val="ro-RO"/>
        </w:rPr>
        <w:t>,</w:t>
      </w:r>
      <w:r w:rsidR="00554EAC">
        <w:rPr>
          <w:bCs/>
          <w:sz w:val="25"/>
          <w:szCs w:val="25"/>
          <w:lang w:val="ro-RO"/>
        </w:rPr>
        <w:t xml:space="preserve"> </w:t>
      </w:r>
      <w:r w:rsidR="006F78A8">
        <w:rPr>
          <w:bCs/>
          <w:sz w:val="25"/>
          <w:szCs w:val="25"/>
          <w:lang w:val="ro-RO"/>
        </w:rPr>
        <w:t>unde</w:t>
      </w:r>
      <w:r w:rsidR="008C4ECA" w:rsidRPr="008C4ECA">
        <w:rPr>
          <w:bCs/>
          <w:sz w:val="25"/>
          <w:szCs w:val="25"/>
          <w:lang w:val="ro-RO"/>
        </w:rPr>
        <w:t xml:space="preserve"> </w:t>
      </w:r>
      <w:r w:rsidR="008C4ECA">
        <w:rPr>
          <w:bCs/>
          <w:sz w:val="25"/>
          <w:szCs w:val="25"/>
          <w:lang w:val="ro-RO"/>
        </w:rPr>
        <w:t>sunt atinse</w:t>
      </w:r>
      <w:r w:rsidR="00554EAC">
        <w:rPr>
          <w:bCs/>
          <w:sz w:val="25"/>
          <w:szCs w:val="25"/>
          <w:lang w:val="ro-RO"/>
        </w:rPr>
        <w:t>,</w:t>
      </w:r>
      <w:r w:rsidR="00E22DAE">
        <w:rPr>
          <w:bCs/>
          <w:sz w:val="25"/>
          <w:szCs w:val="25"/>
          <w:lang w:val="ro-RO"/>
        </w:rPr>
        <w:t xml:space="preserve"> </w:t>
      </w:r>
      <w:r w:rsidR="006F78A8">
        <w:rPr>
          <w:bCs/>
          <w:sz w:val="25"/>
          <w:szCs w:val="25"/>
          <w:lang w:val="ro-RO"/>
        </w:rPr>
        <w:t xml:space="preserve">conform graficelor prezentate mai jos,  </w:t>
      </w:r>
      <w:r w:rsidR="00581200">
        <w:rPr>
          <w:bCs/>
          <w:sz w:val="25"/>
          <w:szCs w:val="25"/>
          <w:lang w:val="ro-RO"/>
        </w:rPr>
        <w:t>doar 2,1% din</w:t>
      </w:r>
      <w:r w:rsidR="00D619B6">
        <w:rPr>
          <w:bCs/>
          <w:sz w:val="25"/>
          <w:szCs w:val="25"/>
          <w:lang w:val="ro-RO"/>
        </w:rPr>
        <w:t>tr-un minim de</w:t>
      </w:r>
      <w:r w:rsidR="00581200">
        <w:rPr>
          <w:bCs/>
          <w:sz w:val="25"/>
          <w:szCs w:val="25"/>
          <w:lang w:val="ro-RO"/>
        </w:rPr>
        <w:t xml:space="preserve"> 10%</w:t>
      </w:r>
      <w:r w:rsidR="006F78A8">
        <w:rPr>
          <w:bCs/>
          <w:sz w:val="25"/>
          <w:szCs w:val="25"/>
          <w:lang w:val="ro-RO"/>
        </w:rPr>
        <w:t>,</w:t>
      </w:r>
      <w:r w:rsidR="0011450F">
        <w:rPr>
          <w:bCs/>
          <w:sz w:val="25"/>
          <w:szCs w:val="25"/>
          <w:lang w:val="ro-RO"/>
        </w:rPr>
        <w:t xml:space="preserve"> planificate către anul 2020</w:t>
      </w:r>
      <w:r w:rsidR="00912331">
        <w:rPr>
          <w:bCs/>
          <w:sz w:val="25"/>
          <w:szCs w:val="25"/>
          <w:lang w:val="ro-RO"/>
        </w:rPr>
        <w:t>.</w:t>
      </w:r>
    </w:p>
    <w:p w14:paraId="43496C58" w14:textId="71ABD851" w:rsidR="005C2E42" w:rsidRDefault="005C2E42" w:rsidP="00C44462">
      <w:pPr>
        <w:spacing w:before="120" w:after="120" w:line="276" w:lineRule="auto"/>
        <w:jc w:val="both"/>
        <w:rPr>
          <w:bCs/>
          <w:sz w:val="25"/>
          <w:szCs w:val="25"/>
          <w:lang w:val="ro-RO"/>
        </w:rPr>
      </w:pPr>
      <w:r w:rsidRPr="005C2E42">
        <w:rPr>
          <w:bCs/>
          <w:noProof/>
          <w:sz w:val="25"/>
          <w:szCs w:val="25"/>
          <w:lang w:val="en-US" w:eastAsia="en-US"/>
        </w:rPr>
        <w:drawing>
          <wp:anchor distT="0" distB="0" distL="114300" distR="114300" simplePos="0" relativeHeight="251659264" behindDoc="0" locked="0" layoutInCell="1" allowOverlap="1" wp14:anchorId="4333AB69" wp14:editId="336CF8C6">
            <wp:simplePos x="0" y="0"/>
            <wp:positionH relativeFrom="margin">
              <wp:align>left</wp:align>
            </wp:positionH>
            <wp:positionV relativeFrom="paragraph">
              <wp:posOffset>10938</wp:posOffset>
            </wp:positionV>
            <wp:extent cx="2981325" cy="2171700"/>
            <wp:effectExtent l="0" t="0" r="0" b="0"/>
            <wp:wrapNone/>
            <wp:docPr id="4" name="Chart 1" descr="Descriere: Ponderea energiei regenerabile în mixul de resurse energetic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5716B75" w14:textId="0B91E5D1" w:rsidR="005C2E42" w:rsidRDefault="005C2E42" w:rsidP="00C44462">
      <w:pPr>
        <w:spacing w:before="120" w:after="120" w:line="276" w:lineRule="auto"/>
        <w:jc w:val="both"/>
        <w:rPr>
          <w:bCs/>
          <w:sz w:val="25"/>
          <w:szCs w:val="25"/>
          <w:lang w:val="ro-RO"/>
        </w:rPr>
      </w:pPr>
    </w:p>
    <w:p w14:paraId="4E7A1307" w14:textId="4AFEFF0C" w:rsidR="005C2E42" w:rsidRDefault="005C2E42" w:rsidP="00C44462">
      <w:pPr>
        <w:spacing w:before="120" w:after="120" w:line="276" w:lineRule="auto"/>
        <w:jc w:val="both"/>
        <w:rPr>
          <w:bCs/>
          <w:sz w:val="25"/>
          <w:szCs w:val="25"/>
          <w:lang w:val="ro-RO"/>
        </w:rPr>
      </w:pPr>
    </w:p>
    <w:p w14:paraId="312CA1CC" w14:textId="28090964" w:rsidR="00912331" w:rsidRDefault="00912331" w:rsidP="00C44462">
      <w:pPr>
        <w:spacing w:before="120" w:after="120" w:line="276" w:lineRule="auto"/>
        <w:jc w:val="both"/>
        <w:rPr>
          <w:bCs/>
          <w:sz w:val="25"/>
          <w:szCs w:val="25"/>
          <w:lang w:val="ro-RO"/>
        </w:rPr>
      </w:pPr>
      <w:r w:rsidRPr="00912331">
        <w:rPr>
          <w:bCs/>
          <w:noProof/>
          <w:sz w:val="25"/>
          <w:szCs w:val="25"/>
          <w:lang w:val="en-US" w:eastAsia="en-US"/>
        </w:rPr>
        <w:drawing>
          <wp:inline distT="0" distB="0" distL="0" distR="0" wp14:anchorId="7DBA1492" wp14:editId="69C707FA">
            <wp:extent cx="2303252" cy="1311215"/>
            <wp:effectExtent l="0" t="0" r="1905" b="3810"/>
            <wp:docPr id="1" name="Diagramă 1" descr="Descriere: Ponderea energiei regenerabile în mixul de resurse energetic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6C995D" w14:textId="47006D29" w:rsidR="007B13A2" w:rsidRDefault="00AA471D" w:rsidP="00C44462">
      <w:pPr>
        <w:spacing w:before="120" w:after="120" w:line="276" w:lineRule="auto"/>
        <w:jc w:val="both"/>
        <w:rPr>
          <w:bCs/>
          <w:sz w:val="25"/>
          <w:szCs w:val="25"/>
          <w:lang w:val="ro-RO"/>
        </w:rPr>
      </w:pPr>
      <w:r>
        <w:rPr>
          <w:bCs/>
          <w:sz w:val="25"/>
          <w:szCs w:val="25"/>
          <w:lang w:val="ro-RO"/>
        </w:rPr>
        <w:t xml:space="preserve">În vederea calculării necesarului de energie electrică regenerabilă pentru atingerea țintei de 10%, anunțată mai sus, se aplică abordarea „de sus în jos”. Această din urmă presupune analiza și estimarea </w:t>
      </w:r>
      <w:r w:rsidR="00E22DAE">
        <w:rPr>
          <w:bCs/>
          <w:sz w:val="25"/>
          <w:szCs w:val="25"/>
          <w:lang w:val="ro-RO"/>
        </w:rPr>
        <w:t>evoluți</w:t>
      </w:r>
      <w:r>
        <w:rPr>
          <w:bCs/>
          <w:sz w:val="25"/>
          <w:szCs w:val="25"/>
          <w:lang w:val="ro-RO"/>
        </w:rPr>
        <w:t>ei</w:t>
      </w:r>
      <w:r w:rsidR="00E22DAE">
        <w:rPr>
          <w:bCs/>
          <w:sz w:val="25"/>
          <w:szCs w:val="25"/>
          <w:lang w:val="ro-RO"/>
        </w:rPr>
        <w:t xml:space="preserve"> consumului </w:t>
      </w:r>
      <w:r w:rsidR="007B13A2">
        <w:rPr>
          <w:bCs/>
          <w:sz w:val="25"/>
          <w:szCs w:val="25"/>
          <w:lang w:val="ro-RO"/>
        </w:rPr>
        <w:t xml:space="preserve">de energie </w:t>
      </w:r>
      <w:r w:rsidR="00E22DAE">
        <w:rPr>
          <w:bCs/>
          <w:sz w:val="25"/>
          <w:szCs w:val="25"/>
          <w:lang w:val="ro-RO"/>
        </w:rPr>
        <w:t xml:space="preserve">electrică </w:t>
      </w:r>
      <w:r>
        <w:rPr>
          <w:bCs/>
          <w:sz w:val="25"/>
          <w:szCs w:val="25"/>
          <w:lang w:val="ro-RO"/>
        </w:rPr>
        <w:t xml:space="preserve">către orizontul de timp analizat – anul 2020 în cazul de față. Ipotezele de calcul acceptate de către autor conduc către un interval prognozat al consumului de energie electrică de </w:t>
      </w:r>
      <w:r w:rsidR="009E7030">
        <w:rPr>
          <w:bCs/>
          <w:sz w:val="25"/>
          <w:szCs w:val="25"/>
          <w:lang w:val="ro-RO"/>
        </w:rPr>
        <w:t xml:space="preserve">cca. </w:t>
      </w:r>
      <w:r w:rsidR="008C4ECA">
        <w:rPr>
          <w:bCs/>
          <w:sz w:val="25"/>
          <w:szCs w:val="25"/>
          <w:lang w:val="ro-RO"/>
        </w:rPr>
        <w:t>417-</w:t>
      </w:r>
      <w:r>
        <w:rPr>
          <w:bCs/>
          <w:sz w:val="25"/>
          <w:szCs w:val="25"/>
          <w:lang w:val="ro-RO"/>
        </w:rPr>
        <w:t>420 ktep.</w:t>
      </w:r>
      <w:r w:rsidR="00440A9C">
        <w:rPr>
          <w:bCs/>
          <w:sz w:val="25"/>
          <w:szCs w:val="25"/>
          <w:lang w:val="ro-RO"/>
        </w:rPr>
        <w:t xml:space="preserve"> Astfel</w:t>
      </w:r>
      <w:r w:rsidR="00E75A83">
        <w:rPr>
          <w:bCs/>
          <w:sz w:val="25"/>
          <w:szCs w:val="25"/>
          <w:lang w:val="ro-RO"/>
        </w:rPr>
        <w:t xml:space="preserve">, </w:t>
      </w:r>
      <w:r w:rsidR="00E747DD">
        <w:rPr>
          <w:bCs/>
          <w:sz w:val="25"/>
          <w:szCs w:val="25"/>
          <w:lang w:val="ro-RO"/>
        </w:rPr>
        <w:t>p</w:t>
      </w:r>
      <w:r w:rsidR="002C1310">
        <w:rPr>
          <w:bCs/>
          <w:sz w:val="25"/>
          <w:szCs w:val="25"/>
          <w:lang w:val="ro-RO"/>
        </w:rPr>
        <w:t xml:space="preserve">entru </w:t>
      </w:r>
      <w:r w:rsidR="002C1310">
        <w:rPr>
          <w:bCs/>
          <w:sz w:val="25"/>
          <w:szCs w:val="25"/>
          <w:lang w:val="ro-RO"/>
        </w:rPr>
        <w:lastRenderedPageBreak/>
        <w:t xml:space="preserve">asigurarea țintei de </w:t>
      </w:r>
      <w:r w:rsidR="00E747DD">
        <w:rPr>
          <w:bCs/>
          <w:sz w:val="25"/>
          <w:szCs w:val="25"/>
          <w:lang w:val="ro-RO"/>
        </w:rPr>
        <w:t xml:space="preserve">10% către anul 2020 </w:t>
      </w:r>
      <w:r w:rsidR="002C1310">
        <w:rPr>
          <w:bCs/>
          <w:sz w:val="25"/>
          <w:szCs w:val="25"/>
          <w:lang w:val="ro-RO"/>
        </w:rPr>
        <w:t>este necesară generarea a 4</w:t>
      </w:r>
      <w:r w:rsidR="009E7030">
        <w:rPr>
          <w:bCs/>
          <w:sz w:val="25"/>
          <w:szCs w:val="25"/>
          <w:lang w:val="ro-RO"/>
        </w:rPr>
        <w:t>2</w:t>
      </w:r>
      <w:r w:rsidR="002C1310">
        <w:rPr>
          <w:bCs/>
          <w:sz w:val="25"/>
          <w:szCs w:val="25"/>
          <w:lang w:val="ro-RO"/>
        </w:rPr>
        <w:t xml:space="preserve"> ktep energie electrică din surse regenerabile.</w:t>
      </w:r>
    </w:p>
    <w:p w14:paraId="613620CD" w14:textId="3ECE4F7D" w:rsidR="00AA471D" w:rsidRPr="00AA471D" w:rsidRDefault="00AA471D" w:rsidP="00C44462">
      <w:pPr>
        <w:spacing w:before="120" w:after="120" w:line="276" w:lineRule="auto"/>
        <w:jc w:val="both"/>
        <w:rPr>
          <w:bCs/>
          <w:sz w:val="25"/>
          <w:szCs w:val="25"/>
        </w:rPr>
      </w:pPr>
      <w:r w:rsidRPr="00AA471D">
        <w:rPr>
          <w:bCs/>
          <w:sz w:val="25"/>
          <w:szCs w:val="25"/>
        </w:rPr>
        <w:t>În același timp, ținân</w:t>
      </w:r>
      <w:r>
        <w:rPr>
          <w:bCs/>
          <w:sz w:val="25"/>
          <w:szCs w:val="25"/>
        </w:rPr>
        <w:t>d</w:t>
      </w:r>
      <w:r w:rsidRPr="00AA471D">
        <w:rPr>
          <w:bCs/>
          <w:sz w:val="25"/>
          <w:szCs w:val="25"/>
        </w:rPr>
        <w:t xml:space="preserve"> cont de </w:t>
      </w:r>
      <w:r>
        <w:rPr>
          <w:bCs/>
          <w:sz w:val="25"/>
          <w:szCs w:val="25"/>
        </w:rPr>
        <w:t>c</w:t>
      </w:r>
      <w:r w:rsidRPr="00AA471D">
        <w:rPr>
          <w:bCs/>
          <w:sz w:val="25"/>
          <w:szCs w:val="25"/>
        </w:rPr>
        <w:t xml:space="preserve">apacitățile </w:t>
      </w:r>
      <w:r w:rsidR="008C4ECA">
        <w:rPr>
          <w:bCs/>
          <w:sz w:val="25"/>
          <w:szCs w:val="25"/>
        </w:rPr>
        <w:t>cunoscute ca și</w:t>
      </w:r>
      <w:r>
        <w:rPr>
          <w:bCs/>
          <w:sz w:val="25"/>
          <w:szCs w:val="25"/>
        </w:rPr>
        <w:t xml:space="preserve"> </w:t>
      </w:r>
      <w:r w:rsidRPr="00AA471D">
        <w:rPr>
          <w:bCs/>
          <w:sz w:val="25"/>
          <w:szCs w:val="25"/>
        </w:rPr>
        <w:t xml:space="preserve">instalate </w:t>
      </w:r>
      <w:r>
        <w:rPr>
          <w:bCs/>
          <w:sz w:val="25"/>
          <w:szCs w:val="25"/>
        </w:rPr>
        <w:t>și date în exploatare</w:t>
      </w:r>
      <w:r w:rsidR="009E7030">
        <w:rPr>
          <w:bCs/>
          <w:sz w:val="25"/>
          <w:szCs w:val="25"/>
        </w:rPr>
        <w:t xml:space="preserve"> la </w:t>
      </w:r>
      <w:r w:rsidR="00F90342">
        <w:rPr>
          <w:bCs/>
          <w:sz w:val="25"/>
          <w:szCs w:val="25"/>
        </w:rPr>
        <w:t xml:space="preserve">data </w:t>
      </w:r>
      <w:r w:rsidR="009E7030">
        <w:rPr>
          <w:bCs/>
          <w:sz w:val="25"/>
          <w:szCs w:val="25"/>
        </w:rPr>
        <w:t>de 31.12.2017, în valoare de 32,85 MW conform informației deținute de Agenția pentru Eficiență Energetică</w:t>
      </w:r>
      <w:r>
        <w:rPr>
          <w:bCs/>
          <w:sz w:val="25"/>
          <w:szCs w:val="25"/>
        </w:rPr>
        <w:t xml:space="preserve">, precum și volumul energiei electrice „verzi” introduse în sistemul electroenergetic național, </w:t>
      </w:r>
      <w:r w:rsidR="007E2EE9">
        <w:rPr>
          <w:bCs/>
          <w:sz w:val="25"/>
          <w:szCs w:val="25"/>
        </w:rPr>
        <w:t xml:space="preserve">tabelul de mai jos prezintă necesarul de energie a fi generat </w:t>
      </w:r>
      <w:r w:rsidR="0051456F">
        <w:rPr>
          <w:bCs/>
          <w:sz w:val="25"/>
          <w:szCs w:val="25"/>
        </w:rPr>
        <w:t>în vederea atingerii țintei stabilite de cadrul primar pe domeniu.</w:t>
      </w:r>
    </w:p>
    <w:p w14:paraId="216C995E" w14:textId="12BDECF1" w:rsidR="00822BAF" w:rsidRDefault="00822BAF" w:rsidP="00C44462">
      <w:pPr>
        <w:spacing w:before="120" w:after="120" w:line="276" w:lineRule="auto"/>
        <w:jc w:val="both"/>
        <w:rPr>
          <w:bCs/>
          <w:sz w:val="25"/>
          <w:szCs w:val="25"/>
          <w:lang w:val="ro-RO"/>
        </w:rPr>
      </w:pPr>
      <w:r w:rsidRPr="00B10548">
        <w:rPr>
          <w:b/>
          <w:bCs/>
          <w:sz w:val="24"/>
          <w:szCs w:val="25"/>
          <w:lang w:val="ro-RO"/>
        </w:rPr>
        <w:t>Tabelul 1.</w:t>
      </w:r>
      <w:r w:rsidRPr="00B10548">
        <w:rPr>
          <w:bCs/>
          <w:sz w:val="24"/>
          <w:szCs w:val="25"/>
          <w:lang w:val="ro-RO"/>
        </w:rPr>
        <w:t xml:space="preserve"> </w:t>
      </w:r>
      <w:r w:rsidR="00B10548" w:rsidRPr="00B10548">
        <w:rPr>
          <w:bCs/>
          <w:sz w:val="25"/>
          <w:szCs w:val="25"/>
          <w:lang w:val="ro-RO"/>
        </w:rPr>
        <w:t xml:space="preserve">Ponderea energiei electrice </w:t>
      </w:r>
      <w:r w:rsidR="00E472A6">
        <w:rPr>
          <w:bCs/>
          <w:sz w:val="25"/>
          <w:szCs w:val="25"/>
          <w:lang w:val="ro-RO"/>
        </w:rPr>
        <w:t xml:space="preserve">produse </w:t>
      </w:r>
      <w:r w:rsidR="00B10548" w:rsidRPr="00B10548">
        <w:rPr>
          <w:bCs/>
          <w:sz w:val="25"/>
          <w:szCs w:val="25"/>
          <w:lang w:val="ro-RO"/>
        </w:rPr>
        <w:t>din surse de energie regenerabilă în CFB</w:t>
      </w:r>
      <w:r w:rsidR="00B512CE">
        <w:rPr>
          <w:bCs/>
          <w:sz w:val="25"/>
          <w:szCs w:val="25"/>
          <w:lang w:val="ro-RO"/>
        </w:rPr>
        <w:t>-</w:t>
      </w:r>
      <w:r w:rsidR="00B10548" w:rsidRPr="00B10548">
        <w:rPr>
          <w:bCs/>
          <w:sz w:val="25"/>
          <w:szCs w:val="25"/>
          <w:lang w:val="ro-RO"/>
        </w:rPr>
        <w:t>EE</w:t>
      </w:r>
    </w:p>
    <w:tbl>
      <w:tblPr>
        <w:tblStyle w:val="Tabelgril"/>
        <w:tblW w:w="9239" w:type="dxa"/>
        <w:tblInd w:w="108"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277"/>
        <w:gridCol w:w="1055"/>
        <w:gridCol w:w="1056"/>
        <w:gridCol w:w="1744"/>
        <w:gridCol w:w="838"/>
        <w:gridCol w:w="1280"/>
        <w:gridCol w:w="864"/>
        <w:gridCol w:w="1125"/>
      </w:tblGrid>
      <w:tr w:rsidR="005C49B7" w:rsidRPr="005C49B7" w14:paraId="216C9969" w14:textId="77777777" w:rsidTr="0051456F">
        <w:trPr>
          <w:trHeight w:val="902"/>
        </w:trPr>
        <w:tc>
          <w:tcPr>
            <w:tcW w:w="1277" w:type="dxa"/>
            <w:tcBorders>
              <w:top w:val="single" w:sz="12" w:space="0" w:color="auto"/>
              <w:bottom w:val="single" w:sz="12" w:space="0" w:color="auto"/>
              <w:right w:val="single" w:sz="12" w:space="0" w:color="auto"/>
            </w:tcBorders>
            <w:vAlign w:val="center"/>
            <w:hideMark/>
          </w:tcPr>
          <w:p w14:paraId="216C995F" w14:textId="4682F058" w:rsidR="00B13036" w:rsidRPr="0051456F" w:rsidRDefault="00AA1AF8" w:rsidP="00C44462">
            <w:pPr>
              <w:spacing w:before="120" w:after="120"/>
              <w:jc w:val="center"/>
              <w:rPr>
                <w:b/>
                <w:bCs/>
                <w:sz w:val="22"/>
                <w:szCs w:val="25"/>
              </w:rPr>
            </w:pPr>
            <w:r w:rsidRPr="0051456F">
              <w:rPr>
                <w:b/>
                <w:bCs/>
                <w:sz w:val="22"/>
                <w:szCs w:val="25"/>
              </w:rPr>
              <w:t>C</w:t>
            </w:r>
            <w:r w:rsidR="005C49B7" w:rsidRPr="0051456F">
              <w:rPr>
                <w:b/>
                <w:bCs/>
                <w:sz w:val="22"/>
                <w:szCs w:val="25"/>
              </w:rPr>
              <w:t>onsumul final brut  de energie electrică</w:t>
            </w:r>
          </w:p>
          <w:p w14:paraId="216C9960" w14:textId="51CF2A33" w:rsidR="005C49B7" w:rsidRPr="0051456F" w:rsidRDefault="0051456F" w:rsidP="00C44462">
            <w:pPr>
              <w:spacing w:before="120" w:after="120"/>
              <w:jc w:val="center"/>
              <w:rPr>
                <w:bCs/>
                <w:sz w:val="22"/>
                <w:szCs w:val="25"/>
                <w:lang w:val="en-US"/>
              </w:rPr>
            </w:pPr>
            <w:r w:rsidRPr="0051456F">
              <w:rPr>
                <w:bCs/>
                <w:sz w:val="20"/>
                <w:szCs w:val="25"/>
              </w:rPr>
              <w:t xml:space="preserve">(a. </w:t>
            </w:r>
            <w:r w:rsidR="005C49B7" w:rsidRPr="0051456F">
              <w:rPr>
                <w:bCs/>
                <w:sz w:val="20"/>
                <w:szCs w:val="25"/>
              </w:rPr>
              <w:t>2016)</w:t>
            </w:r>
          </w:p>
        </w:tc>
        <w:tc>
          <w:tcPr>
            <w:tcW w:w="2111" w:type="dxa"/>
            <w:gridSpan w:val="2"/>
            <w:tcBorders>
              <w:top w:val="single" w:sz="12" w:space="0" w:color="auto"/>
              <w:left w:val="single" w:sz="12" w:space="0" w:color="auto"/>
              <w:bottom w:val="single" w:sz="12" w:space="0" w:color="auto"/>
              <w:right w:val="single" w:sz="12" w:space="0" w:color="auto"/>
            </w:tcBorders>
            <w:vAlign w:val="center"/>
            <w:hideMark/>
          </w:tcPr>
          <w:p w14:paraId="22080D23" w14:textId="77777777" w:rsidR="0051456F" w:rsidRPr="0051456F" w:rsidRDefault="005C49B7" w:rsidP="00C44462">
            <w:pPr>
              <w:spacing w:before="120" w:after="120"/>
              <w:jc w:val="center"/>
              <w:rPr>
                <w:b/>
                <w:bCs/>
                <w:sz w:val="22"/>
                <w:szCs w:val="25"/>
              </w:rPr>
            </w:pPr>
            <w:r w:rsidRPr="0051456F">
              <w:rPr>
                <w:b/>
                <w:bCs/>
                <w:sz w:val="22"/>
                <w:szCs w:val="25"/>
              </w:rPr>
              <w:t xml:space="preserve">Ponderea </w:t>
            </w:r>
            <w:r w:rsidR="0051456F" w:rsidRPr="0051456F">
              <w:rPr>
                <w:b/>
                <w:bCs/>
                <w:sz w:val="22"/>
                <w:szCs w:val="25"/>
              </w:rPr>
              <w:t>E-SER</w:t>
            </w:r>
          </w:p>
          <w:p w14:paraId="216C9961" w14:textId="2B5AE759" w:rsidR="00AA1AF8" w:rsidRPr="0051456F" w:rsidRDefault="005C49B7" w:rsidP="00C44462">
            <w:pPr>
              <w:spacing w:before="120" w:after="120"/>
              <w:jc w:val="center"/>
              <w:rPr>
                <w:b/>
                <w:bCs/>
                <w:sz w:val="22"/>
                <w:szCs w:val="25"/>
              </w:rPr>
            </w:pPr>
            <w:r w:rsidRPr="0051456F">
              <w:rPr>
                <w:b/>
                <w:bCs/>
                <w:sz w:val="22"/>
                <w:szCs w:val="25"/>
              </w:rPr>
              <w:t>în CFB</w:t>
            </w:r>
            <w:r w:rsidR="0051456F" w:rsidRPr="0051456F">
              <w:rPr>
                <w:b/>
                <w:bCs/>
                <w:sz w:val="22"/>
                <w:szCs w:val="25"/>
              </w:rPr>
              <w:t>-</w:t>
            </w:r>
            <w:r w:rsidRPr="0051456F">
              <w:rPr>
                <w:b/>
                <w:bCs/>
                <w:sz w:val="22"/>
                <w:szCs w:val="25"/>
              </w:rPr>
              <w:t>EE</w:t>
            </w:r>
          </w:p>
          <w:p w14:paraId="216C9962" w14:textId="77777777" w:rsidR="005C49B7" w:rsidRPr="004E1E30" w:rsidRDefault="005C49B7" w:rsidP="00C44462">
            <w:pPr>
              <w:spacing w:before="120" w:after="120"/>
              <w:jc w:val="center"/>
              <w:rPr>
                <w:bCs/>
                <w:sz w:val="22"/>
                <w:szCs w:val="25"/>
              </w:rPr>
            </w:pPr>
            <w:r w:rsidRPr="0051456F">
              <w:rPr>
                <w:bCs/>
                <w:sz w:val="20"/>
                <w:szCs w:val="25"/>
              </w:rPr>
              <w:t>(2016)</w:t>
            </w:r>
          </w:p>
        </w:tc>
        <w:tc>
          <w:tcPr>
            <w:tcW w:w="1744" w:type="dxa"/>
            <w:tcBorders>
              <w:top w:val="single" w:sz="12" w:space="0" w:color="auto"/>
              <w:left w:val="single" w:sz="12" w:space="0" w:color="auto"/>
              <w:bottom w:val="single" w:sz="12" w:space="0" w:color="auto"/>
              <w:right w:val="single" w:sz="12" w:space="0" w:color="auto"/>
            </w:tcBorders>
            <w:vAlign w:val="center"/>
            <w:hideMark/>
          </w:tcPr>
          <w:p w14:paraId="216C9963" w14:textId="77777777" w:rsidR="00AA1AF8" w:rsidRPr="0051456F" w:rsidRDefault="005C49B7" w:rsidP="00C44462">
            <w:pPr>
              <w:spacing w:before="120" w:after="120"/>
              <w:jc w:val="center"/>
              <w:rPr>
                <w:b/>
                <w:bCs/>
                <w:sz w:val="22"/>
                <w:szCs w:val="25"/>
              </w:rPr>
            </w:pPr>
            <w:r w:rsidRPr="0051456F">
              <w:rPr>
                <w:b/>
                <w:bCs/>
                <w:sz w:val="22"/>
                <w:szCs w:val="25"/>
              </w:rPr>
              <w:t>Consumul final brut de energie electrică</w:t>
            </w:r>
          </w:p>
          <w:p w14:paraId="216C9964" w14:textId="326A3518" w:rsidR="005C49B7" w:rsidRPr="004E1E30" w:rsidRDefault="005C49B7" w:rsidP="00C44462">
            <w:pPr>
              <w:spacing w:before="120" w:after="120"/>
              <w:jc w:val="center"/>
              <w:rPr>
                <w:bCs/>
                <w:sz w:val="22"/>
                <w:szCs w:val="25"/>
              </w:rPr>
            </w:pPr>
            <w:r w:rsidRPr="0051456F">
              <w:rPr>
                <w:bCs/>
                <w:sz w:val="20"/>
                <w:szCs w:val="25"/>
              </w:rPr>
              <w:t>(</w:t>
            </w:r>
            <w:r w:rsidR="0051456F" w:rsidRPr="0051456F">
              <w:rPr>
                <w:bCs/>
                <w:sz w:val="20"/>
                <w:szCs w:val="25"/>
              </w:rPr>
              <w:t xml:space="preserve">estimat </w:t>
            </w:r>
            <w:r w:rsidRPr="0051456F">
              <w:rPr>
                <w:bCs/>
                <w:sz w:val="20"/>
                <w:szCs w:val="25"/>
              </w:rPr>
              <w:t>2020)</w:t>
            </w:r>
          </w:p>
        </w:tc>
        <w:tc>
          <w:tcPr>
            <w:tcW w:w="2118" w:type="dxa"/>
            <w:gridSpan w:val="2"/>
            <w:tcBorders>
              <w:top w:val="single" w:sz="12" w:space="0" w:color="auto"/>
              <w:left w:val="single" w:sz="12" w:space="0" w:color="auto"/>
              <w:bottom w:val="single" w:sz="12" w:space="0" w:color="auto"/>
              <w:right w:val="single" w:sz="12" w:space="0" w:color="auto"/>
            </w:tcBorders>
            <w:vAlign w:val="center"/>
            <w:hideMark/>
          </w:tcPr>
          <w:p w14:paraId="216C9965" w14:textId="0589214D" w:rsidR="00AA1AF8" w:rsidRPr="0051456F" w:rsidRDefault="005C49B7" w:rsidP="00C44462">
            <w:pPr>
              <w:spacing w:before="120" w:after="120"/>
              <w:jc w:val="center"/>
              <w:rPr>
                <w:b/>
                <w:bCs/>
                <w:sz w:val="22"/>
                <w:szCs w:val="25"/>
              </w:rPr>
            </w:pPr>
            <w:r w:rsidRPr="0051456F">
              <w:rPr>
                <w:b/>
                <w:bCs/>
                <w:sz w:val="22"/>
                <w:szCs w:val="25"/>
              </w:rPr>
              <w:t xml:space="preserve">Ponderea </w:t>
            </w:r>
            <w:r w:rsidR="0051456F" w:rsidRPr="0051456F">
              <w:rPr>
                <w:b/>
                <w:bCs/>
                <w:sz w:val="22"/>
                <w:szCs w:val="25"/>
              </w:rPr>
              <w:t>E-SER</w:t>
            </w:r>
            <w:r w:rsidR="0051456F" w:rsidRPr="0051456F">
              <w:rPr>
                <w:b/>
                <w:bCs/>
                <w:sz w:val="22"/>
                <w:szCs w:val="25"/>
              </w:rPr>
              <w:br/>
            </w:r>
            <w:r w:rsidRPr="0051456F">
              <w:rPr>
                <w:b/>
                <w:bCs/>
                <w:sz w:val="22"/>
                <w:szCs w:val="25"/>
              </w:rPr>
              <w:t xml:space="preserve"> în CFB</w:t>
            </w:r>
            <w:r w:rsidR="00122B01">
              <w:rPr>
                <w:b/>
                <w:bCs/>
                <w:sz w:val="22"/>
                <w:szCs w:val="25"/>
              </w:rPr>
              <w:t>-</w:t>
            </w:r>
            <w:r w:rsidRPr="0051456F">
              <w:rPr>
                <w:b/>
                <w:bCs/>
                <w:sz w:val="22"/>
                <w:szCs w:val="25"/>
              </w:rPr>
              <w:t>EE</w:t>
            </w:r>
          </w:p>
          <w:p w14:paraId="216C9966" w14:textId="77777777" w:rsidR="005C49B7" w:rsidRPr="004E1E30" w:rsidRDefault="005C49B7" w:rsidP="00C44462">
            <w:pPr>
              <w:spacing w:before="120" w:after="120"/>
              <w:jc w:val="center"/>
              <w:rPr>
                <w:bCs/>
                <w:sz w:val="22"/>
                <w:szCs w:val="25"/>
              </w:rPr>
            </w:pPr>
            <w:r w:rsidRPr="0051456F">
              <w:rPr>
                <w:bCs/>
                <w:sz w:val="20"/>
                <w:szCs w:val="25"/>
              </w:rPr>
              <w:t>(2020)</w:t>
            </w:r>
          </w:p>
        </w:tc>
        <w:tc>
          <w:tcPr>
            <w:tcW w:w="1989" w:type="dxa"/>
            <w:gridSpan w:val="2"/>
            <w:tcBorders>
              <w:top w:val="single" w:sz="12" w:space="0" w:color="auto"/>
              <w:left w:val="single" w:sz="12" w:space="0" w:color="auto"/>
              <w:bottom w:val="single" w:sz="12" w:space="0" w:color="auto"/>
            </w:tcBorders>
            <w:noWrap/>
            <w:vAlign w:val="center"/>
            <w:hideMark/>
          </w:tcPr>
          <w:p w14:paraId="216C9967" w14:textId="77777777" w:rsidR="00AA1AF8" w:rsidRPr="004E1E30" w:rsidRDefault="00C40676" w:rsidP="00C44462">
            <w:pPr>
              <w:spacing w:before="120" w:after="120"/>
              <w:jc w:val="center"/>
              <w:rPr>
                <w:bCs/>
                <w:sz w:val="22"/>
                <w:szCs w:val="25"/>
              </w:rPr>
            </w:pPr>
            <w:r w:rsidRPr="004E1E30">
              <w:rPr>
                <w:bCs/>
                <w:sz w:val="22"/>
                <w:szCs w:val="25"/>
              </w:rPr>
              <w:t>Valoare restantă</w:t>
            </w:r>
          </w:p>
          <w:p w14:paraId="216C9968" w14:textId="77777777" w:rsidR="005C49B7" w:rsidRPr="004E1E30" w:rsidRDefault="00AA1AF8" w:rsidP="00C44462">
            <w:pPr>
              <w:spacing w:before="120" w:after="120"/>
              <w:jc w:val="center"/>
              <w:rPr>
                <w:bCs/>
                <w:sz w:val="22"/>
                <w:szCs w:val="25"/>
              </w:rPr>
            </w:pPr>
            <w:r w:rsidRPr="0051456F">
              <w:rPr>
                <w:bCs/>
                <w:sz w:val="20"/>
                <w:szCs w:val="25"/>
              </w:rPr>
              <w:t>(2020)</w:t>
            </w:r>
          </w:p>
        </w:tc>
      </w:tr>
      <w:tr w:rsidR="00D72206" w:rsidRPr="005C49B7" w14:paraId="216C9972" w14:textId="77777777" w:rsidTr="00122B01">
        <w:trPr>
          <w:trHeight w:val="209"/>
        </w:trPr>
        <w:tc>
          <w:tcPr>
            <w:tcW w:w="1277" w:type="dxa"/>
            <w:tcBorders>
              <w:top w:val="single" w:sz="12" w:space="0" w:color="auto"/>
              <w:bottom w:val="single" w:sz="12" w:space="0" w:color="auto"/>
              <w:right w:val="single" w:sz="12" w:space="0" w:color="auto"/>
            </w:tcBorders>
            <w:noWrap/>
            <w:vAlign w:val="center"/>
            <w:hideMark/>
          </w:tcPr>
          <w:p w14:paraId="216C996A" w14:textId="77777777" w:rsidR="005C49B7" w:rsidRPr="004E1E30" w:rsidRDefault="005C49B7" w:rsidP="00C44462">
            <w:pPr>
              <w:spacing w:before="120" w:after="120" w:line="276" w:lineRule="auto"/>
              <w:jc w:val="center"/>
              <w:rPr>
                <w:bCs/>
                <w:sz w:val="22"/>
                <w:szCs w:val="25"/>
              </w:rPr>
            </w:pPr>
            <w:r w:rsidRPr="004E1E30">
              <w:rPr>
                <w:bCs/>
                <w:sz w:val="22"/>
                <w:szCs w:val="25"/>
              </w:rPr>
              <w:t>348 ktep</w:t>
            </w:r>
          </w:p>
        </w:tc>
        <w:tc>
          <w:tcPr>
            <w:tcW w:w="1055" w:type="dxa"/>
            <w:tcBorders>
              <w:top w:val="single" w:sz="12" w:space="0" w:color="auto"/>
              <w:left w:val="single" w:sz="12" w:space="0" w:color="auto"/>
              <w:bottom w:val="single" w:sz="12" w:space="0" w:color="auto"/>
            </w:tcBorders>
            <w:noWrap/>
            <w:vAlign w:val="center"/>
            <w:hideMark/>
          </w:tcPr>
          <w:p w14:paraId="216C996B" w14:textId="77777777" w:rsidR="005C49B7" w:rsidRPr="004E1E30" w:rsidRDefault="005C49B7" w:rsidP="00C44462">
            <w:pPr>
              <w:spacing w:before="120" w:after="120" w:line="276" w:lineRule="auto"/>
              <w:jc w:val="center"/>
              <w:rPr>
                <w:bCs/>
                <w:sz w:val="22"/>
                <w:szCs w:val="25"/>
              </w:rPr>
            </w:pPr>
            <w:r w:rsidRPr="004E1E30">
              <w:rPr>
                <w:bCs/>
                <w:sz w:val="22"/>
                <w:szCs w:val="25"/>
              </w:rPr>
              <w:t>2.01%</w:t>
            </w:r>
          </w:p>
        </w:tc>
        <w:tc>
          <w:tcPr>
            <w:tcW w:w="1056" w:type="dxa"/>
            <w:tcBorders>
              <w:top w:val="single" w:sz="12" w:space="0" w:color="auto"/>
              <w:bottom w:val="single" w:sz="12" w:space="0" w:color="auto"/>
              <w:right w:val="single" w:sz="12" w:space="0" w:color="auto"/>
            </w:tcBorders>
            <w:noWrap/>
            <w:vAlign w:val="center"/>
            <w:hideMark/>
          </w:tcPr>
          <w:p w14:paraId="216C996C" w14:textId="77777777" w:rsidR="005C49B7" w:rsidRPr="004E1E30" w:rsidRDefault="005C49B7" w:rsidP="00C44462">
            <w:pPr>
              <w:spacing w:before="120" w:after="120" w:line="276" w:lineRule="auto"/>
              <w:jc w:val="center"/>
              <w:rPr>
                <w:bCs/>
                <w:sz w:val="22"/>
                <w:szCs w:val="25"/>
              </w:rPr>
            </w:pPr>
            <w:r w:rsidRPr="004E1E30">
              <w:rPr>
                <w:bCs/>
                <w:sz w:val="22"/>
                <w:szCs w:val="25"/>
              </w:rPr>
              <w:t>7 ktep</w:t>
            </w:r>
          </w:p>
        </w:tc>
        <w:tc>
          <w:tcPr>
            <w:tcW w:w="1744" w:type="dxa"/>
            <w:tcBorders>
              <w:top w:val="single" w:sz="12" w:space="0" w:color="auto"/>
              <w:left w:val="single" w:sz="12" w:space="0" w:color="auto"/>
              <w:bottom w:val="single" w:sz="12" w:space="0" w:color="auto"/>
              <w:right w:val="single" w:sz="12" w:space="0" w:color="auto"/>
            </w:tcBorders>
            <w:noWrap/>
            <w:vAlign w:val="center"/>
            <w:hideMark/>
          </w:tcPr>
          <w:p w14:paraId="216C996D" w14:textId="3A5F2B7A" w:rsidR="005C49B7" w:rsidRPr="004E1E30" w:rsidRDefault="005C49B7" w:rsidP="00C44462">
            <w:pPr>
              <w:spacing w:before="120" w:after="120" w:line="276" w:lineRule="auto"/>
              <w:jc w:val="center"/>
              <w:rPr>
                <w:bCs/>
                <w:sz w:val="22"/>
                <w:szCs w:val="25"/>
              </w:rPr>
            </w:pPr>
            <w:r w:rsidRPr="004E1E30">
              <w:rPr>
                <w:bCs/>
                <w:sz w:val="22"/>
                <w:szCs w:val="25"/>
              </w:rPr>
              <w:t>4</w:t>
            </w:r>
            <w:r w:rsidR="00122B01">
              <w:rPr>
                <w:bCs/>
                <w:sz w:val="22"/>
                <w:szCs w:val="25"/>
              </w:rPr>
              <w:t>17</w:t>
            </w:r>
            <w:r w:rsidRPr="004E1E30">
              <w:rPr>
                <w:bCs/>
                <w:sz w:val="22"/>
                <w:szCs w:val="25"/>
              </w:rPr>
              <w:t xml:space="preserve"> ktep</w:t>
            </w:r>
          </w:p>
        </w:tc>
        <w:tc>
          <w:tcPr>
            <w:tcW w:w="838" w:type="dxa"/>
            <w:tcBorders>
              <w:top w:val="single" w:sz="12" w:space="0" w:color="auto"/>
              <w:left w:val="single" w:sz="12" w:space="0" w:color="auto"/>
              <w:bottom w:val="single" w:sz="12" w:space="0" w:color="auto"/>
            </w:tcBorders>
            <w:noWrap/>
            <w:vAlign w:val="center"/>
            <w:hideMark/>
          </w:tcPr>
          <w:p w14:paraId="216C996E" w14:textId="77777777" w:rsidR="005C49B7" w:rsidRPr="004E1E30" w:rsidRDefault="005C49B7" w:rsidP="00C44462">
            <w:pPr>
              <w:spacing w:before="120" w:after="120" w:line="276" w:lineRule="auto"/>
              <w:jc w:val="center"/>
              <w:rPr>
                <w:bCs/>
                <w:sz w:val="22"/>
                <w:szCs w:val="25"/>
              </w:rPr>
            </w:pPr>
            <w:r w:rsidRPr="004E1E30">
              <w:rPr>
                <w:bCs/>
                <w:sz w:val="22"/>
                <w:szCs w:val="25"/>
              </w:rPr>
              <w:t>10%</w:t>
            </w:r>
          </w:p>
        </w:tc>
        <w:tc>
          <w:tcPr>
            <w:tcW w:w="1280" w:type="dxa"/>
            <w:tcBorders>
              <w:bottom w:val="single" w:sz="12" w:space="0" w:color="auto"/>
              <w:right w:val="single" w:sz="12" w:space="0" w:color="auto"/>
            </w:tcBorders>
            <w:noWrap/>
            <w:vAlign w:val="center"/>
            <w:hideMark/>
          </w:tcPr>
          <w:p w14:paraId="216C996F" w14:textId="33548BDD" w:rsidR="005C49B7" w:rsidRPr="004E1E30" w:rsidRDefault="005C49B7" w:rsidP="00C44462">
            <w:pPr>
              <w:spacing w:before="120" w:after="120" w:line="276" w:lineRule="auto"/>
              <w:jc w:val="center"/>
              <w:rPr>
                <w:bCs/>
                <w:sz w:val="22"/>
                <w:szCs w:val="25"/>
              </w:rPr>
            </w:pPr>
            <w:r w:rsidRPr="004E1E30">
              <w:rPr>
                <w:bCs/>
                <w:sz w:val="22"/>
                <w:szCs w:val="25"/>
              </w:rPr>
              <w:t>4</w:t>
            </w:r>
            <w:r w:rsidR="00122B01">
              <w:rPr>
                <w:bCs/>
                <w:sz w:val="22"/>
                <w:szCs w:val="25"/>
              </w:rPr>
              <w:t>1,7</w:t>
            </w:r>
            <w:r w:rsidRPr="004E1E30">
              <w:rPr>
                <w:bCs/>
                <w:sz w:val="22"/>
                <w:szCs w:val="25"/>
              </w:rPr>
              <w:t xml:space="preserve"> ktep</w:t>
            </w:r>
          </w:p>
        </w:tc>
        <w:tc>
          <w:tcPr>
            <w:tcW w:w="864" w:type="dxa"/>
            <w:tcBorders>
              <w:left w:val="single" w:sz="12" w:space="0" w:color="auto"/>
              <w:bottom w:val="single" w:sz="12" w:space="0" w:color="auto"/>
            </w:tcBorders>
            <w:noWrap/>
            <w:vAlign w:val="center"/>
            <w:hideMark/>
          </w:tcPr>
          <w:p w14:paraId="216C9970" w14:textId="77777777" w:rsidR="005C49B7" w:rsidRPr="004E1E30" w:rsidRDefault="005C49B7" w:rsidP="00C44462">
            <w:pPr>
              <w:spacing w:before="120" w:after="120" w:line="276" w:lineRule="auto"/>
              <w:jc w:val="center"/>
              <w:rPr>
                <w:bCs/>
                <w:sz w:val="22"/>
                <w:szCs w:val="25"/>
              </w:rPr>
            </w:pPr>
            <w:r w:rsidRPr="004E1E30">
              <w:rPr>
                <w:bCs/>
                <w:sz w:val="22"/>
                <w:szCs w:val="25"/>
              </w:rPr>
              <w:t>8%</w:t>
            </w:r>
          </w:p>
        </w:tc>
        <w:tc>
          <w:tcPr>
            <w:tcW w:w="1125" w:type="dxa"/>
            <w:tcBorders>
              <w:bottom w:val="single" w:sz="12" w:space="0" w:color="auto"/>
            </w:tcBorders>
            <w:noWrap/>
            <w:vAlign w:val="center"/>
            <w:hideMark/>
          </w:tcPr>
          <w:p w14:paraId="216C9971" w14:textId="4A0E5C95" w:rsidR="005C49B7" w:rsidRPr="004E1E30" w:rsidRDefault="005C49B7" w:rsidP="00C44462">
            <w:pPr>
              <w:spacing w:before="120" w:after="120" w:line="276" w:lineRule="auto"/>
              <w:jc w:val="center"/>
              <w:rPr>
                <w:bCs/>
                <w:sz w:val="22"/>
                <w:szCs w:val="25"/>
              </w:rPr>
            </w:pPr>
            <w:r w:rsidRPr="004E1E30">
              <w:rPr>
                <w:bCs/>
                <w:sz w:val="22"/>
                <w:szCs w:val="25"/>
              </w:rPr>
              <w:t>3</w:t>
            </w:r>
            <w:r w:rsidR="00122B01">
              <w:rPr>
                <w:bCs/>
                <w:sz w:val="22"/>
                <w:szCs w:val="25"/>
              </w:rPr>
              <w:t>4,7</w:t>
            </w:r>
            <w:r w:rsidRPr="004E1E30">
              <w:rPr>
                <w:bCs/>
                <w:sz w:val="22"/>
                <w:szCs w:val="25"/>
              </w:rPr>
              <w:t xml:space="preserve"> ktep</w:t>
            </w:r>
          </w:p>
        </w:tc>
      </w:tr>
    </w:tbl>
    <w:p w14:paraId="216C9973" w14:textId="7DBC5FCD" w:rsidR="000873DA" w:rsidRDefault="00715886" w:rsidP="00C44462">
      <w:pPr>
        <w:spacing w:before="120" w:after="120" w:line="276" w:lineRule="auto"/>
        <w:jc w:val="both"/>
        <w:rPr>
          <w:bCs/>
          <w:sz w:val="25"/>
          <w:szCs w:val="25"/>
          <w:lang w:val="ro-RO"/>
        </w:rPr>
      </w:pPr>
      <w:r>
        <w:rPr>
          <w:bCs/>
          <w:sz w:val="25"/>
          <w:szCs w:val="25"/>
          <w:lang w:val="ro-RO"/>
        </w:rPr>
        <w:t>C</w:t>
      </w:r>
      <w:r w:rsidR="00183767">
        <w:rPr>
          <w:bCs/>
          <w:sz w:val="25"/>
          <w:szCs w:val="25"/>
          <w:lang w:val="ro-RO"/>
        </w:rPr>
        <w:t>onform tabelului de mai sus</w:t>
      </w:r>
      <w:r w:rsidR="00F86DCA">
        <w:rPr>
          <w:bCs/>
          <w:sz w:val="25"/>
          <w:szCs w:val="25"/>
          <w:lang w:val="ro-RO"/>
        </w:rPr>
        <w:t>,</w:t>
      </w:r>
      <w:r w:rsidR="00183767">
        <w:rPr>
          <w:bCs/>
          <w:sz w:val="25"/>
          <w:szCs w:val="25"/>
          <w:lang w:val="ro-RO"/>
        </w:rPr>
        <w:t xml:space="preserve"> către</w:t>
      </w:r>
      <w:r w:rsidR="00D72206">
        <w:rPr>
          <w:bCs/>
          <w:sz w:val="25"/>
          <w:szCs w:val="25"/>
          <w:lang w:val="ro-RO"/>
        </w:rPr>
        <w:t xml:space="preserve"> anul</w:t>
      </w:r>
      <w:r w:rsidR="00183767">
        <w:rPr>
          <w:bCs/>
          <w:sz w:val="25"/>
          <w:szCs w:val="25"/>
          <w:lang w:val="ro-RO"/>
        </w:rPr>
        <w:t xml:space="preserve"> 2020</w:t>
      </w:r>
      <w:r w:rsidR="00F86DCA">
        <w:rPr>
          <w:bCs/>
          <w:sz w:val="25"/>
          <w:szCs w:val="25"/>
          <w:lang w:val="ro-RO"/>
        </w:rPr>
        <w:t>,</w:t>
      </w:r>
      <w:r w:rsidR="00E472A6">
        <w:rPr>
          <w:bCs/>
          <w:sz w:val="25"/>
          <w:szCs w:val="25"/>
          <w:lang w:val="ro-RO"/>
        </w:rPr>
        <w:t xml:space="preserve"> în Republica Moldova </w:t>
      </w:r>
      <w:r w:rsidR="00183767">
        <w:rPr>
          <w:bCs/>
          <w:sz w:val="25"/>
          <w:szCs w:val="25"/>
          <w:lang w:val="ro-RO"/>
        </w:rPr>
        <w:t>urmează a fi</w:t>
      </w:r>
      <w:r w:rsidR="007A76C1">
        <w:rPr>
          <w:bCs/>
          <w:sz w:val="25"/>
          <w:szCs w:val="25"/>
          <w:lang w:val="ro-RO"/>
        </w:rPr>
        <w:t xml:space="preserve"> introduse capacități de generare care </w:t>
      </w:r>
      <w:r w:rsidR="007F05BF">
        <w:rPr>
          <w:bCs/>
          <w:sz w:val="25"/>
          <w:szCs w:val="25"/>
          <w:lang w:val="ro-RO"/>
        </w:rPr>
        <w:t xml:space="preserve">vin să acopere </w:t>
      </w:r>
      <w:r w:rsidR="00F5076E">
        <w:rPr>
          <w:bCs/>
          <w:sz w:val="25"/>
          <w:szCs w:val="25"/>
          <w:lang w:val="ro-RO"/>
        </w:rPr>
        <w:t xml:space="preserve">valoarea restantă de 37 ktep energie electrică </w:t>
      </w:r>
      <w:r w:rsidR="000546D1">
        <w:rPr>
          <w:bCs/>
          <w:sz w:val="25"/>
          <w:szCs w:val="25"/>
          <w:lang w:val="ro-RO"/>
        </w:rPr>
        <w:t xml:space="preserve">din surse regenerabile. </w:t>
      </w:r>
      <w:r w:rsidR="00F234C1">
        <w:rPr>
          <w:bCs/>
          <w:sz w:val="25"/>
          <w:szCs w:val="25"/>
          <w:lang w:val="ro-RO"/>
        </w:rPr>
        <w:t xml:space="preserve">Astfel, </w:t>
      </w:r>
      <w:r w:rsidR="00BD3F59">
        <w:rPr>
          <w:bCs/>
          <w:sz w:val="25"/>
          <w:szCs w:val="25"/>
          <w:lang w:val="ro-RO"/>
        </w:rPr>
        <w:t xml:space="preserve">judecând din </w:t>
      </w:r>
      <w:r w:rsidR="006F596F">
        <w:rPr>
          <w:bCs/>
          <w:sz w:val="25"/>
          <w:szCs w:val="25"/>
          <w:lang w:val="ro-RO"/>
        </w:rPr>
        <w:t xml:space="preserve">perspectiva unor </w:t>
      </w:r>
      <w:r w:rsidR="00BD3F59">
        <w:rPr>
          <w:bCs/>
          <w:sz w:val="25"/>
          <w:szCs w:val="25"/>
          <w:lang w:val="ro-RO"/>
        </w:rPr>
        <w:t>considerente</w:t>
      </w:r>
      <w:r w:rsidR="006E59F6">
        <w:rPr>
          <w:bCs/>
          <w:sz w:val="25"/>
          <w:szCs w:val="25"/>
          <w:lang w:val="ro-RO"/>
        </w:rPr>
        <w:t>/ aspecte</w:t>
      </w:r>
      <w:r w:rsidR="00BD3F59">
        <w:rPr>
          <w:bCs/>
          <w:sz w:val="25"/>
          <w:szCs w:val="25"/>
          <w:lang w:val="ro-RO"/>
        </w:rPr>
        <w:t xml:space="preserve"> tehnologice</w:t>
      </w:r>
      <w:r w:rsidR="006E59F6">
        <w:rPr>
          <w:bCs/>
          <w:sz w:val="25"/>
          <w:szCs w:val="25"/>
          <w:lang w:val="ro-RO"/>
        </w:rPr>
        <w:t xml:space="preserve">, </w:t>
      </w:r>
      <w:r w:rsidR="00BD3F59">
        <w:rPr>
          <w:bCs/>
          <w:sz w:val="25"/>
          <w:szCs w:val="25"/>
          <w:lang w:val="ro-RO"/>
        </w:rPr>
        <w:t xml:space="preserve">au fost </w:t>
      </w:r>
      <w:r w:rsidR="006E59F6">
        <w:rPr>
          <w:bCs/>
          <w:sz w:val="25"/>
          <w:szCs w:val="25"/>
          <w:lang w:val="ro-RO"/>
        </w:rPr>
        <w:t xml:space="preserve">identificate următoarele propuneri pentru valorile </w:t>
      </w:r>
      <w:r w:rsidR="00EE0FBA" w:rsidRPr="00EE0FBA">
        <w:rPr>
          <w:bCs/>
          <w:sz w:val="25"/>
          <w:szCs w:val="25"/>
          <w:lang w:val="ro-RO"/>
        </w:rPr>
        <w:t>cotelor maxime și categoriilor de capacitate în domeniul energiei din surse regenerabile</w:t>
      </w:r>
      <w:r w:rsidR="006E59F6">
        <w:rPr>
          <w:bCs/>
          <w:sz w:val="25"/>
          <w:szCs w:val="25"/>
          <w:lang w:val="ro-RO"/>
        </w:rPr>
        <w:t xml:space="preserve">, după cum sunt prezentate </w:t>
      </w:r>
      <w:r w:rsidR="00EE0FBA">
        <w:rPr>
          <w:bCs/>
          <w:sz w:val="25"/>
          <w:szCs w:val="25"/>
          <w:lang w:val="ro-RO"/>
        </w:rPr>
        <w:t>în tabel</w:t>
      </w:r>
      <w:r w:rsidR="006E59F6">
        <w:rPr>
          <w:bCs/>
          <w:sz w:val="25"/>
          <w:szCs w:val="25"/>
          <w:lang w:val="ro-RO"/>
        </w:rPr>
        <w:t>ul</w:t>
      </w:r>
      <w:r w:rsidR="00EE0FBA">
        <w:rPr>
          <w:bCs/>
          <w:sz w:val="25"/>
          <w:szCs w:val="25"/>
          <w:lang w:val="ro-RO"/>
        </w:rPr>
        <w:t xml:space="preserve"> de mai jos. </w:t>
      </w:r>
    </w:p>
    <w:p w14:paraId="216C9974" w14:textId="2E5E76F2" w:rsidR="004A38BA" w:rsidRDefault="0031089C" w:rsidP="00C44462">
      <w:pPr>
        <w:spacing w:before="120" w:after="120" w:line="276" w:lineRule="auto"/>
        <w:jc w:val="both"/>
        <w:rPr>
          <w:bCs/>
          <w:sz w:val="25"/>
          <w:szCs w:val="25"/>
          <w:lang w:val="ro-RO"/>
        </w:rPr>
      </w:pPr>
      <w:r>
        <w:rPr>
          <w:b/>
          <w:bCs/>
          <w:sz w:val="24"/>
          <w:szCs w:val="25"/>
          <w:lang w:val="ro-RO"/>
        </w:rPr>
        <w:t xml:space="preserve">     </w:t>
      </w:r>
      <w:r w:rsidR="00822BAF" w:rsidRPr="00B10548">
        <w:rPr>
          <w:b/>
          <w:bCs/>
          <w:sz w:val="24"/>
          <w:szCs w:val="25"/>
          <w:lang w:val="ro-RO"/>
        </w:rPr>
        <w:t>Tabelul 2.</w:t>
      </w:r>
      <w:r w:rsidR="00822BAF" w:rsidRPr="00B10548">
        <w:rPr>
          <w:bCs/>
          <w:sz w:val="24"/>
          <w:szCs w:val="25"/>
          <w:lang w:val="ro-RO"/>
        </w:rPr>
        <w:t xml:space="preserve"> </w:t>
      </w:r>
      <w:r w:rsidR="003D1B63">
        <w:rPr>
          <w:bCs/>
          <w:sz w:val="25"/>
          <w:szCs w:val="25"/>
          <w:lang w:val="ro-RO"/>
        </w:rPr>
        <w:t>Propuneri cu privire la valorile</w:t>
      </w:r>
      <w:r w:rsidR="00204D4A">
        <w:rPr>
          <w:bCs/>
          <w:sz w:val="25"/>
          <w:szCs w:val="25"/>
          <w:lang w:val="ro-RO"/>
        </w:rPr>
        <w:t xml:space="preserve"> </w:t>
      </w:r>
      <w:r w:rsidR="00204D4A" w:rsidRPr="00204D4A">
        <w:rPr>
          <w:bCs/>
          <w:sz w:val="25"/>
          <w:szCs w:val="25"/>
          <w:lang w:val="ro-RO"/>
        </w:rPr>
        <w:t>cotelor maxime și categoriilor de capacitate</w:t>
      </w:r>
    </w:p>
    <w:tbl>
      <w:tblPr>
        <w:tblStyle w:val="Tabelgril"/>
        <w:tblW w:w="0" w:type="auto"/>
        <w:jc w:val="center"/>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2552"/>
        <w:gridCol w:w="2835"/>
        <w:gridCol w:w="1023"/>
        <w:gridCol w:w="2268"/>
      </w:tblGrid>
      <w:tr w:rsidR="007A2FBB" w:rsidRPr="004E1E30" w14:paraId="216C9981" w14:textId="77777777" w:rsidTr="00EB1D9E">
        <w:trPr>
          <w:trHeight w:val="193"/>
          <w:jc w:val="center"/>
        </w:trPr>
        <w:tc>
          <w:tcPr>
            <w:tcW w:w="2552" w:type="dxa"/>
            <w:tcBorders>
              <w:top w:val="single" w:sz="12" w:space="0" w:color="auto"/>
              <w:bottom w:val="single" w:sz="12" w:space="0" w:color="auto"/>
            </w:tcBorders>
            <w:noWrap/>
            <w:vAlign w:val="center"/>
            <w:hideMark/>
          </w:tcPr>
          <w:p w14:paraId="216C9975" w14:textId="77777777" w:rsidR="007A2FBB" w:rsidRPr="00543CED" w:rsidRDefault="007A2FBB" w:rsidP="00C44462">
            <w:pPr>
              <w:spacing w:before="120" w:after="120" w:line="276" w:lineRule="auto"/>
              <w:jc w:val="center"/>
              <w:rPr>
                <w:b/>
                <w:bCs/>
                <w:sz w:val="22"/>
                <w:szCs w:val="22"/>
                <w:lang w:val="en-US"/>
              </w:rPr>
            </w:pPr>
            <w:r w:rsidRPr="00543CED">
              <w:rPr>
                <w:b/>
                <w:bCs/>
                <w:sz w:val="22"/>
                <w:szCs w:val="22"/>
              </w:rPr>
              <w:t>Tehnologia SER</w:t>
            </w:r>
          </w:p>
        </w:tc>
        <w:tc>
          <w:tcPr>
            <w:tcW w:w="2835" w:type="dxa"/>
            <w:tcBorders>
              <w:top w:val="single" w:sz="12" w:space="0" w:color="auto"/>
              <w:bottom w:val="single" w:sz="12" w:space="0" w:color="auto"/>
            </w:tcBorders>
            <w:noWrap/>
            <w:vAlign w:val="center"/>
            <w:hideMark/>
          </w:tcPr>
          <w:p w14:paraId="216C9976" w14:textId="77777777" w:rsidR="007A2FBB" w:rsidRPr="00543CED" w:rsidRDefault="007A2FBB" w:rsidP="00C44462">
            <w:pPr>
              <w:spacing w:before="120" w:after="120" w:line="276" w:lineRule="auto"/>
              <w:jc w:val="center"/>
              <w:rPr>
                <w:b/>
                <w:bCs/>
                <w:sz w:val="22"/>
                <w:szCs w:val="22"/>
              </w:rPr>
            </w:pPr>
            <w:r w:rsidRPr="00543CED">
              <w:rPr>
                <w:b/>
                <w:bCs/>
                <w:sz w:val="22"/>
                <w:szCs w:val="22"/>
              </w:rPr>
              <w:t>Durata maximă de utilizare a puterii nominale</w:t>
            </w:r>
          </w:p>
          <w:p w14:paraId="216C9977" w14:textId="65F922D2" w:rsidR="007A2FBB" w:rsidRPr="007A2FBB" w:rsidRDefault="007A2FBB" w:rsidP="00C44462">
            <w:pPr>
              <w:spacing w:before="120" w:after="120" w:line="276" w:lineRule="auto"/>
              <w:jc w:val="center"/>
              <w:rPr>
                <w:bCs/>
                <w:i/>
                <w:sz w:val="22"/>
                <w:szCs w:val="22"/>
                <w:lang w:val="en-US"/>
              </w:rPr>
            </w:pPr>
            <w:r w:rsidRPr="007A2FBB">
              <w:rPr>
                <w:bCs/>
                <w:i/>
                <w:sz w:val="18"/>
                <w:szCs w:val="22"/>
              </w:rPr>
              <w:t>[ore/ an</w:t>
            </w:r>
            <w:r w:rsidRPr="007A2FBB">
              <w:rPr>
                <w:bCs/>
                <w:i/>
                <w:sz w:val="18"/>
                <w:szCs w:val="22"/>
                <w:lang w:val="en-US"/>
              </w:rPr>
              <w:t>]</w:t>
            </w:r>
          </w:p>
        </w:tc>
        <w:tc>
          <w:tcPr>
            <w:tcW w:w="881" w:type="dxa"/>
            <w:tcBorders>
              <w:top w:val="single" w:sz="12" w:space="0" w:color="auto"/>
              <w:bottom w:val="single" w:sz="12" w:space="0" w:color="auto"/>
            </w:tcBorders>
            <w:noWrap/>
            <w:vAlign w:val="center"/>
            <w:hideMark/>
          </w:tcPr>
          <w:p w14:paraId="216C9978" w14:textId="24E68A9F" w:rsidR="007A2FBB" w:rsidRPr="00543CED" w:rsidRDefault="007A2FBB" w:rsidP="00C44462">
            <w:pPr>
              <w:spacing w:before="120" w:after="120" w:line="276" w:lineRule="auto"/>
              <w:jc w:val="center"/>
              <w:rPr>
                <w:b/>
                <w:bCs/>
                <w:sz w:val="22"/>
                <w:szCs w:val="22"/>
              </w:rPr>
            </w:pPr>
            <w:r w:rsidRPr="00543CED">
              <w:rPr>
                <w:b/>
                <w:bCs/>
                <w:sz w:val="22"/>
                <w:szCs w:val="22"/>
              </w:rPr>
              <w:t>Puterea instalată</w:t>
            </w:r>
          </w:p>
          <w:p w14:paraId="216C9979" w14:textId="54387B65" w:rsidR="007A2FBB" w:rsidRPr="007A2FBB" w:rsidRDefault="007A2FBB" w:rsidP="00C44462">
            <w:pPr>
              <w:spacing w:before="120" w:after="120" w:line="276" w:lineRule="auto"/>
              <w:jc w:val="center"/>
              <w:rPr>
                <w:bCs/>
                <w:i/>
                <w:sz w:val="22"/>
                <w:szCs w:val="22"/>
              </w:rPr>
            </w:pPr>
            <w:r w:rsidRPr="007A2FBB">
              <w:rPr>
                <w:bCs/>
                <w:i/>
                <w:sz w:val="18"/>
                <w:szCs w:val="22"/>
              </w:rPr>
              <w:t>[MW]</w:t>
            </w:r>
          </w:p>
        </w:tc>
        <w:tc>
          <w:tcPr>
            <w:tcW w:w="2268" w:type="dxa"/>
            <w:tcBorders>
              <w:top w:val="single" w:sz="12" w:space="0" w:color="auto"/>
              <w:bottom w:val="single" w:sz="12" w:space="0" w:color="auto"/>
            </w:tcBorders>
            <w:noWrap/>
            <w:vAlign w:val="center"/>
            <w:hideMark/>
          </w:tcPr>
          <w:p w14:paraId="216C997A" w14:textId="77777777" w:rsidR="007A2FBB" w:rsidRPr="00543CED" w:rsidRDefault="007A2FBB" w:rsidP="00C44462">
            <w:pPr>
              <w:spacing w:before="120" w:after="120" w:line="276" w:lineRule="auto"/>
              <w:jc w:val="center"/>
              <w:rPr>
                <w:b/>
                <w:bCs/>
                <w:sz w:val="22"/>
                <w:szCs w:val="22"/>
              </w:rPr>
            </w:pPr>
            <w:r w:rsidRPr="00543CED">
              <w:rPr>
                <w:b/>
                <w:bCs/>
                <w:sz w:val="22"/>
                <w:szCs w:val="22"/>
              </w:rPr>
              <w:t>Cantitatea de energie electrică generată</w:t>
            </w:r>
          </w:p>
          <w:p w14:paraId="216C997B" w14:textId="016CA89C" w:rsidR="007A2FBB" w:rsidRPr="007A2FBB" w:rsidRDefault="007A2FBB" w:rsidP="00C44462">
            <w:pPr>
              <w:spacing w:before="120" w:after="120" w:line="276" w:lineRule="auto"/>
              <w:jc w:val="center"/>
              <w:rPr>
                <w:bCs/>
                <w:i/>
                <w:sz w:val="22"/>
                <w:szCs w:val="22"/>
              </w:rPr>
            </w:pPr>
            <w:r w:rsidRPr="007A2FBB">
              <w:rPr>
                <w:bCs/>
                <w:i/>
                <w:sz w:val="18"/>
                <w:szCs w:val="22"/>
              </w:rPr>
              <w:t>[MWh]</w:t>
            </w:r>
          </w:p>
        </w:tc>
      </w:tr>
      <w:tr w:rsidR="007A2FBB" w:rsidRPr="004E1E30" w14:paraId="216C9988" w14:textId="77777777" w:rsidTr="00EB1D9E">
        <w:trPr>
          <w:trHeight w:val="567"/>
          <w:jc w:val="center"/>
        </w:trPr>
        <w:tc>
          <w:tcPr>
            <w:tcW w:w="2552" w:type="dxa"/>
            <w:tcBorders>
              <w:top w:val="single" w:sz="12" w:space="0" w:color="auto"/>
            </w:tcBorders>
            <w:noWrap/>
            <w:vAlign w:val="center"/>
            <w:hideMark/>
          </w:tcPr>
          <w:p w14:paraId="216C9982" w14:textId="0DC888DC" w:rsidR="007A2FBB" w:rsidRPr="003D1B63" w:rsidRDefault="007A2FBB" w:rsidP="00C44462">
            <w:pPr>
              <w:spacing w:before="120" w:after="120" w:line="276" w:lineRule="auto"/>
              <w:rPr>
                <w:bCs/>
                <w:sz w:val="22"/>
                <w:szCs w:val="22"/>
              </w:rPr>
            </w:pPr>
            <w:r w:rsidRPr="003D1B63">
              <w:rPr>
                <w:sz w:val="22"/>
                <w:szCs w:val="28"/>
                <w:lang w:val="ro-RO"/>
              </w:rPr>
              <w:t>Instalații EOLIENE</w:t>
            </w:r>
          </w:p>
        </w:tc>
        <w:tc>
          <w:tcPr>
            <w:tcW w:w="2835" w:type="dxa"/>
            <w:tcBorders>
              <w:top w:val="single" w:sz="12" w:space="0" w:color="auto"/>
            </w:tcBorders>
            <w:noWrap/>
            <w:vAlign w:val="center"/>
            <w:hideMark/>
          </w:tcPr>
          <w:p w14:paraId="216C9983" w14:textId="750B2C33" w:rsidR="007A2FBB" w:rsidRPr="004E1E30" w:rsidRDefault="007A2FBB" w:rsidP="00C44462">
            <w:pPr>
              <w:spacing w:before="120" w:after="120" w:line="276" w:lineRule="auto"/>
              <w:jc w:val="center"/>
              <w:rPr>
                <w:bCs/>
                <w:sz w:val="22"/>
                <w:szCs w:val="22"/>
              </w:rPr>
            </w:pPr>
            <w:r>
              <w:rPr>
                <w:bCs/>
                <w:sz w:val="22"/>
                <w:szCs w:val="22"/>
              </w:rPr>
              <w:t>2300-</w:t>
            </w:r>
            <w:r w:rsidRPr="004E1E30">
              <w:rPr>
                <w:bCs/>
                <w:sz w:val="22"/>
                <w:szCs w:val="22"/>
              </w:rPr>
              <w:t>2500</w:t>
            </w:r>
          </w:p>
        </w:tc>
        <w:tc>
          <w:tcPr>
            <w:tcW w:w="881" w:type="dxa"/>
            <w:tcBorders>
              <w:top w:val="single" w:sz="12" w:space="0" w:color="auto"/>
            </w:tcBorders>
            <w:noWrap/>
            <w:vAlign w:val="center"/>
            <w:hideMark/>
          </w:tcPr>
          <w:p w14:paraId="216C9984" w14:textId="77777777" w:rsidR="007A2FBB" w:rsidRPr="004E1E30" w:rsidRDefault="007A2FBB" w:rsidP="00C44462">
            <w:pPr>
              <w:spacing w:before="120" w:after="120" w:line="276" w:lineRule="auto"/>
              <w:jc w:val="center"/>
              <w:rPr>
                <w:bCs/>
                <w:sz w:val="22"/>
                <w:szCs w:val="22"/>
              </w:rPr>
            </w:pPr>
            <w:r w:rsidRPr="004E1E30">
              <w:rPr>
                <w:bCs/>
                <w:sz w:val="22"/>
                <w:szCs w:val="22"/>
              </w:rPr>
              <w:t>100</w:t>
            </w:r>
          </w:p>
        </w:tc>
        <w:tc>
          <w:tcPr>
            <w:tcW w:w="2268" w:type="dxa"/>
            <w:tcBorders>
              <w:top w:val="single" w:sz="12" w:space="0" w:color="auto"/>
            </w:tcBorders>
            <w:noWrap/>
            <w:vAlign w:val="center"/>
            <w:hideMark/>
          </w:tcPr>
          <w:p w14:paraId="216C9985" w14:textId="730047D7" w:rsidR="007A2FBB" w:rsidRPr="004E1E30" w:rsidRDefault="007A2FBB" w:rsidP="00C44462">
            <w:pPr>
              <w:spacing w:before="120" w:after="120" w:line="276" w:lineRule="auto"/>
              <w:ind w:right="265"/>
              <w:jc w:val="right"/>
              <w:rPr>
                <w:bCs/>
                <w:sz w:val="22"/>
                <w:szCs w:val="22"/>
              </w:rPr>
            </w:pPr>
            <w:r w:rsidRPr="004E1E30">
              <w:rPr>
                <w:bCs/>
                <w:sz w:val="22"/>
                <w:szCs w:val="22"/>
              </w:rPr>
              <w:t>250</w:t>
            </w:r>
            <w:r>
              <w:rPr>
                <w:bCs/>
                <w:sz w:val="22"/>
                <w:szCs w:val="22"/>
              </w:rPr>
              <w:t>.</w:t>
            </w:r>
            <w:r w:rsidRPr="004E1E30">
              <w:rPr>
                <w:bCs/>
                <w:sz w:val="22"/>
                <w:szCs w:val="22"/>
              </w:rPr>
              <w:t>000</w:t>
            </w:r>
          </w:p>
        </w:tc>
      </w:tr>
      <w:tr w:rsidR="007A2FBB" w:rsidRPr="004E1E30" w14:paraId="216C998F" w14:textId="77777777" w:rsidTr="00EB1D9E">
        <w:trPr>
          <w:trHeight w:val="168"/>
          <w:jc w:val="center"/>
        </w:trPr>
        <w:tc>
          <w:tcPr>
            <w:tcW w:w="2552" w:type="dxa"/>
            <w:noWrap/>
            <w:vAlign w:val="center"/>
            <w:hideMark/>
          </w:tcPr>
          <w:p w14:paraId="216C9989" w14:textId="16F6187E" w:rsidR="007A2FBB" w:rsidRPr="003D1B63" w:rsidRDefault="007A2FBB" w:rsidP="00C44462">
            <w:pPr>
              <w:spacing w:before="120" w:after="120" w:line="276" w:lineRule="auto"/>
              <w:rPr>
                <w:bCs/>
                <w:sz w:val="22"/>
                <w:szCs w:val="22"/>
              </w:rPr>
            </w:pPr>
            <w:r w:rsidRPr="003D1B63">
              <w:rPr>
                <w:sz w:val="22"/>
                <w:szCs w:val="28"/>
                <w:lang w:val="ro-RO"/>
              </w:rPr>
              <w:t>Instalații SOLARE PV (fotovoltaice)</w:t>
            </w:r>
          </w:p>
        </w:tc>
        <w:tc>
          <w:tcPr>
            <w:tcW w:w="2835" w:type="dxa"/>
            <w:noWrap/>
            <w:vAlign w:val="center"/>
            <w:hideMark/>
          </w:tcPr>
          <w:p w14:paraId="216C998A" w14:textId="77777777" w:rsidR="007A2FBB" w:rsidRPr="004E1E30" w:rsidRDefault="007A2FBB" w:rsidP="00C44462">
            <w:pPr>
              <w:spacing w:before="120" w:after="120" w:line="276" w:lineRule="auto"/>
              <w:jc w:val="center"/>
              <w:rPr>
                <w:bCs/>
                <w:sz w:val="22"/>
                <w:szCs w:val="22"/>
              </w:rPr>
            </w:pPr>
            <w:r w:rsidRPr="004E1E30">
              <w:rPr>
                <w:bCs/>
                <w:sz w:val="22"/>
                <w:szCs w:val="22"/>
              </w:rPr>
              <w:t>1200</w:t>
            </w:r>
          </w:p>
        </w:tc>
        <w:tc>
          <w:tcPr>
            <w:tcW w:w="881" w:type="dxa"/>
            <w:noWrap/>
            <w:vAlign w:val="center"/>
            <w:hideMark/>
          </w:tcPr>
          <w:p w14:paraId="216C998B" w14:textId="77777777" w:rsidR="007A2FBB" w:rsidRPr="004E1E30" w:rsidRDefault="007A2FBB" w:rsidP="00C44462">
            <w:pPr>
              <w:spacing w:before="120" w:after="120" w:line="276" w:lineRule="auto"/>
              <w:jc w:val="center"/>
              <w:rPr>
                <w:bCs/>
                <w:sz w:val="22"/>
                <w:szCs w:val="22"/>
              </w:rPr>
            </w:pPr>
            <w:r w:rsidRPr="004E1E30">
              <w:rPr>
                <w:bCs/>
                <w:sz w:val="22"/>
                <w:szCs w:val="22"/>
              </w:rPr>
              <w:t>40</w:t>
            </w:r>
          </w:p>
        </w:tc>
        <w:tc>
          <w:tcPr>
            <w:tcW w:w="2268" w:type="dxa"/>
            <w:noWrap/>
            <w:vAlign w:val="center"/>
            <w:hideMark/>
          </w:tcPr>
          <w:p w14:paraId="216C998C" w14:textId="38C5837D" w:rsidR="007A2FBB" w:rsidRPr="004E1E30" w:rsidRDefault="007A2FBB" w:rsidP="00C44462">
            <w:pPr>
              <w:spacing w:before="120" w:after="120" w:line="276" w:lineRule="auto"/>
              <w:ind w:right="265"/>
              <w:jc w:val="right"/>
              <w:rPr>
                <w:bCs/>
                <w:sz w:val="22"/>
                <w:szCs w:val="22"/>
              </w:rPr>
            </w:pPr>
            <w:r w:rsidRPr="004E1E30">
              <w:rPr>
                <w:bCs/>
                <w:sz w:val="22"/>
                <w:szCs w:val="22"/>
              </w:rPr>
              <w:t>48</w:t>
            </w:r>
            <w:r>
              <w:rPr>
                <w:bCs/>
                <w:sz w:val="22"/>
                <w:szCs w:val="22"/>
              </w:rPr>
              <w:t>.</w:t>
            </w:r>
            <w:r w:rsidRPr="004E1E30">
              <w:rPr>
                <w:bCs/>
                <w:sz w:val="22"/>
                <w:szCs w:val="22"/>
              </w:rPr>
              <w:t>000</w:t>
            </w:r>
          </w:p>
        </w:tc>
      </w:tr>
      <w:tr w:rsidR="007A2FBB" w:rsidRPr="004E1E30" w14:paraId="216C9996" w14:textId="77777777" w:rsidTr="00EB1D9E">
        <w:trPr>
          <w:trHeight w:val="567"/>
          <w:jc w:val="center"/>
        </w:trPr>
        <w:tc>
          <w:tcPr>
            <w:tcW w:w="2552" w:type="dxa"/>
            <w:noWrap/>
            <w:vAlign w:val="center"/>
            <w:hideMark/>
          </w:tcPr>
          <w:p w14:paraId="216C9990" w14:textId="440328E8" w:rsidR="007A2FBB" w:rsidRPr="003D1B63" w:rsidRDefault="007A2FBB" w:rsidP="00C44462">
            <w:pPr>
              <w:spacing w:before="120" w:after="120" w:line="276" w:lineRule="auto"/>
              <w:rPr>
                <w:bCs/>
                <w:sz w:val="22"/>
                <w:szCs w:val="22"/>
              </w:rPr>
            </w:pPr>
            <w:r w:rsidRPr="003D1B63">
              <w:rPr>
                <w:sz w:val="22"/>
                <w:szCs w:val="28"/>
                <w:lang w:val="ro-RO"/>
              </w:rPr>
              <w:t>Instalații de BIOGAZ</w:t>
            </w:r>
          </w:p>
        </w:tc>
        <w:tc>
          <w:tcPr>
            <w:tcW w:w="2835" w:type="dxa"/>
            <w:noWrap/>
            <w:vAlign w:val="center"/>
            <w:hideMark/>
          </w:tcPr>
          <w:p w14:paraId="216C9991" w14:textId="5C943A83" w:rsidR="007A2FBB" w:rsidRPr="004E1E30" w:rsidRDefault="007A2FBB" w:rsidP="00C44462">
            <w:pPr>
              <w:spacing w:before="120" w:after="120" w:line="276" w:lineRule="auto"/>
              <w:jc w:val="center"/>
              <w:rPr>
                <w:bCs/>
                <w:sz w:val="22"/>
                <w:szCs w:val="22"/>
              </w:rPr>
            </w:pPr>
            <w:r>
              <w:rPr>
                <w:bCs/>
                <w:sz w:val="22"/>
                <w:szCs w:val="22"/>
              </w:rPr>
              <w:t>4000-</w:t>
            </w:r>
            <w:r w:rsidRPr="004E1E30">
              <w:rPr>
                <w:bCs/>
                <w:sz w:val="22"/>
                <w:szCs w:val="22"/>
              </w:rPr>
              <w:t>5000</w:t>
            </w:r>
          </w:p>
        </w:tc>
        <w:tc>
          <w:tcPr>
            <w:tcW w:w="881" w:type="dxa"/>
            <w:noWrap/>
            <w:vAlign w:val="center"/>
            <w:hideMark/>
          </w:tcPr>
          <w:p w14:paraId="216C9992" w14:textId="77777777" w:rsidR="007A2FBB" w:rsidRPr="004E1E30" w:rsidRDefault="007A2FBB" w:rsidP="00C44462">
            <w:pPr>
              <w:spacing w:before="120" w:after="120" w:line="276" w:lineRule="auto"/>
              <w:jc w:val="center"/>
              <w:rPr>
                <w:bCs/>
                <w:sz w:val="22"/>
                <w:szCs w:val="22"/>
              </w:rPr>
            </w:pPr>
            <w:r w:rsidRPr="004E1E30">
              <w:rPr>
                <w:bCs/>
                <w:sz w:val="22"/>
                <w:szCs w:val="22"/>
              </w:rPr>
              <w:t>20</w:t>
            </w:r>
          </w:p>
        </w:tc>
        <w:tc>
          <w:tcPr>
            <w:tcW w:w="2268" w:type="dxa"/>
            <w:noWrap/>
            <w:vAlign w:val="center"/>
            <w:hideMark/>
          </w:tcPr>
          <w:p w14:paraId="216C9993" w14:textId="4BA0F3FC" w:rsidR="007A2FBB" w:rsidRPr="004E1E30" w:rsidRDefault="007A2FBB" w:rsidP="00C44462">
            <w:pPr>
              <w:spacing w:before="120" w:after="120" w:line="276" w:lineRule="auto"/>
              <w:ind w:right="265"/>
              <w:jc w:val="right"/>
              <w:rPr>
                <w:bCs/>
                <w:sz w:val="22"/>
                <w:szCs w:val="22"/>
              </w:rPr>
            </w:pPr>
            <w:r w:rsidRPr="004E1E30">
              <w:rPr>
                <w:bCs/>
                <w:sz w:val="22"/>
                <w:szCs w:val="22"/>
              </w:rPr>
              <w:t>100</w:t>
            </w:r>
            <w:r>
              <w:rPr>
                <w:bCs/>
                <w:sz w:val="22"/>
                <w:szCs w:val="22"/>
              </w:rPr>
              <w:t>.</w:t>
            </w:r>
            <w:r w:rsidRPr="004E1E30">
              <w:rPr>
                <w:bCs/>
                <w:sz w:val="22"/>
                <w:szCs w:val="22"/>
              </w:rPr>
              <w:t>000</w:t>
            </w:r>
          </w:p>
        </w:tc>
      </w:tr>
      <w:tr w:rsidR="007A2FBB" w:rsidRPr="004E1E30" w14:paraId="216C999D" w14:textId="77777777" w:rsidTr="00EB1D9E">
        <w:trPr>
          <w:trHeight w:val="567"/>
          <w:jc w:val="center"/>
        </w:trPr>
        <w:tc>
          <w:tcPr>
            <w:tcW w:w="2552" w:type="dxa"/>
            <w:noWrap/>
            <w:vAlign w:val="center"/>
            <w:hideMark/>
          </w:tcPr>
          <w:p w14:paraId="1E9DD2E7" w14:textId="77777777" w:rsidR="007A2FBB" w:rsidRPr="003D1B63" w:rsidRDefault="007A2FBB" w:rsidP="00C44462">
            <w:pPr>
              <w:spacing w:before="120" w:after="120"/>
              <w:rPr>
                <w:sz w:val="22"/>
                <w:szCs w:val="28"/>
                <w:lang w:val="ro-RO"/>
              </w:rPr>
            </w:pPr>
            <w:r w:rsidRPr="003D1B63">
              <w:rPr>
                <w:sz w:val="22"/>
                <w:szCs w:val="28"/>
                <w:lang w:val="ro-RO"/>
              </w:rPr>
              <w:t>Instalații în COGENERARE</w:t>
            </w:r>
          </w:p>
          <w:p w14:paraId="216C9997" w14:textId="2A77F778" w:rsidR="007A2FBB" w:rsidRPr="003D1B63" w:rsidRDefault="007A2FBB" w:rsidP="00C44462">
            <w:pPr>
              <w:spacing w:before="120" w:after="120" w:line="276" w:lineRule="auto"/>
              <w:rPr>
                <w:bCs/>
                <w:sz w:val="22"/>
                <w:szCs w:val="22"/>
              </w:rPr>
            </w:pPr>
            <w:r w:rsidRPr="003D1B63">
              <w:rPr>
                <w:sz w:val="22"/>
                <w:szCs w:val="28"/>
                <w:lang w:val="ro-RO"/>
              </w:rPr>
              <w:t>(pe bio</w:t>
            </w:r>
            <w:r w:rsidR="00EB1D9E">
              <w:rPr>
                <w:sz w:val="22"/>
                <w:szCs w:val="28"/>
                <w:lang w:val="ro-RO"/>
              </w:rPr>
              <w:t>combustibil solid</w:t>
            </w:r>
            <w:r w:rsidRPr="003D1B63">
              <w:rPr>
                <w:sz w:val="22"/>
                <w:szCs w:val="28"/>
                <w:lang w:val="ro-RO"/>
              </w:rPr>
              <w:t>)</w:t>
            </w:r>
          </w:p>
        </w:tc>
        <w:tc>
          <w:tcPr>
            <w:tcW w:w="2835" w:type="dxa"/>
            <w:noWrap/>
            <w:vAlign w:val="center"/>
            <w:hideMark/>
          </w:tcPr>
          <w:p w14:paraId="216C9998" w14:textId="79DA2F8F" w:rsidR="007A2FBB" w:rsidRPr="004E1E30" w:rsidRDefault="007A2FBB" w:rsidP="00C44462">
            <w:pPr>
              <w:spacing w:before="120" w:after="120" w:line="276" w:lineRule="auto"/>
              <w:jc w:val="center"/>
              <w:rPr>
                <w:sz w:val="22"/>
                <w:szCs w:val="22"/>
              </w:rPr>
            </w:pPr>
            <w:r>
              <w:rPr>
                <w:sz w:val="22"/>
                <w:szCs w:val="22"/>
              </w:rPr>
              <w:t>4000-</w:t>
            </w:r>
            <w:r w:rsidRPr="004E1E30">
              <w:rPr>
                <w:sz w:val="22"/>
                <w:szCs w:val="22"/>
              </w:rPr>
              <w:t>5000</w:t>
            </w:r>
          </w:p>
        </w:tc>
        <w:tc>
          <w:tcPr>
            <w:tcW w:w="881" w:type="dxa"/>
            <w:noWrap/>
            <w:vAlign w:val="center"/>
            <w:hideMark/>
          </w:tcPr>
          <w:p w14:paraId="216C9999" w14:textId="77777777" w:rsidR="007A2FBB" w:rsidRPr="004E1E30" w:rsidRDefault="007A2FBB" w:rsidP="00C44462">
            <w:pPr>
              <w:spacing w:before="120" w:after="120" w:line="276" w:lineRule="auto"/>
              <w:jc w:val="center"/>
              <w:rPr>
                <w:sz w:val="22"/>
                <w:szCs w:val="22"/>
              </w:rPr>
            </w:pPr>
            <w:r w:rsidRPr="004E1E30">
              <w:rPr>
                <w:sz w:val="22"/>
                <w:szCs w:val="22"/>
              </w:rPr>
              <w:t>5</w:t>
            </w:r>
          </w:p>
        </w:tc>
        <w:tc>
          <w:tcPr>
            <w:tcW w:w="2268" w:type="dxa"/>
            <w:noWrap/>
            <w:vAlign w:val="center"/>
            <w:hideMark/>
          </w:tcPr>
          <w:p w14:paraId="216C999A" w14:textId="72B1BB1C" w:rsidR="007A2FBB" w:rsidRPr="004E1E30" w:rsidRDefault="007A2FBB" w:rsidP="00C44462">
            <w:pPr>
              <w:spacing w:before="120" w:after="120" w:line="276" w:lineRule="auto"/>
              <w:ind w:right="265"/>
              <w:jc w:val="right"/>
              <w:rPr>
                <w:sz w:val="22"/>
                <w:szCs w:val="22"/>
              </w:rPr>
            </w:pPr>
            <w:r w:rsidRPr="004E1E30">
              <w:rPr>
                <w:sz w:val="22"/>
                <w:szCs w:val="22"/>
              </w:rPr>
              <w:t>25</w:t>
            </w:r>
            <w:r>
              <w:rPr>
                <w:sz w:val="22"/>
                <w:szCs w:val="22"/>
              </w:rPr>
              <w:t>.</w:t>
            </w:r>
            <w:r w:rsidRPr="004E1E30">
              <w:rPr>
                <w:sz w:val="22"/>
                <w:szCs w:val="22"/>
              </w:rPr>
              <w:t>000</w:t>
            </w:r>
          </w:p>
        </w:tc>
      </w:tr>
      <w:tr w:rsidR="007A2FBB" w:rsidRPr="004E1E30" w14:paraId="216C99A4" w14:textId="77777777" w:rsidTr="00EB1D9E">
        <w:trPr>
          <w:trHeight w:val="567"/>
          <w:jc w:val="center"/>
        </w:trPr>
        <w:tc>
          <w:tcPr>
            <w:tcW w:w="2552" w:type="dxa"/>
            <w:tcBorders>
              <w:bottom w:val="single" w:sz="12" w:space="0" w:color="auto"/>
            </w:tcBorders>
            <w:noWrap/>
            <w:vAlign w:val="center"/>
            <w:hideMark/>
          </w:tcPr>
          <w:p w14:paraId="216C999E" w14:textId="62A40B27" w:rsidR="007A2FBB" w:rsidRPr="003D1B63" w:rsidRDefault="007A2FBB" w:rsidP="00C44462">
            <w:pPr>
              <w:spacing w:before="120" w:after="120" w:line="276" w:lineRule="auto"/>
              <w:rPr>
                <w:bCs/>
                <w:sz w:val="22"/>
                <w:szCs w:val="22"/>
              </w:rPr>
            </w:pPr>
            <w:r w:rsidRPr="003D1B63">
              <w:rPr>
                <w:sz w:val="22"/>
                <w:szCs w:val="28"/>
                <w:lang w:val="ro-RO"/>
              </w:rPr>
              <w:t>Instalații HIDRO</w:t>
            </w:r>
          </w:p>
        </w:tc>
        <w:tc>
          <w:tcPr>
            <w:tcW w:w="2835" w:type="dxa"/>
            <w:tcBorders>
              <w:bottom w:val="single" w:sz="12" w:space="0" w:color="auto"/>
            </w:tcBorders>
            <w:noWrap/>
            <w:vAlign w:val="center"/>
            <w:hideMark/>
          </w:tcPr>
          <w:p w14:paraId="216C999F" w14:textId="77777777" w:rsidR="007A2FBB" w:rsidRPr="004E1E30" w:rsidRDefault="007A2FBB" w:rsidP="00C44462">
            <w:pPr>
              <w:spacing w:before="120" w:after="120" w:line="276" w:lineRule="auto"/>
              <w:jc w:val="center"/>
              <w:rPr>
                <w:bCs/>
                <w:sz w:val="22"/>
                <w:szCs w:val="22"/>
              </w:rPr>
            </w:pPr>
            <w:r w:rsidRPr="004E1E30">
              <w:rPr>
                <w:bCs/>
                <w:sz w:val="22"/>
                <w:szCs w:val="22"/>
              </w:rPr>
              <w:t>2400</w:t>
            </w:r>
          </w:p>
        </w:tc>
        <w:tc>
          <w:tcPr>
            <w:tcW w:w="881" w:type="dxa"/>
            <w:tcBorders>
              <w:bottom w:val="single" w:sz="12" w:space="0" w:color="auto"/>
            </w:tcBorders>
            <w:noWrap/>
            <w:vAlign w:val="center"/>
            <w:hideMark/>
          </w:tcPr>
          <w:p w14:paraId="216C99A0" w14:textId="77777777" w:rsidR="007A2FBB" w:rsidRPr="004E1E30" w:rsidRDefault="007A2FBB" w:rsidP="00C44462">
            <w:pPr>
              <w:spacing w:before="120" w:after="120" w:line="276" w:lineRule="auto"/>
              <w:jc w:val="center"/>
              <w:rPr>
                <w:bCs/>
                <w:sz w:val="22"/>
                <w:szCs w:val="22"/>
              </w:rPr>
            </w:pPr>
            <w:r w:rsidRPr="004E1E30">
              <w:rPr>
                <w:bCs/>
                <w:sz w:val="22"/>
                <w:szCs w:val="22"/>
              </w:rPr>
              <w:t>3</w:t>
            </w:r>
          </w:p>
        </w:tc>
        <w:tc>
          <w:tcPr>
            <w:tcW w:w="2268" w:type="dxa"/>
            <w:noWrap/>
            <w:vAlign w:val="center"/>
            <w:hideMark/>
          </w:tcPr>
          <w:p w14:paraId="216C99A1" w14:textId="05593015" w:rsidR="007A2FBB" w:rsidRPr="004E1E30" w:rsidRDefault="007A2FBB" w:rsidP="00C44462">
            <w:pPr>
              <w:spacing w:before="120" w:after="120" w:line="276" w:lineRule="auto"/>
              <w:ind w:right="265"/>
              <w:jc w:val="right"/>
              <w:rPr>
                <w:bCs/>
                <w:sz w:val="22"/>
                <w:szCs w:val="22"/>
              </w:rPr>
            </w:pPr>
            <w:r w:rsidRPr="004E1E30">
              <w:rPr>
                <w:bCs/>
                <w:sz w:val="22"/>
                <w:szCs w:val="22"/>
              </w:rPr>
              <w:t>7</w:t>
            </w:r>
            <w:r>
              <w:rPr>
                <w:bCs/>
                <w:sz w:val="22"/>
                <w:szCs w:val="22"/>
              </w:rPr>
              <w:t>.</w:t>
            </w:r>
            <w:r w:rsidRPr="004E1E30">
              <w:rPr>
                <w:bCs/>
                <w:sz w:val="22"/>
                <w:szCs w:val="22"/>
              </w:rPr>
              <w:t>200</w:t>
            </w:r>
          </w:p>
        </w:tc>
      </w:tr>
      <w:tr w:rsidR="007A2FBB" w:rsidRPr="004E1E30" w14:paraId="216C99A8" w14:textId="1E23EC69" w:rsidTr="00EB1D9E">
        <w:trPr>
          <w:trHeight w:val="567"/>
          <w:jc w:val="center"/>
        </w:trPr>
        <w:tc>
          <w:tcPr>
            <w:tcW w:w="5387" w:type="dxa"/>
            <w:gridSpan w:val="2"/>
            <w:tcBorders>
              <w:top w:val="single" w:sz="12" w:space="0" w:color="auto"/>
              <w:bottom w:val="single" w:sz="12" w:space="0" w:color="auto"/>
            </w:tcBorders>
            <w:noWrap/>
            <w:vAlign w:val="center"/>
          </w:tcPr>
          <w:p w14:paraId="216C99A5" w14:textId="01848CB4" w:rsidR="007A2FBB" w:rsidRPr="004E1E30" w:rsidRDefault="007A2FBB" w:rsidP="00C44462">
            <w:pPr>
              <w:spacing w:before="120" w:after="120" w:line="276" w:lineRule="auto"/>
              <w:jc w:val="center"/>
              <w:rPr>
                <w:b/>
                <w:bCs/>
                <w:sz w:val="22"/>
                <w:szCs w:val="22"/>
              </w:rPr>
            </w:pPr>
            <w:r w:rsidRPr="004E1E30">
              <w:rPr>
                <w:b/>
                <w:bCs/>
                <w:sz w:val="22"/>
                <w:szCs w:val="22"/>
              </w:rPr>
              <w:t>TOTAL putere instalată</w:t>
            </w:r>
          </w:p>
        </w:tc>
        <w:tc>
          <w:tcPr>
            <w:tcW w:w="881" w:type="dxa"/>
            <w:tcBorders>
              <w:top w:val="single" w:sz="12" w:space="0" w:color="auto"/>
              <w:bottom w:val="single" w:sz="12" w:space="0" w:color="auto"/>
            </w:tcBorders>
            <w:noWrap/>
            <w:vAlign w:val="center"/>
          </w:tcPr>
          <w:p w14:paraId="216C99A6" w14:textId="77777777" w:rsidR="007A2FBB" w:rsidRPr="004E1E30" w:rsidRDefault="007A2FBB" w:rsidP="00C44462">
            <w:pPr>
              <w:spacing w:before="120" w:after="120" w:line="276" w:lineRule="auto"/>
              <w:jc w:val="center"/>
              <w:rPr>
                <w:b/>
                <w:bCs/>
                <w:sz w:val="22"/>
                <w:szCs w:val="22"/>
              </w:rPr>
            </w:pPr>
            <w:r w:rsidRPr="004E1E30">
              <w:rPr>
                <w:b/>
                <w:bCs/>
                <w:sz w:val="22"/>
                <w:szCs w:val="22"/>
              </w:rPr>
              <w:t>168</w:t>
            </w:r>
          </w:p>
        </w:tc>
        <w:tc>
          <w:tcPr>
            <w:tcW w:w="2268" w:type="dxa"/>
            <w:tcBorders>
              <w:top w:val="single" w:sz="12" w:space="0" w:color="auto"/>
              <w:bottom w:val="single" w:sz="12" w:space="0" w:color="auto"/>
            </w:tcBorders>
            <w:noWrap/>
            <w:vAlign w:val="center"/>
          </w:tcPr>
          <w:p w14:paraId="216C99A7" w14:textId="59936FA6" w:rsidR="007A2FBB" w:rsidRPr="004E1E30" w:rsidRDefault="007A2FBB" w:rsidP="00C44462">
            <w:pPr>
              <w:spacing w:before="120" w:after="120" w:line="276" w:lineRule="auto"/>
              <w:ind w:right="308"/>
              <w:jc w:val="right"/>
              <w:rPr>
                <w:b/>
                <w:bCs/>
                <w:sz w:val="22"/>
                <w:szCs w:val="22"/>
              </w:rPr>
            </w:pPr>
            <w:r>
              <w:rPr>
                <w:b/>
                <w:bCs/>
                <w:sz w:val="22"/>
                <w:szCs w:val="22"/>
              </w:rPr>
              <w:t>430.200</w:t>
            </w:r>
          </w:p>
        </w:tc>
      </w:tr>
    </w:tbl>
    <w:p w14:paraId="216C99DC" w14:textId="204202E4" w:rsidR="00B34591" w:rsidRDefault="0031089C" w:rsidP="00C44462">
      <w:pPr>
        <w:spacing w:before="120" w:after="120" w:line="276" w:lineRule="auto"/>
        <w:jc w:val="both"/>
        <w:rPr>
          <w:bCs/>
          <w:sz w:val="25"/>
          <w:szCs w:val="25"/>
          <w:lang w:val="ro-RO"/>
        </w:rPr>
      </w:pPr>
      <w:r>
        <w:rPr>
          <w:bCs/>
          <w:sz w:val="25"/>
          <w:szCs w:val="25"/>
          <w:lang w:val="ro-RO"/>
        </w:rPr>
        <w:t>Așadar, calculele de mai sus relevă faptul că o capacitate de 168 MW, alocată pe tehnologii în maniera descrisă mai sus, ar permite generarea a 37 ktep – valoarea suficientă pentru atingerea obiectivului național. De precizat că, în exercițiul de stabilire a c</w:t>
      </w:r>
      <w:r w:rsidR="00957144">
        <w:rPr>
          <w:bCs/>
          <w:sz w:val="25"/>
          <w:szCs w:val="25"/>
          <w:lang w:val="ro-RO"/>
        </w:rPr>
        <w:t>otel</w:t>
      </w:r>
      <w:r>
        <w:rPr>
          <w:bCs/>
          <w:sz w:val="25"/>
          <w:szCs w:val="25"/>
          <w:lang w:val="ro-RO"/>
        </w:rPr>
        <w:t>or</w:t>
      </w:r>
      <w:r w:rsidR="00B64D76">
        <w:rPr>
          <w:bCs/>
          <w:sz w:val="25"/>
          <w:szCs w:val="25"/>
          <w:lang w:val="ro-RO"/>
        </w:rPr>
        <w:t xml:space="preserve"> și categoriile</w:t>
      </w:r>
      <w:r w:rsidR="00957144">
        <w:rPr>
          <w:bCs/>
          <w:sz w:val="25"/>
          <w:szCs w:val="25"/>
          <w:lang w:val="ro-RO"/>
        </w:rPr>
        <w:t xml:space="preserve"> </w:t>
      </w:r>
      <w:r w:rsidR="00957144">
        <w:rPr>
          <w:bCs/>
          <w:sz w:val="25"/>
          <w:szCs w:val="25"/>
          <w:lang w:val="ro-RO"/>
        </w:rPr>
        <w:lastRenderedPageBreak/>
        <w:t>de capacitate</w:t>
      </w:r>
      <w:r>
        <w:rPr>
          <w:bCs/>
          <w:sz w:val="25"/>
          <w:szCs w:val="25"/>
          <w:lang w:val="ro-RO"/>
        </w:rPr>
        <w:t xml:space="preserve">, s-a ținut cont de </w:t>
      </w:r>
      <w:r w:rsidR="00957144">
        <w:rPr>
          <w:bCs/>
          <w:sz w:val="25"/>
          <w:szCs w:val="25"/>
          <w:lang w:val="ro-RO"/>
        </w:rPr>
        <w:t>duratele maxime de utilizare a puterii nominale</w:t>
      </w:r>
      <w:r w:rsidR="00357C57">
        <w:rPr>
          <w:bCs/>
          <w:sz w:val="25"/>
          <w:szCs w:val="25"/>
          <w:lang w:val="ro-RO"/>
        </w:rPr>
        <w:t xml:space="preserve"> </w:t>
      </w:r>
      <w:r>
        <w:rPr>
          <w:bCs/>
          <w:sz w:val="25"/>
          <w:szCs w:val="25"/>
          <w:lang w:val="ro-RO"/>
        </w:rPr>
        <w:t xml:space="preserve">aferent tehnologiilor, potențialul național disponibil, </w:t>
      </w:r>
      <w:r w:rsidR="00327CB9">
        <w:rPr>
          <w:bCs/>
          <w:sz w:val="25"/>
          <w:szCs w:val="25"/>
          <w:lang w:val="ro-RO"/>
        </w:rPr>
        <w:t xml:space="preserve">atât tehnic, cât și economic, politicile curente promovate de autoritățile naționale, precum și </w:t>
      </w:r>
      <w:r w:rsidR="00357C57">
        <w:rPr>
          <w:bCs/>
          <w:sz w:val="25"/>
          <w:szCs w:val="25"/>
          <w:lang w:val="ro-RO"/>
        </w:rPr>
        <w:t>o serie de alte principii</w:t>
      </w:r>
      <w:r w:rsidR="006200FE">
        <w:rPr>
          <w:bCs/>
          <w:sz w:val="25"/>
          <w:szCs w:val="25"/>
          <w:lang w:val="ro-RO"/>
        </w:rPr>
        <w:t xml:space="preserve"> și ipoteze, după cum sunt prezentate mai jos</w:t>
      </w:r>
      <w:r w:rsidR="00357C57">
        <w:rPr>
          <w:bCs/>
          <w:sz w:val="25"/>
          <w:szCs w:val="25"/>
          <w:lang w:val="ro-RO"/>
        </w:rPr>
        <w:t>:</w:t>
      </w:r>
    </w:p>
    <w:p w14:paraId="44C34064" w14:textId="204B5CDC" w:rsidR="004D45B5" w:rsidRDefault="00D419F2" w:rsidP="00C44462">
      <w:pPr>
        <w:pStyle w:val="Listparagraf"/>
        <w:numPr>
          <w:ilvl w:val="0"/>
          <w:numId w:val="11"/>
        </w:numPr>
        <w:spacing w:before="120" w:after="120" w:line="276" w:lineRule="auto"/>
        <w:ind w:left="714" w:hanging="357"/>
        <w:contextualSpacing w:val="0"/>
        <w:jc w:val="both"/>
        <w:rPr>
          <w:bCs/>
          <w:sz w:val="25"/>
          <w:szCs w:val="25"/>
          <w:lang w:val="ro-RO"/>
        </w:rPr>
      </w:pPr>
      <w:r>
        <w:rPr>
          <w:bCs/>
          <w:sz w:val="25"/>
          <w:szCs w:val="25"/>
          <w:lang w:val="ro-RO"/>
        </w:rPr>
        <w:t>s</w:t>
      </w:r>
      <w:r w:rsidR="00A24394">
        <w:rPr>
          <w:bCs/>
          <w:sz w:val="25"/>
          <w:szCs w:val="25"/>
          <w:lang w:val="ro-RO"/>
        </w:rPr>
        <w:t>ursele</w:t>
      </w:r>
      <w:r w:rsidR="008225A7" w:rsidRPr="00A60EBA">
        <w:rPr>
          <w:bCs/>
          <w:sz w:val="25"/>
          <w:szCs w:val="25"/>
          <w:lang w:val="ro-RO"/>
        </w:rPr>
        <w:t xml:space="preserve"> regenerabile</w:t>
      </w:r>
      <w:r w:rsidR="008D42D0">
        <w:rPr>
          <w:bCs/>
          <w:sz w:val="25"/>
          <w:szCs w:val="25"/>
          <w:lang w:val="ro-RO"/>
        </w:rPr>
        <w:t xml:space="preserve"> "variabile", </w:t>
      </w:r>
      <w:r w:rsidR="008225A7" w:rsidRPr="00A60EBA">
        <w:rPr>
          <w:bCs/>
          <w:sz w:val="25"/>
          <w:szCs w:val="25"/>
          <w:lang w:val="ro-RO"/>
        </w:rPr>
        <w:t xml:space="preserve">precum sunt cele eoliene și fotovoltaice, </w:t>
      </w:r>
      <w:r w:rsidR="005D14D2">
        <w:rPr>
          <w:bCs/>
          <w:sz w:val="25"/>
          <w:szCs w:val="25"/>
          <w:lang w:val="ro-RO"/>
        </w:rPr>
        <w:t>implică</w:t>
      </w:r>
      <w:r w:rsidR="008225A7" w:rsidRPr="00A60EBA">
        <w:rPr>
          <w:bCs/>
          <w:sz w:val="25"/>
          <w:szCs w:val="25"/>
          <w:lang w:val="ro-RO"/>
        </w:rPr>
        <w:t xml:space="preserve"> problema echilibrării sistemului național </w:t>
      </w:r>
      <w:r w:rsidR="005D14D2">
        <w:rPr>
          <w:bCs/>
          <w:sz w:val="25"/>
          <w:szCs w:val="25"/>
          <w:lang w:val="ro-RO"/>
        </w:rPr>
        <w:t>electroenergetic. Iată de ce î</w:t>
      </w:r>
      <w:r w:rsidR="008225A7" w:rsidRPr="00A60EBA">
        <w:rPr>
          <w:bCs/>
          <w:sz w:val="25"/>
          <w:szCs w:val="25"/>
          <w:lang w:val="ro-RO"/>
        </w:rPr>
        <w:t xml:space="preserve">n cazul planificării unei ponderi importante a acestor surse </w:t>
      </w:r>
      <w:r w:rsidR="006200FE">
        <w:rPr>
          <w:bCs/>
          <w:sz w:val="25"/>
          <w:szCs w:val="25"/>
          <w:lang w:val="ro-RO"/>
        </w:rPr>
        <w:t>se urmărește identificarea unei</w:t>
      </w:r>
      <w:r w:rsidR="008225A7" w:rsidRPr="00A60EBA">
        <w:rPr>
          <w:bCs/>
          <w:sz w:val="25"/>
          <w:szCs w:val="25"/>
          <w:lang w:val="ro-RO"/>
        </w:rPr>
        <w:t xml:space="preserve"> soluți</w:t>
      </w:r>
      <w:r w:rsidR="006200FE">
        <w:rPr>
          <w:bCs/>
          <w:sz w:val="25"/>
          <w:szCs w:val="25"/>
          <w:lang w:val="ro-RO"/>
        </w:rPr>
        <w:t>i de</w:t>
      </w:r>
      <w:r w:rsidR="008225A7" w:rsidRPr="00A60EBA">
        <w:rPr>
          <w:bCs/>
          <w:sz w:val="25"/>
          <w:szCs w:val="25"/>
          <w:lang w:val="ro-RO"/>
        </w:rPr>
        <w:t xml:space="preserve"> ech</w:t>
      </w:r>
      <w:r w:rsidR="00492D66">
        <w:rPr>
          <w:bCs/>
          <w:sz w:val="25"/>
          <w:szCs w:val="25"/>
          <w:lang w:val="ro-RO"/>
        </w:rPr>
        <w:t>ilibr</w:t>
      </w:r>
      <w:r w:rsidR="006200FE">
        <w:rPr>
          <w:bCs/>
          <w:sz w:val="25"/>
          <w:szCs w:val="25"/>
          <w:lang w:val="ro-RO"/>
        </w:rPr>
        <w:t>are a</w:t>
      </w:r>
      <w:r w:rsidR="00492D66">
        <w:rPr>
          <w:bCs/>
          <w:sz w:val="25"/>
          <w:szCs w:val="25"/>
          <w:lang w:val="ro-RO"/>
        </w:rPr>
        <w:t xml:space="preserve"> sistemului la costuri</w:t>
      </w:r>
      <w:r w:rsidR="008225A7" w:rsidRPr="00A60EBA">
        <w:rPr>
          <w:bCs/>
          <w:sz w:val="25"/>
          <w:szCs w:val="25"/>
          <w:lang w:val="ro-RO"/>
        </w:rPr>
        <w:t xml:space="preserve"> accesibile pentru consumatorii finali</w:t>
      </w:r>
      <w:r>
        <w:rPr>
          <w:bCs/>
          <w:sz w:val="25"/>
          <w:szCs w:val="25"/>
          <w:lang w:val="ro-RO"/>
        </w:rPr>
        <w:t>.</w:t>
      </w:r>
    </w:p>
    <w:p w14:paraId="216C99DD" w14:textId="5093454E" w:rsidR="00A60EBA" w:rsidRDefault="00D419F2" w:rsidP="00C44462">
      <w:pPr>
        <w:pStyle w:val="Listparagraf"/>
        <w:spacing w:before="120" w:after="120" w:line="276" w:lineRule="auto"/>
        <w:contextualSpacing w:val="0"/>
        <w:jc w:val="both"/>
        <w:rPr>
          <w:bCs/>
          <w:sz w:val="25"/>
          <w:szCs w:val="25"/>
          <w:lang w:val="ro-RO"/>
        </w:rPr>
      </w:pPr>
      <w:r>
        <w:rPr>
          <w:bCs/>
          <w:sz w:val="25"/>
          <w:szCs w:val="25"/>
          <w:lang w:val="ro-RO"/>
        </w:rPr>
        <w:t xml:space="preserve">În același timp, aceste tehnologii </w:t>
      </w:r>
      <w:r w:rsidR="004D45B5">
        <w:rPr>
          <w:bCs/>
          <w:sz w:val="25"/>
          <w:szCs w:val="25"/>
          <w:lang w:val="ro-RO"/>
        </w:rPr>
        <w:t xml:space="preserve">au cunoscut o depreciere peste așteptări, în materie de costuri, fenomen care are un impact </w:t>
      </w:r>
      <w:r w:rsidR="006200FE">
        <w:rPr>
          <w:bCs/>
          <w:sz w:val="25"/>
          <w:szCs w:val="25"/>
          <w:lang w:val="ro-RO"/>
        </w:rPr>
        <w:t xml:space="preserve">pozitiv </w:t>
      </w:r>
      <w:r w:rsidR="004D45B5">
        <w:rPr>
          <w:bCs/>
          <w:sz w:val="25"/>
          <w:szCs w:val="25"/>
          <w:lang w:val="ro-RO"/>
        </w:rPr>
        <w:t>direct asupra prețului de cost al energiei produse de acestea.</w:t>
      </w:r>
      <w:r w:rsidR="000100CF">
        <w:rPr>
          <w:bCs/>
          <w:sz w:val="25"/>
          <w:szCs w:val="25"/>
          <w:lang w:val="ro-RO"/>
        </w:rPr>
        <w:t xml:space="preserve"> Conform informației publicate de Agenția Internațională pentru Energie Regenerabilă /IRENA/, l</w:t>
      </w:r>
      <w:r w:rsidR="004D45B5">
        <w:rPr>
          <w:bCs/>
          <w:sz w:val="25"/>
          <w:szCs w:val="25"/>
          <w:lang w:val="ro-RO"/>
        </w:rPr>
        <w:t xml:space="preserve">a nivel mondial, costul energiei produse </w:t>
      </w:r>
      <w:r w:rsidR="000100CF">
        <w:rPr>
          <w:bCs/>
          <w:sz w:val="25"/>
          <w:szCs w:val="25"/>
          <w:lang w:val="ro-RO"/>
        </w:rPr>
        <w:t xml:space="preserve">de </w:t>
      </w:r>
      <w:r w:rsidR="004D45B5">
        <w:rPr>
          <w:bCs/>
          <w:sz w:val="25"/>
          <w:szCs w:val="25"/>
          <w:lang w:val="ro-RO"/>
        </w:rPr>
        <w:t xml:space="preserve">CE fotovoltaice s-a redus </w:t>
      </w:r>
      <w:r w:rsidR="000100CF">
        <w:rPr>
          <w:bCs/>
          <w:sz w:val="25"/>
          <w:szCs w:val="25"/>
          <w:lang w:val="ro-RO"/>
        </w:rPr>
        <w:t xml:space="preserve">drastic </w:t>
      </w:r>
      <w:r w:rsidR="004D45B5">
        <w:rPr>
          <w:bCs/>
          <w:sz w:val="25"/>
          <w:szCs w:val="25"/>
          <w:lang w:val="ro-RO"/>
        </w:rPr>
        <w:t>la 50 USD/MWh în 2016 de la 250</w:t>
      </w:r>
      <w:r w:rsidR="000100CF">
        <w:rPr>
          <w:bCs/>
          <w:sz w:val="25"/>
          <w:szCs w:val="25"/>
          <w:lang w:val="ro-RO"/>
        </w:rPr>
        <w:t xml:space="preserve"> USD/MWh în 2010, și o cădere de cca. 50% pentru energia eoliană, de la 80 USD/MWh la 40 USD/MWh în aceeași perioadă de timp</w:t>
      </w:r>
      <w:r w:rsidR="008842F4">
        <w:rPr>
          <w:bCs/>
          <w:sz w:val="25"/>
          <w:szCs w:val="25"/>
          <w:lang w:val="ro-RO"/>
        </w:rPr>
        <w:t>.</w:t>
      </w:r>
      <w:r w:rsidR="004D45B5">
        <w:rPr>
          <w:bCs/>
          <w:sz w:val="25"/>
          <w:szCs w:val="25"/>
          <w:lang w:val="ro-RO"/>
        </w:rPr>
        <w:t xml:space="preserve"> </w:t>
      </w:r>
    </w:p>
    <w:p w14:paraId="216C99DE" w14:textId="02CA5FC3" w:rsidR="00CB3032" w:rsidRDefault="008225A7" w:rsidP="00C44462">
      <w:pPr>
        <w:pStyle w:val="Listparagraf"/>
        <w:numPr>
          <w:ilvl w:val="0"/>
          <w:numId w:val="11"/>
        </w:numPr>
        <w:spacing w:before="120" w:after="120" w:line="276" w:lineRule="auto"/>
        <w:ind w:left="714" w:hanging="357"/>
        <w:contextualSpacing w:val="0"/>
        <w:jc w:val="both"/>
        <w:rPr>
          <w:bCs/>
          <w:sz w:val="25"/>
          <w:szCs w:val="25"/>
          <w:lang w:val="ro-RO"/>
        </w:rPr>
      </w:pPr>
      <w:r w:rsidRPr="00B81A6C">
        <w:rPr>
          <w:bCs/>
          <w:sz w:val="25"/>
          <w:szCs w:val="25"/>
          <w:lang w:val="ro-RO"/>
        </w:rPr>
        <w:t>potențialul biomasei solide pentru producerea energiei electrice este conside</w:t>
      </w:r>
      <w:r w:rsidR="00BF0E13" w:rsidRPr="00B81A6C">
        <w:rPr>
          <w:bCs/>
          <w:sz w:val="25"/>
          <w:szCs w:val="25"/>
          <w:lang w:val="ro-RO"/>
        </w:rPr>
        <w:t xml:space="preserve">rabil limitat. Lemnele de foc, </w:t>
      </w:r>
      <w:r w:rsidRPr="00B81A6C">
        <w:rPr>
          <w:bCs/>
          <w:sz w:val="25"/>
          <w:szCs w:val="25"/>
          <w:lang w:val="ro-RO"/>
        </w:rPr>
        <w:t xml:space="preserve">livrare de întreprinderile Agenției </w:t>
      </w:r>
      <w:r w:rsidR="00794B99" w:rsidRPr="00B81A6C">
        <w:rPr>
          <w:bCs/>
          <w:sz w:val="25"/>
          <w:szCs w:val="25"/>
          <w:lang w:val="ro-RO"/>
        </w:rPr>
        <w:t xml:space="preserve">"Moldsilva", </w:t>
      </w:r>
      <w:r w:rsidR="00B81A6C" w:rsidRPr="00B81A6C">
        <w:rPr>
          <w:bCs/>
          <w:sz w:val="25"/>
          <w:szCs w:val="25"/>
          <w:lang w:val="ro-RO"/>
        </w:rPr>
        <w:t xml:space="preserve">cele colectate de către persoanele fizice în fâșiile forestiere, păduri, </w:t>
      </w:r>
      <w:r w:rsidR="00A12A5C" w:rsidRPr="00B81A6C">
        <w:rPr>
          <w:bCs/>
          <w:sz w:val="25"/>
          <w:szCs w:val="25"/>
          <w:lang w:val="ro-RO"/>
        </w:rPr>
        <w:t>precum și</w:t>
      </w:r>
      <w:r w:rsidR="00B81A6C" w:rsidRPr="00B81A6C">
        <w:rPr>
          <w:bCs/>
          <w:sz w:val="25"/>
          <w:szCs w:val="25"/>
          <w:lang w:val="ro-RO"/>
        </w:rPr>
        <w:t xml:space="preserve"> reziduurile din agricultură, și care estimează </w:t>
      </w:r>
      <w:r w:rsidR="006200FE">
        <w:rPr>
          <w:bCs/>
          <w:sz w:val="25"/>
          <w:szCs w:val="25"/>
          <w:lang w:val="ro-RO"/>
        </w:rPr>
        <w:t xml:space="preserve">cumulativ </w:t>
      </w:r>
      <w:r w:rsidR="00B81A6C" w:rsidRPr="00B81A6C">
        <w:rPr>
          <w:bCs/>
          <w:sz w:val="25"/>
          <w:szCs w:val="25"/>
          <w:lang w:val="ro-RO"/>
        </w:rPr>
        <w:t xml:space="preserve">la cca. 658 ktep, sun utilizate preponderent </w:t>
      </w:r>
      <w:r w:rsidRPr="00B81A6C">
        <w:rPr>
          <w:bCs/>
          <w:sz w:val="25"/>
          <w:szCs w:val="25"/>
          <w:lang w:val="ro-RO"/>
        </w:rPr>
        <w:t xml:space="preserve">pentru încălzire </w:t>
      </w:r>
      <w:r w:rsidR="00B81A6C" w:rsidRPr="00B81A6C">
        <w:rPr>
          <w:bCs/>
          <w:sz w:val="25"/>
          <w:szCs w:val="25"/>
          <w:lang w:val="ro-RO"/>
        </w:rPr>
        <w:t>î</w:t>
      </w:r>
      <w:r w:rsidRPr="00B81A6C">
        <w:rPr>
          <w:bCs/>
          <w:sz w:val="25"/>
          <w:szCs w:val="25"/>
          <w:lang w:val="ro-RO"/>
        </w:rPr>
        <w:t xml:space="preserve">n sectorul rezidențial al </w:t>
      </w:r>
      <w:r w:rsidR="00B81A6C" w:rsidRPr="00B81A6C">
        <w:rPr>
          <w:bCs/>
          <w:sz w:val="25"/>
          <w:szCs w:val="25"/>
          <w:lang w:val="ro-RO"/>
        </w:rPr>
        <w:t>mediului</w:t>
      </w:r>
      <w:r w:rsidRPr="00B81A6C">
        <w:rPr>
          <w:bCs/>
          <w:sz w:val="25"/>
          <w:szCs w:val="25"/>
          <w:lang w:val="ro-RO"/>
        </w:rPr>
        <w:t xml:space="preserve"> rural. </w:t>
      </w:r>
      <w:r w:rsidR="00B81A6C" w:rsidRPr="00B81A6C">
        <w:rPr>
          <w:bCs/>
          <w:sz w:val="25"/>
          <w:szCs w:val="25"/>
          <w:lang w:val="ro-RO"/>
        </w:rPr>
        <w:t xml:space="preserve">Din punct de vedere tehnologic, o mică parte din cantitatea menționată mai sus ar </w:t>
      </w:r>
      <w:r w:rsidRPr="00B81A6C">
        <w:rPr>
          <w:bCs/>
          <w:sz w:val="25"/>
          <w:szCs w:val="25"/>
          <w:lang w:val="ro-RO"/>
        </w:rPr>
        <w:t>putea fi utilizat</w:t>
      </w:r>
      <w:r w:rsidR="00B81A6C">
        <w:rPr>
          <w:bCs/>
          <w:sz w:val="25"/>
          <w:szCs w:val="25"/>
          <w:lang w:val="ro-RO"/>
        </w:rPr>
        <w:t>ă</w:t>
      </w:r>
      <w:r w:rsidRPr="00B81A6C">
        <w:rPr>
          <w:bCs/>
          <w:sz w:val="25"/>
          <w:szCs w:val="25"/>
          <w:lang w:val="ro-RO"/>
        </w:rPr>
        <w:t xml:space="preserve"> local la producerea energiei electrice în instalații mici și mini bazate pe gazeificarea biomasei</w:t>
      </w:r>
      <w:r w:rsidR="00B81A6C">
        <w:rPr>
          <w:bCs/>
          <w:sz w:val="25"/>
          <w:szCs w:val="25"/>
          <w:lang w:val="ro-RO"/>
        </w:rPr>
        <w:t>.</w:t>
      </w:r>
    </w:p>
    <w:p w14:paraId="42E26EC7" w14:textId="099BC667" w:rsidR="00B81A6C" w:rsidRPr="00B81A6C" w:rsidRDefault="00B81A6C" w:rsidP="00C44462">
      <w:pPr>
        <w:pStyle w:val="Listparagraf"/>
        <w:spacing w:before="120" w:after="120" w:line="276" w:lineRule="auto"/>
        <w:contextualSpacing w:val="0"/>
        <w:jc w:val="both"/>
        <w:rPr>
          <w:bCs/>
          <w:sz w:val="25"/>
          <w:szCs w:val="25"/>
          <w:lang w:val="ro-RO"/>
        </w:rPr>
      </w:pPr>
      <w:r>
        <w:rPr>
          <w:bCs/>
          <w:sz w:val="25"/>
          <w:szCs w:val="25"/>
          <w:lang w:val="ro-RO"/>
        </w:rPr>
        <w:t xml:space="preserve">În același timp, autorii conștientizează că dispersarea din punct de vedere geografic a resurselor de biomasă, potențialul acestora, cheltuielile aferente logisticii și transportului materiei prime, fac dezvoltarea la scară industrială a acestei industrii una puțin realizabilă. Totodată, </w:t>
      </w:r>
      <w:r w:rsidR="008842F4">
        <w:rPr>
          <w:bCs/>
          <w:sz w:val="25"/>
          <w:szCs w:val="25"/>
          <w:lang w:val="ro-RO"/>
        </w:rPr>
        <w:t xml:space="preserve">o schemă de suport supra-dimensionată din punct de vedere financiar pentru aceste tehnologii, ar putea veni în </w:t>
      </w:r>
      <w:r w:rsidR="006200FE">
        <w:rPr>
          <w:bCs/>
          <w:sz w:val="25"/>
          <w:szCs w:val="25"/>
          <w:lang w:val="ro-RO"/>
        </w:rPr>
        <w:t>„</w:t>
      </w:r>
      <w:r w:rsidR="008842F4">
        <w:rPr>
          <w:bCs/>
          <w:sz w:val="25"/>
          <w:szCs w:val="25"/>
          <w:lang w:val="ro-RO"/>
        </w:rPr>
        <w:t>detrimentul</w:t>
      </w:r>
      <w:r w:rsidR="006200FE">
        <w:rPr>
          <w:bCs/>
          <w:sz w:val="25"/>
          <w:szCs w:val="25"/>
          <w:lang w:val="ro-RO"/>
        </w:rPr>
        <w:t>”</w:t>
      </w:r>
      <w:r w:rsidR="008842F4">
        <w:rPr>
          <w:bCs/>
          <w:sz w:val="25"/>
          <w:szCs w:val="25"/>
          <w:lang w:val="ro-RO"/>
        </w:rPr>
        <w:t xml:space="preserve"> resurselor forestiere naționale.</w:t>
      </w:r>
      <w:r>
        <w:rPr>
          <w:bCs/>
          <w:sz w:val="25"/>
          <w:szCs w:val="25"/>
          <w:lang w:val="ro-RO"/>
        </w:rPr>
        <w:t xml:space="preserve"> </w:t>
      </w:r>
    </w:p>
    <w:p w14:paraId="216C99DF" w14:textId="00F99429" w:rsidR="00CB3032" w:rsidRDefault="008225A7" w:rsidP="00C44462">
      <w:pPr>
        <w:pStyle w:val="Listparagraf"/>
        <w:numPr>
          <w:ilvl w:val="0"/>
          <w:numId w:val="11"/>
        </w:numPr>
        <w:spacing w:before="120" w:after="120" w:line="276" w:lineRule="auto"/>
        <w:ind w:left="714" w:hanging="357"/>
        <w:contextualSpacing w:val="0"/>
        <w:jc w:val="both"/>
        <w:rPr>
          <w:bCs/>
          <w:sz w:val="25"/>
          <w:szCs w:val="25"/>
          <w:lang w:val="ro-RO"/>
        </w:rPr>
      </w:pPr>
      <w:r w:rsidRPr="00CB3032">
        <w:rPr>
          <w:bCs/>
          <w:sz w:val="25"/>
          <w:szCs w:val="25"/>
          <w:lang w:val="ro-RO"/>
        </w:rPr>
        <w:t>potențialul disponibil hidro</w:t>
      </w:r>
      <w:r w:rsidR="00357C57">
        <w:rPr>
          <w:bCs/>
          <w:sz w:val="25"/>
          <w:szCs w:val="25"/>
          <w:lang w:val="ro-RO"/>
        </w:rPr>
        <w:t xml:space="preserve"> </w:t>
      </w:r>
      <w:r w:rsidRPr="00CB3032">
        <w:rPr>
          <w:bCs/>
          <w:sz w:val="25"/>
          <w:szCs w:val="25"/>
          <w:lang w:val="ro-RO"/>
        </w:rPr>
        <w:t xml:space="preserve">al râurilor mici din țară este </w:t>
      </w:r>
      <w:r w:rsidR="008842F4">
        <w:rPr>
          <w:bCs/>
          <w:sz w:val="25"/>
          <w:szCs w:val="25"/>
          <w:lang w:val="ro-RO"/>
        </w:rPr>
        <w:t xml:space="preserve">unul </w:t>
      </w:r>
      <w:r w:rsidRPr="00CB3032">
        <w:rPr>
          <w:bCs/>
          <w:sz w:val="25"/>
          <w:szCs w:val="25"/>
          <w:lang w:val="ro-RO"/>
        </w:rPr>
        <w:t>foarte mic, practic neglijabil</w:t>
      </w:r>
      <w:r w:rsidR="006200FE">
        <w:rPr>
          <w:bCs/>
          <w:sz w:val="25"/>
          <w:szCs w:val="25"/>
          <w:lang w:val="ro-RO"/>
        </w:rPr>
        <w:t>. Din aceste considerente, se</w:t>
      </w:r>
      <w:r w:rsidR="0058792A">
        <w:rPr>
          <w:bCs/>
          <w:sz w:val="25"/>
          <w:szCs w:val="25"/>
          <w:lang w:val="ro-RO"/>
        </w:rPr>
        <w:t xml:space="preserve"> admite ca și posibil un scenariu în care se va asigura reabilitarea unor CHE de mică capacitate, existente odinioară pe râurile mici din țară.</w:t>
      </w:r>
    </w:p>
    <w:p w14:paraId="01B59BC6" w14:textId="03AD7375" w:rsidR="0058792A" w:rsidRDefault="0058792A" w:rsidP="00C44462">
      <w:pPr>
        <w:pStyle w:val="Listparagraf"/>
        <w:numPr>
          <w:ilvl w:val="0"/>
          <w:numId w:val="11"/>
        </w:numPr>
        <w:spacing w:before="120" w:after="120" w:line="276" w:lineRule="auto"/>
        <w:ind w:left="714" w:hanging="357"/>
        <w:contextualSpacing w:val="0"/>
        <w:jc w:val="both"/>
        <w:rPr>
          <w:bCs/>
          <w:sz w:val="25"/>
          <w:szCs w:val="25"/>
          <w:lang w:val="ro-RO"/>
        </w:rPr>
      </w:pPr>
      <w:r>
        <w:rPr>
          <w:bCs/>
          <w:sz w:val="25"/>
          <w:szCs w:val="25"/>
          <w:lang w:val="ro-RO"/>
        </w:rPr>
        <w:t>Având în vedere caracterul relativ stabil și predictibil al generării energiei electrice de către unitățile de cogenerare bazate pe biogaz, o capacitate cumulativă de cca. 20 MW se admite că va fi instalată către anul 2020. Susținerea producătorilor de energie electrică din biogaz este în linie cu politica autorităților naționale de sprijin a subiecților sectorului zootehnic, care dispun de ferme de creștere a animalelor și păsărilor</w:t>
      </w:r>
      <w:r w:rsidR="004E27BC">
        <w:rPr>
          <w:bCs/>
          <w:sz w:val="25"/>
          <w:szCs w:val="25"/>
          <w:lang w:val="ro-RO"/>
        </w:rPr>
        <w:t xml:space="preserve"> și, totodată, a întreprinderilor care își au activitatea de bază în domeniului gestionării deșeurile menajere solide, apelor reziduale, etc. </w:t>
      </w:r>
    </w:p>
    <w:p w14:paraId="30331351" w14:textId="03D37657" w:rsidR="004E27BC" w:rsidRDefault="004E27BC" w:rsidP="00C44462">
      <w:pPr>
        <w:pStyle w:val="Listparagraf"/>
        <w:spacing w:before="120" w:after="120" w:line="276" w:lineRule="auto"/>
        <w:ind w:left="714"/>
        <w:contextualSpacing w:val="0"/>
        <w:jc w:val="both"/>
        <w:rPr>
          <w:bCs/>
          <w:sz w:val="25"/>
          <w:szCs w:val="25"/>
          <w:lang w:val="ro-RO"/>
        </w:rPr>
      </w:pPr>
      <w:r>
        <w:rPr>
          <w:bCs/>
          <w:sz w:val="25"/>
          <w:szCs w:val="25"/>
          <w:lang w:val="ro-RO"/>
        </w:rPr>
        <w:t xml:space="preserve">De precizat că, conștientizarea de către autoritățile naționale a beneficiilor tehnologiei de producere a energiei electrice din biogaz, față de capacitățile intermitente „clasice”, </w:t>
      </w:r>
      <w:r>
        <w:rPr>
          <w:bCs/>
          <w:sz w:val="25"/>
          <w:szCs w:val="25"/>
          <w:lang w:val="ro-RO"/>
        </w:rPr>
        <w:lastRenderedPageBreak/>
        <w:t>ar putea asigura realocarea sau majorarea capacității maxime atribuite acestei tehnologii în perioada următoare, în dependență de evoluția lucrurilor în domeniu.</w:t>
      </w:r>
    </w:p>
    <w:p w14:paraId="4FF4AC47" w14:textId="4A64D092" w:rsidR="004E27BC" w:rsidRDefault="00794B99" w:rsidP="00C44462">
      <w:pPr>
        <w:pStyle w:val="Listparagraf"/>
        <w:numPr>
          <w:ilvl w:val="0"/>
          <w:numId w:val="11"/>
        </w:numPr>
        <w:spacing w:before="120" w:after="120" w:line="276" w:lineRule="auto"/>
        <w:jc w:val="both"/>
        <w:rPr>
          <w:bCs/>
          <w:sz w:val="25"/>
          <w:szCs w:val="25"/>
          <w:lang w:val="ro-RO"/>
        </w:rPr>
      </w:pPr>
      <w:r w:rsidRPr="004E27BC">
        <w:rPr>
          <w:bCs/>
          <w:sz w:val="25"/>
          <w:szCs w:val="25"/>
          <w:lang w:val="ro-RO"/>
        </w:rPr>
        <w:t>l</w:t>
      </w:r>
      <w:r w:rsidR="008225A7" w:rsidRPr="004E27BC">
        <w:rPr>
          <w:bCs/>
          <w:sz w:val="25"/>
          <w:szCs w:val="25"/>
          <w:lang w:val="ro-RO"/>
        </w:rPr>
        <w:t>a stabilirea</w:t>
      </w:r>
      <w:r w:rsidR="008842F4" w:rsidRPr="004E27BC">
        <w:rPr>
          <w:bCs/>
          <w:sz w:val="25"/>
          <w:szCs w:val="25"/>
          <w:lang w:val="ro-RO"/>
        </w:rPr>
        <w:t xml:space="preserve">, în special a </w:t>
      </w:r>
      <w:r w:rsidR="008225A7" w:rsidRPr="004E27BC">
        <w:rPr>
          <w:bCs/>
          <w:sz w:val="25"/>
          <w:szCs w:val="25"/>
          <w:lang w:val="ro-RO"/>
        </w:rPr>
        <w:t>limitelor de capacita</w:t>
      </w:r>
      <w:r w:rsidR="008842F4" w:rsidRPr="004E27BC">
        <w:rPr>
          <w:bCs/>
          <w:sz w:val="25"/>
          <w:szCs w:val="25"/>
          <w:lang w:val="ro-RO"/>
        </w:rPr>
        <w:t>te</w:t>
      </w:r>
      <w:r w:rsidR="008225A7" w:rsidRPr="004E27BC">
        <w:rPr>
          <w:bCs/>
          <w:sz w:val="25"/>
          <w:szCs w:val="25"/>
          <w:lang w:val="ro-RO"/>
        </w:rPr>
        <w:t>, pe tehnologii E-SRE, trebuie să se țină cont și de cerințele Comisiei Europene (Comunității Energetice) cu privire la ajutorul de stat pentru protecția m</w:t>
      </w:r>
      <w:r w:rsidRPr="004E27BC">
        <w:rPr>
          <w:bCs/>
          <w:sz w:val="25"/>
          <w:szCs w:val="25"/>
          <w:lang w:val="ro-RO"/>
        </w:rPr>
        <w:t>ediului și a energiei 2014-2020</w:t>
      </w:r>
      <w:r w:rsidR="002D34FC" w:rsidRPr="004E27BC">
        <w:rPr>
          <w:bCs/>
          <w:sz w:val="25"/>
          <w:szCs w:val="25"/>
          <w:lang w:val="ro-RO"/>
        </w:rPr>
        <w:t>.</w:t>
      </w:r>
      <w:r w:rsidR="004E27BC" w:rsidRPr="004E27BC">
        <w:rPr>
          <w:bCs/>
          <w:sz w:val="25"/>
          <w:szCs w:val="25"/>
          <w:lang w:val="ro-RO"/>
        </w:rPr>
        <w:t xml:space="preserve"> Astfel, prin Orientările de politici PG 04/2015 aprobate de către Secretariatul Comunității Energetice la 24.11. 2015 privind aplicabilitatea Orientărilor </w:t>
      </w:r>
      <w:r w:rsidR="00EB1D9E" w:rsidRPr="00EB1D9E">
        <w:rPr>
          <w:bCs/>
          <w:sz w:val="25"/>
          <w:szCs w:val="25"/>
          <w:lang w:val="ro-RO"/>
        </w:rPr>
        <w:t>privind ajutoarele de stat pentru protecția mediului și energie pentru perioada 2014-2020</w:t>
      </w:r>
      <w:r w:rsidR="004E27BC" w:rsidRPr="004E27BC">
        <w:rPr>
          <w:bCs/>
          <w:sz w:val="25"/>
          <w:szCs w:val="25"/>
          <w:lang w:val="ro-RO"/>
        </w:rPr>
        <w:t xml:space="preserve"> </w:t>
      </w:r>
      <w:r w:rsidR="00EB1D9E">
        <w:rPr>
          <w:bCs/>
          <w:sz w:val="25"/>
          <w:szCs w:val="25"/>
          <w:lang w:val="ro-RO"/>
        </w:rPr>
        <w:t xml:space="preserve">(En.: </w:t>
      </w:r>
      <w:r w:rsidR="004E27BC" w:rsidRPr="00EB1D9E">
        <w:rPr>
          <w:bCs/>
          <w:i/>
          <w:sz w:val="25"/>
          <w:szCs w:val="25"/>
          <w:lang w:val="ro-RO"/>
        </w:rPr>
        <w:t>Policy Guidelines on the Applicability of the Guidelines on State Aid for Environmental Protection and Energy 2014-2020</w:t>
      </w:r>
      <w:r w:rsidR="00EB1D9E">
        <w:rPr>
          <w:bCs/>
          <w:i/>
          <w:sz w:val="25"/>
          <w:szCs w:val="25"/>
          <w:lang w:val="ro-RO"/>
        </w:rPr>
        <w:t xml:space="preserve">), </w:t>
      </w:r>
      <w:r w:rsidR="00EB1D9E">
        <w:rPr>
          <w:bCs/>
          <w:sz w:val="25"/>
          <w:szCs w:val="25"/>
          <w:lang w:val="ro-RO"/>
        </w:rPr>
        <w:t xml:space="preserve">Secretariatul s-a angajat să asigure implementarea principiilor respective în legislația sectorială a Părților Contractante la Tratat. </w:t>
      </w:r>
    </w:p>
    <w:p w14:paraId="54D8AA98" w14:textId="5DFA9E6C" w:rsidR="008E660F" w:rsidRPr="004E27BC" w:rsidRDefault="008E660F" w:rsidP="00C44462">
      <w:pPr>
        <w:spacing w:before="120" w:after="120" w:line="276" w:lineRule="auto"/>
        <w:jc w:val="both"/>
        <w:rPr>
          <w:bCs/>
          <w:sz w:val="25"/>
          <w:szCs w:val="25"/>
          <w:lang w:val="ro-RO"/>
        </w:rPr>
      </w:pPr>
      <w:r w:rsidRPr="004E27BC">
        <w:rPr>
          <w:bCs/>
          <w:sz w:val="25"/>
          <w:szCs w:val="25"/>
          <w:lang w:val="ro-RO"/>
        </w:rPr>
        <w:t>Astfel, raționamentele menționate mai sus au condus la stabilirea următoarei matrice a categoriile maxime de capacitate, cu alocările pe tehnologii aferente: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268"/>
        <w:gridCol w:w="1471"/>
        <w:gridCol w:w="1473"/>
        <w:gridCol w:w="1739"/>
      </w:tblGrid>
      <w:tr w:rsidR="008E660F" w:rsidRPr="008E660F" w14:paraId="1B7E19C0" w14:textId="77777777" w:rsidTr="004E27BC">
        <w:trPr>
          <w:trHeight w:val="635"/>
          <w:jc w:val="center"/>
        </w:trPr>
        <w:tc>
          <w:tcPr>
            <w:tcW w:w="1776" w:type="pct"/>
            <w:vMerge w:val="restart"/>
            <w:tcBorders>
              <w:right w:val="single" w:sz="4" w:space="0" w:color="auto"/>
              <w:tl2br w:val="single" w:sz="4" w:space="0" w:color="auto"/>
            </w:tcBorders>
            <w:shd w:val="clear" w:color="auto" w:fill="B8CCE4" w:themeFill="accent1" w:themeFillTint="66"/>
            <w:vAlign w:val="center"/>
          </w:tcPr>
          <w:p w14:paraId="2E4B1754" w14:textId="77777777" w:rsidR="008E660F" w:rsidRPr="008E660F" w:rsidRDefault="008E660F" w:rsidP="00C44462">
            <w:pPr>
              <w:spacing w:before="120" w:after="120"/>
              <w:jc w:val="right"/>
              <w:rPr>
                <w:b/>
                <w:sz w:val="22"/>
                <w:szCs w:val="28"/>
                <w:lang w:val="ro-RO"/>
              </w:rPr>
            </w:pPr>
            <w:r w:rsidRPr="008E660F">
              <w:rPr>
                <w:b/>
                <w:sz w:val="22"/>
                <w:szCs w:val="28"/>
                <w:lang w:val="it-IT"/>
              </w:rPr>
              <w:t>C</w:t>
            </w:r>
            <w:r w:rsidRPr="008E660F">
              <w:rPr>
                <w:b/>
                <w:sz w:val="22"/>
                <w:szCs w:val="28"/>
                <w:lang w:val="ro-RO"/>
              </w:rPr>
              <w:t>ategoriile de</w:t>
            </w:r>
            <w:r w:rsidRPr="008E660F">
              <w:rPr>
                <w:b/>
                <w:sz w:val="22"/>
                <w:szCs w:val="28"/>
                <w:lang w:val="ro-RO"/>
              </w:rPr>
              <w:br/>
              <w:t xml:space="preserve"> capacitate/ </w:t>
            </w:r>
          </w:p>
          <w:p w14:paraId="321D0BA7" w14:textId="77777777" w:rsidR="008E660F" w:rsidRPr="008E660F" w:rsidRDefault="008E660F" w:rsidP="00C44462">
            <w:pPr>
              <w:spacing w:before="120" w:after="120"/>
              <w:rPr>
                <w:b/>
                <w:sz w:val="22"/>
                <w:szCs w:val="28"/>
                <w:lang w:val="ro-RO"/>
              </w:rPr>
            </w:pPr>
            <w:r w:rsidRPr="008E660F">
              <w:rPr>
                <w:b/>
                <w:sz w:val="22"/>
                <w:szCs w:val="28"/>
                <w:lang w:val="ro-RO"/>
              </w:rPr>
              <w:t xml:space="preserve">Tehnologia </w:t>
            </w:r>
            <w:r w:rsidRPr="008E660F">
              <w:rPr>
                <w:b/>
                <w:sz w:val="22"/>
                <w:szCs w:val="28"/>
                <w:lang w:val="ro-RO"/>
              </w:rPr>
              <w:br/>
              <w:t xml:space="preserve">de producere </w:t>
            </w:r>
          </w:p>
        </w:tc>
        <w:tc>
          <w:tcPr>
            <w:tcW w:w="2281" w:type="pct"/>
            <w:gridSpan w:val="3"/>
            <w:tcBorders>
              <w:left w:val="single" w:sz="4" w:space="0" w:color="auto"/>
              <w:right w:val="single" w:sz="12" w:space="0" w:color="auto"/>
            </w:tcBorders>
            <w:shd w:val="clear" w:color="auto" w:fill="B8CCE4" w:themeFill="accent1" w:themeFillTint="66"/>
            <w:vAlign w:val="center"/>
          </w:tcPr>
          <w:p w14:paraId="1F54DFBC" w14:textId="04001118" w:rsidR="008E660F" w:rsidRPr="008E660F" w:rsidRDefault="008E660F" w:rsidP="00C44462">
            <w:pPr>
              <w:spacing w:before="120" w:after="120"/>
              <w:jc w:val="center"/>
              <w:rPr>
                <w:b/>
                <w:sz w:val="22"/>
                <w:szCs w:val="28"/>
                <w:lang w:val="ro-RO"/>
              </w:rPr>
            </w:pPr>
            <w:r w:rsidRPr="008E660F">
              <w:rPr>
                <w:b/>
                <w:iCs/>
                <w:sz w:val="22"/>
                <w:szCs w:val="28"/>
                <w:lang w:val="ro-RO"/>
              </w:rPr>
              <w:t>Cotele maxime de capacitate pentru tipurile de instalații de generare considerate</w:t>
            </w:r>
            <w:r w:rsidRPr="008E660F">
              <w:rPr>
                <w:b/>
                <w:sz w:val="22"/>
                <w:szCs w:val="28"/>
                <w:lang w:val="ro-RO"/>
              </w:rPr>
              <w:t xml:space="preserve">, </w:t>
            </w:r>
            <w:r w:rsidRPr="008E660F">
              <w:rPr>
                <w:i/>
                <w:sz w:val="20"/>
                <w:szCs w:val="28"/>
                <w:lang w:val="ro-RO"/>
              </w:rPr>
              <w:t>[MW]</w:t>
            </w:r>
          </w:p>
        </w:tc>
        <w:tc>
          <w:tcPr>
            <w:tcW w:w="943" w:type="pct"/>
            <w:vMerge w:val="restart"/>
            <w:tcBorders>
              <w:left w:val="single" w:sz="12" w:space="0" w:color="auto"/>
            </w:tcBorders>
            <w:shd w:val="clear" w:color="auto" w:fill="B8CCE4" w:themeFill="accent1" w:themeFillTint="66"/>
            <w:vAlign w:val="center"/>
          </w:tcPr>
          <w:p w14:paraId="1617EF83" w14:textId="77777777" w:rsidR="008E660F" w:rsidRPr="008E660F" w:rsidRDefault="008E660F" w:rsidP="00C44462">
            <w:pPr>
              <w:spacing w:before="120" w:after="120"/>
              <w:jc w:val="center"/>
              <w:rPr>
                <w:sz w:val="22"/>
                <w:szCs w:val="28"/>
                <w:lang w:val="ro-RO"/>
              </w:rPr>
            </w:pPr>
            <w:r w:rsidRPr="008E660F">
              <w:rPr>
                <w:b/>
                <w:sz w:val="22"/>
                <w:szCs w:val="28"/>
                <w:lang w:val="ro-RO"/>
              </w:rPr>
              <w:t>Limita de capacitate</w:t>
            </w:r>
            <w:r w:rsidRPr="008E660F">
              <w:rPr>
                <w:sz w:val="22"/>
                <w:szCs w:val="28"/>
                <w:lang w:val="ro-RO"/>
              </w:rPr>
              <w:t>,</w:t>
            </w:r>
          </w:p>
          <w:p w14:paraId="2F4C419E" w14:textId="1A6B4975" w:rsidR="008E660F" w:rsidRPr="008E660F" w:rsidRDefault="008E660F" w:rsidP="00C44462">
            <w:pPr>
              <w:spacing w:before="120" w:after="120"/>
              <w:jc w:val="center"/>
              <w:rPr>
                <w:i/>
                <w:sz w:val="22"/>
                <w:szCs w:val="28"/>
                <w:lang w:val="en-US"/>
              </w:rPr>
            </w:pPr>
            <w:r w:rsidRPr="008E660F">
              <w:rPr>
                <w:i/>
                <w:sz w:val="20"/>
                <w:szCs w:val="28"/>
                <w:lang w:val="ro-RO"/>
              </w:rPr>
              <w:t>[MW</w:t>
            </w:r>
            <w:r w:rsidRPr="008E660F">
              <w:rPr>
                <w:i/>
                <w:sz w:val="20"/>
                <w:szCs w:val="28"/>
                <w:lang w:val="en-US"/>
              </w:rPr>
              <w:t>]</w:t>
            </w:r>
          </w:p>
        </w:tc>
      </w:tr>
      <w:tr w:rsidR="008E660F" w:rsidRPr="008E660F" w14:paraId="5F656840" w14:textId="77777777" w:rsidTr="004E27BC">
        <w:trPr>
          <w:trHeight w:val="283"/>
          <w:jc w:val="center"/>
        </w:trPr>
        <w:tc>
          <w:tcPr>
            <w:tcW w:w="1776" w:type="pct"/>
            <w:vMerge/>
            <w:tcBorders>
              <w:bottom w:val="single" w:sz="4" w:space="0" w:color="auto"/>
              <w:right w:val="single" w:sz="4" w:space="0" w:color="auto"/>
              <w:tl2br w:val="single" w:sz="4" w:space="0" w:color="auto"/>
            </w:tcBorders>
            <w:shd w:val="clear" w:color="auto" w:fill="D9E2F3"/>
            <w:vAlign w:val="center"/>
          </w:tcPr>
          <w:p w14:paraId="4FAE9BF0" w14:textId="77777777" w:rsidR="008E660F" w:rsidRPr="008E660F" w:rsidRDefault="008E660F" w:rsidP="00C44462">
            <w:pPr>
              <w:spacing w:before="120" w:after="120"/>
              <w:jc w:val="right"/>
              <w:rPr>
                <w:sz w:val="24"/>
                <w:szCs w:val="28"/>
                <w:lang w:val="ro-RO"/>
              </w:rPr>
            </w:pPr>
          </w:p>
        </w:tc>
        <w:tc>
          <w:tcPr>
            <w:tcW w:w="687" w:type="pct"/>
            <w:tcBorders>
              <w:left w:val="single" w:sz="4" w:space="0" w:color="auto"/>
              <w:bottom w:val="single" w:sz="12" w:space="0" w:color="auto"/>
              <w:right w:val="single" w:sz="12" w:space="0" w:color="auto"/>
            </w:tcBorders>
            <w:shd w:val="clear" w:color="auto" w:fill="B8CCE4" w:themeFill="accent1" w:themeFillTint="66"/>
            <w:vAlign w:val="center"/>
          </w:tcPr>
          <w:p w14:paraId="78A12113" w14:textId="77777777" w:rsidR="008E660F" w:rsidRPr="008E660F" w:rsidRDefault="008E660F" w:rsidP="00C44462">
            <w:pPr>
              <w:spacing w:before="120" w:after="120"/>
              <w:jc w:val="center"/>
              <w:rPr>
                <w:b/>
                <w:sz w:val="20"/>
                <w:szCs w:val="28"/>
                <w:lang w:val="ro-RO"/>
              </w:rPr>
            </w:pPr>
            <w:r w:rsidRPr="008E660F">
              <w:rPr>
                <w:b/>
                <w:sz w:val="20"/>
                <w:szCs w:val="28"/>
                <w:lang w:val="ro-RO"/>
              </w:rPr>
              <w:t>TOTAL</w:t>
            </w:r>
          </w:p>
        </w:tc>
        <w:tc>
          <w:tcPr>
            <w:tcW w:w="797" w:type="pct"/>
            <w:tcBorders>
              <w:left w:val="single" w:sz="12" w:space="0" w:color="auto"/>
              <w:bottom w:val="single" w:sz="12" w:space="0" w:color="auto"/>
            </w:tcBorders>
            <w:shd w:val="clear" w:color="auto" w:fill="B8CCE4" w:themeFill="accent1" w:themeFillTint="66"/>
            <w:vAlign w:val="center"/>
          </w:tcPr>
          <w:p w14:paraId="587EBC67" w14:textId="77777777" w:rsidR="008E660F" w:rsidRPr="008E660F" w:rsidRDefault="008E660F" w:rsidP="00C44462">
            <w:pPr>
              <w:spacing w:before="120" w:after="120"/>
              <w:jc w:val="center"/>
              <w:rPr>
                <w:sz w:val="20"/>
                <w:szCs w:val="28"/>
                <w:lang w:val="ro-RO"/>
              </w:rPr>
            </w:pPr>
            <w:r w:rsidRPr="008E660F">
              <w:rPr>
                <w:sz w:val="20"/>
                <w:szCs w:val="28"/>
                <w:lang w:val="ro-RO"/>
              </w:rPr>
              <w:t xml:space="preserve">Surse la </w:t>
            </w:r>
            <w:r w:rsidRPr="008E660F">
              <w:rPr>
                <w:b/>
                <w:sz w:val="20"/>
                <w:szCs w:val="28"/>
                <w:lang w:val="ro-RO"/>
              </w:rPr>
              <w:t>Tarif fix</w:t>
            </w:r>
            <w:r w:rsidRPr="008E660F">
              <w:rPr>
                <w:sz w:val="20"/>
                <w:szCs w:val="28"/>
                <w:lang w:val="ro-RO"/>
              </w:rPr>
              <w:t xml:space="preserve"> stabilit de ANRE</w:t>
            </w:r>
          </w:p>
        </w:tc>
        <w:tc>
          <w:tcPr>
            <w:tcW w:w="798" w:type="pct"/>
            <w:tcBorders>
              <w:bottom w:val="single" w:sz="12" w:space="0" w:color="auto"/>
              <w:right w:val="single" w:sz="12" w:space="0" w:color="auto"/>
            </w:tcBorders>
            <w:shd w:val="clear" w:color="auto" w:fill="B8CCE4" w:themeFill="accent1" w:themeFillTint="66"/>
            <w:vAlign w:val="center"/>
          </w:tcPr>
          <w:p w14:paraId="110EA7D8" w14:textId="77777777" w:rsidR="008E660F" w:rsidRPr="008E660F" w:rsidRDefault="008E660F" w:rsidP="00C44462">
            <w:pPr>
              <w:spacing w:before="120" w:after="120"/>
              <w:jc w:val="center"/>
              <w:rPr>
                <w:sz w:val="20"/>
                <w:szCs w:val="28"/>
                <w:lang w:val="ro-RO"/>
              </w:rPr>
            </w:pPr>
            <w:r w:rsidRPr="008E660F">
              <w:rPr>
                <w:sz w:val="20"/>
                <w:szCs w:val="28"/>
                <w:lang w:val="ro-RO"/>
              </w:rPr>
              <w:t>Surse la</w:t>
            </w:r>
          </w:p>
          <w:p w14:paraId="7A49B693" w14:textId="77777777" w:rsidR="008E660F" w:rsidRPr="008E660F" w:rsidRDefault="008E660F" w:rsidP="00C44462">
            <w:pPr>
              <w:spacing w:before="120" w:after="120"/>
              <w:jc w:val="center"/>
              <w:rPr>
                <w:sz w:val="20"/>
                <w:szCs w:val="28"/>
                <w:lang w:val="ro-RO"/>
              </w:rPr>
            </w:pPr>
            <w:r w:rsidRPr="008E660F">
              <w:rPr>
                <w:b/>
                <w:sz w:val="20"/>
                <w:szCs w:val="28"/>
                <w:lang w:val="ro-RO"/>
              </w:rPr>
              <w:t>Preț fix</w:t>
            </w:r>
            <w:r w:rsidRPr="008E660F">
              <w:rPr>
                <w:sz w:val="20"/>
                <w:szCs w:val="28"/>
                <w:lang w:val="ro-RO"/>
              </w:rPr>
              <w:t xml:space="preserve"> stabilit prin licitație</w:t>
            </w:r>
          </w:p>
        </w:tc>
        <w:tc>
          <w:tcPr>
            <w:tcW w:w="943" w:type="pct"/>
            <w:vMerge/>
            <w:tcBorders>
              <w:left w:val="single" w:sz="12" w:space="0" w:color="auto"/>
              <w:bottom w:val="single" w:sz="12" w:space="0" w:color="auto"/>
            </w:tcBorders>
            <w:shd w:val="clear" w:color="auto" w:fill="B8CCE4" w:themeFill="accent1" w:themeFillTint="66"/>
            <w:vAlign w:val="center"/>
          </w:tcPr>
          <w:p w14:paraId="78EE0C93" w14:textId="77777777" w:rsidR="008E660F" w:rsidRPr="008E660F" w:rsidRDefault="008E660F" w:rsidP="00C44462">
            <w:pPr>
              <w:spacing w:before="120" w:after="120"/>
              <w:jc w:val="right"/>
              <w:rPr>
                <w:sz w:val="24"/>
                <w:szCs w:val="28"/>
                <w:lang w:val="ro-RO"/>
              </w:rPr>
            </w:pPr>
          </w:p>
        </w:tc>
      </w:tr>
      <w:tr w:rsidR="008E660F" w:rsidRPr="008E660F" w14:paraId="389B8A5E" w14:textId="77777777" w:rsidTr="004E27BC">
        <w:trPr>
          <w:trHeight w:val="340"/>
          <w:jc w:val="center"/>
        </w:trPr>
        <w:tc>
          <w:tcPr>
            <w:tcW w:w="1776" w:type="pct"/>
            <w:tcBorders>
              <w:top w:val="single" w:sz="4" w:space="0" w:color="auto"/>
              <w:right w:val="single" w:sz="12" w:space="0" w:color="auto"/>
            </w:tcBorders>
            <w:shd w:val="clear" w:color="auto" w:fill="auto"/>
            <w:vAlign w:val="center"/>
          </w:tcPr>
          <w:p w14:paraId="505D3B09" w14:textId="77777777" w:rsidR="008E660F" w:rsidRPr="008E660F" w:rsidRDefault="008E660F" w:rsidP="00C44462">
            <w:pPr>
              <w:spacing w:before="120" w:after="120"/>
              <w:rPr>
                <w:sz w:val="22"/>
                <w:szCs w:val="28"/>
                <w:lang w:val="ro-RO"/>
              </w:rPr>
            </w:pPr>
            <w:r w:rsidRPr="008E660F">
              <w:rPr>
                <w:sz w:val="22"/>
                <w:szCs w:val="28"/>
                <w:lang w:val="ro-RO"/>
              </w:rPr>
              <w:t>Instalații EOLIENE</w:t>
            </w:r>
          </w:p>
        </w:tc>
        <w:tc>
          <w:tcPr>
            <w:tcW w:w="687" w:type="pct"/>
            <w:tcBorders>
              <w:top w:val="single" w:sz="12" w:space="0" w:color="auto"/>
              <w:left w:val="single" w:sz="12" w:space="0" w:color="auto"/>
              <w:right w:val="single" w:sz="12" w:space="0" w:color="auto"/>
            </w:tcBorders>
            <w:shd w:val="clear" w:color="auto" w:fill="auto"/>
            <w:vAlign w:val="center"/>
          </w:tcPr>
          <w:p w14:paraId="23AEB5AB" w14:textId="77777777" w:rsidR="008E660F" w:rsidRPr="008E660F" w:rsidRDefault="008E660F" w:rsidP="00C44462">
            <w:pPr>
              <w:spacing w:before="120" w:after="120"/>
              <w:jc w:val="center"/>
              <w:rPr>
                <w:bCs/>
                <w:sz w:val="22"/>
                <w:szCs w:val="28"/>
                <w:lang w:val="ro-RO"/>
              </w:rPr>
            </w:pPr>
            <w:r w:rsidRPr="008E660F">
              <w:rPr>
                <w:bCs/>
                <w:sz w:val="22"/>
                <w:szCs w:val="28"/>
                <w:lang w:val="ro-RO"/>
              </w:rPr>
              <w:t>100</w:t>
            </w:r>
          </w:p>
        </w:tc>
        <w:tc>
          <w:tcPr>
            <w:tcW w:w="797" w:type="pct"/>
            <w:tcBorders>
              <w:top w:val="single" w:sz="12" w:space="0" w:color="auto"/>
              <w:left w:val="single" w:sz="12" w:space="0" w:color="auto"/>
            </w:tcBorders>
            <w:shd w:val="clear" w:color="auto" w:fill="auto"/>
            <w:vAlign w:val="center"/>
          </w:tcPr>
          <w:p w14:paraId="007C1C18" w14:textId="77777777" w:rsidR="008E660F" w:rsidRPr="008E660F" w:rsidRDefault="008E660F" w:rsidP="00C44462">
            <w:pPr>
              <w:spacing w:before="120" w:after="120"/>
              <w:jc w:val="center"/>
              <w:rPr>
                <w:sz w:val="22"/>
                <w:szCs w:val="28"/>
                <w:lang w:val="ro-RO"/>
              </w:rPr>
            </w:pPr>
            <w:r w:rsidRPr="008E660F">
              <w:rPr>
                <w:sz w:val="22"/>
                <w:szCs w:val="28"/>
                <w:lang w:val="ro-RO"/>
              </w:rPr>
              <w:t>20</w:t>
            </w:r>
          </w:p>
        </w:tc>
        <w:tc>
          <w:tcPr>
            <w:tcW w:w="798" w:type="pct"/>
            <w:tcBorders>
              <w:top w:val="single" w:sz="12" w:space="0" w:color="auto"/>
              <w:right w:val="single" w:sz="12" w:space="0" w:color="auto"/>
            </w:tcBorders>
            <w:shd w:val="clear" w:color="auto" w:fill="auto"/>
            <w:vAlign w:val="center"/>
          </w:tcPr>
          <w:p w14:paraId="344E7653" w14:textId="77777777" w:rsidR="008E660F" w:rsidRPr="008E660F" w:rsidRDefault="008E660F" w:rsidP="00C44462">
            <w:pPr>
              <w:spacing w:before="120" w:after="120"/>
              <w:jc w:val="center"/>
              <w:rPr>
                <w:sz w:val="22"/>
                <w:szCs w:val="28"/>
                <w:lang w:val="ro-RO"/>
              </w:rPr>
            </w:pPr>
            <w:r w:rsidRPr="008E660F">
              <w:rPr>
                <w:sz w:val="22"/>
                <w:szCs w:val="28"/>
                <w:lang w:val="ro-RO"/>
              </w:rPr>
              <w:t>80</w:t>
            </w:r>
          </w:p>
        </w:tc>
        <w:tc>
          <w:tcPr>
            <w:tcW w:w="943" w:type="pct"/>
            <w:tcBorders>
              <w:top w:val="single" w:sz="12" w:space="0" w:color="auto"/>
              <w:left w:val="single" w:sz="12" w:space="0" w:color="auto"/>
            </w:tcBorders>
            <w:shd w:val="clear" w:color="auto" w:fill="auto"/>
            <w:vAlign w:val="center"/>
          </w:tcPr>
          <w:p w14:paraId="411E0B12" w14:textId="77777777" w:rsidR="008E660F" w:rsidRPr="008E660F" w:rsidRDefault="008E660F" w:rsidP="00C44462">
            <w:pPr>
              <w:spacing w:before="120" w:after="120"/>
              <w:jc w:val="center"/>
              <w:rPr>
                <w:sz w:val="22"/>
                <w:szCs w:val="28"/>
                <w:lang w:val="ro-RO"/>
              </w:rPr>
            </w:pPr>
            <w:r w:rsidRPr="008E660F">
              <w:rPr>
                <w:sz w:val="22"/>
                <w:szCs w:val="28"/>
                <w:lang w:val="ro-RO"/>
              </w:rPr>
              <w:t>2</w:t>
            </w:r>
          </w:p>
        </w:tc>
      </w:tr>
      <w:tr w:rsidR="008E660F" w:rsidRPr="008E660F" w14:paraId="27DC312E" w14:textId="77777777" w:rsidTr="004E27BC">
        <w:trPr>
          <w:trHeight w:val="340"/>
          <w:jc w:val="center"/>
        </w:trPr>
        <w:tc>
          <w:tcPr>
            <w:tcW w:w="1776" w:type="pct"/>
            <w:tcBorders>
              <w:right w:val="single" w:sz="12" w:space="0" w:color="auto"/>
            </w:tcBorders>
            <w:shd w:val="clear" w:color="auto" w:fill="auto"/>
            <w:vAlign w:val="center"/>
          </w:tcPr>
          <w:p w14:paraId="42180B9E" w14:textId="77777777" w:rsidR="008E660F" w:rsidRPr="008E660F" w:rsidRDefault="008E660F" w:rsidP="00C44462">
            <w:pPr>
              <w:spacing w:before="120" w:after="120"/>
              <w:rPr>
                <w:sz w:val="22"/>
                <w:szCs w:val="28"/>
                <w:lang w:val="ro-RO"/>
              </w:rPr>
            </w:pPr>
            <w:r w:rsidRPr="008E660F">
              <w:rPr>
                <w:sz w:val="22"/>
                <w:szCs w:val="28"/>
                <w:lang w:val="ro-RO"/>
              </w:rPr>
              <w:t>Instalații SOLARE PV (fotovoltaice)</w:t>
            </w:r>
          </w:p>
        </w:tc>
        <w:tc>
          <w:tcPr>
            <w:tcW w:w="687" w:type="pct"/>
            <w:tcBorders>
              <w:left w:val="single" w:sz="12" w:space="0" w:color="auto"/>
              <w:right w:val="single" w:sz="12" w:space="0" w:color="auto"/>
            </w:tcBorders>
            <w:shd w:val="clear" w:color="auto" w:fill="auto"/>
            <w:vAlign w:val="center"/>
          </w:tcPr>
          <w:p w14:paraId="2F829393" w14:textId="77777777" w:rsidR="008E660F" w:rsidRPr="008E660F" w:rsidRDefault="008E660F" w:rsidP="00C44462">
            <w:pPr>
              <w:spacing w:before="120" w:after="120"/>
              <w:jc w:val="center"/>
              <w:rPr>
                <w:bCs/>
                <w:sz w:val="22"/>
                <w:szCs w:val="28"/>
                <w:lang w:val="ro-RO"/>
              </w:rPr>
            </w:pPr>
            <w:r w:rsidRPr="008E660F">
              <w:rPr>
                <w:bCs/>
                <w:sz w:val="22"/>
                <w:szCs w:val="28"/>
                <w:lang w:val="ro-RO"/>
              </w:rPr>
              <w:t>40</w:t>
            </w:r>
          </w:p>
        </w:tc>
        <w:tc>
          <w:tcPr>
            <w:tcW w:w="797" w:type="pct"/>
            <w:tcBorders>
              <w:left w:val="single" w:sz="12" w:space="0" w:color="auto"/>
            </w:tcBorders>
            <w:shd w:val="clear" w:color="auto" w:fill="auto"/>
            <w:vAlign w:val="center"/>
          </w:tcPr>
          <w:p w14:paraId="3F644CD0" w14:textId="77777777" w:rsidR="008E660F" w:rsidRPr="008E660F" w:rsidRDefault="008E660F" w:rsidP="00C44462">
            <w:pPr>
              <w:spacing w:before="120" w:after="120"/>
              <w:jc w:val="center"/>
              <w:rPr>
                <w:sz w:val="22"/>
                <w:szCs w:val="28"/>
                <w:lang w:val="ro-RO"/>
              </w:rPr>
            </w:pPr>
            <w:r w:rsidRPr="008E660F">
              <w:rPr>
                <w:sz w:val="22"/>
                <w:szCs w:val="28"/>
                <w:lang w:val="ro-RO"/>
              </w:rPr>
              <w:t>15</w:t>
            </w:r>
          </w:p>
        </w:tc>
        <w:tc>
          <w:tcPr>
            <w:tcW w:w="798" w:type="pct"/>
            <w:tcBorders>
              <w:right w:val="single" w:sz="12" w:space="0" w:color="auto"/>
            </w:tcBorders>
            <w:shd w:val="clear" w:color="auto" w:fill="auto"/>
            <w:vAlign w:val="center"/>
          </w:tcPr>
          <w:p w14:paraId="05E39C4F" w14:textId="77777777" w:rsidR="008E660F" w:rsidRPr="008E660F" w:rsidRDefault="008E660F" w:rsidP="00C44462">
            <w:pPr>
              <w:spacing w:before="120" w:after="120"/>
              <w:jc w:val="center"/>
              <w:rPr>
                <w:sz w:val="22"/>
                <w:szCs w:val="28"/>
                <w:lang w:val="ro-RO"/>
              </w:rPr>
            </w:pPr>
            <w:r w:rsidRPr="008E660F">
              <w:rPr>
                <w:sz w:val="22"/>
                <w:szCs w:val="28"/>
                <w:lang w:val="ro-RO"/>
              </w:rPr>
              <w:t>25</w:t>
            </w:r>
          </w:p>
        </w:tc>
        <w:tc>
          <w:tcPr>
            <w:tcW w:w="943" w:type="pct"/>
            <w:tcBorders>
              <w:left w:val="single" w:sz="12" w:space="0" w:color="auto"/>
            </w:tcBorders>
            <w:shd w:val="clear" w:color="auto" w:fill="auto"/>
            <w:vAlign w:val="center"/>
          </w:tcPr>
          <w:p w14:paraId="07F046E3" w14:textId="77777777" w:rsidR="008E660F" w:rsidRPr="008E660F" w:rsidRDefault="008E660F" w:rsidP="00C44462">
            <w:pPr>
              <w:spacing w:before="120" w:after="120"/>
              <w:jc w:val="center"/>
              <w:rPr>
                <w:sz w:val="22"/>
                <w:szCs w:val="28"/>
                <w:lang w:val="ro-RO"/>
              </w:rPr>
            </w:pPr>
            <w:r w:rsidRPr="008E660F">
              <w:rPr>
                <w:sz w:val="22"/>
                <w:szCs w:val="28"/>
                <w:lang w:val="ro-RO"/>
              </w:rPr>
              <w:t>1</w:t>
            </w:r>
          </w:p>
        </w:tc>
      </w:tr>
      <w:tr w:rsidR="008E660F" w:rsidRPr="008E660F" w14:paraId="4F8423F3" w14:textId="77777777" w:rsidTr="004E27BC">
        <w:trPr>
          <w:trHeight w:val="340"/>
          <w:jc w:val="center"/>
        </w:trPr>
        <w:tc>
          <w:tcPr>
            <w:tcW w:w="1776" w:type="pct"/>
            <w:tcBorders>
              <w:right w:val="single" w:sz="12" w:space="0" w:color="auto"/>
            </w:tcBorders>
            <w:shd w:val="clear" w:color="auto" w:fill="auto"/>
            <w:vAlign w:val="center"/>
          </w:tcPr>
          <w:p w14:paraId="45578CD3" w14:textId="77777777" w:rsidR="008E660F" w:rsidRPr="008E660F" w:rsidRDefault="008E660F" w:rsidP="00C44462">
            <w:pPr>
              <w:spacing w:before="120" w:after="120"/>
              <w:rPr>
                <w:sz w:val="22"/>
                <w:szCs w:val="28"/>
                <w:lang w:val="ro-RO"/>
              </w:rPr>
            </w:pPr>
            <w:r w:rsidRPr="008E660F">
              <w:rPr>
                <w:sz w:val="22"/>
                <w:szCs w:val="28"/>
                <w:lang w:val="ro-RO"/>
              </w:rPr>
              <w:t>Instalații de BIOGAZ</w:t>
            </w:r>
          </w:p>
        </w:tc>
        <w:tc>
          <w:tcPr>
            <w:tcW w:w="687" w:type="pct"/>
            <w:tcBorders>
              <w:left w:val="single" w:sz="12" w:space="0" w:color="auto"/>
              <w:right w:val="single" w:sz="12" w:space="0" w:color="auto"/>
            </w:tcBorders>
            <w:shd w:val="clear" w:color="auto" w:fill="auto"/>
            <w:vAlign w:val="center"/>
          </w:tcPr>
          <w:p w14:paraId="4AC24FB2" w14:textId="77777777" w:rsidR="008E660F" w:rsidRPr="008E660F" w:rsidRDefault="008E660F" w:rsidP="00C44462">
            <w:pPr>
              <w:spacing w:before="120" w:after="120"/>
              <w:jc w:val="center"/>
              <w:rPr>
                <w:bCs/>
                <w:sz w:val="22"/>
                <w:szCs w:val="28"/>
                <w:lang w:val="ro-RO"/>
              </w:rPr>
            </w:pPr>
            <w:r w:rsidRPr="008E660F">
              <w:rPr>
                <w:bCs/>
                <w:sz w:val="22"/>
                <w:szCs w:val="28"/>
                <w:lang w:val="ro-RO"/>
              </w:rPr>
              <w:t>20</w:t>
            </w:r>
          </w:p>
        </w:tc>
        <w:tc>
          <w:tcPr>
            <w:tcW w:w="797" w:type="pct"/>
            <w:tcBorders>
              <w:left w:val="single" w:sz="12" w:space="0" w:color="auto"/>
            </w:tcBorders>
            <w:shd w:val="clear" w:color="auto" w:fill="auto"/>
            <w:vAlign w:val="center"/>
          </w:tcPr>
          <w:p w14:paraId="1B783FBA" w14:textId="77777777" w:rsidR="008E660F" w:rsidRPr="008E660F" w:rsidRDefault="008E660F" w:rsidP="00C44462">
            <w:pPr>
              <w:spacing w:before="120" w:after="120"/>
              <w:jc w:val="center"/>
              <w:rPr>
                <w:sz w:val="22"/>
                <w:szCs w:val="28"/>
                <w:lang w:val="ro-RO"/>
              </w:rPr>
            </w:pPr>
            <w:r w:rsidRPr="008E660F">
              <w:rPr>
                <w:sz w:val="22"/>
                <w:szCs w:val="28"/>
                <w:lang w:val="ro-RO"/>
              </w:rPr>
              <w:t>12</w:t>
            </w:r>
          </w:p>
        </w:tc>
        <w:tc>
          <w:tcPr>
            <w:tcW w:w="798" w:type="pct"/>
            <w:tcBorders>
              <w:right w:val="single" w:sz="12" w:space="0" w:color="auto"/>
            </w:tcBorders>
            <w:shd w:val="clear" w:color="auto" w:fill="auto"/>
            <w:vAlign w:val="center"/>
          </w:tcPr>
          <w:p w14:paraId="6F3170CC" w14:textId="77777777" w:rsidR="008E660F" w:rsidRPr="008E660F" w:rsidRDefault="008E660F" w:rsidP="00C44462">
            <w:pPr>
              <w:spacing w:before="120" w:after="120"/>
              <w:jc w:val="center"/>
              <w:rPr>
                <w:sz w:val="22"/>
                <w:szCs w:val="28"/>
                <w:lang w:val="ro-RO"/>
              </w:rPr>
            </w:pPr>
            <w:r w:rsidRPr="008E660F">
              <w:rPr>
                <w:sz w:val="22"/>
                <w:szCs w:val="28"/>
                <w:lang w:val="ro-RO"/>
              </w:rPr>
              <w:t>8</w:t>
            </w:r>
          </w:p>
        </w:tc>
        <w:tc>
          <w:tcPr>
            <w:tcW w:w="943" w:type="pct"/>
            <w:tcBorders>
              <w:left w:val="single" w:sz="12" w:space="0" w:color="auto"/>
            </w:tcBorders>
            <w:shd w:val="clear" w:color="auto" w:fill="auto"/>
            <w:vAlign w:val="center"/>
          </w:tcPr>
          <w:p w14:paraId="56C14515" w14:textId="77777777" w:rsidR="008E660F" w:rsidRPr="008E660F" w:rsidRDefault="008E660F" w:rsidP="00C44462">
            <w:pPr>
              <w:spacing w:before="120" w:after="120"/>
              <w:jc w:val="center"/>
              <w:rPr>
                <w:sz w:val="22"/>
                <w:szCs w:val="28"/>
                <w:lang w:val="ro-RO"/>
              </w:rPr>
            </w:pPr>
            <w:r w:rsidRPr="008E660F">
              <w:rPr>
                <w:sz w:val="22"/>
                <w:szCs w:val="28"/>
                <w:lang w:val="ro-RO"/>
              </w:rPr>
              <w:t>1</w:t>
            </w:r>
          </w:p>
        </w:tc>
      </w:tr>
      <w:tr w:rsidR="008E660F" w:rsidRPr="008E660F" w14:paraId="50CBEEFF" w14:textId="77777777" w:rsidTr="004E27BC">
        <w:trPr>
          <w:trHeight w:val="340"/>
          <w:jc w:val="center"/>
        </w:trPr>
        <w:tc>
          <w:tcPr>
            <w:tcW w:w="1776" w:type="pct"/>
            <w:tcBorders>
              <w:right w:val="single" w:sz="12" w:space="0" w:color="auto"/>
            </w:tcBorders>
            <w:shd w:val="clear" w:color="auto" w:fill="auto"/>
            <w:vAlign w:val="center"/>
          </w:tcPr>
          <w:p w14:paraId="1B63FBA5" w14:textId="77777777" w:rsidR="008E660F" w:rsidRPr="008E660F" w:rsidRDefault="008E660F" w:rsidP="00C44462">
            <w:pPr>
              <w:spacing w:before="120" w:after="120"/>
              <w:rPr>
                <w:sz w:val="22"/>
                <w:szCs w:val="28"/>
                <w:lang w:val="ro-RO"/>
              </w:rPr>
            </w:pPr>
            <w:r w:rsidRPr="008E660F">
              <w:rPr>
                <w:sz w:val="22"/>
                <w:szCs w:val="28"/>
                <w:lang w:val="ro-RO"/>
              </w:rPr>
              <w:t>Instalații în COGENERARE</w:t>
            </w:r>
          </w:p>
          <w:p w14:paraId="65B99EAA" w14:textId="7B30497C" w:rsidR="008E660F" w:rsidRPr="008E660F" w:rsidRDefault="008E660F" w:rsidP="00C44462">
            <w:pPr>
              <w:spacing w:before="120" w:after="120"/>
              <w:rPr>
                <w:sz w:val="22"/>
                <w:szCs w:val="28"/>
                <w:lang w:val="ro-RO"/>
              </w:rPr>
            </w:pPr>
            <w:r w:rsidRPr="008E660F">
              <w:rPr>
                <w:sz w:val="22"/>
                <w:szCs w:val="28"/>
                <w:lang w:val="ro-RO"/>
              </w:rPr>
              <w:t xml:space="preserve">(pe </w:t>
            </w:r>
            <w:r w:rsidR="00EB1D9E">
              <w:rPr>
                <w:sz w:val="22"/>
                <w:szCs w:val="28"/>
                <w:lang w:val="ro-RO"/>
              </w:rPr>
              <w:t xml:space="preserve">biocombustibil </w:t>
            </w:r>
            <w:r w:rsidRPr="008E660F">
              <w:rPr>
                <w:sz w:val="22"/>
                <w:szCs w:val="28"/>
                <w:lang w:val="ro-RO"/>
              </w:rPr>
              <w:t>solid)</w:t>
            </w:r>
          </w:p>
        </w:tc>
        <w:tc>
          <w:tcPr>
            <w:tcW w:w="687" w:type="pct"/>
            <w:tcBorders>
              <w:left w:val="single" w:sz="12" w:space="0" w:color="auto"/>
              <w:right w:val="single" w:sz="12" w:space="0" w:color="auto"/>
            </w:tcBorders>
            <w:shd w:val="clear" w:color="auto" w:fill="auto"/>
            <w:vAlign w:val="center"/>
          </w:tcPr>
          <w:p w14:paraId="1D08C2AA" w14:textId="77777777" w:rsidR="008E660F" w:rsidRPr="008E660F" w:rsidRDefault="008E660F" w:rsidP="00C44462">
            <w:pPr>
              <w:spacing w:before="120" w:after="120"/>
              <w:jc w:val="center"/>
              <w:rPr>
                <w:bCs/>
                <w:sz w:val="22"/>
                <w:szCs w:val="28"/>
                <w:lang w:val="ro-RO"/>
              </w:rPr>
            </w:pPr>
            <w:r w:rsidRPr="008E660F">
              <w:rPr>
                <w:bCs/>
                <w:sz w:val="22"/>
                <w:szCs w:val="28"/>
                <w:lang w:val="ro-RO"/>
              </w:rPr>
              <w:t>5</w:t>
            </w:r>
          </w:p>
        </w:tc>
        <w:tc>
          <w:tcPr>
            <w:tcW w:w="797" w:type="pct"/>
            <w:tcBorders>
              <w:left w:val="single" w:sz="12" w:space="0" w:color="auto"/>
            </w:tcBorders>
            <w:shd w:val="clear" w:color="auto" w:fill="auto"/>
            <w:vAlign w:val="center"/>
          </w:tcPr>
          <w:p w14:paraId="7420C49A" w14:textId="77777777" w:rsidR="008E660F" w:rsidRPr="008E660F" w:rsidRDefault="008E660F" w:rsidP="00C44462">
            <w:pPr>
              <w:spacing w:before="120" w:after="120"/>
              <w:jc w:val="center"/>
              <w:rPr>
                <w:sz w:val="22"/>
                <w:szCs w:val="28"/>
                <w:lang w:val="ro-RO"/>
              </w:rPr>
            </w:pPr>
            <w:r w:rsidRPr="008E660F">
              <w:rPr>
                <w:sz w:val="22"/>
                <w:szCs w:val="28"/>
                <w:lang w:val="ro-RO"/>
              </w:rPr>
              <w:t>5</w:t>
            </w:r>
          </w:p>
        </w:tc>
        <w:tc>
          <w:tcPr>
            <w:tcW w:w="798" w:type="pct"/>
            <w:tcBorders>
              <w:right w:val="single" w:sz="12" w:space="0" w:color="auto"/>
            </w:tcBorders>
            <w:shd w:val="clear" w:color="auto" w:fill="auto"/>
            <w:vAlign w:val="center"/>
          </w:tcPr>
          <w:p w14:paraId="282347C6" w14:textId="77777777" w:rsidR="008E660F" w:rsidRPr="008E660F" w:rsidRDefault="008E660F" w:rsidP="00C44462">
            <w:pPr>
              <w:spacing w:before="120" w:after="120"/>
              <w:jc w:val="center"/>
              <w:rPr>
                <w:sz w:val="22"/>
                <w:szCs w:val="28"/>
                <w:lang w:val="ro-RO"/>
              </w:rPr>
            </w:pPr>
            <w:r w:rsidRPr="008E660F">
              <w:rPr>
                <w:sz w:val="22"/>
                <w:szCs w:val="28"/>
                <w:lang w:val="ro-RO"/>
              </w:rPr>
              <w:t>-</w:t>
            </w:r>
          </w:p>
        </w:tc>
        <w:tc>
          <w:tcPr>
            <w:tcW w:w="943" w:type="pct"/>
            <w:tcBorders>
              <w:left w:val="single" w:sz="12" w:space="0" w:color="auto"/>
            </w:tcBorders>
            <w:shd w:val="clear" w:color="auto" w:fill="auto"/>
            <w:vAlign w:val="center"/>
          </w:tcPr>
          <w:p w14:paraId="6C854C45" w14:textId="77777777" w:rsidR="008E660F" w:rsidRPr="008E660F" w:rsidRDefault="008E660F" w:rsidP="00C44462">
            <w:pPr>
              <w:spacing w:before="120" w:after="120"/>
              <w:jc w:val="center"/>
              <w:rPr>
                <w:sz w:val="22"/>
                <w:szCs w:val="28"/>
                <w:lang w:val="ro-RO"/>
              </w:rPr>
            </w:pPr>
            <w:r w:rsidRPr="008E660F">
              <w:rPr>
                <w:sz w:val="22"/>
                <w:szCs w:val="28"/>
                <w:lang w:val="ro-RO"/>
              </w:rPr>
              <w:t>1</w:t>
            </w:r>
          </w:p>
        </w:tc>
      </w:tr>
      <w:tr w:rsidR="008E660F" w:rsidRPr="008E660F" w14:paraId="4D6C96FE" w14:textId="77777777" w:rsidTr="004E27BC">
        <w:trPr>
          <w:trHeight w:val="340"/>
          <w:jc w:val="center"/>
        </w:trPr>
        <w:tc>
          <w:tcPr>
            <w:tcW w:w="1776" w:type="pct"/>
            <w:tcBorders>
              <w:right w:val="single" w:sz="12" w:space="0" w:color="auto"/>
            </w:tcBorders>
            <w:shd w:val="clear" w:color="auto" w:fill="auto"/>
            <w:vAlign w:val="center"/>
          </w:tcPr>
          <w:p w14:paraId="3A9C9743" w14:textId="77777777" w:rsidR="008E660F" w:rsidRPr="008E660F" w:rsidRDefault="008E660F" w:rsidP="00C44462">
            <w:pPr>
              <w:spacing w:before="120" w:after="120"/>
              <w:rPr>
                <w:sz w:val="22"/>
                <w:szCs w:val="28"/>
                <w:lang w:val="ro-RO"/>
              </w:rPr>
            </w:pPr>
            <w:r w:rsidRPr="008E660F">
              <w:rPr>
                <w:sz w:val="22"/>
                <w:szCs w:val="28"/>
                <w:lang w:val="ro-RO"/>
              </w:rPr>
              <w:t>Instalații HIDRO</w:t>
            </w:r>
          </w:p>
        </w:tc>
        <w:tc>
          <w:tcPr>
            <w:tcW w:w="687" w:type="pct"/>
            <w:tcBorders>
              <w:left w:val="single" w:sz="12" w:space="0" w:color="auto"/>
              <w:right w:val="single" w:sz="12" w:space="0" w:color="auto"/>
            </w:tcBorders>
            <w:shd w:val="clear" w:color="auto" w:fill="auto"/>
            <w:vAlign w:val="center"/>
          </w:tcPr>
          <w:p w14:paraId="2463AB06" w14:textId="77777777" w:rsidR="008E660F" w:rsidRPr="008E660F" w:rsidRDefault="008E660F" w:rsidP="00C44462">
            <w:pPr>
              <w:spacing w:before="120" w:after="120"/>
              <w:jc w:val="center"/>
              <w:rPr>
                <w:bCs/>
                <w:sz w:val="22"/>
                <w:szCs w:val="28"/>
                <w:lang w:val="ro-RO"/>
              </w:rPr>
            </w:pPr>
            <w:r w:rsidRPr="008E660F">
              <w:rPr>
                <w:bCs/>
                <w:sz w:val="22"/>
                <w:szCs w:val="28"/>
                <w:lang w:val="ro-RO"/>
              </w:rPr>
              <w:t>3</w:t>
            </w:r>
          </w:p>
        </w:tc>
        <w:tc>
          <w:tcPr>
            <w:tcW w:w="797" w:type="pct"/>
            <w:tcBorders>
              <w:left w:val="single" w:sz="12" w:space="0" w:color="auto"/>
            </w:tcBorders>
            <w:shd w:val="clear" w:color="auto" w:fill="auto"/>
            <w:vAlign w:val="center"/>
          </w:tcPr>
          <w:p w14:paraId="1EA4DC2C" w14:textId="77777777" w:rsidR="008E660F" w:rsidRPr="008E660F" w:rsidRDefault="008E660F" w:rsidP="00C44462">
            <w:pPr>
              <w:spacing w:before="120" w:after="120"/>
              <w:jc w:val="center"/>
              <w:rPr>
                <w:sz w:val="22"/>
                <w:szCs w:val="28"/>
                <w:lang w:val="ro-RO"/>
              </w:rPr>
            </w:pPr>
            <w:r w:rsidRPr="008E660F">
              <w:rPr>
                <w:sz w:val="22"/>
                <w:szCs w:val="28"/>
                <w:lang w:val="ro-RO"/>
              </w:rPr>
              <w:t>3</w:t>
            </w:r>
          </w:p>
        </w:tc>
        <w:tc>
          <w:tcPr>
            <w:tcW w:w="798" w:type="pct"/>
            <w:tcBorders>
              <w:right w:val="single" w:sz="12" w:space="0" w:color="auto"/>
            </w:tcBorders>
            <w:shd w:val="clear" w:color="auto" w:fill="auto"/>
            <w:vAlign w:val="center"/>
          </w:tcPr>
          <w:p w14:paraId="359F5967" w14:textId="77777777" w:rsidR="008E660F" w:rsidRPr="008E660F" w:rsidRDefault="008E660F" w:rsidP="00C44462">
            <w:pPr>
              <w:spacing w:before="120" w:after="120"/>
              <w:jc w:val="center"/>
              <w:rPr>
                <w:sz w:val="22"/>
                <w:szCs w:val="28"/>
                <w:lang w:val="ro-RO"/>
              </w:rPr>
            </w:pPr>
            <w:r w:rsidRPr="008E660F">
              <w:rPr>
                <w:sz w:val="22"/>
                <w:szCs w:val="28"/>
                <w:lang w:val="ro-RO"/>
              </w:rPr>
              <w:t>-</w:t>
            </w:r>
          </w:p>
        </w:tc>
        <w:tc>
          <w:tcPr>
            <w:tcW w:w="943" w:type="pct"/>
            <w:tcBorders>
              <w:left w:val="single" w:sz="12" w:space="0" w:color="auto"/>
            </w:tcBorders>
            <w:shd w:val="clear" w:color="auto" w:fill="auto"/>
            <w:vAlign w:val="center"/>
          </w:tcPr>
          <w:p w14:paraId="3D35A0F4" w14:textId="77777777" w:rsidR="008E660F" w:rsidRPr="008E660F" w:rsidRDefault="008E660F" w:rsidP="00C44462">
            <w:pPr>
              <w:spacing w:before="120" w:after="120"/>
              <w:jc w:val="center"/>
              <w:rPr>
                <w:sz w:val="22"/>
                <w:szCs w:val="28"/>
                <w:lang w:val="ro-RO"/>
              </w:rPr>
            </w:pPr>
            <w:r w:rsidRPr="008E660F">
              <w:rPr>
                <w:sz w:val="22"/>
                <w:szCs w:val="28"/>
                <w:lang w:val="ro-RO"/>
              </w:rPr>
              <w:t>1</w:t>
            </w:r>
          </w:p>
        </w:tc>
      </w:tr>
      <w:tr w:rsidR="008E660F" w:rsidRPr="008E660F" w14:paraId="1AA741F2" w14:textId="77777777" w:rsidTr="004E27BC">
        <w:trPr>
          <w:trHeight w:val="340"/>
          <w:jc w:val="center"/>
        </w:trPr>
        <w:tc>
          <w:tcPr>
            <w:tcW w:w="1776" w:type="pct"/>
            <w:tcBorders>
              <w:top w:val="single" w:sz="12" w:space="0" w:color="auto"/>
              <w:right w:val="single" w:sz="12" w:space="0" w:color="auto"/>
            </w:tcBorders>
            <w:shd w:val="clear" w:color="auto" w:fill="auto"/>
            <w:vAlign w:val="center"/>
          </w:tcPr>
          <w:p w14:paraId="59E96CC2" w14:textId="77777777" w:rsidR="008E660F" w:rsidRPr="008E660F" w:rsidRDefault="008E660F" w:rsidP="00C44462">
            <w:pPr>
              <w:spacing w:before="120" w:after="120"/>
              <w:jc w:val="center"/>
              <w:rPr>
                <w:b/>
                <w:sz w:val="22"/>
                <w:szCs w:val="28"/>
                <w:lang w:val="ro-RO"/>
              </w:rPr>
            </w:pPr>
            <w:r w:rsidRPr="008E660F">
              <w:rPr>
                <w:b/>
                <w:sz w:val="22"/>
                <w:szCs w:val="28"/>
                <w:lang w:val="ro-RO"/>
              </w:rPr>
              <w:t>TOTAL</w:t>
            </w:r>
          </w:p>
        </w:tc>
        <w:tc>
          <w:tcPr>
            <w:tcW w:w="687" w:type="pct"/>
            <w:tcBorders>
              <w:top w:val="single" w:sz="12" w:space="0" w:color="auto"/>
              <w:left w:val="single" w:sz="12" w:space="0" w:color="auto"/>
              <w:right w:val="single" w:sz="12" w:space="0" w:color="auto"/>
            </w:tcBorders>
            <w:shd w:val="clear" w:color="auto" w:fill="auto"/>
            <w:vAlign w:val="center"/>
          </w:tcPr>
          <w:p w14:paraId="6AFE2A30" w14:textId="77777777" w:rsidR="008E660F" w:rsidRPr="008E660F" w:rsidRDefault="008E660F" w:rsidP="00C44462">
            <w:pPr>
              <w:spacing w:before="120" w:after="120"/>
              <w:jc w:val="center"/>
              <w:rPr>
                <w:b/>
                <w:sz w:val="22"/>
                <w:szCs w:val="28"/>
                <w:lang w:val="ro-RO"/>
              </w:rPr>
            </w:pPr>
            <w:r w:rsidRPr="008E660F">
              <w:rPr>
                <w:b/>
                <w:sz w:val="22"/>
                <w:szCs w:val="28"/>
                <w:lang w:val="ro-RO"/>
              </w:rPr>
              <w:t>168</w:t>
            </w:r>
          </w:p>
        </w:tc>
        <w:tc>
          <w:tcPr>
            <w:tcW w:w="797" w:type="pct"/>
            <w:tcBorders>
              <w:top w:val="single" w:sz="12" w:space="0" w:color="auto"/>
              <w:left w:val="single" w:sz="12" w:space="0" w:color="auto"/>
            </w:tcBorders>
            <w:shd w:val="clear" w:color="auto" w:fill="auto"/>
            <w:vAlign w:val="center"/>
          </w:tcPr>
          <w:p w14:paraId="33A559DE" w14:textId="77777777" w:rsidR="008E660F" w:rsidRPr="008E660F" w:rsidRDefault="008E660F" w:rsidP="00C44462">
            <w:pPr>
              <w:spacing w:before="120" w:after="120"/>
              <w:jc w:val="center"/>
              <w:rPr>
                <w:b/>
                <w:sz w:val="22"/>
                <w:szCs w:val="28"/>
                <w:lang w:val="ro-RO"/>
              </w:rPr>
            </w:pPr>
            <w:r w:rsidRPr="008E660F">
              <w:rPr>
                <w:b/>
                <w:sz w:val="22"/>
                <w:szCs w:val="28"/>
                <w:lang w:val="ro-RO"/>
              </w:rPr>
              <w:t>48</w:t>
            </w:r>
          </w:p>
        </w:tc>
        <w:tc>
          <w:tcPr>
            <w:tcW w:w="798" w:type="pct"/>
            <w:tcBorders>
              <w:top w:val="single" w:sz="12" w:space="0" w:color="auto"/>
              <w:right w:val="single" w:sz="12" w:space="0" w:color="auto"/>
            </w:tcBorders>
            <w:shd w:val="clear" w:color="auto" w:fill="auto"/>
            <w:vAlign w:val="center"/>
          </w:tcPr>
          <w:p w14:paraId="697558D0" w14:textId="77777777" w:rsidR="008E660F" w:rsidRPr="008E660F" w:rsidRDefault="008E660F" w:rsidP="00C44462">
            <w:pPr>
              <w:spacing w:before="120" w:after="120"/>
              <w:jc w:val="center"/>
              <w:rPr>
                <w:b/>
                <w:sz w:val="22"/>
                <w:szCs w:val="28"/>
                <w:lang w:val="ro-RO"/>
              </w:rPr>
            </w:pPr>
            <w:r w:rsidRPr="008E660F">
              <w:rPr>
                <w:b/>
                <w:sz w:val="22"/>
                <w:szCs w:val="28"/>
                <w:lang w:val="ro-RO"/>
              </w:rPr>
              <w:t>120</w:t>
            </w:r>
          </w:p>
        </w:tc>
        <w:tc>
          <w:tcPr>
            <w:tcW w:w="943" w:type="pct"/>
            <w:tcBorders>
              <w:top w:val="single" w:sz="12" w:space="0" w:color="auto"/>
              <w:left w:val="single" w:sz="12" w:space="0" w:color="auto"/>
            </w:tcBorders>
            <w:shd w:val="clear" w:color="auto" w:fill="auto"/>
            <w:vAlign w:val="center"/>
          </w:tcPr>
          <w:p w14:paraId="55DD021F" w14:textId="77777777" w:rsidR="008E660F" w:rsidRPr="008E660F" w:rsidRDefault="008E660F" w:rsidP="00C44462">
            <w:pPr>
              <w:spacing w:before="120" w:after="120"/>
              <w:jc w:val="center"/>
              <w:rPr>
                <w:sz w:val="22"/>
                <w:szCs w:val="28"/>
                <w:lang w:val="ro-RO"/>
              </w:rPr>
            </w:pPr>
            <w:r w:rsidRPr="008E660F">
              <w:rPr>
                <w:sz w:val="22"/>
                <w:szCs w:val="28"/>
                <w:lang w:val="ro-RO"/>
              </w:rPr>
              <w:t>-</w:t>
            </w:r>
          </w:p>
        </w:tc>
      </w:tr>
    </w:tbl>
    <w:p w14:paraId="3E3341B1" w14:textId="268F818A" w:rsidR="00307D9E" w:rsidRDefault="00307D9E" w:rsidP="00C44462">
      <w:pPr>
        <w:spacing w:before="120" w:after="120" w:line="276" w:lineRule="auto"/>
        <w:jc w:val="both"/>
        <w:rPr>
          <w:bCs/>
          <w:sz w:val="25"/>
          <w:szCs w:val="25"/>
          <w:lang w:val="ro-RO"/>
        </w:rPr>
      </w:pPr>
      <w:r>
        <w:rPr>
          <w:bCs/>
          <w:sz w:val="25"/>
          <w:szCs w:val="25"/>
          <w:lang w:val="ro-RO"/>
        </w:rPr>
        <w:t xml:space="preserve">Cu referință la </w:t>
      </w:r>
      <w:r w:rsidR="008E660F">
        <w:rPr>
          <w:bCs/>
          <w:sz w:val="25"/>
          <w:szCs w:val="25"/>
          <w:lang w:val="ro-RO"/>
        </w:rPr>
        <w:t xml:space="preserve">proiectele aflate în derulare și, care ar urma să obțină tarif </w:t>
      </w:r>
      <w:r w:rsidR="00EB1D9E">
        <w:rPr>
          <w:bCs/>
          <w:sz w:val="25"/>
          <w:szCs w:val="25"/>
          <w:lang w:val="ro-RO"/>
        </w:rPr>
        <w:t>p</w:t>
      </w:r>
      <w:r w:rsidR="00EB1D9E">
        <w:rPr>
          <w:bCs/>
          <w:sz w:val="25"/>
          <w:szCs w:val="25"/>
        </w:rPr>
        <w:t xml:space="preserve">ână în data de 25 martie 2018 </w:t>
      </w:r>
      <w:r w:rsidR="008E660F">
        <w:rPr>
          <w:bCs/>
          <w:sz w:val="25"/>
          <w:szCs w:val="25"/>
          <w:lang w:val="ro-RO"/>
        </w:rPr>
        <w:t xml:space="preserve">pentru energia electrică regenerabilă produsă în conformitate cu </w:t>
      </w:r>
      <w:r w:rsidR="00305B08">
        <w:rPr>
          <w:bCs/>
          <w:sz w:val="25"/>
          <w:szCs w:val="25"/>
          <w:lang w:val="ro-RO"/>
        </w:rPr>
        <w:t xml:space="preserve">schema de suport </w:t>
      </w:r>
      <w:r w:rsidR="00EB1D9E">
        <w:rPr>
          <w:bCs/>
          <w:sz w:val="25"/>
          <w:szCs w:val="25"/>
          <w:lang w:val="ro-RO"/>
        </w:rPr>
        <w:t>aferentă</w:t>
      </w:r>
      <w:r w:rsidR="00305B08">
        <w:rPr>
          <w:bCs/>
          <w:sz w:val="25"/>
          <w:szCs w:val="25"/>
          <w:lang w:val="ro-RO"/>
        </w:rPr>
        <w:t xml:space="preserve"> </w:t>
      </w:r>
      <w:r w:rsidR="008E660F">
        <w:rPr>
          <w:bCs/>
          <w:sz w:val="25"/>
          <w:szCs w:val="25"/>
          <w:lang w:val="ro-RO"/>
        </w:rPr>
        <w:t>Leg</w:t>
      </w:r>
      <w:r w:rsidR="00EB1D9E">
        <w:rPr>
          <w:bCs/>
          <w:sz w:val="25"/>
          <w:szCs w:val="25"/>
          <w:lang w:val="ro-RO"/>
        </w:rPr>
        <w:t>ii</w:t>
      </w:r>
      <w:r w:rsidR="008E660F">
        <w:rPr>
          <w:bCs/>
          <w:sz w:val="25"/>
          <w:szCs w:val="25"/>
          <w:lang w:val="ro-RO"/>
        </w:rPr>
        <w:t xml:space="preserve"> energiei regenerabile 160/</w:t>
      </w:r>
      <w:r w:rsidR="00305B08">
        <w:rPr>
          <w:bCs/>
          <w:sz w:val="25"/>
          <w:szCs w:val="25"/>
          <w:lang w:val="ro-RO"/>
        </w:rPr>
        <w:t xml:space="preserve"> </w:t>
      </w:r>
      <w:r w:rsidR="008E660F">
        <w:rPr>
          <w:bCs/>
          <w:sz w:val="25"/>
          <w:szCs w:val="25"/>
          <w:lang w:val="ro-RO"/>
        </w:rPr>
        <w:t>2007, capacitatea cumulativă a acestora nu va afecta categoriile maxime de capacități</w:t>
      </w:r>
      <w:r w:rsidR="00305B08">
        <w:rPr>
          <w:bCs/>
          <w:sz w:val="25"/>
          <w:szCs w:val="25"/>
          <w:lang w:val="ro-RO"/>
        </w:rPr>
        <w:t>. În acest mod, puterea unităților respective va fi neglijată iar, energia generată de acestea va contribui la depășirea pragului de 10% stabilit de către politicile sectoriale naționale.</w:t>
      </w:r>
    </w:p>
    <w:p w14:paraId="73BA1C78" w14:textId="7999EAB3" w:rsidR="009F06E4" w:rsidRPr="00307D9E" w:rsidRDefault="009F06E4" w:rsidP="00C44462">
      <w:pPr>
        <w:spacing w:before="120" w:after="120" w:line="276" w:lineRule="auto"/>
        <w:jc w:val="both"/>
        <w:rPr>
          <w:bCs/>
          <w:sz w:val="25"/>
          <w:szCs w:val="25"/>
          <w:lang w:val="ro-RO"/>
        </w:rPr>
      </w:pPr>
      <w:r>
        <w:rPr>
          <w:bCs/>
          <w:sz w:val="25"/>
          <w:szCs w:val="25"/>
          <w:lang w:val="ro-RO"/>
        </w:rPr>
        <w:t xml:space="preserve">O contribuție „limitată”/ „controlată” la atingerea țintei naționale în domeniul energiei regenerabile ar urmă să o aducă și conceptul „contorizării nete”, a cărei beneficiari vor putea opta pentru acoperirea propriului consum de energie electrică prin utilizarea tehnologiilor de valorificare a potențialului regenerabil. Condițiile în care un producător de energie regenerabilă cade sub incidența schemei respective de suport, sunt stabilite expres de art. 39 al Legii 10/2016 cu privire la utilizarea energiei din surse regenerabile.  </w:t>
      </w:r>
    </w:p>
    <w:p w14:paraId="216C99E1" w14:textId="77777777" w:rsidR="001E43A1" w:rsidRPr="00E3374E" w:rsidRDefault="001C6DF8" w:rsidP="00C44462">
      <w:pPr>
        <w:spacing w:before="120" w:after="120" w:line="276" w:lineRule="auto"/>
        <w:jc w:val="both"/>
        <w:rPr>
          <w:i/>
          <w:sz w:val="25"/>
          <w:szCs w:val="25"/>
          <w:u w:val="single"/>
        </w:rPr>
      </w:pPr>
      <w:r w:rsidRPr="00E3374E">
        <w:rPr>
          <w:i/>
          <w:sz w:val="25"/>
          <w:szCs w:val="25"/>
          <w:u w:val="single"/>
        </w:rPr>
        <w:lastRenderedPageBreak/>
        <w:t xml:space="preserve">Aspectul economico-financiar. </w:t>
      </w:r>
    </w:p>
    <w:p w14:paraId="216C99E2" w14:textId="77777777" w:rsidR="001E43A1" w:rsidRDefault="001E43A1" w:rsidP="00C44462">
      <w:pPr>
        <w:spacing w:before="120" w:after="120" w:line="276" w:lineRule="auto"/>
        <w:jc w:val="both"/>
        <w:rPr>
          <w:sz w:val="25"/>
          <w:szCs w:val="25"/>
        </w:rPr>
      </w:pPr>
      <w:r w:rsidRPr="00E3374E">
        <w:rPr>
          <w:sz w:val="25"/>
          <w:szCs w:val="25"/>
        </w:rPr>
        <w:t xml:space="preserve">Promovarea proiectului </w:t>
      </w:r>
      <w:r w:rsidR="00794B99" w:rsidRPr="00794B99">
        <w:rPr>
          <w:sz w:val="25"/>
          <w:szCs w:val="25"/>
        </w:rPr>
        <w:t>Hotărârii Guvernului cu privire la aprob</w:t>
      </w:r>
      <w:r w:rsidR="00794B99">
        <w:rPr>
          <w:sz w:val="25"/>
          <w:szCs w:val="25"/>
        </w:rPr>
        <w:t xml:space="preserve">area limitelor, cotelor maxime </w:t>
      </w:r>
      <w:r w:rsidR="00794B99" w:rsidRPr="00794B99">
        <w:rPr>
          <w:sz w:val="25"/>
          <w:szCs w:val="25"/>
        </w:rPr>
        <w:t>și categoriilor de capacitate în domeniul e</w:t>
      </w:r>
      <w:r w:rsidR="00794B99">
        <w:rPr>
          <w:sz w:val="25"/>
          <w:szCs w:val="25"/>
        </w:rPr>
        <w:t>nergiei din surse regenerabile</w:t>
      </w:r>
      <w:r w:rsidRPr="00E3374E">
        <w:rPr>
          <w:sz w:val="25"/>
          <w:szCs w:val="25"/>
        </w:rPr>
        <w:t>, nu reclamă cheltuieli din bugetul de stat</w:t>
      </w:r>
      <w:r w:rsidR="00794B99">
        <w:rPr>
          <w:sz w:val="25"/>
          <w:szCs w:val="25"/>
        </w:rPr>
        <w:t>.</w:t>
      </w:r>
    </w:p>
    <w:p w14:paraId="216C99E3" w14:textId="77777777" w:rsidR="001E43A1" w:rsidRPr="00E3374E" w:rsidRDefault="001C6DF8" w:rsidP="00C44462">
      <w:pPr>
        <w:autoSpaceDE w:val="0"/>
        <w:autoSpaceDN w:val="0"/>
        <w:adjustRightInd w:val="0"/>
        <w:spacing w:before="120" w:after="120" w:line="276" w:lineRule="auto"/>
        <w:jc w:val="both"/>
        <w:rPr>
          <w:bCs/>
          <w:iCs/>
          <w:sz w:val="25"/>
          <w:szCs w:val="25"/>
        </w:rPr>
      </w:pPr>
      <w:r w:rsidRPr="00E3374E">
        <w:rPr>
          <w:i/>
          <w:color w:val="000000"/>
          <w:sz w:val="25"/>
          <w:szCs w:val="25"/>
          <w:u w:val="single"/>
        </w:rPr>
        <w:t>Aspectul organizatoric</w:t>
      </w:r>
      <w:r w:rsidR="002E5788" w:rsidRPr="00E3374E">
        <w:rPr>
          <w:i/>
          <w:color w:val="000000"/>
          <w:sz w:val="25"/>
          <w:szCs w:val="25"/>
          <w:u w:val="single"/>
        </w:rPr>
        <w:t xml:space="preserve"> și normativ</w:t>
      </w:r>
      <w:r w:rsidRPr="00E3374E">
        <w:rPr>
          <w:i/>
          <w:color w:val="000000"/>
          <w:sz w:val="25"/>
          <w:szCs w:val="25"/>
          <w:u w:val="single"/>
        </w:rPr>
        <w:t>.</w:t>
      </w:r>
      <w:r w:rsidRPr="00E3374E">
        <w:rPr>
          <w:b/>
          <w:color w:val="000000"/>
          <w:sz w:val="25"/>
          <w:szCs w:val="25"/>
        </w:rPr>
        <w:t xml:space="preserve"> </w:t>
      </w:r>
    </w:p>
    <w:p w14:paraId="216C99E4" w14:textId="38FD9891" w:rsidR="00A56E8C" w:rsidRPr="0077128A" w:rsidRDefault="00032DE0" w:rsidP="00C44462">
      <w:pPr>
        <w:autoSpaceDE w:val="0"/>
        <w:autoSpaceDN w:val="0"/>
        <w:adjustRightInd w:val="0"/>
        <w:spacing w:before="120" w:after="120" w:line="276" w:lineRule="auto"/>
        <w:jc w:val="both"/>
        <w:rPr>
          <w:sz w:val="25"/>
          <w:szCs w:val="25"/>
        </w:rPr>
      </w:pPr>
      <w:r w:rsidRPr="00E3374E">
        <w:rPr>
          <w:sz w:val="25"/>
          <w:szCs w:val="25"/>
        </w:rPr>
        <w:t xml:space="preserve">Proiectul </w:t>
      </w:r>
      <w:r w:rsidR="008D57C1" w:rsidRPr="008D57C1">
        <w:rPr>
          <w:sz w:val="25"/>
          <w:szCs w:val="25"/>
        </w:rPr>
        <w:t>Hotărârii Guvernului cu privire la aprob</w:t>
      </w:r>
      <w:r w:rsidR="008D57C1">
        <w:rPr>
          <w:sz w:val="25"/>
          <w:szCs w:val="25"/>
        </w:rPr>
        <w:t xml:space="preserve">area limitelor, cotelor maxime </w:t>
      </w:r>
      <w:r w:rsidR="008D57C1" w:rsidRPr="008D57C1">
        <w:rPr>
          <w:sz w:val="25"/>
          <w:szCs w:val="25"/>
        </w:rPr>
        <w:t>și categoriilor de capacitate în domeniul e</w:t>
      </w:r>
      <w:r w:rsidR="008D57C1">
        <w:rPr>
          <w:sz w:val="25"/>
          <w:szCs w:val="25"/>
        </w:rPr>
        <w:t xml:space="preserve">nergiei din surse regenerabile </w:t>
      </w:r>
      <w:r w:rsidR="00422764" w:rsidRPr="00E3374E">
        <w:rPr>
          <w:sz w:val="25"/>
          <w:szCs w:val="25"/>
        </w:rPr>
        <w:t>va avea un impact semnificativ pentru modernizarea</w:t>
      </w:r>
      <w:r w:rsidR="00E3374E" w:rsidRPr="00E3374E">
        <w:rPr>
          <w:sz w:val="25"/>
          <w:szCs w:val="25"/>
        </w:rPr>
        <w:t xml:space="preserve"> </w:t>
      </w:r>
      <w:r w:rsidR="00422764" w:rsidRPr="00E3374E">
        <w:rPr>
          <w:sz w:val="25"/>
          <w:szCs w:val="25"/>
        </w:rPr>
        <w:t xml:space="preserve">și </w:t>
      </w:r>
      <w:r w:rsidRPr="00E3374E">
        <w:rPr>
          <w:sz w:val="25"/>
          <w:szCs w:val="25"/>
        </w:rPr>
        <w:t xml:space="preserve">promovarea dezvoltării durabile a economiei </w:t>
      </w:r>
      <w:r w:rsidR="00853F2C" w:rsidRPr="00E3374E">
        <w:rPr>
          <w:sz w:val="25"/>
          <w:szCs w:val="25"/>
        </w:rPr>
        <w:t>naționale</w:t>
      </w:r>
      <w:r w:rsidRPr="00E3374E">
        <w:rPr>
          <w:sz w:val="25"/>
          <w:szCs w:val="25"/>
        </w:rPr>
        <w:t xml:space="preserve"> prin încurajarea </w:t>
      </w:r>
      <w:r w:rsidR="007551D3" w:rsidRPr="00E3374E">
        <w:rPr>
          <w:sz w:val="25"/>
          <w:szCs w:val="25"/>
        </w:rPr>
        <w:t>valorificării potențialului regenerabil național, la nivelul producătorilor mari</w:t>
      </w:r>
      <w:r w:rsidRPr="00E3374E">
        <w:rPr>
          <w:sz w:val="25"/>
          <w:szCs w:val="25"/>
        </w:rPr>
        <w:t xml:space="preserve"> şi</w:t>
      </w:r>
      <w:r w:rsidR="00671BCD">
        <w:rPr>
          <w:sz w:val="25"/>
          <w:szCs w:val="25"/>
        </w:rPr>
        <w:t xml:space="preserve"> mici</w:t>
      </w:r>
      <w:r w:rsidR="007551D3" w:rsidRPr="00E3374E">
        <w:rPr>
          <w:sz w:val="25"/>
          <w:szCs w:val="25"/>
        </w:rPr>
        <w:t>, totodată,</w:t>
      </w:r>
      <w:r w:rsidRPr="00E3374E">
        <w:rPr>
          <w:sz w:val="25"/>
          <w:szCs w:val="25"/>
        </w:rPr>
        <w:t xml:space="preserve"> </w:t>
      </w:r>
      <w:r w:rsidR="007551D3" w:rsidRPr="00E3374E">
        <w:rPr>
          <w:sz w:val="25"/>
          <w:szCs w:val="25"/>
        </w:rPr>
        <w:t>va contribui considerabil la sporirea gradului de securitate energetică a Republicii Moldova</w:t>
      </w:r>
      <w:r w:rsidR="00422764" w:rsidRPr="00E3374E">
        <w:rPr>
          <w:sz w:val="25"/>
          <w:szCs w:val="25"/>
        </w:rPr>
        <w:t>.</w:t>
      </w:r>
      <w:r w:rsidRPr="00E3374E">
        <w:rPr>
          <w:sz w:val="25"/>
          <w:szCs w:val="25"/>
        </w:rPr>
        <w:t xml:space="preserve"> </w:t>
      </w:r>
      <w:r w:rsidR="006A3EE1" w:rsidRPr="00E3374E">
        <w:rPr>
          <w:bCs/>
          <w:iCs/>
          <w:sz w:val="25"/>
          <w:szCs w:val="25"/>
        </w:rPr>
        <w:t>De menționat că</w:t>
      </w:r>
      <w:r w:rsidR="00FF31F4">
        <w:rPr>
          <w:bCs/>
          <w:iCs/>
          <w:sz w:val="25"/>
          <w:szCs w:val="25"/>
        </w:rPr>
        <w:t>,</w:t>
      </w:r>
      <w:r w:rsidR="006A3EE1" w:rsidRPr="00E3374E">
        <w:rPr>
          <w:bCs/>
          <w:iCs/>
          <w:sz w:val="25"/>
          <w:szCs w:val="25"/>
        </w:rPr>
        <w:t xml:space="preserve"> </w:t>
      </w:r>
      <w:r w:rsidR="00D70363" w:rsidRPr="00E3374E">
        <w:rPr>
          <w:bCs/>
          <w:iCs/>
          <w:sz w:val="25"/>
          <w:szCs w:val="25"/>
        </w:rPr>
        <w:t>l</w:t>
      </w:r>
      <w:r w:rsidR="001C6DF8" w:rsidRPr="00E3374E">
        <w:rPr>
          <w:sz w:val="25"/>
          <w:szCs w:val="25"/>
        </w:rPr>
        <w:t xml:space="preserve">a elaborarea proiectului </w:t>
      </w:r>
      <w:r w:rsidR="006A3EE1" w:rsidRPr="00E3374E">
        <w:rPr>
          <w:sz w:val="25"/>
          <w:szCs w:val="25"/>
        </w:rPr>
        <w:t>respectiv</w:t>
      </w:r>
      <w:r w:rsidR="00D70363" w:rsidRPr="00E3374E">
        <w:rPr>
          <w:sz w:val="25"/>
          <w:szCs w:val="25"/>
        </w:rPr>
        <w:t>,</w:t>
      </w:r>
      <w:r w:rsidR="001C6DF8" w:rsidRPr="00E3374E">
        <w:rPr>
          <w:sz w:val="25"/>
          <w:szCs w:val="25"/>
        </w:rPr>
        <w:t xml:space="preserve"> au fost luate în considerație opiniile și recomandările </w:t>
      </w:r>
      <w:r w:rsidR="00671BCD">
        <w:rPr>
          <w:sz w:val="25"/>
          <w:szCs w:val="25"/>
        </w:rPr>
        <w:t xml:space="preserve">experților </w:t>
      </w:r>
      <w:r w:rsidR="00C44462">
        <w:rPr>
          <w:sz w:val="25"/>
          <w:szCs w:val="25"/>
        </w:rPr>
        <w:t xml:space="preserve">locali și </w:t>
      </w:r>
      <w:r w:rsidR="00C26501" w:rsidRPr="00E3374E">
        <w:rPr>
          <w:sz w:val="25"/>
          <w:szCs w:val="25"/>
        </w:rPr>
        <w:t>internațional</w:t>
      </w:r>
      <w:r w:rsidR="00A56E8C">
        <w:rPr>
          <w:sz w:val="25"/>
          <w:szCs w:val="25"/>
        </w:rPr>
        <w:t>i</w:t>
      </w:r>
      <w:r w:rsidR="00C26501" w:rsidRPr="00E3374E">
        <w:rPr>
          <w:sz w:val="25"/>
          <w:szCs w:val="25"/>
        </w:rPr>
        <w:t xml:space="preserve"> </w:t>
      </w:r>
      <w:r w:rsidR="00A56E8C">
        <w:rPr>
          <w:sz w:val="25"/>
          <w:szCs w:val="25"/>
        </w:rPr>
        <w:t>și luat</w:t>
      </w:r>
      <w:r w:rsidR="005D14D2">
        <w:rPr>
          <w:sz w:val="25"/>
          <w:szCs w:val="25"/>
        </w:rPr>
        <w:t>ă</w:t>
      </w:r>
      <w:r w:rsidR="00A56E8C">
        <w:rPr>
          <w:sz w:val="25"/>
          <w:szCs w:val="25"/>
        </w:rPr>
        <w:t xml:space="preserve"> ca bază analiza de </w:t>
      </w:r>
      <w:r w:rsidR="00A56E8C" w:rsidRPr="0077128A">
        <w:rPr>
          <w:sz w:val="25"/>
          <w:szCs w:val="25"/>
          <w:lang w:val="ro-RO"/>
        </w:rPr>
        <w:t xml:space="preserve">fundamentare a deciziilor privind stabilirea cotelor maxime de capacitate și limitelor de capacitate pentru centralele electrice ce produc energie regenerabilă în Moldova. </w:t>
      </w:r>
    </w:p>
    <w:p w14:paraId="216C99E5" w14:textId="77777777" w:rsidR="00E658C6" w:rsidRPr="00E3374E" w:rsidRDefault="00E658C6" w:rsidP="00C44462">
      <w:pPr>
        <w:spacing w:before="120" w:after="120" w:line="276" w:lineRule="auto"/>
        <w:jc w:val="both"/>
        <w:rPr>
          <w:sz w:val="25"/>
          <w:szCs w:val="25"/>
        </w:rPr>
      </w:pPr>
    </w:p>
    <w:p w14:paraId="38D3CB81" w14:textId="77777777" w:rsidR="008B1E49" w:rsidRDefault="008B1E49" w:rsidP="00C44462">
      <w:pPr>
        <w:spacing w:before="120" w:after="120" w:line="276" w:lineRule="auto"/>
        <w:jc w:val="center"/>
        <w:rPr>
          <w:b/>
          <w:sz w:val="25"/>
          <w:szCs w:val="25"/>
        </w:rPr>
      </w:pPr>
    </w:p>
    <w:p w14:paraId="216C99E6" w14:textId="16AE53DC" w:rsidR="00F81933" w:rsidRPr="00E3374E" w:rsidRDefault="00707840" w:rsidP="00C44462">
      <w:pPr>
        <w:spacing w:before="120" w:after="120" w:line="276" w:lineRule="auto"/>
        <w:jc w:val="center"/>
        <w:rPr>
          <w:sz w:val="25"/>
          <w:szCs w:val="25"/>
        </w:rPr>
      </w:pPr>
      <w:r>
        <w:rPr>
          <w:b/>
          <w:sz w:val="25"/>
          <w:szCs w:val="25"/>
        </w:rPr>
        <w:t>Secretar de Stat</w:t>
      </w:r>
      <w:r w:rsidR="00514DA7" w:rsidRPr="00E3374E">
        <w:rPr>
          <w:b/>
          <w:sz w:val="25"/>
          <w:szCs w:val="25"/>
        </w:rPr>
        <w:t xml:space="preserve">                                                                       </w:t>
      </w:r>
      <w:r w:rsidR="00683502">
        <w:rPr>
          <w:b/>
          <w:sz w:val="25"/>
          <w:szCs w:val="25"/>
        </w:rPr>
        <w:t>Vitalie IURCU</w:t>
      </w:r>
      <w:r w:rsidR="00461C89" w:rsidRPr="00E3374E">
        <w:rPr>
          <w:b/>
          <w:noProof/>
          <w:color w:val="000000"/>
          <w:sz w:val="25"/>
          <w:szCs w:val="25"/>
          <w:lang w:val="en-US" w:eastAsia="en-US"/>
        </w:rPr>
        <mc:AlternateContent>
          <mc:Choice Requires="wps">
            <w:drawing>
              <wp:anchor distT="0" distB="0" distL="114300" distR="114300" simplePos="0" relativeHeight="251657216" behindDoc="0" locked="0" layoutInCell="1" allowOverlap="1" wp14:anchorId="216C99E7" wp14:editId="216C99E8">
                <wp:simplePos x="0" y="0"/>
                <wp:positionH relativeFrom="margin">
                  <wp:posOffset>-118027</wp:posOffset>
                </wp:positionH>
                <wp:positionV relativeFrom="margin">
                  <wp:posOffset>9149908</wp:posOffset>
                </wp:positionV>
                <wp:extent cx="1587500" cy="532738"/>
                <wp:effectExtent l="0" t="0" r="0" b="1270"/>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32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99F2" w14:textId="77777777" w:rsidR="0058792A" w:rsidRPr="00E3374E" w:rsidRDefault="0058792A" w:rsidP="0051456F">
                            <w:pPr>
                              <w:pStyle w:val="Subsol"/>
                              <w:rPr>
                                <w:rFonts w:ascii="Garamond" w:hAnsi="Garamond" w:cs="Garamond"/>
                                <w:sz w:val="16"/>
                                <w:szCs w:val="16"/>
                              </w:rPr>
                            </w:pPr>
                            <w:r w:rsidRPr="00683502">
                              <w:rPr>
                                <w:rFonts w:ascii="Garamond" w:hAnsi="Garamond" w:cs="Garamond"/>
                                <w:sz w:val="16"/>
                                <w:szCs w:val="16"/>
                                <w:lang w:val="it-IT"/>
                              </w:rPr>
                              <w:t>ex.: Nicolae OLARI</w:t>
                            </w:r>
                          </w:p>
                          <w:p w14:paraId="216C99F3" w14:textId="688C56BA" w:rsidR="0058792A" w:rsidRPr="00E3374E" w:rsidRDefault="0058792A" w:rsidP="0051456F">
                            <w:pPr>
                              <w:pStyle w:val="Subsol"/>
                              <w:rPr>
                                <w:rFonts w:ascii="Garamond" w:hAnsi="Garamond" w:cs="Garamond"/>
                                <w:sz w:val="16"/>
                                <w:szCs w:val="16"/>
                              </w:rPr>
                            </w:pPr>
                            <w:r w:rsidRPr="00E3374E">
                              <w:rPr>
                                <w:rFonts w:ascii="Garamond" w:hAnsi="Garamond" w:cs="Garamond"/>
                                <w:sz w:val="16"/>
                                <w:szCs w:val="16"/>
                              </w:rPr>
                              <w:t>email.:</w:t>
                            </w:r>
                            <w:r w:rsidR="00C44462">
                              <w:rPr>
                                <w:rFonts w:ascii="Garamond" w:hAnsi="Garamond" w:cs="Garamond"/>
                                <w:sz w:val="16"/>
                                <w:szCs w:val="16"/>
                              </w:rPr>
                              <w:t xml:space="preserve"> </w:t>
                            </w:r>
                            <w:r w:rsidRPr="00E3374E">
                              <w:rPr>
                                <w:rFonts w:ascii="Garamond" w:hAnsi="Garamond" w:cs="Garamond"/>
                                <w:sz w:val="16"/>
                                <w:szCs w:val="16"/>
                              </w:rPr>
                              <w:t>nicolae.olari@mec.gov.md</w:t>
                            </w:r>
                          </w:p>
                          <w:p w14:paraId="216C99F4" w14:textId="77777777" w:rsidR="0058792A" w:rsidRPr="00E3374E" w:rsidRDefault="0058792A" w:rsidP="0051456F">
                            <w:pPr>
                              <w:pStyle w:val="Subsol"/>
                              <w:rPr>
                                <w:sz w:val="20"/>
                              </w:rPr>
                            </w:pPr>
                            <w:r w:rsidRPr="00E3374E">
                              <w:rPr>
                                <w:rFonts w:ascii="Garamond" w:hAnsi="Garamond" w:cs="Garamond"/>
                                <w:sz w:val="20"/>
                                <w:lang w:val="en-US"/>
                              </w:rPr>
                              <w:t>022.250.6</w:t>
                            </w:r>
                            <w:r>
                              <w:rPr>
                                <w:rFonts w:ascii="Garamond" w:hAnsi="Garamond" w:cs="Garamond"/>
                                <w:sz w:val="20"/>
                                <w:lang w:val="en-US"/>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C99E7" id="_x0000_t202" coordsize="21600,21600" o:spt="202" path="m,l,21600r21600,l21600,xe">
                <v:stroke joinstyle="miter"/>
                <v:path gradientshapeok="t" o:connecttype="rect"/>
              </v:shapetype>
              <v:shape id="Casetă text 3" o:spid="_x0000_s1026" type="#_x0000_t202" style="position:absolute;left:0;text-align:left;margin-left:-9.3pt;margin-top:720.45pt;width:125pt;height:4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" filled="f" stroked="f">
                <v:textbox>
                  <w:txbxContent>
                    <w:p w14:paraId="216C99F2" w14:textId="77777777" w:rsidR="0058792A" w:rsidRPr="00E3374E" w:rsidRDefault="0058792A" w:rsidP="0051456F">
                      <w:pPr>
                        <w:pStyle w:val="Subsol"/>
                        <w:rPr>
                          <w:rFonts w:ascii="Garamond" w:hAnsi="Garamond" w:cs="Garamond"/>
                          <w:sz w:val="16"/>
                          <w:szCs w:val="16"/>
                        </w:rPr>
                      </w:pPr>
                      <w:r w:rsidRPr="00683502">
                        <w:rPr>
                          <w:rFonts w:ascii="Garamond" w:hAnsi="Garamond" w:cs="Garamond"/>
                          <w:sz w:val="16"/>
                          <w:szCs w:val="16"/>
                          <w:lang w:val="it-IT"/>
                        </w:rPr>
                        <w:t>ex.: Nicolae OLARI</w:t>
                      </w:r>
                    </w:p>
                    <w:p w14:paraId="216C99F3" w14:textId="688C56BA" w:rsidR="0058792A" w:rsidRPr="00E3374E" w:rsidRDefault="0058792A" w:rsidP="0051456F">
                      <w:pPr>
                        <w:pStyle w:val="Subsol"/>
                        <w:rPr>
                          <w:rFonts w:ascii="Garamond" w:hAnsi="Garamond" w:cs="Garamond"/>
                          <w:sz w:val="16"/>
                          <w:szCs w:val="16"/>
                        </w:rPr>
                      </w:pPr>
                      <w:r w:rsidRPr="00E3374E">
                        <w:rPr>
                          <w:rFonts w:ascii="Garamond" w:hAnsi="Garamond" w:cs="Garamond"/>
                          <w:sz w:val="16"/>
                          <w:szCs w:val="16"/>
                        </w:rPr>
                        <w:t>email.:</w:t>
                      </w:r>
                      <w:r w:rsidR="00C44462">
                        <w:rPr>
                          <w:rFonts w:ascii="Garamond" w:hAnsi="Garamond" w:cs="Garamond"/>
                          <w:sz w:val="16"/>
                          <w:szCs w:val="16"/>
                        </w:rPr>
                        <w:t xml:space="preserve"> </w:t>
                      </w:r>
                      <w:r w:rsidRPr="00E3374E">
                        <w:rPr>
                          <w:rFonts w:ascii="Garamond" w:hAnsi="Garamond" w:cs="Garamond"/>
                          <w:sz w:val="16"/>
                          <w:szCs w:val="16"/>
                        </w:rPr>
                        <w:t>nicolae.olari@mec.gov.md</w:t>
                      </w:r>
                    </w:p>
                    <w:p w14:paraId="216C99F4" w14:textId="77777777" w:rsidR="0058792A" w:rsidRPr="00E3374E" w:rsidRDefault="0058792A" w:rsidP="0051456F">
                      <w:pPr>
                        <w:pStyle w:val="Subsol"/>
                        <w:rPr>
                          <w:sz w:val="20"/>
                        </w:rPr>
                      </w:pPr>
                      <w:r w:rsidRPr="00E3374E">
                        <w:rPr>
                          <w:rFonts w:ascii="Garamond" w:hAnsi="Garamond" w:cs="Garamond"/>
                          <w:sz w:val="20"/>
                          <w:lang w:val="en-US"/>
                        </w:rPr>
                        <w:t>022.250.6</w:t>
                      </w:r>
                      <w:r>
                        <w:rPr>
                          <w:rFonts w:ascii="Garamond" w:hAnsi="Garamond" w:cs="Garamond"/>
                          <w:sz w:val="20"/>
                          <w:lang w:val="en-US"/>
                        </w:rPr>
                        <w:t>90</w:t>
                      </w:r>
                    </w:p>
                  </w:txbxContent>
                </v:textbox>
                <w10:wrap anchorx="margin" anchory="margin"/>
              </v:shape>
            </w:pict>
          </mc:Fallback>
        </mc:AlternateContent>
      </w:r>
    </w:p>
    <w:sectPr w:rsidR="00F81933" w:rsidRPr="00E3374E" w:rsidSect="003D0830">
      <w:headerReference w:type="default" r:id="rId11"/>
      <w:footerReference w:type="default" r:id="rId12"/>
      <w:pgSz w:w="11906" w:h="16838"/>
      <w:pgMar w:top="1134" w:right="851" w:bottom="993" w:left="1814" w:header="709"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CF35" w14:textId="77777777" w:rsidR="00B23463" w:rsidRDefault="00B23463">
      <w:r>
        <w:separator/>
      </w:r>
    </w:p>
  </w:endnote>
  <w:endnote w:type="continuationSeparator" w:id="0">
    <w:p w14:paraId="2BC452FF" w14:textId="77777777" w:rsidR="00B23463" w:rsidRDefault="00B23463">
      <w:r>
        <w:continuationSeparator/>
      </w:r>
    </w:p>
  </w:endnote>
  <w:endnote w:type="continuationNotice" w:id="1">
    <w:p w14:paraId="08C399A6" w14:textId="77777777" w:rsidR="00B23463" w:rsidRDefault="00B23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0"/>
      </w:rPr>
      <w:id w:val="-1633707668"/>
      <w:docPartObj>
        <w:docPartGallery w:val="Page Numbers (Bottom of Page)"/>
        <w:docPartUnique/>
      </w:docPartObj>
    </w:sdtPr>
    <w:sdtEndPr/>
    <w:sdtContent>
      <w:p w14:paraId="216C99F0" w14:textId="297D4A3B" w:rsidR="0058792A" w:rsidRPr="005C558A" w:rsidRDefault="0058792A">
        <w:pPr>
          <w:pStyle w:val="Subsol"/>
          <w:jc w:val="right"/>
          <w:rPr>
            <w:rFonts w:ascii="Garamond" w:hAnsi="Garamond"/>
            <w:sz w:val="20"/>
          </w:rPr>
        </w:pPr>
        <w:r w:rsidRPr="005C558A">
          <w:rPr>
            <w:rFonts w:ascii="Garamond" w:hAnsi="Garamond"/>
            <w:sz w:val="20"/>
          </w:rPr>
          <w:fldChar w:fldCharType="begin"/>
        </w:r>
        <w:r w:rsidRPr="005C558A">
          <w:rPr>
            <w:rFonts w:ascii="Garamond" w:hAnsi="Garamond"/>
            <w:sz w:val="20"/>
          </w:rPr>
          <w:instrText>PAGE   \* MERGEFORMAT</w:instrText>
        </w:r>
        <w:r w:rsidRPr="005C558A">
          <w:rPr>
            <w:rFonts w:ascii="Garamond" w:hAnsi="Garamond"/>
            <w:sz w:val="20"/>
          </w:rPr>
          <w:fldChar w:fldCharType="separate"/>
        </w:r>
        <w:r w:rsidR="00E7314B">
          <w:rPr>
            <w:rFonts w:ascii="Garamond" w:hAnsi="Garamond"/>
            <w:noProof/>
            <w:sz w:val="20"/>
          </w:rPr>
          <w:t>2</w:t>
        </w:r>
        <w:r w:rsidRPr="005C558A">
          <w:rPr>
            <w:rFonts w:ascii="Garamond" w:hAnsi="Garamond"/>
            <w:sz w:val="20"/>
          </w:rPr>
          <w:fldChar w:fldCharType="end"/>
        </w:r>
      </w:p>
    </w:sdtContent>
  </w:sdt>
  <w:p w14:paraId="216C99F1" w14:textId="77777777" w:rsidR="0058792A" w:rsidRDefault="0058792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933DB" w14:textId="77777777" w:rsidR="00B23463" w:rsidRDefault="00B23463">
      <w:r>
        <w:separator/>
      </w:r>
    </w:p>
  </w:footnote>
  <w:footnote w:type="continuationSeparator" w:id="0">
    <w:p w14:paraId="237B978E" w14:textId="77777777" w:rsidR="00B23463" w:rsidRDefault="00B23463">
      <w:r>
        <w:continuationSeparator/>
      </w:r>
    </w:p>
  </w:footnote>
  <w:footnote w:type="continuationNotice" w:id="1">
    <w:p w14:paraId="465BC7E8" w14:textId="77777777" w:rsidR="00B23463" w:rsidRDefault="00B23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99EF" w14:textId="77777777" w:rsidR="0058792A" w:rsidRDefault="0058792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8C1"/>
    <w:multiLevelType w:val="multilevel"/>
    <w:tmpl w:val="062C2162"/>
    <w:lvl w:ilvl="0">
      <w:start w:val="1"/>
      <w:numFmt w:val="decimal"/>
      <w:lvlText w:val="%1."/>
      <w:lvlJc w:val="left"/>
      <w:pPr>
        <w:ind w:left="720" w:hanging="360"/>
      </w:pPr>
    </w:lvl>
    <w:lvl w:ilvl="1">
      <w:start w:val="1"/>
      <w:numFmt w:val="decimal"/>
      <w:isLgl/>
      <w:lvlText w:val="%1.%2."/>
      <w:lvlJc w:val="left"/>
      <w:pPr>
        <w:ind w:left="376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160476"/>
    <w:multiLevelType w:val="hybridMultilevel"/>
    <w:tmpl w:val="BD8C343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103C7604"/>
    <w:multiLevelType w:val="hybridMultilevel"/>
    <w:tmpl w:val="AE64A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EC5EDB"/>
    <w:multiLevelType w:val="hybridMultilevel"/>
    <w:tmpl w:val="724429B6"/>
    <w:lvl w:ilvl="0" w:tplc="1A9C3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12009"/>
    <w:multiLevelType w:val="hybridMultilevel"/>
    <w:tmpl w:val="84A41354"/>
    <w:lvl w:ilvl="0" w:tplc="04090001">
      <w:start w:val="1"/>
      <w:numFmt w:val="bullet"/>
      <w:lvlText w:val=""/>
      <w:lvlJc w:val="left"/>
      <w:pPr>
        <w:ind w:left="1483" w:hanging="360"/>
      </w:pPr>
      <w:rPr>
        <w:rFonts w:ascii="Symbol" w:hAnsi="Symbol" w:hint="default"/>
      </w:rPr>
    </w:lvl>
    <w:lvl w:ilvl="1" w:tplc="04090003">
      <w:start w:val="1"/>
      <w:numFmt w:val="bullet"/>
      <w:lvlText w:val="o"/>
      <w:lvlJc w:val="left"/>
      <w:pPr>
        <w:ind w:left="2203" w:hanging="360"/>
      </w:pPr>
      <w:rPr>
        <w:rFonts w:ascii="Courier New" w:hAnsi="Courier New" w:hint="default"/>
      </w:rPr>
    </w:lvl>
    <w:lvl w:ilvl="2" w:tplc="04090005">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5" w15:restartNumberingAfterBreak="0">
    <w:nsid w:val="3F3057B2"/>
    <w:multiLevelType w:val="hybridMultilevel"/>
    <w:tmpl w:val="69460A7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432410B9"/>
    <w:multiLevelType w:val="hybridMultilevel"/>
    <w:tmpl w:val="5ED6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D1488"/>
    <w:multiLevelType w:val="hybridMultilevel"/>
    <w:tmpl w:val="B6B61876"/>
    <w:lvl w:ilvl="0" w:tplc="0818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53785"/>
    <w:multiLevelType w:val="hybridMultilevel"/>
    <w:tmpl w:val="B1D4AF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D997F1B"/>
    <w:multiLevelType w:val="hybridMultilevel"/>
    <w:tmpl w:val="4BF6A9DC"/>
    <w:lvl w:ilvl="0" w:tplc="E9064CDE">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1A3893"/>
    <w:multiLevelType w:val="hybridMultilevel"/>
    <w:tmpl w:val="586210F4"/>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5497077"/>
    <w:multiLevelType w:val="hybridMultilevel"/>
    <w:tmpl w:val="A79CA352"/>
    <w:lvl w:ilvl="0" w:tplc="5B90F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238A2"/>
    <w:multiLevelType w:val="hybridMultilevel"/>
    <w:tmpl w:val="B77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5"/>
  </w:num>
  <w:num w:numId="4">
    <w:abstractNumId w:val="1"/>
  </w:num>
  <w:num w:numId="5">
    <w:abstractNumId w:val="2"/>
  </w:num>
  <w:num w:numId="6">
    <w:abstractNumId w:val="4"/>
  </w:num>
  <w:num w:numId="7">
    <w:abstractNumId w:val="9"/>
  </w:num>
  <w:num w:numId="8">
    <w:abstractNumId w:val="3"/>
  </w:num>
  <w:num w:numId="9">
    <w:abstractNumId w:val="0"/>
  </w:num>
  <w:num w:numId="10">
    <w:abstractNumId w:val="10"/>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0F"/>
    <w:rsid w:val="000073EE"/>
    <w:rsid w:val="000100CF"/>
    <w:rsid w:val="0001450F"/>
    <w:rsid w:val="00023068"/>
    <w:rsid w:val="000247DE"/>
    <w:rsid w:val="00027DAD"/>
    <w:rsid w:val="00032DE0"/>
    <w:rsid w:val="00036603"/>
    <w:rsid w:val="000464B8"/>
    <w:rsid w:val="000546D1"/>
    <w:rsid w:val="00076B81"/>
    <w:rsid w:val="0008406A"/>
    <w:rsid w:val="000873DA"/>
    <w:rsid w:val="000A3F94"/>
    <w:rsid w:val="000C2D94"/>
    <w:rsid w:val="000D0A29"/>
    <w:rsid w:val="000D0DBE"/>
    <w:rsid w:val="000E0D79"/>
    <w:rsid w:val="000F2D7B"/>
    <w:rsid w:val="000F5EB1"/>
    <w:rsid w:val="000F746F"/>
    <w:rsid w:val="00104262"/>
    <w:rsid w:val="00107A7A"/>
    <w:rsid w:val="0011450F"/>
    <w:rsid w:val="00122B01"/>
    <w:rsid w:val="001407AF"/>
    <w:rsid w:val="00147A03"/>
    <w:rsid w:val="001571F4"/>
    <w:rsid w:val="00157D07"/>
    <w:rsid w:val="00165FCD"/>
    <w:rsid w:val="001718E3"/>
    <w:rsid w:val="00180B17"/>
    <w:rsid w:val="00183767"/>
    <w:rsid w:val="0018685D"/>
    <w:rsid w:val="00190864"/>
    <w:rsid w:val="001A2824"/>
    <w:rsid w:val="001A7CD7"/>
    <w:rsid w:val="001B1B74"/>
    <w:rsid w:val="001C5DF3"/>
    <w:rsid w:val="001C6DF8"/>
    <w:rsid w:val="001C7784"/>
    <w:rsid w:val="001E43A1"/>
    <w:rsid w:val="001E519F"/>
    <w:rsid w:val="001E7A64"/>
    <w:rsid w:val="001E7B6F"/>
    <w:rsid w:val="00204D39"/>
    <w:rsid w:val="00204D4A"/>
    <w:rsid w:val="0020628F"/>
    <w:rsid w:val="00207110"/>
    <w:rsid w:val="00222410"/>
    <w:rsid w:val="00231DBF"/>
    <w:rsid w:val="002511E9"/>
    <w:rsid w:val="00251843"/>
    <w:rsid w:val="00273BFC"/>
    <w:rsid w:val="002853AB"/>
    <w:rsid w:val="00287832"/>
    <w:rsid w:val="00297C61"/>
    <w:rsid w:val="002A7748"/>
    <w:rsid w:val="002B5331"/>
    <w:rsid w:val="002C1310"/>
    <w:rsid w:val="002C7A0C"/>
    <w:rsid w:val="002D1B9B"/>
    <w:rsid w:val="002D2118"/>
    <w:rsid w:val="002D34FC"/>
    <w:rsid w:val="002D3E8C"/>
    <w:rsid w:val="002E5788"/>
    <w:rsid w:val="002F6EE7"/>
    <w:rsid w:val="0030010C"/>
    <w:rsid w:val="00305B08"/>
    <w:rsid w:val="00307D9E"/>
    <w:rsid w:val="0031089C"/>
    <w:rsid w:val="00327CB9"/>
    <w:rsid w:val="00333147"/>
    <w:rsid w:val="00334F84"/>
    <w:rsid w:val="00342E91"/>
    <w:rsid w:val="00357C57"/>
    <w:rsid w:val="00390C1E"/>
    <w:rsid w:val="003A48B1"/>
    <w:rsid w:val="003C6E70"/>
    <w:rsid w:val="003D0830"/>
    <w:rsid w:val="003D10D7"/>
    <w:rsid w:val="003D1B63"/>
    <w:rsid w:val="00413DE7"/>
    <w:rsid w:val="00422764"/>
    <w:rsid w:val="00440A9C"/>
    <w:rsid w:val="00451177"/>
    <w:rsid w:val="00461C89"/>
    <w:rsid w:val="00485038"/>
    <w:rsid w:val="00492D66"/>
    <w:rsid w:val="00494569"/>
    <w:rsid w:val="004A38BA"/>
    <w:rsid w:val="004B18A0"/>
    <w:rsid w:val="004D45B5"/>
    <w:rsid w:val="004E1E30"/>
    <w:rsid w:val="004E27BC"/>
    <w:rsid w:val="004E2C61"/>
    <w:rsid w:val="004E4238"/>
    <w:rsid w:val="0051456F"/>
    <w:rsid w:val="00514DA7"/>
    <w:rsid w:val="00520E25"/>
    <w:rsid w:val="00530726"/>
    <w:rsid w:val="00543CED"/>
    <w:rsid w:val="00554EAC"/>
    <w:rsid w:val="00560B06"/>
    <w:rsid w:val="00577907"/>
    <w:rsid w:val="00581200"/>
    <w:rsid w:val="0058792A"/>
    <w:rsid w:val="005B11C8"/>
    <w:rsid w:val="005B1EDA"/>
    <w:rsid w:val="005C2E42"/>
    <w:rsid w:val="005C49B7"/>
    <w:rsid w:val="005C558A"/>
    <w:rsid w:val="005D14D2"/>
    <w:rsid w:val="006106FC"/>
    <w:rsid w:val="006129C9"/>
    <w:rsid w:val="006200FE"/>
    <w:rsid w:val="006302FC"/>
    <w:rsid w:val="006363D5"/>
    <w:rsid w:val="00647147"/>
    <w:rsid w:val="006472A2"/>
    <w:rsid w:val="00671BCD"/>
    <w:rsid w:val="00673920"/>
    <w:rsid w:val="006812BF"/>
    <w:rsid w:val="00683502"/>
    <w:rsid w:val="006850C6"/>
    <w:rsid w:val="006A3EE1"/>
    <w:rsid w:val="006B7552"/>
    <w:rsid w:val="006E57C2"/>
    <w:rsid w:val="006E59F6"/>
    <w:rsid w:val="006F3B33"/>
    <w:rsid w:val="006F596F"/>
    <w:rsid w:val="006F78A8"/>
    <w:rsid w:val="00707840"/>
    <w:rsid w:val="00715886"/>
    <w:rsid w:val="00747F5E"/>
    <w:rsid w:val="00754A61"/>
    <w:rsid w:val="007551D3"/>
    <w:rsid w:val="00762954"/>
    <w:rsid w:val="0077128A"/>
    <w:rsid w:val="0079039E"/>
    <w:rsid w:val="00790B8C"/>
    <w:rsid w:val="007932F0"/>
    <w:rsid w:val="00794B99"/>
    <w:rsid w:val="007A2FBB"/>
    <w:rsid w:val="007A76C1"/>
    <w:rsid w:val="007B0319"/>
    <w:rsid w:val="007B112D"/>
    <w:rsid w:val="007B13A2"/>
    <w:rsid w:val="007C6E83"/>
    <w:rsid w:val="007C6ECB"/>
    <w:rsid w:val="007E2EE9"/>
    <w:rsid w:val="007F05BF"/>
    <w:rsid w:val="007F3985"/>
    <w:rsid w:val="008225A7"/>
    <w:rsid w:val="00822BAF"/>
    <w:rsid w:val="00832931"/>
    <w:rsid w:val="00836DA1"/>
    <w:rsid w:val="00853F2C"/>
    <w:rsid w:val="008570CD"/>
    <w:rsid w:val="00864C5C"/>
    <w:rsid w:val="008759A0"/>
    <w:rsid w:val="00882366"/>
    <w:rsid w:val="008842F4"/>
    <w:rsid w:val="008A0590"/>
    <w:rsid w:val="008A5111"/>
    <w:rsid w:val="008A724C"/>
    <w:rsid w:val="008B1E49"/>
    <w:rsid w:val="008C4ECA"/>
    <w:rsid w:val="008C79C6"/>
    <w:rsid w:val="008D302D"/>
    <w:rsid w:val="008D42D0"/>
    <w:rsid w:val="008D57C1"/>
    <w:rsid w:val="008D5DCC"/>
    <w:rsid w:val="008E660F"/>
    <w:rsid w:val="00900D12"/>
    <w:rsid w:val="00912331"/>
    <w:rsid w:val="009177D5"/>
    <w:rsid w:val="00957144"/>
    <w:rsid w:val="009732A7"/>
    <w:rsid w:val="009774EB"/>
    <w:rsid w:val="0099029B"/>
    <w:rsid w:val="009C4860"/>
    <w:rsid w:val="009C66F9"/>
    <w:rsid w:val="009C74BE"/>
    <w:rsid w:val="009D6B6A"/>
    <w:rsid w:val="009E7030"/>
    <w:rsid w:val="009F06E4"/>
    <w:rsid w:val="00A03DD4"/>
    <w:rsid w:val="00A05BE9"/>
    <w:rsid w:val="00A07717"/>
    <w:rsid w:val="00A12A5C"/>
    <w:rsid w:val="00A14628"/>
    <w:rsid w:val="00A24394"/>
    <w:rsid w:val="00A24B17"/>
    <w:rsid w:val="00A43F1D"/>
    <w:rsid w:val="00A474AE"/>
    <w:rsid w:val="00A54995"/>
    <w:rsid w:val="00A56E8C"/>
    <w:rsid w:val="00A60EBA"/>
    <w:rsid w:val="00A72430"/>
    <w:rsid w:val="00A74D65"/>
    <w:rsid w:val="00A946CE"/>
    <w:rsid w:val="00AA1AF8"/>
    <w:rsid w:val="00AA471D"/>
    <w:rsid w:val="00AC0B8B"/>
    <w:rsid w:val="00AC1DFE"/>
    <w:rsid w:val="00AD413E"/>
    <w:rsid w:val="00AE3305"/>
    <w:rsid w:val="00AE338B"/>
    <w:rsid w:val="00B076AF"/>
    <w:rsid w:val="00B10548"/>
    <w:rsid w:val="00B13036"/>
    <w:rsid w:val="00B23463"/>
    <w:rsid w:val="00B34591"/>
    <w:rsid w:val="00B452B7"/>
    <w:rsid w:val="00B512CE"/>
    <w:rsid w:val="00B64D76"/>
    <w:rsid w:val="00B64F56"/>
    <w:rsid w:val="00B74417"/>
    <w:rsid w:val="00B81507"/>
    <w:rsid w:val="00B81A6C"/>
    <w:rsid w:val="00B870F9"/>
    <w:rsid w:val="00B93AD6"/>
    <w:rsid w:val="00B96B2D"/>
    <w:rsid w:val="00BB1774"/>
    <w:rsid w:val="00BB2A63"/>
    <w:rsid w:val="00BB75F6"/>
    <w:rsid w:val="00BC4139"/>
    <w:rsid w:val="00BC76AB"/>
    <w:rsid w:val="00BD3F59"/>
    <w:rsid w:val="00BF0E13"/>
    <w:rsid w:val="00C01337"/>
    <w:rsid w:val="00C21CEF"/>
    <w:rsid w:val="00C26501"/>
    <w:rsid w:val="00C331C3"/>
    <w:rsid w:val="00C35AA4"/>
    <w:rsid w:val="00C404F6"/>
    <w:rsid w:val="00C40676"/>
    <w:rsid w:val="00C44462"/>
    <w:rsid w:val="00C47169"/>
    <w:rsid w:val="00C650FF"/>
    <w:rsid w:val="00C77F9C"/>
    <w:rsid w:val="00C90063"/>
    <w:rsid w:val="00CA02B1"/>
    <w:rsid w:val="00CB3032"/>
    <w:rsid w:val="00CE4B50"/>
    <w:rsid w:val="00D02106"/>
    <w:rsid w:val="00D233AF"/>
    <w:rsid w:val="00D40F3B"/>
    <w:rsid w:val="00D419F2"/>
    <w:rsid w:val="00D619B6"/>
    <w:rsid w:val="00D70363"/>
    <w:rsid w:val="00D72206"/>
    <w:rsid w:val="00DA7D50"/>
    <w:rsid w:val="00DB2BE7"/>
    <w:rsid w:val="00DC0457"/>
    <w:rsid w:val="00DE28C4"/>
    <w:rsid w:val="00E002D0"/>
    <w:rsid w:val="00E22DAE"/>
    <w:rsid w:val="00E27528"/>
    <w:rsid w:val="00E3374E"/>
    <w:rsid w:val="00E34F1F"/>
    <w:rsid w:val="00E42434"/>
    <w:rsid w:val="00E43B19"/>
    <w:rsid w:val="00E472A6"/>
    <w:rsid w:val="00E57C8E"/>
    <w:rsid w:val="00E658C6"/>
    <w:rsid w:val="00E667ED"/>
    <w:rsid w:val="00E7314B"/>
    <w:rsid w:val="00E747DD"/>
    <w:rsid w:val="00E75A83"/>
    <w:rsid w:val="00E80543"/>
    <w:rsid w:val="00E83205"/>
    <w:rsid w:val="00E96AB7"/>
    <w:rsid w:val="00EA611B"/>
    <w:rsid w:val="00EB1D9E"/>
    <w:rsid w:val="00EC4180"/>
    <w:rsid w:val="00EC79AE"/>
    <w:rsid w:val="00ED06F3"/>
    <w:rsid w:val="00ED66A7"/>
    <w:rsid w:val="00EE0FBA"/>
    <w:rsid w:val="00EF65C2"/>
    <w:rsid w:val="00F036F1"/>
    <w:rsid w:val="00F234C1"/>
    <w:rsid w:val="00F26FA7"/>
    <w:rsid w:val="00F5076E"/>
    <w:rsid w:val="00F54CB7"/>
    <w:rsid w:val="00F72926"/>
    <w:rsid w:val="00F81933"/>
    <w:rsid w:val="00F82CB2"/>
    <w:rsid w:val="00F86DCA"/>
    <w:rsid w:val="00F90342"/>
    <w:rsid w:val="00FA56F9"/>
    <w:rsid w:val="00FA6B42"/>
    <w:rsid w:val="00FB3DCF"/>
    <w:rsid w:val="00FB6BC2"/>
    <w:rsid w:val="00FB6E64"/>
    <w:rsid w:val="00FB71C2"/>
    <w:rsid w:val="00FC5F84"/>
    <w:rsid w:val="00FD45F3"/>
    <w:rsid w:val="00FF3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6C9958"/>
  <w15:docId w15:val="{5DFA0C1C-04E7-44AA-B636-B9A9983C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50F"/>
    <w:pPr>
      <w:spacing w:after="0" w:line="240" w:lineRule="auto"/>
    </w:pPr>
    <w:rPr>
      <w:rFonts w:ascii="Times New Roman" w:eastAsia="Times New Roman" w:hAnsi="Times New Roman" w:cs="Times New Roman"/>
      <w:sz w:val="28"/>
      <w:szCs w:val="20"/>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1,List Paragraph1,Numbered Indented Text,List Paragraph Char Char Char,List Paragraph Char Char,Bullet 1,lp1,List Paragraph11,Colorful List - Accent 11"/>
    <w:basedOn w:val="Normal"/>
    <w:link w:val="ListparagrafCaracter"/>
    <w:uiPriority w:val="34"/>
    <w:qFormat/>
    <w:rsid w:val="0001450F"/>
    <w:pPr>
      <w:ind w:left="720"/>
      <w:contextualSpacing/>
    </w:pPr>
  </w:style>
  <w:style w:type="paragraph" w:styleId="Subsol">
    <w:name w:val="footer"/>
    <w:basedOn w:val="Normal"/>
    <w:link w:val="SubsolCaracter"/>
    <w:uiPriority w:val="99"/>
    <w:unhideWhenUsed/>
    <w:rsid w:val="0001450F"/>
    <w:pPr>
      <w:tabs>
        <w:tab w:val="center" w:pos="4677"/>
        <w:tab w:val="right" w:pos="9355"/>
      </w:tabs>
    </w:pPr>
  </w:style>
  <w:style w:type="character" w:customStyle="1" w:styleId="SubsolCaracter">
    <w:name w:val="Subsol Caracter"/>
    <w:basedOn w:val="Fontdeparagrafimplicit"/>
    <w:link w:val="Subsol"/>
    <w:uiPriority w:val="99"/>
    <w:rsid w:val="0001450F"/>
    <w:rPr>
      <w:rFonts w:ascii="Times New Roman" w:eastAsia="Times New Roman" w:hAnsi="Times New Roman" w:cs="Times New Roman"/>
      <w:noProof/>
      <w:sz w:val="28"/>
      <w:szCs w:val="20"/>
      <w:lang w:val="ro-RO" w:eastAsia="ru-RU"/>
    </w:rPr>
  </w:style>
  <w:style w:type="paragraph" w:styleId="Textnotdesubsol">
    <w:name w:val="footnote text"/>
    <w:basedOn w:val="Normal"/>
    <w:link w:val="TextnotdesubsolCaracter"/>
    <w:uiPriority w:val="99"/>
    <w:semiHidden/>
    <w:unhideWhenUsed/>
    <w:rsid w:val="007F3985"/>
    <w:pPr>
      <w:widowControl w:val="0"/>
    </w:pPr>
    <w:rPr>
      <w:rFonts w:ascii="Arial Unicode MS" w:eastAsiaTheme="minorHAnsi" w:hAnsi="Arial Unicode MS" w:cs="Arial Unicode MS"/>
      <w:sz w:val="20"/>
      <w:lang w:eastAsia="en-US"/>
    </w:rPr>
  </w:style>
  <w:style w:type="character" w:customStyle="1" w:styleId="TextnotdesubsolCaracter">
    <w:name w:val="Text notă de subsol Caracter"/>
    <w:basedOn w:val="Fontdeparagrafimplicit"/>
    <w:link w:val="Textnotdesubsol"/>
    <w:uiPriority w:val="99"/>
    <w:semiHidden/>
    <w:rsid w:val="007F3985"/>
    <w:rPr>
      <w:rFonts w:ascii="Arial Unicode MS" w:hAnsi="Arial Unicode MS" w:cs="Arial Unicode MS"/>
      <w:sz w:val="20"/>
      <w:szCs w:val="20"/>
      <w:lang w:val="ro-RO"/>
    </w:rPr>
  </w:style>
  <w:style w:type="character" w:styleId="Referinnotdesubsol">
    <w:name w:val="footnote reference"/>
    <w:basedOn w:val="Fontdeparagrafimplicit"/>
    <w:uiPriority w:val="99"/>
    <w:semiHidden/>
    <w:unhideWhenUsed/>
    <w:rsid w:val="007F3985"/>
    <w:rPr>
      <w:vertAlign w:val="superscript"/>
    </w:rPr>
  </w:style>
  <w:style w:type="table" w:styleId="Tabelgril">
    <w:name w:val="Table Grid"/>
    <w:basedOn w:val="TabelNormal"/>
    <w:uiPriority w:val="59"/>
    <w:rsid w:val="007F3985"/>
    <w:pPr>
      <w:widowControl w:val="0"/>
      <w:spacing w:after="0" w:line="240" w:lineRule="auto"/>
    </w:pPr>
    <w:rPr>
      <w:rFonts w:ascii="Arial Unicode MS" w:hAnsi="Arial Unicode MS" w:cs="Arial Unicode MS"/>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F398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3985"/>
    <w:rPr>
      <w:rFonts w:ascii="Tahoma" w:eastAsia="Times New Roman" w:hAnsi="Tahoma" w:cs="Tahoma"/>
      <w:noProof/>
      <w:sz w:val="16"/>
      <w:szCs w:val="16"/>
      <w:lang w:val="ro-RO" w:eastAsia="ru-RU"/>
    </w:rPr>
  </w:style>
  <w:style w:type="paragraph" w:styleId="Antet">
    <w:name w:val="header"/>
    <w:basedOn w:val="Normal"/>
    <w:link w:val="AntetCaracter"/>
    <w:uiPriority w:val="99"/>
    <w:unhideWhenUsed/>
    <w:rsid w:val="007F3985"/>
    <w:pPr>
      <w:tabs>
        <w:tab w:val="center" w:pos="4513"/>
        <w:tab w:val="right" w:pos="9026"/>
      </w:tabs>
    </w:pPr>
  </w:style>
  <w:style w:type="character" w:customStyle="1" w:styleId="AntetCaracter">
    <w:name w:val="Antet Caracter"/>
    <w:basedOn w:val="Fontdeparagrafimplicit"/>
    <w:link w:val="Antet"/>
    <w:uiPriority w:val="99"/>
    <w:rsid w:val="007F3985"/>
    <w:rPr>
      <w:rFonts w:ascii="Times New Roman" w:eastAsia="Times New Roman" w:hAnsi="Times New Roman" w:cs="Times New Roman"/>
      <w:noProof/>
      <w:sz w:val="28"/>
      <w:szCs w:val="20"/>
      <w:lang w:val="ro-RO" w:eastAsia="ru-RU"/>
    </w:rPr>
  </w:style>
  <w:style w:type="paragraph" w:customStyle="1" w:styleId="Default">
    <w:name w:val="Default"/>
    <w:rsid w:val="001C6DF8"/>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Referincomentariu">
    <w:name w:val="annotation reference"/>
    <w:basedOn w:val="Fontdeparagrafimplicit"/>
    <w:uiPriority w:val="99"/>
    <w:semiHidden/>
    <w:unhideWhenUsed/>
    <w:rsid w:val="006F3B33"/>
    <w:rPr>
      <w:sz w:val="16"/>
      <w:szCs w:val="16"/>
    </w:rPr>
  </w:style>
  <w:style w:type="paragraph" w:styleId="Textcomentariu">
    <w:name w:val="annotation text"/>
    <w:basedOn w:val="Normal"/>
    <w:link w:val="TextcomentariuCaracter"/>
    <w:uiPriority w:val="99"/>
    <w:semiHidden/>
    <w:unhideWhenUsed/>
    <w:rsid w:val="006F3B33"/>
    <w:rPr>
      <w:sz w:val="20"/>
    </w:rPr>
  </w:style>
  <w:style w:type="character" w:customStyle="1" w:styleId="TextcomentariuCaracter">
    <w:name w:val="Text comentariu Caracter"/>
    <w:basedOn w:val="Fontdeparagrafimplicit"/>
    <w:link w:val="Textcomentariu"/>
    <w:uiPriority w:val="99"/>
    <w:semiHidden/>
    <w:rsid w:val="006F3B33"/>
    <w:rPr>
      <w:rFonts w:ascii="Times New Roman" w:eastAsia="Times New Roman" w:hAnsi="Times New Roman" w:cs="Times New Roman"/>
      <w:noProof/>
      <w:sz w:val="20"/>
      <w:szCs w:val="20"/>
      <w:lang w:val="ro-RO" w:eastAsia="ru-RU"/>
    </w:rPr>
  </w:style>
  <w:style w:type="paragraph" w:styleId="SubiectComentariu">
    <w:name w:val="annotation subject"/>
    <w:basedOn w:val="Textcomentariu"/>
    <w:next w:val="Textcomentariu"/>
    <w:link w:val="SubiectComentariuCaracter"/>
    <w:uiPriority w:val="99"/>
    <w:semiHidden/>
    <w:unhideWhenUsed/>
    <w:rsid w:val="006F3B33"/>
    <w:rPr>
      <w:b/>
      <w:bCs/>
    </w:rPr>
  </w:style>
  <w:style w:type="character" w:customStyle="1" w:styleId="SubiectComentariuCaracter">
    <w:name w:val="Subiect Comentariu Caracter"/>
    <w:basedOn w:val="TextcomentariuCaracter"/>
    <w:link w:val="SubiectComentariu"/>
    <w:uiPriority w:val="99"/>
    <w:semiHidden/>
    <w:rsid w:val="006F3B33"/>
    <w:rPr>
      <w:rFonts w:ascii="Times New Roman" w:eastAsia="Times New Roman" w:hAnsi="Times New Roman" w:cs="Times New Roman"/>
      <w:b/>
      <w:bCs/>
      <w:noProof/>
      <w:sz w:val="20"/>
      <w:szCs w:val="20"/>
      <w:lang w:val="ro-RO" w:eastAsia="ru-RU"/>
    </w:rPr>
  </w:style>
  <w:style w:type="paragraph" w:styleId="Revizuire">
    <w:name w:val="Revision"/>
    <w:hidden/>
    <w:uiPriority w:val="99"/>
    <w:semiHidden/>
    <w:rsid w:val="006F3B33"/>
    <w:pPr>
      <w:spacing w:after="0" w:line="240" w:lineRule="auto"/>
    </w:pPr>
    <w:rPr>
      <w:rFonts w:ascii="Times New Roman" w:eastAsia="Times New Roman" w:hAnsi="Times New Roman" w:cs="Times New Roman"/>
      <w:noProof/>
      <w:sz w:val="28"/>
      <w:szCs w:val="20"/>
      <w:lang w:val="ro-RO" w:eastAsia="ru-RU"/>
    </w:rPr>
  </w:style>
  <w:style w:type="character" w:customStyle="1" w:styleId="ListparagrafCaracter">
    <w:name w:val="Listă paragraf Caracter"/>
    <w:aliases w:val="List1 Caracter,List Paragraph1 Caracter,Numbered Indented Text Caracter,List Paragraph Char Char Char Caracter,List Paragraph Char Char Caracter,Bullet 1 Caracter,lp1 Caracter,List Paragraph11 Caracter"/>
    <w:link w:val="Listparagraf"/>
    <w:uiPriority w:val="34"/>
    <w:locked/>
    <w:rsid w:val="000464B8"/>
    <w:rPr>
      <w:rFonts w:ascii="Times New Roman" w:eastAsia="Times New Roman" w:hAnsi="Times New Roman" w:cs="Times New Roman"/>
      <w:noProof/>
      <w:sz w:val="28"/>
      <w:szCs w:val="20"/>
      <w:lang w:val="ro-RO" w:eastAsia="ru-RU"/>
    </w:rPr>
  </w:style>
  <w:style w:type="paragraph" w:styleId="NormalWeb">
    <w:name w:val="Normal (Web)"/>
    <w:basedOn w:val="Normal"/>
    <w:uiPriority w:val="99"/>
    <w:semiHidden/>
    <w:unhideWhenUsed/>
    <w:rsid w:val="008225A7"/>
    <w:rPr>
      <w:sz w:val="24"/>
      <w:szCs w:val="24"/>
    </w:rPr>
  </w:style>
  <w:style w:type="table" w:customStyle="1" w:styleId="TableGrid1">
    <w:name w:val="Table Grid1"/>
    <w:basedOn w:val="TabelNormal"/>
    <w:next w:val="Tabelgril"/>
    <w:uiPriority w:val="59"/>
    <w:rsid w:val="00222410"/>
    <w:pPr>
      <w:widowControl w:val="0"/>
      <w:spacing w:after="0" w:line="240" w:lineRule="auto"/>
    </w:pPr>
    <w:rPr>
      <w:rFonts w:ascii="Arial Unicode MS" w:hAnsi="Arial Unicode MS" w:cs="Arial Unicode MS"/>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940637">
      <w:bodyDiv w:val="1"/>
      <w:marLeft w:val="0"/>
      <w:marRight w:val="0"/>
      <w:marTop w:val="0"/>
      <w:marBottom w:val="0"/>
      <w:divBdr>
        <w:top w:val="none" w:sz="0" w:space="0" w:color="auto"/>
        <w:left w:val="none" w:sz="0" w:space="0" w:color="auto"/>
        <w:bottom w:val="none" w:sz="0" w:space="0" w:color="auto"/>
        <w:right w:val="none" w:sz="0" w:space="0" w:color="auto"/>
      </w:divBdr>
    </w:div>
    <w:div w:id="158036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394019389194848"/>
          <c:y val="0.15381218549077177"/>
          <c:w val="0.68278900108584695"/>
          <c:h val="0.60967084595745424"/>
        </c:manualLayout>
      </c:layout>
      <c:lineChart>
        <c:grouping val="standard"/>
        <c:varyColors val="0"/>
        <c:ser>
          <c:idx val="0"/>
          <c:order val="0"/>
          <c:tx>
            <c:strRef>
              <c:f>Foaie1!$B$1</c:f>
              <c:strCache>
                <c:ptCount val="1"/>
                <c:pt idx="0">
                  <c:v>ținta</c:v>
                </c:pt>
              </c:strCache>
            </c:strRef>
          </c:tx>
          <c:spPr>
            <a:ln w="38079">
              <a:solidFill>
                <a:srgbClr val="002060">
                  <a:alpha val="75000"/>
                </a:srgbClr>
              </a:solidFill>
            </a:ln>
          </c:spPr>
          <c:marker>
            <c:symbol val="none"/>
          </c:marker>
          <c:cat>
            <c:numRef>
              <c:f>Foaie1!$A$2:$A$13</c:f>
              <c:numCache>
                <c:formatCode>General</c:formatCode>
                <c:ptCount val="12"/>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Foaie1!$B$2:$B$13</c:f>
              <c:numCache>
                <c:formatCode>General</c:formatCode>
                <c:ptCount val="12"/>
                <c:pt idx="1">
                  <c:v>10</c:v>
                </c:pt>
                <c:pt idx="2">
                  <c:v>10</c:v>
                </c:pt>
                <c:pt idx="3">
                  <c:v>10</c:v>
                </c:pt>
                <c:pt idx="4">
                  <c:v>10</c:v>
                </c:pt>
                <c:pt idx="5">
                  <c:v>10</c:v>
                </c:pt>
                <c:pt idx="6">
                  <c:v>10</c:v>
                </c:pt>
                <c:pt idx="7">
                  <c:v>10</c:v>
                </c:pt>
                <c:pt idx="8">
                  <c:v>10</c:v>
                </c:pt>
                <c:pt idx="9">
                  <c:v>10</c:v>
                </c:pt>
                <c:pt idx="10">
                  <c:v>10</c:v>
                </c:pt>
                <c:pt idx="11">
                  <c:v>10</c:v>
                </c:pt>
              </c:numCache>
            </c:numRef>
          </c:val>
          <c:smooth val="0"/>
          <c:extLst>
            <c:ext xmlns:c16="http://schemas.microsoft.com/office/drawing/2014/chart" uri="{C3380CC4-5D6E-409C-BE32-E72D297353CC}">
              <c16:uniqueId val="{00000000-8AB6-4373-8A50-C5BA64334ECF}"/>
            </c:ext>
          </c:extLst>
        </c:ser>
        <c:ser>
          <c:idx val="1"/>
          <c:order val="1"/>
          <c:tx>
            <c:strRef>
              <c:f>Foaie1!$C$1</c:f>
              <c:strCache>
                <c:ptCount val="1"/>
                <c:pt idx="0">
                  <c:v>consum real</c:v>
                </c:pt>
              </c:strCache>
            </c:strRef>
          </c:tx>
          <c:spPr>
            <a:ln w="38079">
              <a:solidFill>
                <a:srgbClr val="FF0000"/>
              </a:solid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8AB6-4373-8A50-C5BA64334ECF}"/>
                </c:ext>
              </c:extLst>
            </c:dLbl>
            <c:dLbl>
              <c:idx val="1"/>
              <c:delete val="1"/>
              <c:extLst>
                <c:ext xmlns:c15="http://schemas.microsoft.com/office/drawing/2012/chart" uri="{CE6537A1-D6FC-4f65-9D91-7224C49458BB}"/>
                <c:ext xmlns:c16="http://schemas.microsoft.com/office/drawing/2014/chart" uri="{C3380CC4-5D6E-409C-BE32-E72D297353CC}">
                  <c16:uniqueId val="{00000002-8AB6-4373-8A50-C5BA64334ECF}"/>
                </c:ext>
              </c:extLst>
            </c:dLbl>
            <c:dLbl>
              <c:idx val="2"/>
              <c:delete val="1"/>
              <c:extLst>
                <c:ext xmlns:c15="http://schemas.microsoft.com/office/drawing/2012/chart" uri="{CE6537A1-D6FC-4f65-9D91-7224C49458BB}"/>
                <c:ext xmlns:c16="http://schemas.microsoft.com/office/drawing/2014/chart" uri="{C3380CC4-5D6E-409C-BE32-E72D297353CC}">
                  <c16:uniqueId val="{00000003-8AB6-4373-8A50-C5BA64334ECF}"/>
                </c:ext>
              </c:extLst>
            </c:dLbl>
            <c:dLbl>
              <c:idx val="3"/>
              <c:delete val="1"/>
              <c:extLst>
                <c:ext xmlns:c15="http://schemas.microsoft.com/office/drawing/2012/chart" uri="{CE6537A1-D6FC-4f65-9D91-7224C49458BB}"/>
                <c:ext xmlns:c16="http://schemas.microsoft.com/office/drawing/2014/chart" uri="{C3380CC4-5D6E-409C-BE32-E72D297353CC}">
                  <c16:uniqueId val="{00000004-8AB6-4373-8A50-C5BA64334ECF}"/>
                </c:ext>
              </c:extLst>
            </c:dLbl>
            <c:dLbl>
              <c:idx val="4"/>
              <c:delete val="1"/>
              <c:extLst>
                <c:ext xmlns:c15="http://schemas.microsoft.com/office/drawing/2012/chart" uri="{CE6537A1-D6FC-4f65-9D91-7224C49458BB}"/>
                <c:ext xmlns:c16="http://schemas.microsoft.com/office/drawing/2014/chart" uri="{C3380CC4-5D6E-409C-BE32-E72D297353CC}">
                  <c16:uniqueId val="{00000005-8AB6-4373-8A50-C5BA64334ECF}"/>
                </c:ext>
              </c:extLst>
            </c:dLbl>
            <c:dLbl>
              <c:idx val="5"/>
              <c:delete val="1"/>
              <c:extLst>
                <c:ext xmlns:c15="http://schemas.microsoft.com/office/drawing/2012/chart" uri="{CE6537A1-D6FC-4f65-9D91-7224C49458BB}"/>
                <c:ext xmlns:c16="http://schemas.microsoft.com/office/drawing/2014/chart" uri="{C3380CC4-5D6E-409C-BE32-E72D297353CC}">
                  <c16:uniqueId val="{00000006-8AB6-4373-8A50-C5BA64334ECF}"/>
                </c:ext>
              </c:extLst>
            </c:dLbl>
            <c:dLbl>
              <c:idx val="6"/>
              <c:layout>
                <c:manualLayout>
                  <c:x val="-2.3681857552694391E-2"/>
                  <c:y val="-7.4949499718412457E-2"/>
                </c:manualLayout>
              </c:layout>
              <c:numFmt formatCode="0.0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B6-4373-8A50-C5BA64334EC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name>trend</c:name>
            <c:spPr>
              <a:ln w="12693">
                <a:solidFill>
                  <a:sysClr val="windowText" lastClr="000000"/>
                </a:solidFill>
              </a:ln>
            </c:spPr>
            <c:trendlineType val="exp"/>
            <c:dispRSqr val="0"/>
            <c:dispEq val="0"/>
          </c:trendline>
          <c:cat>
            <c:numRef>
              <c:f>Foaie1!$A$2:$A$13</c:f>
              <c:numCache>
                <c:formatCode>General</c:formatCode>
                <c:ptCount val="12"/>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Foaie1!$C$2:$C$13</c:f>
              <c:numCache>
                <c:formatCode>0.00</c:formatCode>
                <c:ptCount val="12"/>
                <c:pt idx="1">
                  <c:v>1.85</c:v>
                </c:pt>
                <c:pt idx="2">
                  <c:v>1.83</c:v>
                </c:pt>
                <c:pt idx="3">
                  <c:v>1.72</c:v>
                </c:pt>
                <c:pt idx="4">
                  <c:v>1.7</c:v>
                </c:pt>
                <c:pt idx="5">
                  <c:v>1.94</c:v>
                </c:pt>
                <c:pt idx="6" formatCode="General">
                  <c:v>1.95</c:v>
                </c:pt>
                <c:pt idx="7" formatCode="General">
                  <c:v>2.0099999999999998</c:v>
                </c:pt>
              </c:numCache>
            </c:numRef>
          </c:val>
          <c:smooth val="0"/>
          <c:extLst>
            <c:ext xmlns:c16="http://schemas.microsoft.com/office/drawing/2014/chart" uri="{C3380CC4-5D6E-409C-BE32-E72D297353CC}">
              <c16:uniqueId val="{00000009-8AB6-4373-8A50-C5BA64334ECF}"/>
            </c:ext>
          </c:extLst>
        </c:ser>
        <c:dLbls>
          <c:showLegendKey val="0"/>
          <c:showVal val="0"/>
          <c:showCatName val="0"/>
          <c:showSerName val="0"/>
          <c:showPercent val="0"/>
          <c:showBubbleSize val="0"/>
        </c:dLbls>
        <c:smooth val="0"/>
        <c:axId val="254414912"/>
        <c:axId val="254418048"/>
      </c:lineChart>
      <c:dateAx>
        <c:axId val="254414912"/>
        <c:scaling>
          <c:orientation val="minMax"/>
        </c:scaling>
        <c:delete val="0"/>
        <c:axPos val="b"/>
        <c:numFmt formatCode="General" sourceLinked="0"/>
        <c:majorTickMark val="out"/>
        <c:minorTickMark val="none"/>
        <c:tickLblPos val="low"/>
        <c:spPr>
          <a:ln w="25400">
            <a:solidFill>
              <a:sysClr val="windowText" lastClr="000000"/>
            </a:solidFill>
          </a:ln>
        </c:spPr>
        <c:txPr>
          <a:bodyPr/>
          <a:lstStyle/>
          <a:p>
            <a:pPr>
              <a:defRPr sz="1050">
                <a:solidFill>
                  <a:srgbClr val="002060"/>
                </a:solidFill>
              </a:defRPr>
            </a:pPr>
            <a:endParaRPr lang="en-US"/>
          </a:p>
        </c:txPr>
        <c:crossAx val="254418048"/>
        <c:crosses val="autoZero"/>
        <c:auto val="0"/>
        <c:lblOffset val="100"/>
        <c:baseTimeUnit val="days"/>
        <c:majorUnit val="2"/>
        <c:majorTimeUnit val="days"/>
      </c:dateAx>
      <c:valAx>
        <c:axId val="254418048"/>
        <c:scaling>
          <c:orientation val="minMax"/>
        </c:scaling>
        <c:delete val="0"/>
        <c:axPos val="l"/>
        <c:majorGridlines/>
        <c:minorGridlines>
          <c:spPr>
            <a:ln w="6347">
              <a:solidFill>
                <a:sysClr val="windowText" lastClr="000000">
                  <a:tint val="50000"/>
                  <a:shade val="95000"/>
                  <a:satMod val="105000"/>
                  <a:alpha val="63000"/>
                </a:sysClr>
              </a:solidFill>
              <a:prstDash val="dash"/>
            </a:ln>
          </c:spPr>
        </c:minorGridlines>
        <c:title>
          <c:tx>
            <c:rich>
              <a:bodyPr/>
              <a:lstStyle/>
              <a:p>
                <a:pPr>
                  <a:defRPr sz="1050"/>
                </a:pPr>
                <a:r>
                  <a:rPr lang="ro-RO" sz="1050"/>
                  <a:t>PONDEREA  E-ESR</a:t>
                </a:r>
                <a:r>
                  <a:rPr lang="ro-RO" sz="1050" baseline="0"/>
                  <a:t> ÎN  CFBEE             </a:t>
                </a:r>
                <a:endParaRPr lang="en-US" sz="1050"/>
              </a:p>
            </c:rich>
          </c:tx>
          <c:layout>
            <c:manualLayout>
              <c:xMode val="edge"/>
              <c:yMode val="edge"/>
              <c:x val="3.7194871407847181E-3"/>
              <c:y val="0.1566428821431409"/>
            </c:manualLayout>
          </c:layout>
          <c:overlay val="0"/>
        </c:title>
        <c:numFmt formatCode="0%" sourceLinked="0"/>
        <c:majorTickMark val="out"/>
        <c:minorTickMark val="none"/>
        <c:tickLblPos val="nextTo"/>
        <c:spPr>
          <a:ln w="25386">
            <a:solidFill>
              <a:sysClr val="windowText" lastClr="000000"/>
            </a:solidFill>
          </a:ln>
        </c:spPr>
        <c:txPr>
          <a:bodyPr/>
          <a:lstStyle/>
          <a:p>
            <a:pPr>
              <a:defRPr sz="1050" b="1">
                <a:solidFill>
                  <a:sysClr val="windowText" lastClr="000000"/>
                </a:solidFill>
              </a:defRPr>
            </a:pPr>
            <a:endParaRPr lang="en-US"/>
          </a:p>
        </c:txPr>
        <c:crossAx val="254414912"/>
        <c:crosses val="autoZero"/>
        <c:crossBetween val="midCat"/>
        <c:minorUnit val="2.5"/>
        <c:dispUnits>
          <c:builtInUnit val="hundreds"/>
        </c:dispUnits>
      </c:valAx>
    </c:plotArea>
    <c:legend>
      <c:legendPos val="r"/>
      <c:layout>
        <c:manualLayout>
          <c:xMode val="edge"/>
          <c:yMode val="edge"/>
          <c:x val="4.0394455485396594E-2"/>
          <c:y val="0.83149563353939904"/>
          <c:w val="0.95538830060035596"/>
          <c:h val="0.14841920693523269"/>
        </c:manualLayout>
      </c:layout>
      <c:overlay val="0"/>
      <c:txPr>
        <a:bodyPr/>
        <a:lstStyle/>
        <a:p>
          <a:pPr>
            <a:defRPr sz="1050">
              <a:solidFill>
                <a:sysClr val="windowText" lastClr="000000"/>
              </a:solidFill>
            </a:defRPr>
          </a:pPr>
          <a:endParaRPr lang="en-US"/>
        </a:p>
      </c:txPr>
    </c:legend>
    <c:plotVisOnly val="1"/>
    <c:dispBlanksAs val="gap"/>
    <c:showDLblsOverMax val="0"/>
  </c:chart>
  <c:spPr>
    <a:ln>
      <a:noFill/>
    </a:ln>
  </c:spPr>
  <c:txPr>
    <a:bodyPr/>
    <a:lstStyle/>
    <a:p>
      <a:pPr>
        <a:defRPr sz="1100">
          <a:solidFill>
            <a:srgbClr val="002060"/>
          </a:solidFill>
          <a:latin typeface="Garamond"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602805944221"/>
          <c:y val="0.10457524239646009"/>
          <c:w val="0.70063480045763515"/>
          <c:h val="0.65459494007613828"/>
        </c:manualLayout>
      </c:layout>
      <c:lineChart>
        <c:grouping val="standard"/>
        <c:varyColors val="0"/>
        <c:ser>
          <c:idx val="0"/>
          <c:order val="0"/>
          <c:tx>
            <c:strRef>
              <c:f>Foaie1!$B$1</c:f>
              <c:strCache>
                <c:ptCount val="1"/>
                <c:pt idx="0">
                  <c:v>ținta</c:v>
                </c:pt>
              </c:strCache>
            </c:strRef>
          </c:tx>
          <c:spPr>
            <a:ln w="38079">
              <a:solidFill>
                <a:srgbClr val="002060">
                  <a:alpha val="75000"/>
                </a:srgbClr>
              </a:solidFill>
            </a:ln>
          </c:spPr>
          <c:marker>
            <c:symbol val="none"/>
          </c:marker>
          <c:cat>
            <c:numRef>
              <c:f>Foaie1!$A$2:$A$12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Foaie1!$B$2:$B$12</c:f>
              <c:numCache>
                <c:formatCode>General</c:formatCode>
                <c:ptCount val="11"/>
                <c:pt idx="0">
                  <c:v>17</c:v>
                </c:pt>
                <c:pt idx="1">
                  <c:v>17</c:v>
                </c:pt>
                <c:pt idx="2">
                  <c:v>17</c:v>
                </c:pt>
                <c:pt idx="3">
                  <c:v>17</c:v>
                </c:pt>
                <c:pt idx="4">
                  <c:v>17</c:v>
                </c:pt>
                <c:pt idx="5">
                  <c:v>17</c:v>
                </c:pt>
                <c:pt idx="6">
                  <c:v>17</c:v>
                </c:pt>
                <c:pt idx="7">
                  <c:v>17</c:v>
                </c:pt>
                <c:pt idx="8">
                  <c:v>17</c:v>
                </c:pt>
                <c:pt idx="9">
                  <c:v>17</c:v>
                </c:pt>
                <c:pt idx="10">
                  <c:v>17</c:v>
                </c:pt>
              </c:numCache>
            </c:numRef>
          </c:val>
          <c:smooth val="0"/>
          <c:extLst>
            <c:ext xmlns:c16="http://schemas.microsoft.com/office/drawing/2014/chart" uri="{C3380CC4-5D6E-409C-BE32-E72D297353CC}">
              <c16:uniqueId val="{00000000-CB16-4BE9-9962-EA74B1CE151E}"/>
            </c:ext>
          </c:extLst>
        </c:ser>
        <c:ser>
          <c:idx val="1"/>
          <c:order val="1"/>
          <c:tx>
            <c:strRef>
              <c:f>Foaie1!$C$1</c:f>
              <c:strCache>
                <c:ptCount val="1"/>
                <c:pt idx="0">
                  <c:v>consumul real</c:v>
                </c:pt>
              </c:strCache>
            </c:strRef>
          </c:tx>
          <c:spPr>
            <a:ln w="57150">
              <a:solidFill>
                <a:srgbClr val="FF0000"/>
              </a:solid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3705-4C28-9F8F-B9F9A0C3A936}"/>
                </c:ext>
              </c:extLst>
            </c:dLbl>
            <c:dLbl>
              <c:idx val="1"/>
              <c:delete val="1"/>
              <c:extLst>
                <c:ext xmlns:c15="http://schemas.microsoft.com/office/drawing/2012/chart" uri="{CE6537A1-D6FC-4f65-9D91-7224C49458BB}"/>
                <c:ext xmlns:c16="http://schemas.microsoft.com/office/drawing/2014/chart" uri="{C3380CC4-5D6E-409C-BE32-E72D297353CC}">
                  <c16:uniqueId val="{00000002-3705-4C28-9F8F-B9F9A0C3A936}"/>
                </c:ext>
              </c:extLst>
            </c:dLbl>
            <c:dLbl>
              <c:idx val="2"/>
              <c:delete val="1"/>
              <c:extLst>
                <c:ext xmlns:c15="http://schemas.microsoft.com/office/drawing/2012/chart" uri="{CE6537A1-D6FC-4f65-9D91-7224C49458BB}"/>
                <c:ext xmlns:c16="http://schemas.microsoft.com/office/drawing/2014/chart" uri="{C3380CC4-5D6E-409C-BE32-E72D297353CC}">
                  <c16:uniqueId val="{00000003-3705-4C28-9F8F-B9F9A0C3A936}"/>
                </c:ext>
              </c:extLst>
            </c:dLbl>
            <c:dLbl>
              <c:idx val="3"/>
              <c:delete val="1"/>
              <c:extLst>
                <c:ext xmlns:c15="http://schemas.microsoft.com/office/drawing/2012/chart" uri="{CE6537A1-D6FC-4f65-9D91-7224C49458BB}"/>
                <c:ext xmlns:c16="http://schemas.microsoft.com/office/drawing/2014/chart" uri="{C3380CC4-5D6E-409C-BE32-E72D297353CC}">
                  <c16:uniqueId val="{00000004-3705-4C28-9F8F-B9F9A0C3A936}"/>
                </c:ext>
              </c:extLst>
            </c:dLbl>
            <c:dLbl>
              <c:idx val="4"/>
              <c:delete val="1"/>
              <c:extLst>
                <c:ext xmlns:c15="http://schemas.microsoft.com/office/drawing/2012/chart" uri="{CE6537A1-D6FC-4f65-9D91-7224C49458BB}"/>
                <c:ext xmlns:c16="http://schemas.microsoft.com/office/drawing/2014/chart" uri="{C3380CC4-5D6E-409C-BE32-E72D297353CC}">
                  <c16:uniqueId val="{00000005-3705-4C28-9F8F-B9F9A0C3A936}"/>
                </c:ext>
              </c:extLst>
            </c:dLbl>
            <c:dLbl>
              <c:idx val="5"/>
              <c:delete val="1"/>
              <c:extLst>
                <c:ext xmlns:c15="http://schemas.microsoft.com/office/drawing/2012/chart" uri="{CE6537A1-D6FC-4f65-9D91-7224C49458BB}"/>
                <c:ext xmlns:c16="http://schemas.microsoft.com/office/drawing/2014/chart" uri="{C3380CC4-5D6E-409C-BE32-E72D297353CC}">
                  <c16:uniqueId val="{00000006-3705-4C28-9F8F-B9F9A0C3A936}"/>
                </c:ext>
              </c:extLst>
            </c:dLbl>
            <c:dLbl>
              <c:idx val="6"/>
              <c:layout>
                <c:manualLayout>
                  <c:x val="-8.5197018104367136E-3"/>
                  <c:y val="2.3391812865497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05-4C28-9F8F-B9F9A0C3A936}"/>
                </c:ext>
              </c:extLst>
            </c:dLbl>
            <c:numFmt formatCode="0.00%" sourceLinked="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trendline>
            <c:name>trend</c:name>
            <c:spPr>
              <a:ln w="12693">
                <a:solidFill>
                  <a:sysClr val="windowText" lastClr="000000"/>
                </a:solidFill>
              </a:ln>
            </c:spPr>
            <c:trendlineType val="linear"/>
            <c:dispRSqr val="0"/>
            <c:dispEq val="0"/>
          </c:trendline>
          <c:cat>
            <c:numRef>
              <c:f>Foaie1!$A$2:$A$12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Foaie1!$C$2:$C$12</c:f>
              <c:numCache>
                <c:formatCode>0.00</c:formatCode>
                <c:ptCount val="11"/>
                <c:pt idx="0">
                  <c:v>20.7</c:v>
                </c:pt>
                <c:pt idx="1">
                  <c:v>21.5</c:v>
                </c:pt>
                <c:pt idx="2">
                  <c:v>23.7</c:v>
                </c:pt>
                <c:pt idx="3">
                  <c:v>23.8</c:v>
                </c:pt>
                <c:pt idx="4">
                  <c:v>25.3</c:v>
                </c:pt>
                <c:pt idx="5" formatCode="General">
                  <c:v>25.5</c:v>
                </c:pt>
                <c:pt idx="6" formatCode="General">
                  <c:v>26</c:v>
                </c:pt>
              </c:numCache>
            </c:numRef>
          </c:val>
          <c:smooth val="0"/>
          <c:extLst>
            <c:ext xmlns:c16="http://schemas.microsoft.com/office/drawing/2014/chart" uri="{C3380CC4-5D6E-409C-BE32-E72D297353CC}">
              <c16:uniqueId val="{00000002-CB16-4BE9-9962-EA74B1CE151E}"/>
            </c:ext>
          </c:extLst>
        </c:ser>
        <c:dLbls>
          <c:showLegendKey val="0"/>
          <c:showVal val="0"/>
          <c:showCatName val="0"/>
          <c:showSerName val="0"/>
          <c:showPercent val="0"/>
          <c:showBubbleSize val="0"/>
        </c:dLbls>
        <c:smooth val="0"/>
        <c:axId val="254416480"/>
        <c:axId val="254410992"/>
      </c:lineChart>
      <c:dateAx>
        <c:axId val="254416480"/>
        <c:scaling>
          <c:orientation val="minMax"/>
        </c:scaling>
        <c:delete val="0"/>
        <c:axPos val="b"/>
        <c:numFmt formatCode="General" sourceLinked="0"/>
        <c:majorTickMark val="out"/>
        <c:minorTickMark val="none"/>
        <c:tickLblPos val="low"/>
        <c:spPr>
          <a:ln w="25400">
            <a:solidFill>
              <a:sysClr val="windowText" lastClr="000000"/>
            </a:solidFill>
          </a:ln>
        </c:spPr>
        <c:txPr>
          <a:bodyPr/>
          <a:lstStyle/>
          <a:p>
            <a:pPr>
              <a:defRPr sz="1050"/>
            </a:pPr>
            <a:endParaRPr lang="en-US"/>
          </a:p>
        </c:txPr>
        <c:crossAx val="254410992"/>
        <c:crosses val="autoZero"/>
        <c:auto val="0"/>
        <c:lblOffset val="100"/>
        <c:baseTimeUnit val="days"/>
        <c:majorUnit val="2"/>
        <c:majorTimeUnit val="days"/>
      </c:dateAx>
      <c:valAx>
        <c:axId val="254410992"/>
        <c:scaling>
          <c:orientation val="minMax"/>
          <c:max val="30"/>
        </c:scaling>
        <c:delete val="0"/>
        <c:axPos val="l"/>
        <c:majorGridlines/>
        <c:minorGridlines>
          <c:spPr>
            <a:ln w="6347">
              <a:solidFill>
                <a:sysClr val="windowText" lastClr="000000">
                  <a:tint val="50000"/>
                  <a:shade val="95000"/>
                  <a:satMod val="105000"/>
                  <a:alpha val="63000"/>
                </a:sysClr>
              </a:solidFill>
              <a:prstDash val="dash"/>
            </a:ln>
          </c:spPr>
        </c:minorGridlines>
        <c:numFmt formatCode="0%" sourceLinked="0"/>
        <c:majorTickMark val="out"/>
        <c:minorTickMark val="none"/>
        <c:tickLblPos val="nextTo"/>
        <c:spPr>
          <a:ln w="25386">
            <a:solidFill>
              <a:sysClr val="windowText" lastClr="000000"/>
            </a:solidFill>
          </a:ln>
        </c:spPr>
        <c:txPr>
          <a:bodyPr/>
          <a:lstStyle/>
          <a:p>
            <a:pPr>
              <a:defRPr sz="1050" b="1"/>
            </a:pPr>
            <a:endParaRPr lang="en-US"/>
          </a:p>
        </c:txPr>
        <c:crossAx val="254416480"/>
        <c:crosses val="autoZero"/>
        <c:crossBetween val="midCat"/>
        <c:minorUnit val="2.5"/>
        <c:dispUnits>
          <c:builtInUnit val="hundreds"/>
          <c:dispUnitsLbl>
            <c:layout>
              <c:manualLayout>
                <c:xMode val="edge"/>
                <c:yMode val="edge"/>
                <c:x val="2.1514963690763139E-2"/>
                <c:y val="8.8312842473638159E-2"/>
              </c:manualLayout>
            </c:layout>
            <c:tx>
              <c:rich>
                <a:bodyPr rot="-5400000" vert="horz"/>
                <a:lstStyle/>
                <a:p>
                  <a:pPr algn="just">
                    <a:defRPr sz="1050"/>
                  </a:pPr>
                  <a:r>
                    <a:rPr lang="ro-RO" sz="1050" baseline="0" dirty="0"/>
                    <a:t>PONDEREA SER ÎN CFBE</a:t>
                  </a:r>
                  <a:endParaRPr lang="ro-RO" sz="1050" dirty="0"/>
                </a:p>
              </c:rich>
            </c:tx>
          </c:dispUnitsLbl>
        </c:dispUnits>
      </c:valAx>
    </c:plotArea>
    <c:legend>
      <c:legendPos val="r"/>
      <c:layout>
        <c:manualLayout>
          <c:xMode val="edge"/>
          <c:yMode val="edge"/>
          <c:x val="1.4357619090717109E-2"/>
          <c:y val="0.85014594628958595"/>
          <c:w val="0.98343163245349297"/>
          <c:h val="0.14985405371041421"/>
        </c:manualLayout>
      </c:layout>
      <c:overlay val="0"/>
      <c:txPr>
        <a:bodyPr/>
        <a:lstStyle/>
        <a:p>
          <a:pPr>
            <a:defRPr sz="1050" b="0"/>
          </a:pPr>
          <a:endParaRPr lang="en-US"/>
        </a:p>
      </c:txPr>
    </c:legend>
    <c:plotVisOnly val="1"/>
    <c:dispBlanksAs val="gap"/>
    <c:showDLblsOverMax val="0"/>
  </c:chart>
  <c:spPr>
    <a:ln>
      <a:noFill/>
    </a:ln>
  </c:spPr>
  <c:txPr>
    <a:bodyPr/>
    <a:lstStyle/>
    <a:p>
      <a:pPr>
        <a:defRPr sz="1800">
          <a:solidFill>
            <a:srgbClr val="002060"/>
          </a:solidFill>
          <a:latin typeface="Garamond"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23191331852749"/>
          <c:y val="8.9599715380800499E-2"/>
          <c:w val="0.70063480045763515"/>
          <c:h val="0.65459494007613828"/>
        </c:manualLayout>
      </c:layout>
      <c:lineChart>
        <c:grouping val="standard"/>
        <c:varyColors val="0"/>
        <c:ser>
          <c:idx val="0"/>
          <c:order val="0"/>
          <c:tx>
            <c:strRef>
              <c:f>Foaie1!$B$1</c:f>
              <c:strCache>
                <c:ptCount val="1"/>
                <c:pt idx="0">
                  <c:v>ținta</c:v>
                </c:pt>
              </c:strCache>
            </c:strRef>
          </c:tx>
          <c:spPr>
            <a:ln w="38079">
              <a:solidFill>
                <a:srgbClr val="002060">
                  <a:alpha val="75000"/>
                </a:srgbClr>
              </a:solidFill>
            </a:ln>
          </c:spPr>
          <c:marker>
            <c:symbol val="none"/>
          </c:marker>
          <c:cat>
            <c:numRef>
              <c:f>Foaie1!$A$2:$A$12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Foaie1!$B$2:$B$12</c:f>
              <c:numCache>
                <c:formatCode>General</c:formatCode>
                <c:ptCount val="11"/>
                <c:pt idx="0">
                  <c:v>17</c:v>
                </c:pt>
                <c:pt idx="1">
                  <c:v>17</c:v>
                </c:pt>
                <c:pt idx="2">
                  <c:v>17</c:v>
                </c:pt>
                <c:pt idx="3">
                  <c:v>17</c:v>
                </c:pt>
                <c:pt idx="4">
                  <c:v>17</c:v>
                </c:pt>
                <c:pt idx="5">
                  <c:v>17</c:v>
                </c:pt>
                <c:pt idx="6">
                  <c:v>17</c:v>
                </c:pt>
                <c:pt idx="7">
                  <c:v>17</c:v>
                </c:pt>
                <c:pt idx="8">
                  <c:v>17</c:v>
                </c:pt>
                <c:pt idx="9">
                  <c:v>17</c:v>
                </c:pt>
                <c:pt idx="10">
                  <c:v>17</c:v>
                </c:pt>
              </c:numCache>
            </c:numRef>
          </c:val>
          <c:smooth val="0"/>
          <c:extLst>
            <c:ext xmlns:c16="http://schemas.microsoft.com/office/drawing/2014/chart" uri="{C3380CC4-5D6E-409C-BE32-E72D297353CC}">
              <c16:uniqueId val="{00000000-493D-4BAF-9EF6-A92A22C4040B}"/>
            </c:ext>
          </c:extLst>
        </c:ser>
        <c:ser>
          <c:idx val="1"/>
          <c:order val="1"/>
          <c:tx>
            <c:strRef>
              <c:f>Foaie1!$C$1</c:f>
              <c:strCache>
                <c:ptCount val="1"/>
                <c:pt idx="0">
                  <c:v>consumul real</c:v>
                </c:pt>
              </c:strCache>
            </c:strRef>
          </c:tx>
          <c:spPr>
            <a:ln w="57150">
              <a:solidFill>
                <a:srgbClr val="FF0000"/>
              </a:solidFill>
            </a:ln>
          </c:spPr>
          <c:marker>
            <c:symbol val="none"/>
          </c:marker>
          <c:trendline>
            <c:name>trend</c:name>
            <c:spPr>
              <a:ln w="12693">
                <a:solidFill>
                  <a:sysClr val="windowText" lastClr="000000"/>
                </a:solidFill>
              </a:ln>
            </c:spPr>
            <c:trendlineType val="linear"/>
            <c:dispRSqr val="0"/>
            <c:dispEq val="0"/>
          </c:trendline>
          <c:cat>
            <c:numRef>
              <c:f>Foaie1!$A$2:$A$12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Foaie1!$C$2:$C$12</c:f>
              <c:numCache>
                <c:formatCode>0.00</c:formatCode>
                <c:ptCount val="11"/>
                <c:pt idx="0">
                  <c:v>20.7</c:v>
                </c:pt>
                <c:pt idx="1">
                  <c:v>21.5</c:v>
                </c:pt>
                <c:pt idx="2">
                  <c:v>23.7</c:v>
                </c:pt>
                <c:pt idx="3">
                  <c:v>23.8</c:v>
                </c:pt>
                <c:pt idx="4">
                  <c:v>25.3</c:v>
                </c:pt>
                <c:pt idx="5" formatCode="General">
                  <c:v>25.5</c:v>
                </c:pt>
                <c:pt idx="6" formatCode="General">
                  <c:v>26</c:v>
                </c:pt>
              </c:numCache>
            </c:numRef>
          </c:val>
          <c:smooth val="0"/>
          <c:extLst>
            <c:ext xmlns:c16="http://schemas.microsoft.com/office/drawing/2014/chart" uri="{C3380CC4-5D6E-409C-BE32-E72D297353CC}">
              <c16:uniqueId val="{00000002-493D-4BAF-9EF6-A92A22C4040B}"/>
            </c:ext>
          </c:extLst>
        </c:ser>
        <c:dLbls>
          <c:showLegendKey val="0"/>
          <c:showVal val="0"/>
          <c:showCatName val="0"/>
          <c:showSerName val="0"/>
          <c:showPercent val="0"/>
          <c:showBubbleSize val="0"/>
        </c:dLbls>
        <c:smooth val="0"/>
        <c:axId val="254417264"/>
        <c:axId val="254411384"/>
      </c:lineChart>
      <c:dateAx>
        <c:axId val="254417264"/>
        <c:scaling>
          <c:orientation val="minMax"/>
        </c:scaling>
        <c:delete val="0"/>
        <c:axPos val="b"/>
        <c:numFmt formatCode="General" sourceLinked="0"/>
        <c:majorTickMark val="out"/>
        <c:minorTickMark val="none"/>
        <c:tickLblPos val="low"/>
        <c:spPr>
          <a:ln w="25400">
            <a:solidFill>
              <a:sysClr val="windowText" lastClr="000000"/>
            </a:solidFill>
          </a:ln>
        </c:spPr>
        <c:crossAx val="254411384"/>
        <c:crosses val="autoZero"/>
        <c:auto val="0"/>
        <c:lblOffset val="100"/>
        <c:baseTimeUnit val="days"/>
        <c:majorUnit val="2"/>
        <c:majorTimeUnit val="days"/>
      </c:dateAx>
      <c:valAx>
        <c:axId val="254411384"/>
        <c:scaling>
          <c:orientation val="minMax"/>
          <c:max val="30"/>
        </c:scaling>
        <c:delete val="0"/>
        <c:axPos val="l"/>
        <c:majorGridlines/>
        <c:minorGridlines>
          <c:spPr>
            <a:ln w="6347">
              <a:solidFill>
                <a:sysClr val="windowText" lastClr="000000">
                  <a:tint val="50000"/>
                  <a:shade val="95000"/>
                  <a:satMod val="105000"/>
                  <a:alpha val="63000"/>
                </a:sysClr>
              </a:solidFill>
              <a:prstDash val="dash"/>
            </a:ln>
          </c:spPr>
        </c:minorGridlines>
        <c:numFmt formatCode="0%" sourceLinked="0"/>
        <c:majorTickMark val="out"/>
        <c:minorTickMark val="none"/>
        <c:tickLblPos val="nextTo"/>
        <c:spPr>
          <a:ln w="25386">
            <a:solidFill>
              <a:sysClr val="windowText" lastClr="000000"/>
            </a:solidFill>
          </a:ln>
        </c:spPr>
        <c:crossAx val="254417264"/>
        <c:crosses val="autoZero"/>
        <c:crossBetween val="midCat"/>
        <c:minorUnit val="2.5"/>
        <c:dispUnits>
          <c:builtInUnit val="hundreds"/>
          <c:dispUnitsLbl>
            <c:layout>
              <c:manualLayout>
                <c:xMode val="edge"/>
                <c:yMode val="edge"/>
                <c:x val="3.0975839558516721E-2"/>
                <c:y val="3.8705849589575042E-2"/>
              </c:manualLayout>
            </c:layout>
            <c:tx>
              <c:rich>
                <a:bodyPr rot="-5400000" vert="horz"/>
                <a:lstStyle/>
                <a:p>
                  <a:pPr algn="just">
                    <a:defRPr/>
                  </a:pPr>
                  <a:r>
                    <a:rPr lang="ro-RO"/>
                    <a:t>PONDEREA SER ÎN CFBE</a:t>
                  </a:r>
                </a:p>
              </c:rich>
            </c:tx>
          </c:dispUnitsLbl>
        </c:dispUnits>
      </c:valAx>
    </c:plotArea>
    <c:legend>
      <c:legendPos val="r"/>
      <c:layout>
        <c:manualLayout>
          <c:xMode val="edge"/>
          <c:yMode val="edge"/>
          <c:x val="1.4357619090717109E-2"/>
          <c:y val="0.85014594628958595"/>
          <c:w val="0.98343163245349297"/>
          <c:h val="0.14985405371041421"/>
        </c:manualLayout>
      </c:layout>
      <c:overlay val="0"/>
    </c:legend>
    <c:plotVisOnly val="1"/>
    <c:dispBlanksAs val="gap"/>
    <c:showDLblsOverMax val="0"/>
  </c:chart>
  <c:spPr>
    <a:ln>
      <a:noFill/>
    </a:ln>
  </c:spPr>
  <c:txPr>
    <a:bodyPr/>
    <a:lstStyle/>
    <a:p>
      <a:pPr>
        <a:defRPr sz="700">
          <a:solidFill>
            <a:srgbClr val="002060"/>
          </a:solidFill>
          <a:latin typeface="Garamond" pitchFamily="18" charset="0"/>
        </a:defRPr>
      </a:pPr>
      <a:endParaRPr lang="en-US"/>
    </a:p>
  </c:txPr>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6">
    <a:dk1>
      <a:srgbClr val="7A7A7A"/>
    </a:dk1>
    <a:lt1>
      <a:srgbClr val="FFFFFF"/>
    </a:lt1>
    <a:dk2>
      <a:srgbClr val="D1282E"/>
    </a:dk2>
    <a:lt2>
      <a:srgbClr val="B6CCAE"/>
    </a:lt2>
    <a:accent1>
      <a:srgbClr val="7A7A7A"/>
    </a:accent1>
    <a:accent2>
      <a:srgbClr val="F5C201"/>
    </a:accent2>
    <a:accent3>
      <a:srgbClr val="76975D"/>
    </a:accent3>
    <a:accent4>
      <a:srgbClr val="989AAC"/>
    </a:accent4>
    <a:accent5>
      <a:srgbClr val="DC5924"/>
    </a:accent5>
    <a:accent6>
      <a:srgbClr val="92D050"/>
    </a:accent6>
    <a:hlink>
      <a:srgbClr val="FFEFC1"/>
    </a:hlink>
    <a:folHlink>
      <a:srgbClr val="908F63"/>
    </a:folHlink>
  </a:clrScheme>
  <a:fontScheme name="Custom 1">
    <a:majorFont>
      <a:latin typeface="Arial Black"/>
      <a:ea typeface=""/>
      <a:cs typeface=""/>
    </a:majorFont>
    <a:minorFont>
      <a:latin typeface="Corbel"/>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Override>
</file>

<file path=word/theme/themeOverride2.xml><?xml version="1.0" encoding="utf-8"?>
<a:themeOverride xmlns:a="http://schemas.openxmlformats.org/drawingml/2006/main">
  <a:clrScheme name="Custom 6">
    <a:dk1>
      <a:srgbClr val="7A7A7A"/>
    </a:dk1>
    <a:lt1>
      <a:srgbClr val="FFFFFF"/>
    </a:lt1>
    <a:dk2>
      <a:srgbClr val="D1282E"/>
    </a:dk2>
    <a:lt2>
      <a:srgbClr val="B6CCAE"/>
    </a:lt2>
    <a:accent1>
      <a:srgbClr val="7A7A7A"/>
    </a:accent1>
    <a:accent2>
      <a:srgbClr val="F5C201"/>
    </a:accent2>
    <a:accent3>
      <a:srgbClr val="76975D"/>
    </a:accent3>
    <a:accent4>
      <a:srgbClr val="989AAC"/>
    </a:accent4>
    <a:accent5>
      <a:srgbClr val="DC5924"/>
    </a:accent5>
    <a:accent6>
      <a:srgbClr val="92D050"/>
    </a:accent6>
    <a:hlink>
      <a:srgbClr val="FFEFC1"/>
    </a:hlink>
    <a:folHlink>
      <a:srgbClr val="908F63"/>
    </a:folHlink>
  </a:clrScheme>
  <a:fontScheme name="Custom 1">
    <a:majorFont>
      <a:latin typeface="Arial Black"/>
      <a:ea typeface=""/>
      <a:cs typeface=""/>
    </a:majorFont>
    <a:minorFont>
      <a:latin typeface="Corbel"/>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E1524-EFE8-4F4D-AF8B-40D88552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1754</Words>
  <Characters>10000</Characters>
  <Application>Microsoft Office Word</Application>
  <DocSecurity>0</DocSecurity>
  <Lines>83</Lines>
  <Paragraphs>23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 tumuruc</cp:lastModifiedBy>
  <cp:revision>20</cp:revision>
  <cp:lastPrinted>2018-01-22T09:30:00Z</cp:lastPrinted>
  <dcterms:created xsi:type="dcterms:W3CDTF">2018-01-19T09:14:00Z</dcterms:created>
  <dcterms:modified xsi:type="dcterms:W3CDTF">2018-01-22T10:26:00Z</dcterms:modified>
</cp:coreProperties>
</file>