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2C6" w:rsidRPr="00EE3B40" w:rsidRDefault="006710F7" w:rsidP="00AC1DA3">
      <w:pPr>
        <w:spacing w:after="0" w:line="240" w:lineRule="auto"/>
        <w:jc w:val="center"/>
        <w:rPr>
          <w:rFonts w:ascii="Times New Roman" w:hAnsi="Times New Roman" w:cs="Times New Roman"/>
          <w:b/>
          <w:sz w:val="28"/>
          <w:szCs w:val="28"/>
          <w:lang w:val="ro-RO"/>
        </w:rPr>
      </w:pPr>
      <w:r w:rsidRPr="00EE3B40">
        <w:rPr>
          <w:rFonts w:ascii="Times New Roman" w:hAnsi="Times New Roman" w:cs="Times New Roman"/>
          <w:b/>
          <w:sz w:val="28"/>
          <w:szCs w:val="28"/>
          <w:lang w:val="ro-RO"/>
        </w:rPr>
        <w:t xml:space="preserve">NOTĂ DE </w:t>
      </w:r>
      <w:r w:rsidR="007B1A28" w:rsidRPr="00EE3B40">
        <w:rPr>
          <w:rFonts w:ascii="Times New Roman" w:hAnsi="Times New Roman" w:cs="Times New Roman"/>
          <w:b/>
          <w:sz w:val="28"/>
          <w:szCs w:val="28"/>
          <w:lang w:val="ro-RO"/>
        </w:rPr>
        <w:t>ARGUMENTARE</w:t>
      </w:r>
    </w:p>
    <w:p w:rsidR="006710F7" w:rsidRPr="00EE3B40" w:rsidRDefault="006710F7" w:rsidP="00AC1DA3">
      <w:pPr>
        <w:spacing w:after="0" w:line="240" w:lineRule="auto"/>
        <w:jc w:val="center"/>
        <w:rPr>
          <w:rFonts w:ascii="Times New Roman" w:hAnsi="Times New Roman" w:cs="Times New Roman"/>
          <w:b/>
          <w:sz w:val="28"/>
          <w:szCs w:val="28"/>
          <w:lang w:val="ro-RO"/>
        </w:rPr>
      </w:pPr>
      <w:r w:rsidRPr="00EE3B40">
        <w:rPr>
          <w:rFonts w:ascii="Times New Roman" w:hAnsi="Times New Roman" w:cs="Times New Roman"/>
          <w:b/>
          <w:sz w:val="28"/>
          <w:szCs w:val="28"/>
          <w:lang w:val="ro-RO"/>
        </w:rPr>
        <w:t xml:space="preserve">la proiectul </w:t>
      </w:r>
      <w:r w:rsidR="00D773CF" w:rsidRPr="00EE3B40">
        <w:rPr>
          <w:rFonts w:ascii="Times New Roman" w:hAnsi="Times New Roman" w:cs="Times New Roman"/>
          <w:b/>
          <w:sz w:val="28"/>
          <w:szCs w:val="28"/>
          <w:lang w:val="ro-RO"/>
        </w:rPr>
        <w:t>Hotărârii</w:t>
      </w:r>
      <w:r w:rsidR="00146F8F" w:rsidRPr="00EE3B40">
        <w:rPr>
          <w:rFonts w:ascii="Times New Roman" w:hAnsi="Times New Roman" w:cs="Times New Roman"/>
          <w:b/>
          <w:sz w:val="28"/>
          <w:szCs w:val="28"/>
          <w:lang w:val="ro-RO"/>
        </w:rPr>
        <w:t xml:space="preserve"> de Guvern </w:t>
      </w:r>
      <w:r w:rsidR="00D773CF" w:rsidRPr="00EE3B40">
        <w:rPr>
          <w:rFonts w:ascii="Times New Roman" w:hAnsi="Times New Roman" w:cs="Times New Roman"/>
          <w:b/>
          <w:sz w:val="28"/>
          <w:szCs w:val="28"/>
          <w:lang w:val="ro-RO"/>
        </w:rPr>
        <w:t>„</w:t>
      </w:r>
      <w:r w:rsidR="00146F8F" w:rsidRPr="00EE3B40">
        <w:rPr>
          <w:rFonts w:ascii="Times New Roman" w:hAnsi="Times New Roman" w:cs="Times New Roman"/>
          <w:b/>
          <w:sz w:val="28"/>
          <w:szCs w:val="28"/>
          <w:lang w:val="ro-RO"/>
        </w:rPr>
        <w:t xml:space="preserve">pentru aprobarea </w:t>
      </w:r>
      <w:r w:rsidR="00D773CF" w:rsidRPr="00EE3B40">
        <w:rPr>
          <w:rFonts w:ascii="Times New Roman" w:hAnsi="Times New Roman" w:cs="Times New Roman"/>
          <w:b/>
          <w:sz w:val="28"/>
          <w:szCs w:val="28"/>
          <w:lang w:val="ro-RO"/>
        </w:rPr>
        <w:t>Regulamentului privind inspecția periodică a sistemelor de climatizare din clădiri”</w:t>
      </w:r>
    </w:p>
    <w:p w:rsidR="006710F7" w:rsidRPr="00EE3B40" w:rsidRDefault="006710F7" w:rsidP="00300147">
      <w:pPr>
        <w:spacing w:after="0" w:line="240" w:lineRule="auto"/>
        <w:jc w:val="both"/>
        <w:rPr>
          <w:rFonts w:ascii="Times New Roman" w:hAnsi="Times New Roman" w:cs="Times New Roman"/>
          <w:sz w:val="28"/>
          <w:szCs w:val="28"/>
          <w:lang w:val="ro-RO"/>
        </w:rPr>
      </w:pPr>
    </w:p>
    <w:p w:rsidR="006710F7" w:rsidRPr="00EE3B40" w:rsidRDefault="00941F3D" w:rsidP="00EE3B40">
      <w:pPr>
        <w:tabs>
          <w:tab w:val="left" w:pos="993"/>
        </w:tabs>
        <w:spacing w:after="0" w:line="240" w:lineRule="auto"/>
        <w:ind w:firstLine="567"/>
        <w:jc w:val="both"/>
        <w:rPr>
          <w:rFonts w:ascii="Times New Roman" w:hAnsi="Times New Roman" w:cs="Times New Roman"/>
          <w:b/>
          <w:sz w:val="28"/>
          <w:szCs w:val="28"/>
          <w:lang w:val="ro-RO"/>
        </w:rPr>
      </w:pPr>
      <w:r w:rsidRPr="00EE3B40">
        <w:rPr>
          <w:rFonts w:ascii="Times New Roman" w:hAnsi="Times New Roman" w:cs="Times New Roman"/>
          <w:b/>
          <w:sz w:val="28"/>
          <w:szCs w:val="28"/>
          <w:lang w:val="ro-RO"/>
        </w:rPr>
        <w:t>1</w:t>
      </w:r>
      <w:r w:rsidRPr="00EE3B40">
        <w:rPr>
          <w:rFonts w:ascii="Times New Roman" w:hAnsi="Times New Roman" w:cs="Times New Roman"/>
          <w:b/>
          <w:sz w:val="28"/>
          <w:szCs w:val="28"/>
          <w:lang w:val="ro-RO"/>
        </w:rPr>
        <w:tab/>
      </w:r>
      <w:r w:rsidR="006710F7" w:rsidRPr="00EE3B40">
        <w:rPr>
          <w:rFonts w:ascii="Times New Roman" w:hAnsi="Times New Roman" w:cs="Times New Roman"/>
          <w:b/>
          <w:sz w:val="28"/>
          <w:szCs w:val="28"/>
          <w:lang w:val="ro-RO"/>
        </w:rPr>
        <w:t>Context</w:t>
      </w:r>
      <w:r w:rsidR="00643FFA" w:rsidRPr="00EE3B40">
        <w:rPr>
          <w:rFonts w:ascii="Times New Roman" w:hAnsi="Times New Roman" w:cs="Times New Roman"/>
          <w:b/>
          <w:sz w:val="28"/>
          <w:szCs w:val="28"/>
          <w:lang w:val="ro-RO"/>
        </w:rPr>
        <w:t xml:space="preserve">ul elaborării proiectului de document </w:t>
      </w:r>
      <w:r w:rsidR="00D773CF" w:rsidRPr="00EE3B40">
        <w:rPr>
          <w:rFonts w:ascii="Times New Roman" w:hAnsi="Times New Roman" w:cs="Times New Roman"/>
          <w:b/>
          <w:sz w:val="28"/>
          <w:szCs w:val="28"/>
          <w:lang w:val="ro-RO"/>
        </w:rPr>
        <w:t>Hotărârii</w:t>
      </w:r>
      <w:r w:rsidR="000272B9" w:rsidRPr="00EE3B40">
        <w:rPr>
          <w:rFonts w:ascii="Times New Roman" w:hAnsi="Times New Roman" w:cs="Times New Roman"/>
          <w:b/>
          <w:sz w:val="28"/>
          <w:szCs w:val="28"/>
          <w:lang w:val="ro-RO"/>
        </w:rPr>
        <w:t xml:space="preserve"> de Guvern</w:t>
      </w:r>
    </w:p>
    <w:p w:rsidR="009D0320" w:rsidRPr="00EE3B40" w:rsidRDefault="009D0320" w:rsidP="00EE3B40">
      <w:pPr>
        <w:spacing w:after="0" w:line="240" w:lineRule="auto"/>
        <w:ind w:firstLine="567"/>
        <w:jc w:val="both"/>
        <w:rPr>
          <w:rFonts w:ascii="Times New Roman" w:hAnsi="Times New Roman" w:cs="Times New Roman"/>
          <w:sz w:val="28"/>
          <w:szCs w:val="28"/>
          <w:lang w:val="ro-RO"/>
        </w:rPr>
      </w:pPr>
    </w:p>
    <w:p w:rsidR="009D0320" w:rsidRPr="00EE3B40" w:rsidRDefault="009D0320" w:rsidP="00EE3B40">
      <w:pPr>
        <w:spacing w:after="0" w:line="240" w:lineRule="auto"/>
        <w:ind w:firstLine="567"/>
        <w:jc w:val="both"/>
        <w:rPr>
          <w:rFonts w:ascii="Times New Roman" w:hAnsi="Times New Roman" w:cs="Times New Roman"/>
          <w:sz w:val="28"/>
          <w:szCs w:val="28"/>
          <w:lang w:val="ro-RO"/>
        </w:rPr>
      </w:pPr>
      <w:r w:rsidRPr="00EE3B40">
        <w:rPr>
          <w:rFonts w:ascii="Times New Roman" w:hAnsi="Times New Roman" w:cs="Times New Roman"/>
          <w:sz w:val="28"/>
          <w:szCs w:val="28"/>
          <w:lang w:val="ro-RO"/>
        </w:rPr>
        <w:t xml:space="preserve">Clădirilor din Republica Moldova le revin circa 45% în totalul consumului final de energie </w:t>
      </w:r>
      <w:proofErr w:type="spellStart"/>
      <w:r w:rsidRPr="00EE3B40">
        <w:rPr>
          <w:rFonts w:ascii="Times New Roman" w:hAnsi="Times New Roman" w:cs="Times New Roman"/>
          <w:sz w:val="28"/>
          <w:szCs w:val="28"/>
          <w:lang w:val="ro-RO"/>
        </w:rPr>
        <w:t>faţă</w:t>
      </w:r>
      <w:proofErr w:type="spellEnd"/>
      <w:r w:rsidRPr="00EE3B40">
        <w:rPr>
          <w:rFonts w:ascii="Times New Roman" w:hAnsi="Times New Roman" w:cs="Times New Roman"/>
          <w:sz w:val="28"/>
          <w:szCs w:val="28"/>
          <w:lang w:val="ro-RO"/>
        </w:rPr>
        <w:t xml:space="preserve"> de 40% înregistrate în UE. Estimativ, în Republica Moldova, sectorul construcțiilor poate contribui la realizarea unei economii de energie cuprinse între 10 </w:t>
      </w:r>
      <w:proofErr w:type="spellStart"/>
      <w:r w:rsidRPr="00EE3B40">
        <w:rPr>
          <w:rFonts w:ascii="Times New Roman" w:hAnsi="Times New Roman" w:cs="Times New Roman"/>
          <w:sz w:val="28"/>
          <w:szCs w:val="28"/>
          <w:lang w:val="ro-RO"/>
        </w:rPr>
        <w:t>şi</w:t>
      </w:r>
      <w:proofErr w:type="spellEnd"/>
      <w:r w:rsidRPr="00EE3B40">
        <w:rPr>
          <w:rFonts w:ascii="Times New Roman" w:hAnsi="Times New Roman" w:cs="Times New Roman"/>
          <w:sz w:val="28"/>
          <w:szCs w:val="28"/>
          <w:lang w:val="ro-RO"/>
        </w:rPr>
        <w:t xml:space="preserve"> 12% din ținta națională de 20% către anul 2020.</w:t>
      </w:r>
    </w:p>
    <w:p w:rsidR="00AC1DA3" w:rsidRPr="00EE3B40" w:rsidRDefault="009D0320" w:rsidP="00EE3B40">
      <w:pPr>
        <w:spacing w:after="0" w:line="240" w:lineRule="auto"/>
        <w:ind w:firstLine="567"/>
        <w:jc w:val="both"/>
        <w:rPr>
          <w:rFonts w:ascii="Times New Roman" w:hAnsi="Times New Roman" w:cs="Times New Roman"/>
          <w:sz w:val="28"/>
          <w:szCs w:val="28"/>
          <w:lang w:val="ro-RO"/>
        </w:rPr>
      </w:pPr>
      <w:r w:rsidRPr="00EE3B40">
        <w:rPr>
          <w:rFonts w:ascii="Times New Roman" w:hAnsi="Times New Roman" w:cs="Times New Roman"/>
          <w:sz w:val="28"/>
          <w:szCs w:val="28"/>
          <w:lang w:val="ro-RO"/>
        </w:rPr>
        <w:t xml:space="preserve">Aceasta însă necesită eforturi suplimentare </w:t>
      </w:r>
      <w:r w:rsidR="00D773CF" w:rsidRPr="00EE3B40">
        <w:rPr>
          <w:rFonts w:ascii="Times New Roman" w:hAnsi="Times New Roman" w:cs="Times New Roman"/>
          <w:sz w:val="28"/>
          <w:szCs w:val="28"/>
          <w:lang w:val="ro-RO"/>
        </w:rPr>
        <w:t>atât</w:t>
      </w:r>
      <w:r w:rsidRPr="00EE3B40">
        <w:rPr>
          <w:rFonts w:ascii="Times New Roman" w:hAnsi="Times New Roman" w:cs="Times New Roman"/>
          <w:sz w:val="28"/>
          <w:szCs w:val="28"/>
          <w:lang w:val="ro-RO"/>
        </w:rPr>
        <w:t xml:space="preserve"> la nivel legislativ, </w:t>
      </w:r>
      <w:r w:rsidR="00D773CF" w:rsidRPr="00EE3B40">
        <w:rPr>
          <w:rFonts w:ascii="Times New Roman" w:hAnsi="Times New Roman" w:cs="Times New Roman"/>
          <w:sz w:val="28"/>
          <w:szCs w:val="28"/>
          <w:lang w:val="ro-RO"/>
        </w:rPr>
        <w:t>cât</w:t>
      </w:r>
      <w:r w:rsidRPr="00EE3B40">
        <w:rPr>
          <w:rFonts w:ascii="Times New Roman" w:hAnsi="Times New Roman" w:cs="Times New Roman"/>
          <w:sz w:val="28"/>
          <w:szCs w:val="28"/>
          <w:lang w:val="ro-RO"/>
        </w:rPr>
        <w:t xml:space="preserve"> </w:t>
      </w:r>
      <w:proofErr w:type="spellStart"/>
      <w:r w:rsidRPr="00EE3B40">
        <w:rPr>
          <w:rFonts w:ascii="Times New Roman" w:hAnsi="Times New Roman" w:cs="Times New Roman"/>
          <w:sz w:val="28"/>
          <w:szCs w:val="28"/>
          <w:lang w:val="ro-RO"/>
        </w:rPr>
        <w:t>şi</w:t>
      </w:r>
      <w:proofErr w:type="spellEnd"/>
      <w:r w:rsidRPr="00EE3B40">
        <w:rPr>
          <w:rFonts w:ascii="Times New Roman" w:hAnsi="Times New Roman" w:cs="Times New Roman"/>
          <w:sz w:val="28"/>
          <w:szCs w:val="28"/>
          <w:lang w:val="ro-RO"/>
        </w:rPr>
        <w:t xml:space="preserve"> financiar. O mare parte din clădirile existente au vechimea cuprinsă între 20-60 ani, caracteristicile termice ale cărora sunt scăzute. Aproximativ 56% din clădiri au fost construite înainte de anul 1975, iar 2% - după anul 2003 </w:t>
      </w:r>
      <w:r w:rsidR="00D773CF" w:rsidRPr="00EE3B40">
        <w:rPr>
          <w:rFonts w:ascii="Times New Roman" w:hAnsi="Times New Roman" w:cs="Times New Roman"/>
          <w:sz w:val="28"/>
          <w:szCs w:val="28"/>
          <w:lang w:val="ro-RO"/>
        </w:rPr>
        <w:t>când</w:t>
      </w:r>
      <w:r w:rsidRPr="00EE3B40">
        <w:rPr>
          <w:rFonts w:ascii="Times New Roman" w:hAnsi="Times New Roman" w:cs="Times New Roman"/>
          <w:sz w:val="28"/>
          <w:szCs w:val="28"/>
          <w:lang w:val="ro-RO"/>
        </w:rPr>
        <w:t xml:space="preserve"> a fost introdus standardul privind conservarea energiei în clădiri. Raportat la perioada de exploatare a unei clădiri, sectorul este relativ nou, însă dat fiind că clădirile au fost construite în conformitate cu standardele vechi, </w:t>
      </w:r>
      <w:r w:rsidR="00D773CF" w:rsidRPr="00EE3B40">
        <w:rPr>
          <w:rFonts w:ascii="Times New Roman" w:hAnsi="Times New Roman" w:cs="Times New Roman"/>
          <w:sz w:val="28"/>
          <w:szCs w:val="28"/>
          <w:lang w:val="ro-RO"/>
        </w:rPr>
        <w:t>cât</w:t>
      </w:r>
      <w:r w:rsidRPr="00EE3B40">
        <w:rPr>
          <w:rFonts w:ascii="Times New Roman" w:hAnsi="Times New Roman" w:cs="Times New Roman"/>
          <w:sz w:val="28"/>
          <w:szCs w:val="28"/>
          <w:lang w:val="ro-RO"/>
        </w:rPr>
        <w:t xml:space="preserve"> </w:t>
      </w:r>
      <w:proofErr w:type="spellStart"/>
      <w:r w:rsidRPr="00EE3B40">
        <w:rPr>
          <w:rFonts w:ascii="Times New Roman" w:hAnsi="Times New Roman" w:cs="Times New Roman"/>
          <w:sz w:val="28"/>
          <w:szCs w:val="28"/>
          <w:lang w:val="ro-RO"/>
        </w:rPr>
        <w:t>şi</w:t>
      </w:r>
      <w:proofErr w:type="spellEnd"/>
      <w:r w:rsidRPr="00EE3B40">
        <w:rPr>
          <w:rFonts w:ascii="Times New Roman" w:hAnsi="Times New Roman" w:cs="Times New Roman"/>
          <w:sz w:val="28"/>
          <w:szCs w:val="28"/>
          <w:lang w:val="ro-RO"/>
        </w:rPr>
        <w:t xml:space="preserve"> </w:t>
      </w:r>
      <w:r w:rsidR="00D773CF" w:rsidRPr="00EE3B40">
        <w:rPr>
          <w:rFonts w:ascii="Times New Roman" w:hAnsi="Times New Roman" w:cs="Times New Roman"/>
          <w:sz w:val="28"/>
          <w:szCs w:val="28"/>
          <w:lang w:val="ro-RO"/>
        </w:rPr>
        <w:t>luând</w:t>
      </w:r>
      <w:r w:rsidRPr="00EE3B40">
        <w:rPr>
          <w:rFonts w:ascii="Times New Roman" w:hAnsi="Times New Roman" w:cs="Times New Roman"/>
          <w:sz w:val="28"/>
          <w:szCs w:val="28"/>
          <w:lang w:val="ro-RO"/>
        </w:rPr>
        <w:t xml:space="preserve"> în calcul periodicitatea renovărilor acestora, ele </w:t>
      </w:r>
      <w:r w:rsidR="00D773CF" w:rsidRPr="00EE3B40">
        <w:rPr>
          <w:rFonts w:ascii="Times New Roman" w:hAnsi="Times New Roman" w:cs="Times New Roman"/>
          <w:sz w:val="28"/>
          <w:szCs w:val="28"/>
          <w:lang w:val="ro-RO"/>
        </w:rPr>
        <w:t>sunt</w:t>
      </w:r>
      <w:r w:rsidRPr="00EE3B40">
        <w:rPr>
          <w:rFonts w:ascii="Times New Roman" w:hAnsi="Times New Roman" w:cs="Times New Roman"/>
          <w:sz w:val="28"/>
          <w:szCs w:val="28"/>
          <w:lang w:val="ro-RO"/>
        </w:rPr>
        <w:t xml:space="preserve"> pe departe eficiente.</w:t>
      </w:r>
    </w:p>
    <w:p w:rsidR="009D0320" w:rsidRPr="00EE3B40" w:rsidRDefault="009D0320" w:rsidP="00EE3B40">
      <w:pPr>
        <w:spacing w:after="0" w:line="240" w:lineRule="auto"/>
        <w:ind w:firstLine="567"/>
        <w:jc w:val="both"/>
        <w:rPr>
          <w:rFonts w:ascii="Times New Roman" w:hAnsi="Times New Roman" w:cs="Times New Roman"/>
          <w:sz w:val="28"/>
          <w:szCs w:val="28"/>
          <w:lang w:val="ro-RO"/>
        </w:rPr>
      </w:pPr>
      <w:r w:rsidRPr="00EE3B40">
        <w:rPr>
          <w:rFonts w:ascii="Times New Roman" w:hAnsi="Times New Roman" w:cs="Times New Roman"/>
          <w:sz w:val="28"/>
          <w:szCs w:val="28"/>
          <w:lang w:val="ro-RO"/>
        </w:rPr>
        <w:t xml:space="preserve">Toate aceste clădiri reprezintă subiectul Directivei nr. 2010/31/UE a Parlamentului European </w:t>
      </w:r>
      <w:proofErr w:type="spellStart"/>
      <w:r w:rsidRPr="00EE3B40">
        <w:rPr>
          <w:rFonts w:ascii="Times New Roman" w:hAnsi="Times New Roman" w:cs="Times New Roman"/>
          <w:sz w:val="28"/>
          <w:szCs w:val="28"/>
          <w:lang w:val="ro-RO"/>
        </w:rPr>
        <w:t>şi</w:t>
      </w:r>
      <w:proofErr w:type="spellEnd"/>
      <w:r w:rsidRPr="00EE3B40">
        <w:rPr>
          <w:rFonts w:ascii="Times New Roman" w:hAnsi="Times New Roman" w:cs="Times New Roman"/>
          <w:sz w:val="28"/>
          <w:szCs w:val="28"/>
          <w:lang w:val="ro-RO"/>
        </w:rPr>
        <w:t xml:space="preserve"> a Consiliului din 19 mai 2010 privind </w:t>
      </w:r>
      <w:r w:rsidR="00D773CF" w:rsidRPr="00EE3B40">
        <w:rPr>
          <w:rFonts w:ascii="Times New Roman" w:hAnsi="Times New Roman" w:cs="Times New Roman"/>
          <w:sz w:val="28"/>
          <w:szCs w:val="28"/>
          <w:lang w:val="ro-RO"/>
        </w:rPr>
        <w:t>performanța</w:t>
      </w:r>
      <w:r w:rsidRPr="00EE3B40">
        <w:rPr>
          <w:rFonts w:ascii="Times New Roman" w:hAnsi="Times New Roman" w:cs="Times New Roman"/>
          <w:sz w:val="28"/>
          <w:szCs w:val="28"/>
          <w:lang w:val="ro-RO"/>
        </w:rPr>
        <w:t xml:space="preserve"> energetică a clădirilor, publicată în Jurnalul Oficial al Uniunii Europene L 153 din 18 iunie 2010 (EPBD) în Uniunea Europeană, care este un instrument comunitar de bază care îmbină diferite instrumente de reglementare, cum ar fi </w:t>
      </w:r>
      <w:r w:rsidR="00D773CF" w:rsidRPr="00EE3B40">
        <w:rPr>
          <w:rFonts w:ascii="Times New Roman" w:hAnsi="Times New Roman" w:cs="Times New Roman"/>
          <w:sz w:val="28"/>
          <w:szCs w:val="28"/>
          <w:lang w:val="ro-RO"/>
        </w:rPr>
        <w:t>cerințele</w:t>
      </w:r>
      <w:r w:rsidRPr="00EE3B40">
        <w:rPr>
          <w:rFonts w:ascii="Times New Roman" w:hAnsi="Times New Roman" w:cs="Times New Roman"/>
          <w:sz w:val="28"/>
          <w:szCs w:val="28"/>
          <w:lang w:val="ro-RO"/>
        </w:rPr>
        <w:t xml:space="preserve"> minime de </w:t>
      </w:r>
      <w:r w:rsidR="00D773CF" w:rsidRPr="00EE3B40">
        <w:rPr>
          <w:rFonts w:ascii="Times New Roman" w:hAnsi="Times New Roman" w:cs="Times New Roman"/>
          <w:sz w:val="28"/>
          <w:szCs w:val="28"/>
          <w:lang w:val="ro-RO"/>
        </w:rPr>
        <w:t>performanță</w:t>
      </w:r>
      <w:r w:rsidRPr="00EE3B40">
        <w:rPr>
          <w:rFonts w:ascii="Times New Roman" w:hAnsi="Times New Roman" w:cs="Times New Roman"/>
          <w:sz w:val="28"/>
          <w:szCs w:val="28"/>
          <w:lang w:val="ro-RO"/>
        </w:rPr>
        <w:t xml:space="preserve"> energetică </w:t>
      </w:r>
      <w:proofErr w:type="spellStart"/>
      <w:r w:rsidRPr="00EE3B40">
        <w:rPr>
          <w:rFonts w:ascii="Times New Roman" w:hAnsi="Times New Roman" w:cs="Times New Roman"/>
          <w:sz w:val="28"/>
          <w:szCs w:val="28"/>
          <w:lang w:val="ro-RO"/>
        </w:rPr>
        <w:t>şi</w:t>
      </w:r>
      <w:proofErr w:type="spellEnd"/>
      <w:r w:rsidRPr="00EE3B40">
        <w:rPr>
          <w:rFonts w:ascii="Times New Roman" w:hAnsi="Times New Roman" w:cs="Times New Roman"/>
          <w:sz w:val="28"/>
          <w:szCs w:val="28"/>
          <w:lang w:val="ro-RO"/>
        </w:rPr>
        <w:t xml:space="preserve"> instrumente cu caracter informativ, acestea fiind certificatele de </w:t>
      </w:r>
      <w:r w:rsidR="00D773CF" w:rsidRPr="00EE3B40">
        <w:rPr>
          <w:rFonts w:ascii="Times New Roman" w:hAnsi="Times New Roman" w:cs="Times New Roman"/>
          <w:sz w:val="28"/>
          <w:szCs w:val="28"/>
          <w:lang w:val="ro-RO"/>
        </w:rPr>
        <w:t>performanță</w:t>
      </w:r>
      <w:r w:rsidRPr="00EE3B40">
        <w:rPr>
          <w:rFonts w:ascii="Times New Roman" w:hAnsi="Times New Roman" w:cs="Times New Roman"/>
          <w:sz w:val="28"/>
          <w:szCs w:val="28"/>
          <w:lang w:val="ro-RO"/>
        </w:rPr>
        <w:t xml:space="preserve"> energetică a clădirii </w:t>
      </w:r>
      <w:proofErr w:type="spellStart"/>
      <w:r w:rsidRPr="00EE3B40">
        <w:rPr>
          <w:rFonts w:ascii="Times New Roman" w:hAnsi="Times New Roman" w:cs="Times New Roman"/>
          <w:sz w:val="28"/>
          <w:szCs w:val="28"/>
          <w:lang w:val="ro-RO"/>
        </w:rPr>
        <w:t>şi</w:t>
      </w:r>
      <w:proofErr w:type="spellEnd"/>
      <w:r w:rsidRPr="00EE3B40">
        <w:rPr>
          <w:rFonts w:ascii="Times New Roman" w:hAnsi="Times New Roman" w:cs="Times New Roman"/>
          <w:sz w:val="28"/>
          <w:szCs w:val="28"/>
          <w:lang w:val="ro-RO"/>
        </w:rPr>
        <w:t xml:space="preserve"> </w:t>
      </w:r>
      <w:r w:rsidR="00D773CF" w:rsidRPr="00EE3B40">
        <w:rPr>
          <w:rFonts w:ascii="Times New Roman" w:hAnsi="Times New Roman" w:cs="Times New Roman"/>
          <w:sz w:val="28"/>
          <w:szCs w:val="28"/>
          <w:lang w:val="ro-RO"/>
        </w:rPr>
        <w:t>inspecțiile</w:t>
      </w:r>
      <w:r w:rsidRPr="00EE3B40">
        <w:rPr>
          <w:rFonts w:ascii="Times New Roman" w:hAnsi="Times New Roman" w:cs="Times New Roman"/>
          <w:sz w:val="28"/>
          <w:szCs w:val="28"/>
          <w:lang w:val="ro-RO"/>
        </w:rPr>
        <w:t xml:space="preserve"> periodice ale sistemelor de climatizare.</w:t>
      </w:r>
    </w:p>
    <w:p w:rsidR="007D74CB" w:rsidRPr="00EE3B40" w:rsidRDefault="007D74CB" w:rsidP="00EE3B40">
      <w:pPr>
        <w:spacing w:after="0" w:line="240" w:lineRule="auto"/>
        <w:ind w:firstLine="567"/>
        <w:jc w:val="both"/>
        <w:rPr>
          <w:rFonts w:ascii="Times New Roman" w:hAnsi="Times New Roman" w:cs="Times New Roman"/>
          <w:sz w:val="28"/>
          <w:szCs w:val="28"/>
          <w:lang w:val="ro-RO"/>
        </w:rPr>
      </w:pPr>
      <w:r w:rsidRPr="00EE3B40">
        <w:rPr>
          <w:rFonts w:ascii="Times New Roman" w:hAnsi="Times New Roman" w:cs="Times New Roman"/>
          <w:sz w:val="28"/>
          <w:szCs w:val="28"/>
          <w:lang w:val="ro-RO"/>
        </w:rPr>
        <w:t xml:space="preserve">Directiva prevede următoarele </w:t>
      </w:r>
      <w:r w:rsidR="00D773CF" w:rsidRPr="00EE3B40">
        <w:rPr>
          <w:rFonts w:ascii="Times New Roman" w:hAnsi="Times New Roman" w:cs="Times New Roman"/>
          <w:sz w:val="28"/>
          <w:szCs w:val="28"/>
          <w:lang w:val="ro-RO"/>
        </w:rPr>
        <w:t>obligații</w:t>
      </w:r>
      <w:r w:rsidRPr="00EE3B40">
        <w:rPr>
          <w:rFonts w:ascii="Times New Roman" w:hAnsi="Times New Roman" w:cs="Times New Roman"/>
          <w:sz w:val="28"/>
          <w:szCs w:val="28"/>
          <w:lang w:val="ro-RO"/>
        </w:rPr>
        <w:t xml:space="preserve">: </w:t>
      </w:r>
    </w:p>
    <w:p w:rsidR="007D74CB" w:rsidRPr="00EE3B40" w:rsidRDefault="007D74CB" w:rsidP="00EE3B40">
      <w:pPr>
        <w:spacing w:after="0" w:line="240" w:lineRule="auto"/>
        <w:ind w:firstLine="567"/>
        <w:jc w:val="both"/>
        <w:rPr>
          <w:rFonts w:ascii="Times New Roman" w:hAnsi="Times New Roman" w:cs="Times New Roman"/>
          <w:sz w:val="28"/>
          <w:szCs w:val="28"/>
          <w:lang w:val="ro-RO"/>
        </w:rPr>
      </w:pPr>
      <w:r w:rsidRPr="00EE3B40">
        <w:rPr>
          <w:rFonts w:ascii="Times New Roman" w:hAnsi="Times New Roman" w:cs="Times New Roman"/>
          <w:sz w:val="28"/>
          <w:szCs w:val="28"/>
          <w:lang w:val="ro-RO"/>
        </w:rPr>
        <w:t>-</w:t>
      </w:r>
      <w:r w:rsidRPr="00EE3B40">
        <w:rPr>
          <w:rFonts w:ascii="Times New Roman" w:hAnsi="Times New Roman" w:cs="Times New Roman"/>
          <w:sz w:val="28"/>
          <w:szCs w:val="28"/>
          <w:lang w:val="ro-RO"/>
        </w:rPr>
        <w:tab/>
        <w:t xml:space="preserve">stabilirea unor </w:t>
      </w:r>
      <w:r w:rsidR="00D773CF" w:rsidRPr="00EE3B40">
        <w:rPr>
          <w:rFonts w:ascii="Times New Roman" w:hAnsi="Times New Roman" w:cs="Times New Roman"/>
          <w:sz w:val="28"/>
          <w:szCs w:val="28"/>
          <w:lang w:val="ro-RO"/>
        </w:rPr>
        <w:t>cerințe</w:t>
      </w:r>
      <w:r w:rsidRPr="00EE3B40">
        <w:rPr>
          <w:rFonts w:ascii="Times New Roman" w:hAnsi="Times New Roman" w:cs="Times New Roman"/>
          <w:sz w:val="28"/>
          <w:szCs w:val="28"/>
          <w:lang w:val="ro-RO"/>
        </w:rPr>
        <w:t xml:space="preserve"> minime de </w:t>
      </w:r>
      <w:r w:rsidR="00D773CF" w:rsidRPr="00EE3B40">
        <w:rPr>
          <w:rFonts w:ascii="Times New Roman" w:hAnsi="Times New Roman" w:cs="Times New Roman"/>
          <w:sz w:val="28"/>
          <w:szCs w:val="28"/>
          <w:lang w:val="ro-RO"/>
        </w:rPr>
        <w:t>performanță</w:t>
      </w:r>
      <w:r w:rsidRPr="00EE3B40">
        <w:rPr>
          <w:rFonts w:ascii="Times New Roman" w:hAnsi="Times New Roman" w:cs="Times New Roman"/>
          <w:sz w:val="28"/>
          <w:szCs w:val="28"/>
          <w:lang w:val="ro-RO"/>
        </w:rPr>
        <w:t xml:space="preserve"> energetică pentru clădirile noi </w:t>
      </w:r>
      <w:proofErr w:type="spellStart"/>
      <w:r w:rsidRPr="00EE3B40">
        <w:rPr>
          <w:rFonts w:ascii="Times New Roman" w:hAnsi="Times New Roman" w:cs="Times New Roman"/>
          <w:sz w:val="28"/>
          <w:szCs w:val="28"/>
          <w:lang w:val="ro-RO"/>
        </w:rPr>
        <w:t>şi</w:t>
      </w:r>
      <w:proofErr w:type="spellEnd"/>
      <w:r w:rsidRPr="00EE3B40">
        <w:rPr>
          <w:rFonts w:ascii="Times New Roman" w:hAnsi="Times New Roman" w:cs="Times New Roman"/>
          <w:sz w:val="28"/>
          <w:szCs w:val="28"/>
          <w:lang w:val="ro-RO"/>
        </w:rPr>
        <w:t xml:space="preserve"> cele existente supuse unei renovări majore; </w:t>
      </w:r>
    </w:p>
    <w:p w:rsidR="007D74CB" w:rsidRPr="00EE3B40" w:rsidRDefault="007D74CB" w:rsidP="00EE3B40">
      <w:pPr>
        <w:spacing w:after="0" w:line="240" w:lineRule="auto"/>
        <w:ind w:firstLine="567"/>
        <w:jc w:val="both"/>
        <w:rPr>
          <w:rFonts w:ascii="Times New Roman" w:hAnsi="Times New Roman" w:cs="Times New Roman"/>
          <w:sz w:val="28"/>
          <w:szCs w:val="28"/>
          <w:lang w:val="ro-RO"/>
        </w:rPr>
      </w:pPr>
      <w:r w:rsidRPr="00EE3B40">
        <w:rPr>
          <w:rFonts w:ascii="Times New Roman" w:hAnsi="Times New Roman" w:cs="Times New Roman"/>
          <w:sz w:val="28"/>
          <w:szCs w:val="28"/>
          <w:lang w:val="ro-RO"/>
        </w:rPr>
        <w:t>-</w:t>
      </w:r>
      <w:r w:rsidRPr="00EE3B40">
        <w:rPr>
          <w:rFonts w:ascii="Times New Roman" w:hAnsi="Times New Roman" w:cs="Times New Roman"/>
          <w:sz w:val="28"/>
          <w:szCs w:val="28"/>
          <w:lang w:val="ro-RO"/>
        </w:rPr>
        <w:tab/>
        <w:t xml:space="preserve">instituirea unui sistem de certificare a </w:t>
      </w:r>
      <w:r w:rsidR="00D773CF" w:rsidRPr="00EE3B40">
        <w:rPr>
          <w:rFonts w:ascii="Times New Roman" w:hAnsi="Times New Roman" w:cs="Times New Roman"/>
          <w:sz w:val="28"/>
          <w:szCs w:val="28"/>
          <w:lang w:val="ro-RO"/>
        </w:rPr>
        <w:t>performanței</w:t>
      </w:r>
      <w:r w:rsidRPr="00EE3B40">
        <w:rPr>
          <w:rFonts w:ascii="Times New Roman" w:hAnsi="Times New Roman" w:cs="Times New Roman"/>
          <w:sz w:val="28"/>
          <w:szCs w:val="28"/>
          <w:lang w:val="ro-RO"/>
        </w:rPr>
        <w:t xml:space="preserve"> energetice care va oferi </w:t>
      </w:r>
      <w:r w:rsidR="00D773CF" w:rsidRPr="00EE3B40">
        <w:rPr>
          <w:rFonts w:ascii="Times New Roman" w:hAnsi="Times New Roman" w:cs="Times New Roman"/>
          <w:sz w:val="28"/>
          <w:szCs w:val="28"/>
          <w:lang w:val="ro-RO"/>
        </w:rPr>
        <w:t>informații</w:t>
      </w:r>
      <w:r w:rsidRPr="00EE3B40">
        <w:rPr>
          <w:rFonts w:ascii="Times New Roman" w:hAnsi="Times New Roman" w:cs="Times New Roman"/>
          <w:sz w:val="28"/>
          <w:szCs w:val="28"/>
          <w:lang w:val="ro-RO"/>
        </w:rPr>
        <w:t xml:space="preserve"> privind calitatea energetică a unei clădiri, </w:t>
      </w:r>
      <w:r w:rsidR="00D773CF" w:rsidRPr="00EE3B40">
        <w:rPr>
          <w:rFonts w:ascii="Times New Roman" w:hAnsi="Times New Roman" w:cs="Times New Roman"/>
          <w:sz w:val="28"/>
          <w:szCs w:val="28"/>
          <w:lang w:val="ro-RO"/>
        </w:rPr>
        <w:t>cât</w:t>
      </w:r>
      <w:r w:rsidRPr="00EE3B40">
        <w:rPr>
          <w:rFonts w:ascii="Times New Roman" w:hAnsi="Times New Roman" w:cs="Times New Roman"/>
          <w:sz w:val="28"/>
          <w:szCs w:val="28"/>
          <w:lang w:val="ro-RO"/>
        </w:rPr>
        <w:t xml:space="preserve"> </w:t>
      </w:r>
      <w:proofErr w:type="spellStart"/>
      <w:r w:rsidRPr="00EE3B40">
        <w:rPr>
          <w:rFonts w:ascii="Times New Roman" w:hAnsi="Times New Roman" w:cs="Times New Roman"/>
          <w:sz w:val="28"/>
          <w:szCs w:val="28"/>
          <w:lang w:val="ro-RO"/>
        </w:rPr>
        <w:t>şi</w:t>
      </w:r>
      <w:proofErr w:type="spellEnd"/>
      <w:r w:rsidRPr="00EE3B40">
        <w:rPr>
          <w:rFonts w:ascii="Times New Roman" w:hAnsi="Times New Roman" w:cs="Times New Roman"/>
          <w:sz w:val="28"/>
          <w:szCs w:val="28"/>
          <w:lang w:val="ro-RO"/>
        </w:rPr>
        <w:t xml:space="preserve"> </w:t>
      </w:r>
      <w:r w:rsidR="00D773CF" w:rsidRPr="00EE3B40">
        <w:rPr>
          <w:rFonts w:ascii="Times New Roman" w:hAnsi="Times New Roman" w:cs="Times New Roman"/>
          <w:sz w:val="28"/>
          <w:szCs w:val="28"/>
          <w:lang w:val="ro-RO"/>
        </w:rPr>
        <w:t>îmbunătățirile</w:t>
      </w:r>
      <w:r w:rsidRPr="00EE3B40">
        <w:rPr>
          <w:rFonts w:ascii="Times New Roman" w:hAnsi="Times New Roman" w:cs="Times New Roman"/>
          <w:sz w:val="28"/>
          <w:szCs w:val="28"/>
          <w:lang w:val="ro-RO"/>
        </w:rPr>
        <w:t xml:space="preserve"> care pot fi aduse. Certificatele sunt valabile pentru 10 ani </w:t>
      </w:r>
      <w:proofErr w:type="spellStart"/>
      <w:r w:rsidRPr="00EE3B40">
        <w:rPr>
          <w:rFonts w:ascii="Times New Roman" w:hAnsi="Times New Roman" w:cs="Times New Roman"/>
          <w:sz w:val="28"/>
          <w:szCs w:val="28"/>
          <w:lang w:val="ro-RO"/>
        </w:rPr>
        <w:t>şi</w:t>
      </w:r>
      <w:proofErr w:type="spellEnd"/>
      <w:r w:rsidRPr="00EE3B40">
        <w:rPr>
          <w:rFonts w:ascii="Times New Roman" w:hAnsi="Times New Roman" w:cs="Times New Roman"/>
          <w:sz w:val="28"/>
          <w:szCs w:val="28"/>
          <w:lang w:val="ro-RO"/>
        </w:rPr>
        <w:t xml:space="preserve"> trebuie să fie prezentate </w:t>
      </w:r>
      <w:r w:rsidR="00D773CF" w:rsidRPr="00EE3B40">
        <w:rPr>
          <w:rFonts w:ascii="Times New Roman" w:hAnsi="Times New Roman" w:cs="Times New Roman"/>
          <w:sz w:val="28"/>
          <w:szCs w:val="28"/>
          <w:lang w:val="ro-RO"/>
        </w:rPr>
        <w:t>potențialilor</w:t>
      </w:r>
      <w:r w:rsidRPr="00EE3B40">
        <w:rPr>
          <w:rFonts w:ascii="Times New Roman" w:hAnsi="Times New Roman" w:cs="Times New Roman"/>
          <w:sz w:val="28"/>
          <w:szCs w:val="28"/>
          <w:lang w:val="ro-RO"/>
        </w:rPr>
        <w:t xml:space="preserve"> cumpărători/locatari.</w:t>
      </w:r>
    </w:p>
    <w:p w:rsidR="009D0320" w:rsidRPr="00EE3B40" w:rsidRDefault="007D74CB" w:rsidP="00EE3B40">
      <w:pPr>
        <w:spacing w:after="0" w:line="240" w:lineRule="auto"/>
        <w:ind w:firstLine="567"/>
        <w:jc w:val="both"/>
        <w:rPr>
          <w:rFonts w:ascii="Times New Roman" w:hAnsi="Times New Roman" w:cs="Times New Roman"/>
          <w:sz w:val="28"/>
          <w:szCs w:val="28"/>
          <w:lang w:val="ro-RO"/>
        </w:rPr>
      </w:pPr>
      <w:r w:rsidRPr="00EE3B40">
        <w:rPr>
          <w:rFonts w:ascii="Times New Roman" w:hAnsi="Times New Roman" w:cs="Times New Roman"/>
          <w:sz w:val="28"/>
          <w:szCs w:val="28"/>
          <w:lang w:val="ro-RO"/>
        </w:rPr>
        <w:t>-</w:t>
      </w:r>
      <w:r w:rsidRPr="00EE3B40">
        <w:rPr>
          <w:rFonts w:ascii="Times New Roman" w:hAnsi="Times New Roman" w:cs="Times New Roman"/>
          <w:sz w:val="28"/>
          <w:szCs w:val="28"/>
          <w:lang w:val="ro-RO"/>
        </w:rPr>
        <w:tab/>
        <w:t xml:space="preserve">instituirea unui sistem de </w:t>
      </w:r>
      <w:r w:rsidR="00D773CF" w:rsidRPr="00EE3B40">
        <w:rPr>
          <w:rFonts w:ascii="Times New Roman" w:hAnsi="Times New Roman" w:cs="Times New Roman"/>
          <w:sz w:val="28"/>
          <w:szCs w:val="28"/>
          <w:lang w:val="ro-RO"/>
        </w:rPr>
        <w:t>inspecție</w:t>
      </w:r>
      <w:r w:rsidRPr="00EE3B40">
        <w:rPr>
          <w:rFonts w:ascii="Times New Roman" w:hAnsi="Times New Roman" w:cs="Times New Roman"/>
          <w:sz w:val="28"/>
          <w:szCs w:val="28"/>
          <w:lang w:val="ro-RO"/>
        </w:rPr>
        <w:t xml:space="preserve"> periodică a sistemelor de climatizare, </w:t>
      </w:r>
      <w:r w:rsidR="00D773CF" w:rsidRPr="00EE3B40">
        <w:rPr>
          <w:rFonts w:ascii="Times New Roman" w:hAnsi="Times New Roman" w:cs="Times New Roman"/>
          <w:sz w:val="28"/>
          <w:szCs w:val="28"/>
          <w:lang w:val="ro-RO"/>
        </w:rPr>
        <w:t>având</w:t>
      </w:r>
      <w:r w:rsidRPr="00EE3B40">
        <w:rPr>
          <w:rFonts w:ascii="Times New Roman" w:hAnsi="Times New Roman" w:cs="Times New Roman"/>
          <w:sz w:val="28"/>
          <w:szCs w:val="28"/>
          <w:lang w:val="ro-RO"/>
        </w:rPr>
        <w:t xml:space="preserve"> drept scop monitorizarea </w:t>
      </w:r>
      <w:proofErr w:type="spellStart"/>
      <w:r w:rsidRPr="00EE3B40">
        <w:rPr>
          <w:rFonts w:ascii="Times New Roman" w:hAnsi="Times New Roman" w:cs="Times New Roman"/>
          <w:sz w:val="28"/>
          <w:szCs w:val="28"/>
          <w:lang w:val="ro-RO"/>
        </w:rPr>
        <w:t>şi</w:t>
      </w:r>
      <w:proofErr w:type="spellEnd"/>
      <w:r w:rsidRPr="00EE3B40">
        <w:rPr>
          <w:rFonts w:ascii="Times New Roman" w:hAnsi="Times New Roman" w:cs="Times New Roman"/>
          <w:sz w:val="28"/>
          <w:szCs w:val="28"/>
          <w:lang w:val="ro-RO"/>
        </w:rPr>
        <w:t xml:space="preserve"> optimizarea </w:t>
      </w:r>
      <w:r w:rsidR="00D773CF" w:rsidRPr="00EE3B40">
        <w:rPr>
          <w:rFonts w:ascii="Times New Roman" w:hAnsi="Times New Roman" w:cs="Times New Roman"/>
          <w:sz w:val="28"/>
          <w:szCs w:val="28"/>
          <w:lang w:val="ro-RO"/>
        </w:rPr>
        <w:t>performanței</w:t>
      </w:r>
      <w:r w:rsidRPr="00EE3B40">
        <w:rPr>
          <w:rFonts w:ascii="Times New Roman" w:hAnsi="Times New Roman" w:cs="Times New Roman"/>
          <w:sz w:val="28"/>
          <w:szCs w:val="28"/>
          <w:lang w:val="ro-RO"/>
        </w:rPr>
        <w:t xml:space="preserve"> energetice a sistemelor de încălzire </w:t>
      </w:r>
      <w:proofErr w:type="spellStart"/>
      <w:r w:rsidRPr="00EE3B40">
        <w:rPr>
          <w:rFonts w:ascii="Times New Roman" w:hAnsi="Times New Roman" w:cs="Times New Roman"/>
          <w:sz w:val="28"/>
          <w:szCs w:val="28"/>
          <w:lang w:val="ro-RO"/>
        </w:rPr>
        <w:t>şi</w:t>
      </w:r>
      <w:proofErr w:type="spellEnd"/>
      <w:r w:rsidRPr="00EE3B40">
        <w:rPr>
          <w:rFonts w:ascii="Times New Roman" w:hAnsi="Times New Roman" w:cs="Times New Roman"/>
          <w:sz w:val="28"/>
          <w:szCs w:val="28"/>
          <w:lang w:val="ro-RO"/>
        </w:rPr>
        <w:t xml:space="preserve"> de climatizare.</w:t>
      </w:r>
    </w:p>
    <w:p w:rsidR="002A7CF6" w:rsidRPr="00EE3B40" w:rsidRDefault="002A7CF6" w:rsidP="00EE3B40">
      <w:pPr>
        <w:shd w:val="clear" w:color="auto" w:fill="FFFFFF"/>
        <w:spacing w:after="0" w:line="240" w:lineRule="auto"/>
        <w:ind w:firstLine="567"/>
        <w:jc w:val="both"/>
        <w:rPr>
          <w:rFonts w:ascii="Times New Roman" w:hAnsi="Times New Roman" w:cs="Times New Roman"/>
          <w:sz w:val="28"/>
          <w:szCs w:val="28"/>
          <w:lang w:val="ro-RO"/>
        </w:rPr>
      </w:pPr>
      <w:r w:rsidRPr="00EE3B40">
        <w:rPr>
          <w:rFonts w:ascii="Times New Roman" w:hAnsi="Times New Roman" w:cs="Times New Roman"/>
          <w:sz w:val="28"/>
          <w:szCs w:val="28"/>
          <w:lang w:val="ro-RO"/>
        </w:rPr>
        <w:t>Îmbunătățirea performanței energetice a clădirilor reprezintă o prioritate a politicilor publice din Republica Moldova. Necesitatea dezvoltării cadrului normativ în acest domeniu este stabilită în principalele documente de politici naționale:</w:t>
      </w:r>
    </w:p>
    <w:p w:rsidR="002A7CF6" w:rsidRPr="00EE3B40" w:rsidRDefault="002A7CF6" w:rsidP="00EE3B40">
      <w:pPr>
        <w:shd w:val="clear" w:color="auto" w:fill="FFFFFF"/>
        <w:spacing w:after="0" w:line="240" w:lineRule="auto"/>
        <w:ind w:firstLine="567"/>
        <w:jc w:val="both"/>
        <w:rPr>
          <w:rFonts w:ascii="Times New Roman" w:hAnsi="Times New Roman" w:cs="Times New Roman"/>
          <w:bCs/>
          <w:sz w:val="28"/>
          <w:szCs w:val="28"/>
          <w:lang w:val="ro-RO"/>
        </w:rPr>
      </w:pPr>
      <w:r w:rsidRPr="00EE3B40">
        <w:rPr>
          <w:rFonts w:ascii="Times New Roman" w:hAnsi="Times New Roman" w:cs="Times New Roman"/>
          <w:sz w:val="28"/>
          <w:szCs w:val="28"/>
          <w:lang w:val="ro-RO"/>
        </w:rPr>
        <w:t xml:space="preserve">- </w:t>
      </w:r>
      <w:r w:rsidRPr="00EE3B40">
        <w:rPr>
          <w:rFonts w:ascii="Times New Roman" w:hAnsi="Times New Roman" w:cs="Times New Roman"/>
          <w:bCs/>
          <w:sz w:val="28"/>
          <w:szCs w:val="28"/>
          <w:lang w:val="ro-RO"/>
        </w:rPr>
        <w:t xml:space="preserve">Programul </w:t>
      </w:r>
      <w:r w:rsidR="00D773CF" w:rsidRPr="00EE3B40">
        <w:rPr>
          <w:rFonts w:ascii="Times New Roman" w:hAnsi="Times New Roman" w:cs="Times New Roman"/>
          <w:bCs/>
          <w:sz w:val="28"/>
          <w:szCs w:val="28"/>
          <w:lang w:val="ro-RO"/>
        </w:rPr>
        <w:t>național</w:t>
      </w:r>
      <w:r w:rsidRPr="00EE3B40">
        <w:rPr>
          <w:rFonts w:ascii="Times New Roman" w:hAnsi="Times New Roman" w:cs="Times New Roman"/>
          <w:bCs/>
          <w:sz w:val="28"/>
          <w:szCs w:val="28"/>
          <w:lang w:val="ro-RO"/>
        </w:rPr>
        <w:t xml:space="preserve"> pentru </w:t>
      </w:r>
      <w:r w:rsidR="00D773CF" w:rsidRPr="00EE3B40">
        <w:rPr>
          <w:rFonts w:ascii="Times New Roman" w:hAnsi="Times New Roman" w:cs="Times New Roman"/>
          <w:bCs/>
          <w:sz w:val="28"/>
          <w:szCs w:val="28"/>
          <w:lang w:val="ro-RO"/>
        </w:rPr>
        <w:t>eficiență</w:t>
      </w:r>
      <w:r w:rsidRPr="00EE3B40">
        <w:rPr>
          <w:rFonts w:ascii="Times New Roman" w:hAnsi="Times New Roman" w:cs="Times New Roman"/>
          <w:bCs/>
          <w:sz w:val="28"/>
          <w:szCs w:val="28"/>
          <w:lang w:val="ro-RO"/>
        </w:rPr>
        <w:t xml:space="preserve"> energetică 2011-2020, aprobat prin </w:t>
      </w:r>
      <w:r w:rsidR="00D773CF" w:rsidRPr="00EE3B40">
        <w:rPr>
          <w:rFonts w:ascii="Times New Roman" w:hAnsi="Times New Roman" w:cs="Times New Roman"/>
          <w:bCs/>
          <w:sz w:val="28"/>
          <w:szCs w:val="28"/>
          <w:lang w:val="ro-RO"/>
        </w:rPr>
        <w:t>Hotărârea</w:t>
      </w:r>
      <w:r w:rsidRPr="00EE3B40">
        <w:rPr>
          <w:rFonts w:ascii="Times New Roman" w:hAnsi="Times New Roman" w:cs="Times New Roman"/>
          <w:bCs/>
          <w:sz w:val="28"/>
          <w:szCs w:val="28"/>
          <w:lang w:val="ro-RO"/>
        </w:rPr>
        <w:t xml:space="preserve"> Guvernului nr. 833 din 10.11.2011;</w:t>
      </w:r>
    </w:p>
    <w:p w:rsidR="002A7CF6" w:rsidRPr="00EE3B40" w:rsidRDefault="002A7CF6" w:rsidP="00EE3B40">
      <w:pPr>
        <w:shd w:val="clear" w:color="auto" w:fill="FFFFFF"/>
        <w:spacing w:after="0" w:line="240" w:lineRule="auto"/>
        <w:ind w:firstLine="567"/>
        <w:jc w:val="both"/>
        <w:rPr>
          <w:rFonts w:ascii="Times New Roman" w:hAnsi="Times New Roman" w:cs="Times New Roman"/>
          <w:bCs/>
          <w:sz w:val="28"/>
          <w:szCs w:val="28"/>
          <w:lang w:val="ro-RO"/>
        </w:rPr>
      </w:pPr>
      <w:r w:rsidRPr="00EE3B40">
        <w:rPr>
          <w:rFonts w:ascii="Times New Roman" w:hAnsi="Times New Roman" w:cs="Times New Roman"/>
          <w:bCs/>
          <w:sz w:val="28"/>
          <w:szCs w:val="28"/>
          <w:lang w:val="ro-RO"/>
        </w:rPr>
        <w:t xml:space="preserve">- Strategia energetică a Republicii Moldova </w:t>
      </w:r>
      <w:r w:rsidR="00D773CF" w:rsidRPr="00EE3B40">
        <w:rPr>
          <w:rFonts w:ascii="Times New Roman" w:hAnsi="Times New Roman" w:cs="Times New Roman"/>
          <w:bCs/>
          <w:sz w:val="28"/>
          <w:szCs w:val="28"/>
          <w:lang w:val="ro-RO"/>
        </w:rPr>
        <w:t>până</w:t>
      </w:r>
      <w:r w:rsidRPr="00EE3B40">
        <w:rPr>
          <w:rFonts w:ascii="Times New Roman" w:hAnsi="Times New Roman" w:cs="Times New Roman"/>
          <w:bCs/>
          <w:sz w:val="28"/>
          <w:szCs w:val="28"/>
          <w:lang w:val="ro-RO"/>
        </w:rPr>
        <w:t xml:space="preserve"> în anul 2030, aprobată prin </w:t>
      </w:r>
      <w:r w:rsidR="00D773CF" w:rsidRPr="00EE3B40">
        <w:rPr>
          <w:rFonts w:ascii="Times New Roman" w:hAnsi="Times New Roman" w:cs="Times New Roman"/>
          <w:bCs/>
          <w:sz w:val="28"/>
          <w:szCs w:val="28"/>
          <w:lang w:val="ro-RO"/>
        </w:rPr>
        <w:t>Hotărârea</w:t>
      </w:r>
      <w:r w:rsidRPr="00EE3B40">
        <w:rPr>
          <w:rFonts w:ascii="Times New Roman" w:hAnsi="Times New Roman" w:cs="Times New Roman"/>
          <w:bCs/>
          <w:sz w:val="28"/>
          <w:szCs w:val="28"/>
          <w:lang w:val="ro-RO"/>
        </w:rPr>
        <w:t xml:space="preserve"> Guvernului nr. 102 din 05.02.2013;</w:t>
      </w:r>
    </w:p>
    <w:p w:rsidR="002A7CF6" w:rsidRPr="00EE3B40" w:rsidRDefault="002A7CF6" w:rsidP="00EE3B40">
      <w:pPr>
        <w:shd w:val="clear" w:color="auto" w:fill="FFFFFF"/>
        <w:spacing w:after="0" w:line="240" w:lineRule="auto"/>
        <w:ind w:firstLine="567"/>
        <w:jc w:val="both"/>
        <w:rPr>
          <w:rFonts w:ascii="Times New Roman" w:hAnsi="Times New Roman" w:cs="Times New Roman"/>
          <w:sz w:val="28"/>
          <w:szCs w:val="28"/>
          <w:lang w:val="ro-RO"/>
        </w:rPr>
      </w:pPr>
      <w:r w:rsidRPr="00EE3B40">
        <w:rPr>
          <w:rFonts w:ascii="Times New Roman" w:hAnsi="Times New Roman" w:cs="Times New Roman"/>
          <w:sz w:val="28"/>
          <w:szCs w:val="28"/>
          <w:lang w:val="ro-RO"/>
        </w:rPr>
        <w:lastRenderedPageBreak/>
        <w:t xml:space="preserve">Elaborarea </w:t>
      </w:r>
      <w:r w:rsidR="007D74CB" w:rsidRPr="00EE3B40">
        <w:rPr>
          <w:rFonts w:ascii="Times New Roman" w:hAnsi="Times New Roman" w:cs="Times New Roman"/>
          <w:sz w:val="28"/>
          <w:szCs w:val="28"/>
          <w:lang w:val="ro-RO"/>
        </w:rPr>
        <w:t xml:space="preserve">proiectul </w:t>
      </w:r>
      <w:r w:rsidR="00D773CF" w:rsidRPr="00EE3B40">
        <w:rPr>
          <w:rFonts w:ascii="Times New Roman" w:hAnsi="Times New Roman" w:cs="Times New Roman"/>
          <w:sz w:val="28"/>
          <w:szCs w:val="28"/>
          <w:lang w:val="ro-RO"/>
        </w:rPr>
        <w:t>Hotărârii de Guvern „</w:t>
      </w:r>
      <w:r w:rsidR="007D74CB" w:rsidRPr="00EE3B40">
        <w:rPr>
          <w:rFonts w:ascii="Times New Roman" w:hAnsi="Times New Roman" w:cs="Times New Roman"/>
          <w:sz w:val="28"/>
          <w:szCs w:val="28"/>
          <w:lang w:val="ro-RO"/>
        </w:rPr>
        <w:t xml:space="preserve">pentru aprobarea Regulamentului privind inspecția periodică a sistemelor </w:t>
      </w:r>
      <w:r w:rsidR="00D773CF" w:rsidRPr="00EE3B40">
        <w:rPr>
          <w:rFonts w:ascii="Times New Roman" w:hAnsi="Times New Roman" w:cs="Times New Roman"/>
          <w:sz w:val="28"/>
          <w:szCs w:val="28"/>
          <w:lang w:val="ro-RO"/>
        </w:rPr>
        <w:t>climatizare din clădiri”</w:t>
      </w:r>
      <w:r w:rsidR="007D74CB" w:rsidRPr="00EE3B40">
        <w:rPr>
          <w:rFonts w:ascii="Times New Roman" w:hAnsi="Times New Roman" w:cs="Times New Roman"/>
          <w:sz w:val="28"/>
          <w:szCs w:val="28"/>
          <w:lang w:val="ro-RO"/>
        </w:rPr>
        <w:t xml:space="preserve"> </w:t>
      </w:r>
      <w:r w:rsidR="00EE3B40" w:rsidRPr="00EE3B40">
        <w:rPr>
          <w:rFonts w:ascii="Times New Roman" w:hAnsi="Times New Roman" w:cs="Times New Roman"/>
          <w:sz w:val="28"/>
          <w:szCs w:val="28"/>
          <w:lang w:val="ro-RO"/>
        </w:rPr>
        <w:t>se efectuează în temeiul</w:t>
      </w:r>
      <w:r w:rsidRPr="00EE3B40">
        <w:rPr>
          <w:rFonts w:ascii="Times New Roman" w:hAnsi="Times New Roman" w:cs="Times New Roman"/>
          <w:sz w:val="28"/>
          <w:szCs w:val="28"/>
          <w:lang w:val="ro-RO"/>
        </w:rPr>
        <w:t xml:space="preserve"> Planului tematic de elaborare a documentelor normative în </w:t>
      </w:r>
      <w:r w:rsidR="00D773CF" w:rsidRPr="00EE3B40">
        <w:rPr>
          <w:rFonts w:ascii="Times New Roman" w:hAnsi="Times New Roman" w:cs="Times New Roman"/>
          <w:sz w:val="28"/>
          <w:szCs w:val="28"/>
          <w:lang w:val="ro-RO"/>
        </w:rPr>
        <w:t>construcții</w:t>
      </w:r>
      <w:r w:rsidRPr="00EE3B40">
        <w:rPr>
          <w:rFonts w:ascii="Times New Roman" w:hAnsi="Times New Roman" w:cs="Times New Roman"/>
          <w:sz w:val="28"/>
          <w:szCs w:val="28"/>
          <w:lang w:val="ro-RO"/>
        </w:rPr>
        <w:t xml:space="preserve"> pe anul 201</w:t>
      </w:r>
      <w:r w:rsidR="00D773CF" w:rsidRPr="00EE3B40">
        <w:rPr>
          <w:rFonts w:ascii="Times New Roman" w:hAnsi="Times New Roman" w:cs="Times New Roman"/>
          <w:sz w:val="28"/>
          <w:szCs w:val="28"/>
          <w:lang w:val="ro-RO"/>
        </w:rPr>
        <w:t>7</w:t>
      </w:r>
      <w:r w:rsidR="00EE3B40" w:rsidRPr="00EE3B40">
        <w:rPr>
          <w:rFonts w:ascii="Times New Roman" w:hAnsi="Times New Roman" w:cs="Times New Roman"/>
          <w:sz w:val="28"/>
          <w:szCs w:val="28"/>
          <w:lang w:val="ro-RO"/>
        </w:rPr>
        <w:t>.</w:t>
      </w:r>
    </w:p>
    <w:p w:rsidR="00EE3B40" w:rsidRPr="00EE3B40" w:rsidRDefault="00EE3B40" w:rsidP="00EE3B40">
      <w:pPr>
        <w:shd w:val="clear" w:color="auto" w:fill="FFFFFF"/>
        <w:spacing w:after="0" w:line="240" w:lineRule="auto"/>
        <w:ind w:firstLine="567"/>
        <w:jc w:val="both"/>
        <w:rPr>
          <w:rFonts w:ascii="Times New Roman" w:hAnsi="Times New Roman" w:cs="Times New Roman"/>
          <w:sz w:val="28"/>
          <w:szCs w:val="28"/>
          <w:lang w:val="ro-RO"/>
        </w:rPr>
      </w:pPr>
      <w:r w:rsidRPr="00EE3B40">
        <w:rPr>
          <w:rFonts w:ascii="Times New Roman" w:hAnsi="Times New Roman" w:cs="Times New Roman"/>
          <w:sz w:val="28"/>
          <w:szCs w:val="28"/>
          <w:lang w:val="ro-RO"/>
        </w:rPr>
        <w:t xml:space="preserve">În Republica Moldova Directiva Europeană 2010/31/UE este transpusă prin Legea nr. 128 din 11 iulie 2014 privind performanța energetică a clădirilor. Conform art. 9 (3) din Legea nr. 128 din 11 iulie 2014 privind performanța energetică a clădirilor ”Cerințele minime de performanță energetică se stabilesc ținând cont de nivelurile optime, din punctul de vedere al costurilor, calculate în conformitate cu o metodologie elaborată </w:t>
      </w:r>
      <w:proofErr w:type="spellStart"/>
      <w:r w:rsidRPr="00EE3B40">
        <w:rPr>
          <w:rFonts w:ascii="Times New Roman" w:hAnsi="Times New Roman" w:cs="Times New Roman"/>
          <w:sz w:val="28"/>
          <w:szCs w:val="28"/>
          <w:lang w:val="ro-RO"/>
        </w:rPr>
        <w:t>şi</w:t>
      </w:r>
      <w:proofErr w:type="spellEnd"/>
      <w:r w:rsidRPr="00EE3B40">
        <w:rPr>
          <w:rFonts w:ascii="Times New Roman" w:hAnsi="Times New Roman" w:cs="Times New Roman"/>
          <w:sz w:val="28"/>
          <w:szCs w:val="28"/>
          <w:lang w:val="ro-RO"/>
        </w:rPr>
        <w:t xml:space="preserve"> aprobată de organul central de specialitate al administrației publice în economiei și infrastructurii”.</w:t>
      </w:r>
    </w:p>
    <w:p w:rsidR="00EE3B40" w:rsidRPr="00EE3B40" w:rsidRDefault="00EE3B40" w:rsidP="00EE3B40">
      <w:pPr>
        <w:shd w:val="clear" w:color="auto" w:fill="FFFFFF"/>
        <w:spacing w:after="0" w:line="240" w:lineRule="auto"/>
        <w:ind w:firstLine="567"/>
        <w:jc w:val="both"/>
        <w:rPr>
          <w:rFonts w:ascii="Times New Roman" w:hAnsi="Times New Roman" w:cs="Times New Roman"/>
          <w:sz w:val="28"/>
          <w:szCs w:val="28"/>
          <w:lang w:val="ro-RO"/>
        </w:rPr>
      </w:pPr>
      <w:r w:rsidRPr="00EE3B40">
        <w:rPr>
          <w:rFonts w:ascii="Times New Roman" w:hAnsi="Times New Roman" w:cs="Times New Roman"/>
          <w:sz w:val="28"/>
          <w:szCs w:val="28"/>
          <w:lang w:val="ro-RO"/>
        </w:rPr>
        <w:t>Proiectul de Hotărâre de Guvern este elaborat în scopul implementării Legii Nr. 128 din 11 iulie 2014 privind performanța energetică a clădirilor (Monitorul Oficial nr.297-309/609 din 10.10.2014) în aplicarea prevederilor art. 25.</w:t>
      </w:r>
    </w:p>
    <w:p w:rsidR="000C0075" w:rsidRPr="00EE3B40" w:rsidRDefault="000C0075" w:rsidP="00EE3B40">
      <w:pPr>
        <w:spacing w:after="0" w:line="240" w:lineRule="auto"/>
        <w:ind w:firstLine="567"/>
        <w:jc w:val="both"/>
        <w:rPr>
          <w:rFonts w:ascii="Times New Roman" w:hAnsi="Times New Roman" w:cs="Times New Roman"/>
          <w:sz w:val="28"/>
          <w:szCs w:val="28"/>
          <w:lang w:val="ro-RO"/>
        </w:rPr>
      </w:pPr>
    </w:p>
    <w:p w:rsidR="00B07C43" w:rsidRPr="00EE3B40" w:rsidRDefault="00886193" w:rsidP="00EE3B40">
      <w:pPr>
        <w:shd w:val="clear" w:color="auto" w:fill="FFFFFF"/>
        <w:tabs>
          <w:tab w:val="left" w:pos="993"/>
        </w:tabs>
        <w:spacing w:after="0" w:line="240" w:lineRule="auto"/>
        <w:ind w:firstLine="567"/>
        <w:jc w:val="both"/>
        <w:rPr>
          <w:rFonts w:ascii="Times New Roman" w:hAnsi="Times New Roman" w:cs="Times New Roman"/>
          <w:sz w:val="28"/>
          <w:szCs w:val="28"/>
          <w:lang w:val="ro-RO"/>
        </w:rPr>
      </w:pPr>
      <w:r w:rsidRPr="00EE3B40">
        <w:rPr>
          <w:rFonts w:ascii="Times New Roman" w:hAnsi="Times New Roman" w:cs="Times New Roman"/>
          <w:b/>
          <w:sz w:val="28"/>
          <w:szCs w:val="28"/>
          <w:lang w:val="ro-RO"/>
        </w:rPr>
        <w:t>2</w:t>
      </w:r>
      <w:r w:rsidR="00992211" w:rsidRPr="00EE3B40">
        <w:rPr>
          <w:rFonts w:ascii="Times New Roman" w:hAnsi="Times New Roman" w:cs="Times New Roman"/>
          <w:b/>
          <w:sz w:val="28"/>
          <w:szCs w:val="28"/>
          <w:lang w:val="ro-RO"/>
        </w:rPr>
        <w:tab/>
      </w:r>
      <w:r w:rsidR="00940B3E" w:rsidRPr="00EE3B40">
        <w:rPr>
          <w:rFonts w:ascii="Times New Roman" w:hAnsi="Times New Roman" w:cs="Times New Roman"/>
          <w:b/>
          <w:sz w:val="28"/>
          <w:szCs w:val="28"/>
          <w:lang w:val="ro-RO"/>
        </w:rPr>
        <w:t>Scopurile</w:t>
      </w:r>
      <w:r w:rsidR="00B07C43" w:rsidRPr="00EE3B40">
        <w:rPr>
          <w:rFonts w:ascii="Times New Roman" w:hAnsi="Times New Roman" w:cs="Times New Roman"/>
          <w:b/>
          <w:sz w:val="28"/>
          <w:szCs w:val="28"/>
          <w:lang w:val="ro-RO"/>
        </w:rPr>
        <w:t xml:space="preserve"> elabor</w:t>
      </w:r>
      <w:r w:rsidR="00940B3E" w:rsidRPr="00EE3B40">
        <w:rPr>
          <w:rFonts w:ascii="Times New Roman" w:hAnsi="Times New Roman" w:cs="Times New Roman"/>
          <w:b/>
          <w:sz w:val="28"/>
          <w:szCs w:val="28"/>
          <w:lang w:val="ro-RO"/>
        </w:rPr>
        <w:t xml:space="preserve">ării </w:t>
      </w:r>
      <w:r w:rsidR="00C25272" w:rsidRPr="00EE3B40">
        <w:rPr>
          <w:rFonts w:ascii="Times New Roman" w:hAnsi="Times New Roman" w:cs="Times New Roman"/>
          <w:b/>
          <w:sz w:val="28"/>
          <w:szCs w:val="28"/>
          <w:lang w:val="ro-RO"/>
        </w:rPr>
        <w:t>Hotărârii</w:t>
      </w:r>
      <w:r w:rsidR="000272B9" w:rsidRPr="00EE3B40">
        <w:rPr>
          <w:rFonts w:ascii="Times New Roman" w:hAnsi="Times New Roman" w:cs="Times New Roman"/>
          <w:b/>
          <w:sz w:val="28"/>
          <w:szCs w:val="28"/>
          <w:lang w:val="ro-RO"/>
        </w:rPr>
        <w:t xml:space="preserve"> de Guvern</w:t>
      </w:r>
    </w:p>
    <w:p w:rsidR="00B07C43" w:rsidRPr="00EE3B40" w:rsidRDefault="00B07C43" w:rsidP="00EE3B40">
      <w:pPr>
        <w:shd w:val="clear" w:color="auto" w:fill="FFFFFF"/>
        <w:spacing w:after="0" w:line="240" w:lineRule="auto"/>
        <w:ind w:firstLine="567"/>
        <w:jc w:val="both"/>
        <w:rPr>
          <w:rFonts w:ascii="Times New Roman" w:hAnsi="Times New Roman" w:cs="Times New Roman"/>
          <w:sz w:val="28"/>
          <w:szCs w:val="28"/>
          <w:lang w:val="ro-RO"/>
        </w:rPr>
      </w:pPr>
    </w:p>
    <w:p w:rsidR="00C25272" w:rsidRPr="00EE3B40" w:rsidRDefault="002F6216" w:rsidP="00EE3B40">
      <w:pPr>
        <w:shd w:val="clear" w:color="auto" w:fill="FFFFFF"/>
        <w:spacing w:after="0" w:line="240" w:lineRule="auto"/>
        <w:ind w:firstLine="567"/>
        <w:jc w:val="both"/>
        <w:rPr>
          <w:rFonts w:ascii="Times New Roman" w:hAnsi="Times New Roman" w:cs="Times New Roman"/>
          <w:sz w:val="28"/>
          <w:szCs w:val="28"/>
          <w:lang w:val="ro-RO"/>
        </w:rPr>
      </w:pPr>
      <w:r w:rsidRPr="00EE3B40">
        <w:rPr>
          <w:rFonts w:ascii="Times New Roman" w:hAnsi="Times New Roman" w:cs="Times New Roman"/>
          <w:sz w:val="28"/>
          <w:szCs w:val="28"/>
          <w:lang w:val="ro-RO"/>
        </w:rPr>
        <w:t xml:space="preserve">Directiva Europeană 2010/31/UE </w:t>
      </w:r>
      <w:r w:rsidR="00197ACE" w:rsidRPr="00EE3B40">
        <w:rPr>
          <w:rFonts w:ascii="Times New Roman" w:hAnsi="Times New Roman" w:cs="Times New Roman"/>
          <w:sz w:val="28"/>
          <w:szCs w:val="28"/>
          <w:lang w:val="ro-RO"/>
        </w:rPr>
        <w:t xml:space="preserve">din 19 mai 2010 </w:t>
      </w:r>
      <w:r w:rsidRPr="00EE3B40">
        <w:rPr>
          <w:rFonts w:ascii="Times New Roman" w:hAnsi="Times New Roman" w:cs="Times New Roman"/>
          <w:sz w:val="28"/>
          <w:szCs w:val="28"/>
          <w:lang w:val="ro-RO"/>
        </w:rPr>
        <w:t xml:space="preserve">privind performanța energetică a clădirilor </w:t>
      </w:r>
      <w:r w:rsidR="00197ACE" w:rsidRPr="00EE3B40">
        <w:rPr>
          <w:rFonts w:ascii="Times New Roman" w:hAnsi="Times New Roman" w:cs="Times New Roman"/>
          <w:sz w:val="28"/>
          <w:szCs w:val="28"/>
          <w:lang w:val="ro-RO"/>
        </w:rPr>
        <w:t xml:space="preserve">prevede </w:t>
      </w:r>
      <w:r w:rsidR="00CE7559" w:rsidRPr="00EE3B40">
        <w:rPr>
          <w:rFonts w:ascii="Times New Roman" w:hAnsi="Times New Roman" w:cs="Times New Roman"/>
          <w:sz w:val="28"/>
          <w:szCs w:val="28"/>
          <w:lang w:val="ro-RO"/>
        </w:rPr>
        <w:t xml:space="preserve">că statele membre trebuie să </w:t>
      </w:r>
      <w:r w:rsidRPr="00EE3B40">
        <w:rPr>
          <w:rFonts w:ascii="Times New Roman" w:hAnsi="Times New Roman" w:cs="Times New Roman"/>
          <w:sz w:val="28"/>
          <w:szCs w:val="28"/>
          <w:lang w:val="ro-RO"/>
        </w:rPr>
        <w:t xml:space="preserve">stabilească cerințele minime de performanță energetică pentru clădiri și elementele acestora. Cerințele trebuie să fie stabilite în vederea atingerii unor niveluri optime din punctul de vedere al costurilor. Este la latitudinea statelor membre să decidă dacă referința utilizată la nivel național ca și rezultat final al calculelor nivelurilor optime din punctul de vedere al costurilor este cea calculată din perspectivă macroeconomică (luând în considerare costurile și beneficiile investițiilor pentru eficiență energetică pentru societate în ansamblul ei) sau cea calculată din punct de vedere strict financiar (luând în calcul numai investiția ca atare). </w:t>
      </w:r>
    </w:p>
    <w:p w:rsidR="002F6216" w:rsidRPr="00EE3B40" w:rsidRDefault="002F6216" w:rsidP="00EE3B40">
      <w:pPr>
        <w:shd w:val="clear" w:color="auto" w:fill="FFFFFF"/>
        <w:spacing w:after="0" w:line="240" w:lineRule="auto"/>
        <w:ind w:firstLine="567"/>
        <w:jc w:val="both"/>
        <w:rPr>
          <w:rFonts w:ascii="Times New Roman" w:hAnsi="Times New Roman" w:cs="Times New Roman"/>
          <w:sz w:val="28"/>
          <w:szCs w:val="28"/>
          <w:lang w:val="ro-RO"/>
        </w:rPr>
      </w:pPr>
      <w:r w:rsidRPr="00EE3B40">
        <w:rPr>
          <w:rFonts w:ascii="Times New Roman" w:hAnsi="Times New Roman" w:cs="Times New Roman"/>
          <w:sz w:val="28"/>
          <w:szCs w:val="28"/>
          <w:lang w:val="ro-RO"/>
        </w:rPr>
        <w:t>Cerințele minime de performanță energetică la nivel național nu trebuie să fie mai mici cu mai mult de 15 % decât rezultatul calculelor nivelurilor optime din punctul de vedere al costurilor, considerat ca fiind referința la nivel național. Nivelul optim din punctul de vedere al costurilor trebuie să se situeze în intervalul nivelurilor de performanță pentru care analiza cost-beneficiu a ciclului de viață este pozitivă.</w:t>
      </w:r>
    </w:p>
    <w:p w:rsidR="002F6216" w:rsidRPr="00EE3B40" w:rsidRDefault="00EE3B40" w:rsidP="00EE3B40">
      <w:pPr>
        <w:shd w:val="clear" w:color="auto" w:fill="FFFFFF"/>
        <w:spacing w:after="0" w:line="240" w:lineRule="auto"/>
        <w:ind w:firstLine="567"/>
        <w:jc w:val="both"/>
        <w:rPr>
          <w:rFonts w:ascii="Times New Roman" w:hAnsi="Times New Roman" w:cs="Times New Roman"/>
          <w:sz w:val="28"/>
          <w:szCs w:val="28"/>
          <w:lang w:val="ro-RO"/>
        </w:rPr>
      </w:pPr>
      <w:r w:rsidRPr="00EE3B40">
        <w:rPr>
          <w:rFonts w:ascii="Times New Roman" w:hAnsi="Times New Roman" w:cs="Times New Roman"/>
          <w:sz w:val="28"/>
          <w:szCs w:val="28"/>
          <w:lang w:val="ro-RO"/>
        </w:rPr>
        <w:t xml:space="preserve">Prin proiectul Hotărârii de Guvern se instituie un nou instrument în domeniul eficienței energetice a clădirilor – inspecția periodică a sistemelor de climatizare din clădiri, care are drept scop determinarea eficienței energetice a sistemelor inspectate </w:t>
      </w:r>
      <w:proofErr w:type="spellStart"/>
      <w:r w:rsidRPr="00EE3B40">
        <w:rPr>
          <w:rFonts w:ascii="Times New Roman" w:hAnsi="Times New Roman" w:cs="Times New Roman"/>
          <w:sz w:val="28"/>
          <w:szCs w:val="28"/>
          <w:lang w:val="ro-RO"/>
        </w:rPr>
        <w:t>şi</w:t>
      </w:r>
      <w:proofErr w:type="spellEnd"/>
      <w:r w:rsidRPr="00EE3B40">
        <w:rPr>
          <w:rFonts w:ascii="Times New Roman" w:hAnsi="Times New Roman" w:cs="Times New Roman"/>
          <w:sz w:val="28"/>
          <w:szCs w:val="28"/>
          <w:lang w:val="ro-RO"/>
        </w:rPr>
        <w:t xml:space="preserve"> elaborarea recomandărilor fezabile privind îmbunătățirea eficienței energetice a acestor sisteme. Inspecției periodice vor fi supuse sistemele de climatizare cu o putere nominală utilă mai mare de 12 kW.</w:t>
      </w:r>
    </w:p>
    <w:p w:rsidR="00EE3B40" w:rsidRPr="00EE3B40" w:rsidRDefault="00EE3B40" w:rsidP="00EE3B40">
      <w:pPr>
        <w:shd w:val="clear" w:color="auto" w:fill="FFFFFF"/>
        <w:spacing w:after="0" w:line="240" w:lineRule="auto"/>
        <w:ind w:firstLine="567"/>
        <w:jc w:val="both"/>
        <w:rPr>
          <w:rFonts w:ascii="Times New Roman" w:hAnsi="Times New Roman" w:cs="Times New Roman"/>
          <w:sz w:val="28"/>
          <w:szCs w:val="28"/>
          <w:lang w:val="ro-RO"/>
        </w:rPr>
      </w:pPr>
      <w:r w:rsidRPr="00EE3B40">
        <w:rPr>
          <w:rFonts w:ascii="Times New Roman" w:hAnsi="Times New Roman" w:cs="Times New Roman"/>
          <w:sz w:val="28"/>
          <w:szCs w:val="28"/>
          <w:lang w:val="ro-RO"/>
        </w:rPr>
        <w:t xml:space="preserve">Proiectul Hotărârii de Guvern este un instrument operativ destinat experților tehnici de specialitate (inspectorilor sistemelor de climatizare), care vor realiza inspecția periodică a instalațiilor de climatizare, în conformitate cu prevederile Directivei 31/2010/UE, precum și a Legii Nr. 128 din 11 iulie 2014 </w:t>
      </w:r>
      <w:r w:rsidRPr="00EE3B40">
        <w:rPr>
          <w:rFonts w:ascii="Times New Roman" w:hAnsi="Times New Roman" w:cs="Times New Roman"/>
          <w:sz w:val="28"/>
          <w:szCs w:val="28"/>
          <w:lang w:val="ro-RO"/>
        </w:rPr>
        <w:lastRenderedPageBreak/>
        <w:t>privind performanța energetică a clădirilor. Aceste documente prevăd inspecția periodică a sistemelor de climatizare cu puterea nominală de peste 12 kW, la intervale de 5 ani.</w:t>
      </w:r>
    </w:p>
    <w:p w:rsidR="00732DEE" w:rsidRDefault="00EE3B40" w:rsidP="00EE3B40">
      <w:pPr>
        <w:shd w:val="clear" w:color="auto" w:fill="FFFFFF"/>
        <w:spacing w:after="0" w:line="240" w:lineRule="auto"/>
        <w:ind w:firstLine="567"/>
        <w:jc w:val="both"/>
        <w:rPr>
          <w:rFonts w:ascii="Times New Roman" w:hAnsi="Times New Roman" w:cs="Times New Roman"/>
          <w:sz w:val="28"/>
          <w:szCs w:val="28"/>
          <w:lang w:val="ro-RO"/>
        </w:rPr>
      </w:pPr>
      <w:r w:rsidRPr="00EE3B40">
        <w:rPr>
          <w:rFonts w:ascii="Times New Roman" w:hAnsi="Times New Roman" w:cs="Times New Roman"/>
          <w:sz w:val="28"/>
          <w:szCs w:val="28"/>
          <w:lang w:val="ro-RO"/>
        </w:rPr>
        <w:t>Puterea de 12 kW se va considera ca putere de răcire a unui sistem centralizat de climatizare care deservește, după caz, o clădire, mai multe clădiri sau zone din clădire, exclusiv apartamentele din blocurile de locuințe.</w:t>
      </w:r>
    </w:p>
    <w:p w:rsidR="00EE3B40" w:rsidRPr="00EE3B40" w:rsidRDefault="00EE3B40" w:rsidP="00EE3B40">
      <w:pPr>
        <w:shd w:val="clear" w:color="auto" w:fill="FFFFFF"/>
        <w:spacing w:after="0" w:line="240" w:lineRule="auto"/>
        <w:ind w:firstLine="567"/>
        <w:jc w:val="both"/>
        <w:rPr>
          <w:rFonts w:ascii="Times New Roman" w:hAnsi="Times New Roman" w:cs="Times New Roman"/>
          <w:sz w:val="28"/>
          <w:szCs w:val="28"/>
          <w:lang w:val="ro-RO"/>
        </w:rPr>
      </w:pPr>
    </w:p>
    <w:p w:rsidR="007629EA" w:rsidRPr="00EE3B40" w:rsidRDefault="00DE09FF" w:rsidP="00EE3B40">
      <w:pPr>
        <w:shd w:val="clear" w:color="auto" w:fill="FFFFFF"/>
        <w:tabs>
          <w:tab w:val="left" w:pos="993"/>
        </w:tabs>
        <w:spacing w:after="0" w:line="240" w:lineRule="auto"/>
        <w:ind w:firstLine="567"/>
        <w:jc w:val="both"/>
        <w:rPr>
          <w:rFonts w:ascii="Times New Roman" w:hAnsi="Times New Roman" w:cs="Times New Roman"/>
          <w:b/>
          <w:sz w:val="28"/>
          <w:szCs w:val="28"/>
          <w:lang w:val="ro-RO"/>
        </w:rPr>
      </w:pPr>
      <w:r w:rsidRPr="00EE3B40">
        <w:rPr>
          <w:rFonts w:ascii="Times New Roman" w:hAnsi="Times New Roman" w:cs="Times New Roman"/>
          <w:b/>
          <w:sz w:val="28"/>
          <w:szCs w:val="28"/>
          <w:lang w:val="ro-RO"/>
        </w:rPr>
        <w:t>3</w:t>
      </w:r>
      <w:r w:rsidRPr="00EE3B40">
        <w:rPr>
          <w:rFonts w:ascii="Times New Roman" w:hAnsi="Times New Roman" w:cs="Times New Roman"/>
          <w:b/>
          <w:sz w:val="28"/>
          <w:szCs w:val="28"/>
          <w:lang w:val="ro-RO"/>
        </w:rPr>
        <w:tab/>
      </w:r>
      <w:r w:rsidR="007629EA" w:rsidRPr="00EE3B40">
        <w:rPr>
          <w:rFonts w:ascii="Times New Roman" w:hAnsi="Times New Roman" w:cs="Times New Roman"/>
          <w:b/>
          <w:sz w:val="28"/>
          <w:szCs w:val="28"/>
          <w:lang w:val="ro-RO"/>
        </w:rPr>
        <w:t xml:space="preserve">Fundamentarea proiectului </w:t>
      </w:r>
      <w:r w:rsidR="00C25272" w:rsidRPr="00EE3B40">
        <w:rPr>
          <w:rFonts w:ascii="Times New Roman" w:hAnsi="Times New Roman" w:cs="Times New Roman"/>
          <w:b/>
          <w:sz w:val="28"/>
          <w:szCs w:val="28"/>
          <w:lang w:val="ro-RO"/>
        </w:rPr>
        <w:t>Hotărârii</w:t>
      </w:r>
      <w:r w:rsidR="000272B9" w:rsidRPr="00EE3B40">
        <w:rPr>
          <w:rFonts w:ascii="Times New Roman" w:hAnsi="Times New Roman" w:cs="Times New Roman"/>
          <w:b/>
          <w:sz w:val="28"/>
          <w:szCs w:val="28"/>
          <w:lang w:val="ro-RO"/>
        </w:rPr>
        <w:t xml:space="preserve"> de Guvern</w:t>
      </w:r>
    </w:p>
    <w:p w:rsidR="007629EA" w:rsidRPr="00EE3B40" w:rsidRDefault="007629EA" w:rsidP="00EE3B40">
      <w:pPr>
        <w:shd w:val="clear" w:color="auto" w:fill="FFFFFF"/>
        <w:spacing w:after="0" w:line="240" w:lineRule="auto"/>
        <w:ind w:firstLine="567"/>
        <w:jc w:val="both"/>
        <w:rPr>
          <w:rFonts w:ascii="Times New Roman" w:hAnsi="Times New Roman" w:cs="Times New Roman"/>
          <w:sz w:val="28"/>
          <w:szCs w:val="28"/>
          <w:lang w:val="ro-RO"/>
        </w:rPr>
      </w:pPr>
    </w:p>
    <w:p w:rsidR="00B66740" w:rsidRPr="00EE3B40" w:rsidRDefault="00E74DA3" w:rsidP="00EE3B40">
      <w:pPr>
        <w:shd w:val="clear" w:color="auto" w:fill="FFFFFF"/>
        <w:spacing w:after="0" w:line="240" w:lineRule="auto"/>
        <w:ind w:firstLine="567"/>
        <w:jc w:val="both"/>
        <w:rPr>
          <w:rFonts w:ascii="Times New Roman" w:hAnsi="Times New Roman" w:cs="Times New Roman"/>
          <w:sz w:val="28"/>
          <w:szCs w:val="28"/>
          <w:lang w:val="ro-RO"/>
        </w:rPr>
      </w:pPr>
      <w:r w:rsidRPr="00EE3B40">
        <w:rPr>
          <w:rFonts w:ascii="Times New Roman" w:hAnsi="Times New Roman" w:cs="Times New Roman"/>
          <w:sz w:val="28"/>
          <w:szCs w:val="28"/>
          <w:lang w:val="ro-RO"/>
        </w:rPr>
        <w:t xml:space="preserve">Proiectul </w:t>
      </w:r>
      <w:r w:rsidR="00C25272" w:rsidRPr="00EE3B40">
        <w:rPr>
          <w:rFonts w:ascii="Times New Roman" w:hAnsi="Times New Roman" w:cs="Times New Roman"/>
          <w:sz w:val="28"/>
          <w:szCs w:val="28"/>
          <w:lang w:val="ro-RO"/>
        </w:rPr>
        <w:t>Hotărârii</w:t>
      </w:r>
      <w:r w:rsidR="000272B9" w:rsidRPr="00EE3B40">
        <w:rPr>
          <w:rFonts w:ascii="Times New Roman" w:hAnsi="Times New Roman" w:cs="Times New Roman"/>
          <w:sz w:val="28"/>
          <w:szCs w:val="28"/>
          <w:lang w:val="ro-RO"/>
        </w:rPr>
        <w:t xml:space="preserve"> de Guvern</w:t>
      </w:r>
      <w:r w:rsidRPr="00EE3B40">
        <w:rPr>
          <w:rFonts w:ascii="Times New Roman" w:hAnsi="Times New Roman" w:cs="Times New Roman"/>
          <w:sz w:val="28"/>
          <w:szCs w:val="28"/>
          <w:lang w:val="ro-RO"/>
        </w:rPr>
        <w:t xml:space="preserve"> </w:t>
      </w:r>
      <w:r w:rsidR="00295C19" w:rsidRPr="00EE3B40">
        <w:rPr>
          <w:rFonts w:ascii="Times New Roman" w:hAnsi="Times New Roman" w:cs="Times New Roman"/>
          <w:sz w:val="28"/>
          <w:szCs w:val="28"/>
          <w:lang w:val="ro-RO"/>
        </w:rPr>
        <w:t>este elaborat în conformitate cu următoarele acte normative ale Uniunii Europene:</w:t>
      </w:r>
    </w:p>
    <w:p w:rsidR="00295C19" w:rsidRPr="00EE3B40" w:rsidRDefault="000272B9" w:rsidP="00EE3B40">
      <w:pPr>
        <w:shd w:val="clear" w:color="auto" w:fill="FFFFFF"/>
        <w:spacing w:after="0" w:line="240" w:lineRule="auto"/>
        <w:ind w:firstLine="567"/>
        <w:jc w:val="both"/>
        <w:rPr>
          <w:rFonts w:ascii="Times New Roman" w:hAnsi="Times New Roman" w:cs="Times New Roman"/>
          <w:sz w:val="28"/>
          <w:szCs w:val="28"/>
          <w:lang w:val="ro-RO"/>
        </w:rPr>
      </w:pPr>
      <w:r w:rsidRPr="00EE3B40">
        <w:rPr>
          <w:rFonts w:ascii="Times New Roman" w:hAnsi="Times New Roman" w:cs="Times New Roman"/>
          <w:sz w:val="28"/>
          <w:szCs w:val="28"/>
          <w:lang w:val="ro-RO"/>
        </w:rPr>
        <w:t>-</w:t>
      </w:r>
      <w:r w:rsidR="00295C19" w:rsidRPr="00EE3B40">
        <w:rPr>
          <w:rFonts w:ascii="Times New Roman" w:hAnsi="Times New Roman" w:cs="Times New Roman"/>
          <w:sz w:val="28"/>
          <w:szCs w:val="28"/>
          <w:lang w:val="ro-RO"/>
        </w:rPr>
        <w:t xml:space="preserve"> Directiva Europeană 2010/31/UE din 19 mai 2010 privind performanța energetică a clădirilor</w:t>
      </w:r>
      <w:r w:rsidR="006A71FD" w:rsidRPr="00EE3B40">
        <w:rPr>
          <w:rFonts w:ascii="Times New Roman" w:hAnsi="Times New Roman" w:cs="Times New Roman"/>
          <w:sz w:val="28"/>
          <w:szCs w:val="28"/>
          <w:lang w:val="ro-RO"/>
        </w:rPr>
        <w:t>;</w:t>
      </w:r>
    </w:p>
    <w:p w:rsidR="000272B9" w:rsidRPr="00EE3B40" w:rsidRDefault="000272B9" w:rsidP="00EE3B40">
      <w:pPr>
        <w:shd w:val="clear" w:color="auto" w:fill="FFFFFF"/>
        <w:spacing w:after="0" w:line="240" w:lineRule="auto"/>
        <w:ind w:firstLine="567"/>
        <w:jc w:val="both"/>
        <w:rPr>
          <w:rFonts w:ascii="Times New Roman" w:hAnsi="Times New Roman" w:cs="Times New Roman"/>
          <w:sz w:val="28"/>
          <w:szCs w:val="28"/>
          <w:lang w:val="ro-RO"/>
        </w:rPr>
      </w:pPr>
      <w:r w:rsidRPr="00EE3B40">
        <w:rPr>
          <w:rFonts w:ascii="Times New Roman" w:hAnsi="Times New Roman" w:cs="Times New Roman"/>
          <w:sz w:val="28"/>
          <w:szCs w:val="28"/>
          <w:lang w:val="ro-RO"/>
        </w:rPr>
        <w:t>- Legea nr. 128 din 11 iulie 2014 privind performanța energetică a clădirilor;</w:t>
      </w:r>
    </w:p>
    <w:p w:rsidR="00C250CF" w:rsidRPr="00EE3B40" w:rsidRDefault="000272B9" w:rsidP="00EE3B40">
      <w:pPr>
        <w:shd w:val="clear" w:color="auto" w:fill="FFFFFF"/>
        <w:spacing w:after="0" w:line="240" w:lineRule="auto"/>
        <w:ind w:firstLine="567"/>
        <w:jc w:val="both"/>
        <w:rPr>
          <w:rFonts w:ascii="Times New Roman" w:hAnsi="Times New Roman" w:cs="Times New Roman"/>
          <w:bCs/>
          <w:sz w:val="28"/>
          <w:szCs w:val="28"/>
          <w:lang w:val="ro-RO"/>
        </w:rPr>
      </w:pPr>
      <w:r w:rsidRPr="00EE3B40">
        <w:rPr>
          <w:rFonts w:ascii="Times New Roman" w:hAnsi="Times New Roman" w:cs="Times New Roman"/>
          <w:sz w:val="28"/>
          <w:szCs w:val="28"/>
          <w:lang w:val="ro-RO"/>
        </w:rPr>
        <w:t>-</w:t>
      </w:r>
      <w:r w:rsidR="006A71FD" w:rsidRPr="00EE3B40">
        <w:rPr>
          <w:rFonts w:ascii="Times New Roman" w:hAnsi="Times New Roman" w:cs="Times New Roman"/>
          <w:sz w:val="28"/>
          <w:szCs w:val="28"/>
          <w:lang w:val="ro-RO"/>
        </w:rPr>
        <w:t xml:space="preserve"> </w:t>
      </w:r>
      <w:r w:rsidR="00C250CF" w:rsidRPr="00EE3B40">
        <w:rPr>
          <w:rFonts w:ascii="Times New Roman" w:hAnsi="Times New Roman" w:cs="Times New Roman"/>
          <w:bCs/>
          <w:sz w:val="28"/>
          <w:szCs w:val="28"/>
          <w:lang w:val="ro-RO"/>
        </w:rPr>
        <w:t>Regulamentul delegat (UE) nr. 244/2012 al Comisiei din 16 ianuarie 2012 de completare a Directivei 2010/31/UE a Parlamentului European și a Consiliului privind performanța energetică a clădirilor prin stabilirea unui cadru metodologic comparativ de calcul al nivelurilor optime, din punctul de vedere al costurilor, ale cerințelor minime de performanță energetică a clădirilor și a elementelor acestora;</w:t>
      </w:r>
    </w:p>
    <w:p w:rsidR="00BB4364" w:rsidRPr="00EE3B40" w:rsidRDefault="000272B9" w:rsidP="00EE3B40">
      <w:pPr>
        <w:shd w:val="clear" w:color="auto" w:fill="FFFFFF"/>
        <w:spacing w:after="0" w:line="240" w:lineRule="auto"/>
        <w:ind w:firstLine="567"/>
        <w:jc w:val="both"/>
        <w:rPr>
          <w:rFonts w:ascii="Times New Roman" w:hAnsi="Times New Roman" w:cs="Times New Roman"/>
          <w:bCs/>
          <w:sz w:val="28"/>
          <w:szCs w:val="28"/>
          <w:lang w:val="ro-RO"/>
        </w:rPr>
      </w:pPr>
      <w:r w:rsidRPr="00EE3B40">
        <w:rPr>
          <w:rFonts w:ascii="Times New Roman" w:hAnsi="Times New Roman" w:cs="Times New Roman"/>
          <w:bCs/>
          <w:sz w:val="28"/>
          <w:szCs w:val="28"/>
          <w:lang w:val="ro-RO"/>
        </w:rPr>
        <w:t>-</w:t>
      </w:r>
      <w:r w:rsidR="00C250CF" w:rsidRPr="00EE3B40">
        <w:rPr>
          <w:rFonts w:ascii="Times New Roman" w:hAnsi="Times New Roman" w:cs="Times New Roman"/>
          <w:bCs/>
          <w:sz w:val="28"/>
          <w:szCs w:val="28"/>
          <w:lang w:val="ro-RO"/>
        </w:rPr>
        <w:t xml:space="preserve"> </w:t>
      </w:r>
      <w:r w:rsidR="00BB4364" w:rsidRPr="00EE3B40">
        <w:rPr>
          <w:rFonts w:ascii="Times New Roman" w:hAnsi="Times New Roman" w:cs="Times New Roman"/>
          <w:bCs/>
          <w:sz w:val="28"/>
          <w:szCs w:val="28"/>
          <w:lang w:val="ro-RO"/>
        </w:rPr>
        <w:t>Orientări privind Regulamentul delegat (UE) nr. 244/2012 al Comisiei din 16 ianuarie 2012 de completare a Directivei 2010/31/UE a Parlamentului European și a Consiliului privind performanța energetică a clădirilor prin stabilirea unui cadru metodologic comparativ de calcul al nivelurilor optime, din punctul de vedere al costurilor, ale cerințelor minime de performanță energetică a clădirilor și a elementelor acestora.</w:t>
      </w:r>
    </w:p>
    <w:p w:rsidR="000B4D35" w:rsidRPr="00EE3B40" w:rsidRDefault="000B4D35" w:rsidP="00EE3B40">
      <w:pPr>
        <w:spacing w:after="0" w:line="240" w:lineRule="auto"/>
        <w:ind w:firstLine="567"/>
        <w:jc w:val="both"/>
        <w:rPr>
          <w:rFonts w:ascii="Times New Roman" w:hAnsi="Times New Roman" w:cs="Times New Roman"/>
          <w:sz w:val="28"/>
          <w:szCs w:val="28"/>
          <w:lang w:val="ro-RO"/>
        </w:rPr>
      </w:pPr>
      <w:r w:rsidRPr="00EE3B40">
        <w:rPr>
          <w:rFonts w:ascii="Times New Roman" w:hAnsi="Times New Roman" w:cs="Times New Roman"/>
          <w:sz w:val="28"/>
          <w:szCs w:val="28"/>
          <w:lang w:val="ro-RO"/>
        </w:rPr>
        <w:t>Directiva 2010/31/UE promovează reducerea consumului de energie în mediul construit, subliniind, de asemenea, faptul că sectorul construcțiilor este una dintre principalele surse de emisii de dioxid de carbon.</w:t>
      </w:r>
    </w:p>
    <w:p w:rsidR="00C25272" w:rsidRPr="00EE3B40" w:rsidRDefault="000B4D35" w:rsidP="00EE3B40">
      <w:pPr>
        <w:spacing w:after="0" w:line="240" w:lineRule="auto"/>
        <w:ind w:firstLine="567"/>
        <w:jc w:val="both"/>
        <w:rPr>
          <w:rFonts w:ascii="Times New Roman" w:hAnsi="Times New Roman" w:cs="Times New Roman"/>
          <w:sz w:val="28"/>
          <w:szCs w:val="28"/>
          <w:lang w:val="ro-RO"/>
        </w:rPr>
      </w:pPr>
      <w:r w:rsidRPr="00EE3B40">
        <w:rPr>
          <w:rFonts w:ascii="Times New Roman" w:hAnsi="Times New Roman" w:cs="Times New Roman"/>
          <w:sz w:val="28"/>
          <w:szCs w:val="28"/>
          <w:lang w:val="ro-RO"/>
        </w:rPr>
        <w:t xml:space="preserve">Directiva 2009/125/CE a Parlamentului European și a Consiliului din 21 octombrie 2009 de instituire a unui cadru pentru stabilirea cerințelor în materie de proiectare ecologică aplicabile produselor cu impact energetic prevede instituirea unor cerințe minime de performanță energetică pentru astfel de produse. </w:t>
      </w:r>
    </w:p>
    <w:p w:rsidR="000B4D35" w:rsidRPr="00EE3B40" w:rsidRDefault="000B4D35" w:rsidP="00EE3B40">
      <w:pPr>
        <w:spacing w:after="0" w:line="240" w:lineRule="auto"/>
        <w:ind w:firstLine="567"/>
        <w:jc w:val="both"/>
        <w:rPr>
          <w:rFonts w:ascii="Times New Roman" w:hAnsi="Times New Roman" w:cs="Times New Roman"/>
          <w:sz w:val="28"/>
          <w:szCs w:val="28"/>
          <w:lang w:val="ro-RO"/>
        </w:rPr>
      </w:pPr>
      <w:r w:rsidRPr="00EE3B40">
        <w:rPr>
          <w:rFonts w:ascii="Times New Roman" w:hAnsi="Times New Roman" w:cs="Times New Roman"/>
          <w:sz w:val="28"/>
          <w:szCs w:val="28"/>
          <w:lang w:val="ro-RO"/>
        </w:rPr>
        <w:t>La stabilirea cerințelor naționale pentru sistemele tehnice ale clădirilor, statele membre trebuie să țină seama de măsurile de punere în aplicare stabilite în temeiul directivei respective. Performanțele produselor pentru construcții care urmează a fi utilizate pentru calcule în conformitate cu prezentul regulament trebuie să fie determinate în conformitate cu dispozițiile Regulamentului (UE) nr. 305/2011 al Parlamentului European și al Consiliului din 9 martie 2011 de stabilire a unor condiții armonizate pentru comercializarea produselor pentru construcții și de abrogare a Directivei 89/106/CEE a Consiliului.</w:t>
      </w:r>
    </w:p>
    <w:p w:rsidR="000B4D35" w:rsidRPr="00EE3B40" w:rsidRDefault="000B4D35" w:rsidP="00EE3B40">
      <w:pPr>
        <w:spacing w:after="0" w:line="240" w:lineRule="auto"/>
        <w:ind w:firstLine="567"/>
        <w:jc w:val="both"/>
        <w:rPr>
          <w:rFonts w:ascii="Times New Roman" w:hAnsi="Times New Roman" w:cs="Times New Roman"/>
          <w:sz w:val="28"/>
          <w:szCs w:val="28"/>
          <w:lang w:val="ro-RO"/>
        </w:rPr>
      </w:pPr>
      <w:r w:rsidRPr="00EE3B40">
        <w:rPr>
          <w:rFonts w:ascii="Times New Roman" w:hAnsi="Times New Roman" w:cs="Times New Roman"/>
          <w:sz w:val="28"/>
          <w:szCs w:val="28"/>
          <w:lang w:val="ro-RO"/>
        </w:rPr>
        <w:t xml:space="preserve">Obiectivul nivelurilor eficiente sau optime, din punctul de vedere al costurilor, ale performanței energetice poate, în anumite circumstanțe, să </w:t>
      </w:r>
      <w:r w:rsidRPr="00EE3B40">
        <w:rPr>
          <w:rFonts w:ascii="Times New Roman" w:hAnsi="Times New Roman" w:cs="Times New Roman"/>
          <w:sz w:val="28"/>
          <w:szCs w:val="28"/>
          <w:lang w:val="ro-RO"/>
        </w:rPr>
        <w:lastRenderedPageBreak/>
        <w:t>justifice stabilirea de către statele membre a unor cerințe privind nivelul eficient sau optim din punctul de vedere al costurilor pentru elementele clădirii care, în practică, ar ridica obstacole în privința unor soluții de proiectare a clădirilor sau opțiuni tehnice, dar ar stimula utilizarea unor produse cu impact energetic cu performanțe energetice mai bune.</w:t>
      </w:r>
    </w:p>
    <w:p w:rsidR="000B4D35" w:rsidRPr="00EE3B40" w:rsidRDefault="000B4D35" w:rsidP="00EE3B40">
      <w:pPr>
        <w:spacing w:after="0" w:line="240" w:lineRule="auto"/>
        <w:ind w:firstLine="567"/>
        <w:jc w:val="both"/>
        <w:rPr>
          <w:rFonts w:ascii="Times New Roman" w:hAnsi="Times New Roman" w:cs="Times New Roman"/>
          <w:sz w:val="28"/>
          <w:szCs w:val="28"/>
          <w:lang w:val="ro-RO"/>
        </w:rPr>
      </w:pPr>
      <w:r w:rsidRPr="00EE3B40">
        <w:rPr>
          <w:rFonts w:ascii="Times New Roman" w:hAnsi="Times New Roman" w:cs="Times New Roman"/>
          <w:sz w:val="28"/>
          <w:szCs w:val="28"/>
          <w:lang w:val="ro-RO"/>
        </w:rPr>
        <w:t>Etapele care alcătuiesc cadrul metodologic comparativ au fost stabilite în anexa III la Directiva 2010/31/UE și includ stabilirea unor clădiri de referință, definiția măsurilor de eficiență energetică care urmează să fie aplicate clădirilor de referință, evaluarea necesarului de energie primară pentru aceste măsuri și calculul costurilor măsurilor respective (și anume valoarea actualizată netă).</w:t>
      </w:r>
    </w:p>
    <w:p w:rsidR="000B4D35" w:rsidRPr="00EE3B40" w:rsidRDefault="000B4D35" w:rsidP="00EE3B40">
      <w:pPr>
        <w:spacing w:after="0" w:line="240" w:lineRule="auto"/>
        <w:ind w:firstLine="567"/>
        <w:jc w:val="both"/>
        <w:rPr>
          <w:rFonts w:ascii="Times New Roman" w:hAnsi="Times New Roman" w:cs="Times New Roman"/>
          <w:sz w:val="28"/>
          <w:szCs w:val="28"/>
          <w:lang w:val="ro-RO"/>
        </w:rPr>
      </w:pPr>
      <w:r w:rsidRPr="00EE3B40">
        <w:rPr>
          <w:rFonts w:ascii="Times New Roman" w:hAnsi="Times New Roman" w:cs="Times New Roman"/>
          <w:sz w:val="28"/>
          <w:szCs w:val="28"/>
          <w:lang w:val="ro-RO"/>
        </w:rPr>
        <w:t>Cadrul comun de calcul al performanței energetice stabilit în anexa I la Directiva 2010/31/UE se aplică, de asemenea, cadrului metodologic de calcul al nivelurilor optime din punctul de vedere al costurilor în toate etapele acestuia, în special în etapa de calcul al performanței energetice a clădirilor și a elementelor acestora.</w:t>
      </w:r>
    </w:p>
    <w:p w:rsidR="000B4D35" w:rsidRPr="00EE3B40" w:rsidRDefault="000B4D35" w:rsidP="00EE3B40">
      <w:pPr>
        <w:spacing w:after="0" w:line="240" w:lineRule="auto"/>
        <w:ind w:firstLine="567"/>
        <w:jc w:val="both"/>
        <w:rPr>
          <w:rFonts w:ascii="Times New Roman" w:hAnsi="Times New Roman" w:cs="Times New Roman"/>
          <w:sz w:val="28"/>
          <w:szCs w:val="28"/>
          <w:lang w:val="ro-RO"/>
        </w:rPr>
      </w:pPr>
      <w:r w:rsidRPr="00EE3B40">
        <w:rPr>
          <w:rFonts w:ascii="Times New Roman" w:hAnsi="Times New Roman" w:cs="Times New Roman"/>
          <w:sz w:val="28"/>
          <w:szCs w:val="28"/>
          <w:lang w:val="ro-RO"/>
        </w:rPr>
        <w:t>În scopul adaptării cadrului metodologic comparativ la circumstanțele naționale, statele membre trebuie să determine ciclul de viață economică estimat al clădirilor și/sau al elementelor acestora, costul corespunzător pentru vectorii energetici, produse, sisteme, întreținere, costurile operaționale și costurile forței de muncă, factorii de conversie în energie primară, precum și evoluția estimată a prețului la energie pentru combustibilii utilizați în contextul lor național pentru producerea energiei utilizate în imobile, ținând seama de informațiile furnizate de Comisie. De asemenea, statele membre trebuie să stabilească ratele de actualizare care vor fi utilizate la calculul din perspectivă macroeconomică și la cel din perspectivă financiară, după efectuarea analizei de sensibilitate cu cel puțin două rate ale dobânzii pentru fiecare calcul.</w:t>
      </w:r>
    </w:p>
    <w:p w:rsidR="000B4D35" w:rsidRPr="00EE3B40" w:rsidRDefault="000B4D35" w:rsidP="00EE3B40">
      <w:pPr>
        <w:spacing w:after="0" w:line="240" w:lineRule="auto"/>
        <w:ind w:firstLine="567"/>
        <w:jc w:val="both"/>
        <w:rPr>
          <w:rFonts w:ascii="Times New Roman" w:hAnsi="Times New Roman" w:cs="Times New Roman"/>
          <w:sz w:val="28"/>
          <w:szCs w:val="28"/>
          <w:lang w:val="ro-RO"/>
        </w:rPr>
      </w:pPr>
      <w:r w:rsidRPr="00EE3B40">
        <w:rPr>
          <w:rFonts w:ascii="Times New Roman" w:hAnsi="Times New Roman" w:cs="Times New Roman"/>
          <w:sz w:val="28"/>
          <w:szCs w:val="28"/>
          <w:lang w:val="ro-RO"/>
        </w:rPr>
        <w:t>Pentru a asigura o abordare comună în aplicarea cadrului metodologic comparativ de către statele membre, este necesară stabilirea de către Comisie a condițiilor cadru cheie necesare pentru calcularea valorii actualizate nete, cum ar fi anul de începere a calculului, categoriile de costuri care trebuie luate în considerare și perioada de calcul care urmează să fie utilizată.</w:t>
      </w:r>
    </w:p>
    <w:p w:rsidR="000B4D35" w:rsidRPr="00EE3B40" w:rsidRDefault="000B4D35" w:rsidP="00EE3B40">
      <w:pPr>
        <w:spacing w:after="0" w:line="240" w:lineRule="auto"/>
        <w:ind w:firstLine="567"/>
        <w:jc w:val="both"/>
        <w:rPr>
          <w:rFonts w:ascii="Times New Roman" w:hAnsi="Times New Roman" w:cs="Times New Roman"/>
          <w:sz w:val="28"/>
          <w:szCs w:val="28"/>
          <w:lang w:val="ro-RO"/>
        </w:rPr>
      </w:pPr>
      <w:r w:rsidRPr="00EE3B40">
        <w:rPr>
          <w:rFonts w:ascii="Times New Roman" w:hAnsi="Times New Roman" w:cs="Times New Roman"/>
          <w:sz w:val="28"/>
          <w:szCs w:val="28"/>
          <w:lang w:val="ro-RO"/>
        </w:rPr>
        <w:t>Stabilirea unei perioade de calcul comune nu intră în conflict cu dreptul statelor membre de a stabili ciclul de viață economică estimat al clădirilor și/sau al elementelor acestora, întrucât aceasta poate fi atât mai lungă, cât și mai scurtă decât perioada de calcul stabilită. Ciclul de viață economică estimat al unei clădiri sau al unui element al acesteia are doar o influență limitată asupra perioadei de calcul, deoarece aceasta din urmă este determinată mai degrabă de ciclul de renovare a unei clădiri, reprezentând perioada de timp după care o clădire este supusă unei renovări majore.</w:t>
      </w:r>
    </w:p>
    <w:p w:rsidR="000B4D35" w:rsidRPr="00EE3B40" w:rsidRDefault="000B4D35" w:rsidP="00EE3B40">
      <w:pPr>
        <w:spacing w:after="0" w:line="240" w:lineRule="auto"/>
        <w:ind w:firstLine="567"/>
        <w:jc w:val="both"/>
        <w:rPr>
          <w:rFonts w:ascii="Times New Roman" w:hAnsi="Times New Roman" w:cs="Times New Roman"/>
          <w:sz w:val="28"/>
          <w:szCs w:val="28"/>
          <w:lang w:val="ro-RO"/>
        </w:rPr>
      </w:pPr>
      <w:r w:rsidRPr="00EE3B40">
        <w:rPr>
          <w:rFonts w:ascii="Times New Roman" w:hAnsi="Times New Roman" w:cs="Times New Roman"/>
          <w:sz w:val="28"/>
          <w:szCs w:val="28"/>
          <w:lang w:val="ro-RO"/>
        </w:rPr>
        <w:t xml:space="preserve">Calculele costurilor și proiecțiile cu multe ipoteze și incertitudini, inclusiv, de exemplu, evoluția prețurilor la energie de-a lungul timpului, sunt, în general, însoțite de o analiză de sensibilitate pentru a evalua soliditatea parametrilor de intrare cheie. În scopul calculării nivelurilor optime din punctul de vedere al costurilor, analiza de sensibilitate trebuie să abordeze cel puțin evoluția prețurilor energiei, precum și rata de actualizare, ideal fiind ca analiza de </w:t>
      </w:r>
      <w:r w:rsidRPr="00EE3B40">
        <w:rPr>
          <w:rFonts w:ascii="Times New Roman" w:hAnsi="Times New Roman" w:cs="Times New Roman"/>
          <w:sz w:val="28"/>
          <w:szCs w:val="28"/>
          <w:lang w:val="ro-RO"/>
        </w:rPr>
        <w:lastRenderedPageBreak/>
        <w:t>sensibilitate să cuprindă de asemenea evoluțiile viitoare ale prețurilor pentru tehnologii ca date de intrare pentru revizuirea calculelor.</w:t>
      </w:r>
    </w:p>
    <w:p w:rsidR="000B4D35" w:rsidRPr="00EE3B40" w:rsidRDefault="000B4D35" w:rsidP="00EE3B40">
      <w:pPr>
        <w:spacing w:after="0" w:line="240" w:lineRule="auto"/>
        <w:ind w:firstLine="567"/>
        <w:jc w:val="both"/>
        <w:rPr>
          <w:rFonts w:ascii="Times New Roman" w:hAnsi="Times New Roman" w:cs="Times New Roman"/>
          <w:sz w:val="28"/>
          <w:szCs w:val="28"/>
          <w:lang w:val="ro-RO"/>
        </w:rPr>
      </w:pPr>
      <w:r w:rsidRPr="00EE3B40">
        <w:rPr>
          <w:rFonts w:ascii="Times New Roman" w:hAnsi="Times New Roman" w:cs="Times New Roman"/>
          <w:sz w:val="28"/>
          <w:szCs w:val="28"/>
          <w:lang w:val="ro-RO"/>
        </w:rPr>
        <w:t>Cadrul metodologic comparativ trebuie să permită statelor membre să compare rezultatele calculelor nivelurilor optime din punctul de vedere al costurilor cu cerințele minime de performanță energetică în vigoare și să utilizeze rezultatul comparației pentru a se asigura că cerințele minime de performanță energetică sunt stabilite în vederea realizării nivelurilor optime din punctul de vedere al costurilor. Statele membre trebuie să ia în considerare, de asemenea, stabilirea unor cerințe minime de performanță energetică la nivelurile optime din punctul de vedere al costurilor pentru categoriile de clădiri pentru care nu există încă cerințe minime de performanță energetică.</w:t>
      </w:r>
    </w:p>
    <w:p w:rsidR="000B4D35" w:rsidRPr="00EE3B40" w:rsidRDefault="000B4D35" w:rsidP="00EE3B40">
      <w:pPr>
        <w:spacing w:after="0" w:line="240" w:lineRule="auto"/>
        <w:ind w:firstLine="567"/>
        <w:jc w:val="both"/>
        <w:rPr>
          <w:rFonts w:ascii="Times New Roman" w:hAnsi="Times New Roman" w:cs="Times New Roman"/>
          <w:sz w:val="28"/>
          <w:szCs w:val="28"/>
          <w:lang w:val="ro-RO"/>
        </w:rPr>
      </w:pPr>
      <w:r w:rsidRPr="00EE3B40">
        <w:rPr>
          <w:rFonts w:ascii="Times New Roman" w:hAnsi="Times New Roman" w:cs="Times New Roman"/>
          <w:sz w:val="28"/>
          <w:szCs w:val="28"/>
          <w:lang w:val="ro-RO"/>
        </w:rPr>
        <w:t>Metodologia costului optim este neutră din punct de vedere tehnologic și nu favorizează o soluție tehnologică în defav</w:t>
      </w:r>
      <w:bookmarkStart w:id="0" w:name="_GoBack"/>
      <w:bookmarkEnd w:id="0"/>
      <w:r w:rsidRPr="00EE3B40">
        <w:rPr>
          <w:rFonts w:ascii="Times New Roman" w:hAnsi="Times New Roman" w:cs="Times New Roman"/>
          <w:sz w:val="28"/>
          <w:szCs w:val="28"/>
          <w:lang w:val="ro-RO"/>
        </w:rPr>
        <w:t>oarea alteia. Acesta asigură o concurență a măsurilor/pachetelor/variantelor pe durata de viață estimată a unei clădiri sau a unui element al acesteia.</w:t>
      </w:r>
    </w:p>
    <w:p w:rsidR="000B4D35" w:rsidRPr="00EE3B40" w:rsidRDefault="000B4D35" w:rsidP="00EE3B40">
      <w:pPr>
        <w:spacing w:after="0" w:line="240" w:lineRule="auto"/>
        <w:ind w:firstLine="567"/>
        <w:jc w:val="both"/>
        <w:rPr>
          <w:rFonts w:ascii="Times New Roman" w:hAnsi="Times New Roman" w:cs="Times New Roman"/>
          <w:sz w:val="28"/>
          <w:szCs w:val="28"/>
          <w:lang w:val="ro-RO"/>
        </w:rPr>
      </w:pPr>
      <w:r w:rsidRPr="00EE3B40">
        <w:rPr>
          <w:rFonts w:ascii="Times New Roman" w:hAnsi="Times New Roman" w:cs="Times New Roman"/>
          <w:sz w:val="28"/>
          <w:szCs w:val="28"/>
          <w:lang w:val="ro-RO"/>
        </w:rPr>
        <w:t>Rezultatele calculelor, precum și datele de intrare și ipotezele utilizate trebuie raportate Comisiei astfel cum este prevăzut la articolul 5 alineatul (2) din Directiva 2010/31/UE. Rapoartele trebuie să permită Comisiei să evalueze și să raporteze cu privire la progresele realizate de statele membre în vederea atingerii nivelurilor optime, din punctul de vedere al costurilor, ale cerințelor minime de performanță energetică.</w:t>
      </w:r>
    </w:p>
    <w:p w:rsidR="000B4D35" w:rsidRDefault="000B4D35" w:rsidP="00EE3B40">
      <w:pPr>
        <w:spacing w:after="0" w:line="240" w:lineRule="auto"/>
        <w:ind w:firstLine="567"/>
        <w:jc w:val="both"/>
        <w:rPr>
          <w:rFonts w:ascii="Times New Roman" w:hAnsi="Times New Roman" w:cs="Times New Roman"/>
          <w:sz w:val="28"/>
          <w:szCs w:val="28"/>
          <w:lang w:val="ro-RO"/>
        </w:rPr>
      </w:pPr>
      <w:r w:rsidRPr="00EE3B40">
        <w:rPr>
          <w:rFonts w:ascii="Times New Roman" w:hAnsi="Times New Roman" w:cs="Times New Roman"/>
          <w:sz w:val="28"/>
          <w:szCs w:val="28"/>
          <w:lang w:val="ro-RO"/>
        </w:rPr>
        <w:t>Pentru a limita sarcina administrativă a statelor membre, trebuie ca acestea să aibă posibilitatea de a reduce numărul de calcule prin stabilirea unor clădiri de referință care sunt reprezentative pentru mai multe categorii de clădiri, fără a se aduce atingere obligației statelor membre în temeiul Directivei 2010/31/UE de a stabili cerințele minime de performanță energetică pentr</w:t>
      </w:r>
      <w:r w:rsidR="00EE3B40" w:rsidRPr="00EE3B40">
        <w:rPr>
          <w:rFonts w:ascii="Times New Roman" w:hAnsi="Times New Roman" w:cs="Times New Roman"/>
          <w:sz w:val="28"/>
          <w:szCs w:val="28"/>
          <w:lang w:val="ro-RO"/>
        </w:rPr>
        <w:t>u anumite categorii de clădiri.</w:t>
      </w:r>
    </w:p>
    <w:p w:rsidR="00EE3B40" w:rsidRDefault="00EE3B40" w:rsidP="00EE3B40">
      <w:pPr>
        <w:spacing w:after="0" w:line="240" w:lineRule="auto"/>
        <w:ind w:firstLine="567"/>
        <w:jc w:val="both"/>
        <w:rPr>
          <w:rFonts w:ascii="Times New Roman" w:hAnsi="Times New Roman" w:cs="Times New Roman"/>
          <w:sz w:val="28"/>
          <w:szCs w:val="28"/>
          <w:lang w:val="ro-RO"/>
        </w:rPr>
      </w:pPr>
      <w:r w:rsidRPr="00EE3B40">
        <w:rPr>
          <w:rFonts w:ascii="Times New Roman" w:hAnsi="Times New Roman" w:cs="Times New Roman"/>
          <w:sz w:val="28"/>
          <w:szCs w:val="28"/>
          <w:lang w:val="ro-RO"/>
        </w:rPr>
        <w:t xml:space="preserve">Proiectul Hotărârii de Guvern stabilește procedurile de inspecție </w:t>
      </w:r>
      <w:proofErr w:type="spellStart"/>
      <w:r w:rsidRPr="00EE3B40">
        <w:rPr>
          <w:rFonts w:ascii="Times New Roman" w:hAnsi="Times New Roman" w:cs="Times New Roman"/>
          <w:sz w:val="28"/>
          <w:szCs w:val="28"/>
          <w:lang w:val="ro-RO"/>
        </w:rPr>
        <w:t>şi</w:t>
      </w:r>
      <w:proofErr w:type="spellEnd"/>
      <w:r w:rsidRPr="00EE3B40">
        <w:rPr>
          <w:rFonts w:ascii="Times New Roman" w:hAnsi="Times New Roman" w:cs="Times New Roman"/>
          <w:sz w:val="28"/>
          <w:szCs w:val="28"/>
          <w:lang w:val="ro-RO"/>
        </w:rPr>
        <w:t xml:space="preserve"> evaluarea energetică a sistemelor de climatizare existente în clădiri, periodicitatea </w:t>
      </w:r>
      <w:proofErr w:type="spellStart"/>
      <w:r w:rsidRPr="00EE3B40">
        <w:rPr>
          <w:rFonts w:ascii="Times New Roman" w:hAnsi="Times New Roman" w:cs="Times New Roman"/>
          <w:sz w:val="28"/>
          <w:szCs w:val="28"/>
          <w:lang w:val="ro-RO"/>
        </w:rPr>
        <w:t>şi</w:t>
      </w:r>
      <w:proofErr w:type="spellEnd"/>
      <w:r w:rsidRPr="00EE3B40">
        <w:rPr>
          <w:rFonts w:ascii="Times New Roman" w:hAnsi="Times New Roman" w:cs="Times New Roman"/>
          <w:sz w:val="28"/>
          <w:szCs w:val="28"/>
          <w:lang w:val="ro-RO"/>
        </w:rPr>
        <w:t xml:space="preserve"> modul de efectuare a inspecțiilor periodice ale sistemelor de climatizare, termenul după expirarea căruia trebuie să fie efectuată prima inspecție a sistemului de climatizare, precum și forma, conținutul, modul de întocmire </w:t>
      </w:r>
      <w:proofErr w:type="spellStart"/>
      <w:r w:rsidRPr="00EE3B40">
        <w:rPr>
          <w:rFonts w:ascii="Times New Roman" w:hAnsi="Times New Roman" w:cs="Times New Roman"/>
          <w:sz w:val="28"/>
          <w:szCs w:val="28"/>
          <w:lang w:val="ro-RO"/>
        </w:rPr>
        <w:t>şi</w:t>
      </w:r>
      <w:proofErr w:type="spellEnd"/>
      <w:r w:rsidRPr="00EE3B40">
        <w:rPr>
          <w:rFonts w:ascii="Times New Roman" w:hAnsi="Times New Roman" w:cs="Times New Roman"/>
          <w:sz w:val="28"/>
          <w:szCs w:val="28"/>
          <w:lang w:val="ro-RO"/>
        </w:rPr>
        <w:t xml:space="preserve"> de înregistrare a rapoartelor de inspecție periodică a sistemelor de climatizare.</w:t>
      </w:r>
    </w:p>
    <w:p w:rsidR="00EE3B40" w:rsidRDefault="00EE3B40" w:rsidP="00EE3B40">
      <w:pPr>
        <w:spacing w:after="0" w:line="240" w:lineRule="auto"/>
        <w:ind w:firstLine="567"/>
        <w:jc w:val="both"/>
        <w:rPr>
          <w:rFonts w:ascii="Times New Roman" w:hAnsi="Times New Roman" w:cs="Times New Roman"/>
          <w:sz w:val="28"/>
          <w:szCs w:val="28"/>
          <w:lang w:val="ro-RO"/>
        </w:rPr>
      </w:pPr>
      <w:r w:rsidRPr="00EE3B40">
        <w:rPr>
          <w:rFonts w:ascii="Times New Roman" w:hAnsi="Times New Roman" w:cs="Times New Roman"/>
          <w:sz w:val="28"/>
          <w:szCs w:val="28"/>
          <w:lang w:val="ro-RO"/>
        </w:rPr>
        <w:t>La elaborarea procedurii de inspecție periodică a sistemelor de climatizare din clădiri s-a ținut cont de prevederile standardului național SM SR EN 15240 „Ventilarea în clădiri. Performanța energetică a clădirilor. Ghid pentru inspecția instalațiilor de climatizare”.</w:t>
      </w:r>
    </w:p>
    <w:p w:rsidR="00EE3B40" w:rsidRPr="00EE3B40" w:rsidRDefault="00EE3B40" w:rsidP="00EE3B40">
      <w:pPr>
        <w:spacing w:after="0" w:line="240" w:lineRule="auto"/>
        <w:ind w:firstLine="567"/>
        <w:jc w:val="both"/>
        <w:rPr>
          <w:rFonts w:ascii="Times New Roman" w:hAnsi="Times New Roman" w:cs="Times New Roman"/>
          <w:sz w:val="28"/>
          <w:szCs w:val="28"/>
          <w:lang w:val="ro-RO"/>
        </w:rPr>
      </w:pPr>
      <w:r w:rsidRPr="00EE3B40">
        <w:rPr>
          <w:rFonts w:ascii="Times New Roman" w:hAnsi="Times New Roman" w:cs="Times New Roman"/>
          <w:sz w:val="28"/>
          <w:szCs w:val="28"/>
          <w:lang w:val="ro-RO"/>
        </w:rPr>
        <w:t>Standardul SM SR EN 15240 „Ventilarea în clădiri. Performanța energetică a clădirilor. Ghid pentru inspecția instalațiilor de climatizare”, la care face referință proiectul Hotărârii de Guvern, conține un șir de prevederi tehnice, utilizate la efectuarea inspecției periodice a sistemelor de climatizare în clădiri.</w:t>
      </w:r>
    </w:p>
    <w:p w:rsidR="00BB4364" w:rsidRPr="00EE3B40" w:rsidRDefault="00BB4364" w:rsidP="00BB4364">
      <w:pPr>
        <w:shd w:val="clear" w:color="auto" w:fill="FFFFFF"/>
        <w:spacing w:after="0" w:line="240" w:lineRule="auto"/>
        <w:jc w:val="both"/>
        <w:rPr>
          <w:rFonts w:ascii="Times New Roman" w:hAnsi="Times New Roman" w:cs="Times New Roman"/>
          <w:sz w:val="28"/>
          <w:szCs w:val="28"/>
          <w:lang w:val="ro-RO"/>
        </w:rPr>
      </w:pPr>
    </w:p>
    <w:p w:rsidR="00295C19" w:rsidRPr="00423DF5" w:rsidRDefault="00423DF5" w:rsidP="00295C19">
      <w:pPr>
        <w:shd w:val="clear" w:color="auto" w:fill="FFFFFF"/>
        <w:tabs>
          <w:tab w:val="left" w:pos="413"/>
        </w:tabs>
        <w:spacing w:after="0" w:line="240" w:lineRule="auto"/>
        <w:jc w:val="both"/>
        <w:rPr>
          <w:rFonts w:ascii="Times New Roman" w:hAnsi="Times New Roman" w:cs="Times New Roman"/>
          <w:b/>
          <w:sz w:val="28"/>
          <w:szCs w:val="28"/>
          <w:lang w:val="ro-RO"/>
        </w:rPr>
      </w:pPr>
      <w:r w:rsidRPr="00423DF5">
        <w:rPr>
          <w:rFonts w:ascii="Times New Roman" w:hAnsi="Times New Roman" w:cs="Times New Roman"/>
          <w:b/>
          <w:sz w:val="28"/>
          <w:szCs w:val="28"/>
          <w:lang w:val="ro-RO"/>
        </w:rPr>
        <w:t>Secretar de Stat</w:t>
      </w:r>
      <w:r w:rsidRPr="00423DF5">
        <w:rPr>
          <w:rFonts w:ascii="Times New Roman" w:hAnsi="Times New Roman" w:cs="Times New Roman"/>
          <w:b/>
          <w:sz w:val="28"/>
          <w:szCs w:val="28"/>
          <w:lang w:val="ro-RO"/>
        </w:rPr>
        <w:tab/>
      </w:r>
      <w:r w:rsidRPr="00423DF5">
        <w:rPr>
          <w:rFonts w:ascii="Times New Roman" w:hAnsi="Times New Roman" w:cs="Times New Roman"/>
          <w:b/>
          <w:sz w:val="28"/>
          <w:szCs w:val="28"/>
          <w:lang w:val="ro-RO"/>
        </w:rPr>
        <w:tab/>
      </w:r>
      <w:r w:rsidRPr="00423DF5">
        <w:rPr>
          <w:rFonts w:ascii="Times New Roman" w:hAnsi="Times New Roman" w:cs="Times New Roman"/>
          <w:b/>
          <w:sz w:val="28"/>
          <w:szCs w:val="28"/>
          <w:lang w:val="ro-RO"/>
        </w:rPr>
        <w:tab/>
      </w:r>
      <w:r w:rsidRPr="00423DF5">
        <w:rPr>
          <w:rFonts w:ascii="Times New Roman" w:hAnsi="Times New Roman" w:cs="Times New Roman"/>
          <w:b/>
          <w:sz w:val="28"/>
          <w:szCs w:val="28"/>
          <w:lang w:val="ro-RO"/>
        </w:rPr>
        <w:tab/>
      </w:r>
      <w:r w:rsidRPr="00423DF5">
        <w:rPr>
          <w:rFonts w:ascii="Times New Roman" w:hAnsi="Times New Roman" w:cs="Times New Roman"/>
          <w:b/>
          <w:sz w:val="28"/>
          <w:szCs w:val="28"/>
          <w:lang w:val="ro-RO"/>
        </w:rPr>
        <w:tab/>
      </w:r>
      <w:r w:rsidRPr="00423DF5">
        <w:rPr>
          <w:rFonts w:ascii="Times New Roman" w:hAnsi="Times New Roman" w:cs="Times New Roman"/>
          <w:b/>
          <w:sz w:val="28"/>
          <w:szCs w:val="28"/>
          <w:lang w:val="ro-RO"/>
        </w:rPr>
        <w:tab/>
      </w:r>
      <w:r w:rsidRPr="00423DF5">
        <w:rPr>
          <w:rFonts w:ascii="Times New Roman" w:hAnsi="Times New Roman" w:cs="Times New Roman"/>
          <w:b/>
          <w:sz w:val="28"/>
          <w:szCs w:val="28"/>
          <w:lang w:val="ro-RO"/>
        </w:rPr>
        <w:tab/>
      </w:r>
      <w:r w:rsidRPr="00423DF5">
        <w:rPr>
          <w:rFonts w:ascii="Times New Roman" w:hAnsi="Times New Roman" w:cs="Times New Roman"/>
          <w:b/>
          <w:sz w:val="28"/>
          <w:szCs w:val="28"/>
          <w:lang w:val="ro-RO"/>
        </w:rPr>
        <w:tab/>
        <w:t>Anatol USATÎI</w:t>
      </w:r>
    </w:p>
    <w:sectPr w:rsidR="00295C19" w:rsidRPr="00423DF5" w:rsidSect="00125CC1">
      <w:footerReference w:type="default" r:id="rId7"/>
      <w:pgSz w:w="11906" w:h="16838" w:code="9"/>
      <w:pgMar w:top="1134" w:right="1134"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CE8" w:rsidRDefault="000E7CE8" w:rsidP="00805ABC">
      <w:pPr>
        <w:spacing w:after="0" w:line="240" w:lineRule="auto"/>
      </w:pPr>
      <w:r>
        <w:separator/>
      </w:r>
    </w:p>
  </w:endnote>
  <w:endnote w:type="continuationSeparator" w:id="0">
    <w:p w:rsidR="000E7CE8" w:rsidRDefault="000E7CE8" w:rsidP="00805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8D8" w:rsidRPr="00FC5492" w:rsidRDefault="00C0010E" w:rsidP="00B248D8">
    <w:pPr>
      <w:pStyle w:val="Footer"/>
      <w:jc w:val="right"/>
      <w:rPr>
        <w:rFonts w:ascii="Times New Roman" w:hAnsi="Times New Roman" w:cs="Times New Roman"/>
        <w:sz w:val="28"/>
        <w:szCs w:val="28"/>
      </w:rPr>
    </w:pPr>
    <w:r w:rsidRPr="00FC5492">
      <w:rPr>
        <w:rFonts w:ascii="Times New Roman" w:hAnsi="Times New Roman" w:cs="Times New Roman"/>
        <w:sz w:val="28"/>
        <w:szCs w:val="28"/>
      </w:rPr>
      <w:fldChar w:fldCharType="begin"/>
    </w:r>
    <w:r w:rsidR="00B248D8" w:rsidRPr="00FC5492">
      <w:rPr>
        <w:rFonts w:ascii="Times New Roman" w:hAnsi="Times New Roman" w:cs="Times New Roman"/>
        <w:sz w:val="28"/>
        <w:szCs w:val="28"/>
      </w:rPr>
      <w:instrText xml:space="preserve"> PAGE  \* Arabic  \* MERGEFORMAT </w:instrText>
    </w:r>
    <w:r w:rsidRPr="00FC5492">
      <w:rPr>
        <w:rFonts w:ascii="Times New Roman" w:hAnsi="Times New Roman" w:cs="Times New Roman"/>
        <w:sz w:val="28"/>
        <w:szCs w:val="28"/>
      </w:rPr>
      <w:fldChar w:fldCharType="separate"/>
    </w:r>
    <w:r w:rsidR="00423DF5">
      <w:rPr>
        <w:rFonts w:ascii="Times New Roman" w:hAnsi="Times New Roman" w:cs="Times New Roman"/>
        <w:noProof/>
        <w:sz w:val="28"/>
        <w:szCs w:val="28"/>
      </w:rPr>
      <w:t>4</w:t>
    </w:r>
    <w:r w:rsidRPr="00FC5492">
      <w:rPr>
        <w:rFonts w:ascii="Times New Roman" w:hAnsi="Times New Roman" w:cs="Times New Roman"/>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CE8" w:rsidRDefault="000E7CE8" w:rsidP="00805ABC">
      <w:pPr>
        <w:spacing w:after="0" w:line="240" w:lineRule="auto"/>
      </w:pPr>
      <w:r>
        <w:separator/>
      </w:r>
    </w:p>
  </w:footnote>
  <w:footnote w:type="continuationSeparator" w:id="0">
    <w:p w:rsidR="000E7CE8" w:rsidRDefault="000E7CE8" w:rsidP="00805A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00192"/>
    <w:multiLevelType w:val="hybridMultilevel"/>
    <w:tmpl w:val="3AF8B236"/>
    <w:lvl w:ilvl="0" w:tplc="96BC5966">
      <w:start w:val="3"/>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2"/>
  </w:compat>
  <w:rsids>
    <w:rsidRoot w:val="006710F7"/>
    <w:rsid w:val="000137C9"/>
    <w:rsid w:val="0001632C"/>
    <w:rsid w:val="000206DE"/>
    <w:rsid w:val="000237DB"/>
    <w:rsid w:val="000247C5"/>
    <w:rsid w:val="000272B9"/>
    <w:rsid w:val="00034DEE"/>
    <w:rsid w:val="00041E7E"/>
    <w:rsid w:val="000438D6"/>
    <w:rsid w:val="000511C5"/>
    <w:rsid w:val="00057DB6"/>
    <w:rsid w:val="00071D38"/>
    <w:rsid w:val="00075904"/>
    <w:rsid w:val="000862FF"/>
    <w:rsid w:val="000A6E7E"/>
    <w:rsid w:val="000B1860"/>
    <w:rsid w:val="000B4D35"/>
    <w:rsid w:val="000B7A82"/>
    <w:rsid w:val="000C0075"/>
    <w:rsid w:val="000C75D9"/>
    <w:rsid w:val="000E7CE8"/>
    <w:rsid w:val="000E7F38"/>
    <w:rsid w:val="00104ED1"/>
    <w:rsid w:val="0010758B"/>
    <w:rsid w:val="0011114A"/>
    <w:rsid w:val="00112B7E"/>
    <w:rsid w:val="00125CC1"/>
    <w:rsid w:val="001375B0"/>
    <w:rsid w:val="00141835"/>
    <w:rsid w:val="00141FB3"/>
    <w:rsid w:val="00146F8F"/>
    <w:rsid w:val="0016771A"/>
    <w:rsid w:val="00184A17"/>
    <w:rsid w:val="00187FC6"/>
    <w:rsid w:val="00197ACE"/>
    <w:rsid w:val="001A1FCC"/>
    <w:rsid w:val="001A468F"/>
    <w:rsid w:val="001D3791"/>
    <w:rsid w:val="001D4E14"/>
    <w:rsid w:val="001F45AB"/>
    <w:rsid w:val="002051F6"/>
    <w:rsid w:val="002126F4"/>
    <w:rsid w:val="00215721"/>
    <w:rsid w:val="0022399A"/>
    <w:rsid w:val="002278F3"/>
    <w:rsid w:val="002345BD"/>
    <w:rsid w:val="00241044"/>
    <w:rsid w:val="002420A3"/>
    <w:rsid w:val="002468D8"/>
    <w:rsid w:val="002522BE"/>
    <w:rsid w:val="00257796"/>
    <w:rsid w:val="00261CE5"/>
    <w:rsid w:val="00295C19"/>
    <w:rsid w:val="002A1490"/>
    <w:rsid w:val="002A18C0"/>
    <w:rsid w:val="002A2823"/>
    <w:rsid w:val="002A33EB"/>
    <w:rsid w:val="002A7CF6"/>
    <w:rsid w:val="002B20F0"/>
    <w:rsid w:val="002E64BD"/>
    <w:rsid w:val="002F6216"/>
    <w:rsid w:val="00300147"/>
    <w:rsid w:val="00304EFD"/>
    <w:rsid w:val="003079DA"/>
    <w:rsid w:val="0031577B"/>
    <w:rsid w:val="00335E05"/>
    <w:rsid w:val="00342669"/>
    <w:rsid w:val="00350B56"/>
    <w:rsid w:val="00352830"/>
    <w:rsid w:val="00372E28"/>
    <w:rsid w:val="00384539"/>
    <w:rsid w:val="00385D5B"/>
    <w:rsid w:val="00396C5D"/>
    <w:rsid w:val="003C63B8"/>
    <w:rsid w:val="003E236D"/>
    <w:rsid w:val="003E45D7"/>
    <w:rsid w:val="003F2D72"/>
    <w:rsid w:val="00401EAD"/>
    <w:rsid w:val="00412ACE"/>
    <w:rsid w:val="00423DF5"/>
    <w:rsid w:val="0042628D"/>
    <w:rsid w:val="00426AA1"/>
    <w:rsid w:val="00431C2E"/>
    <w:rsid w:val="00434152"/>
    <w:rsid w:val="00437D3C"/>
    <w:rsid w:val="00452446"/>
    <w:rsid w:val="00452F85"/>
    <w:rsid w:val="00453837"/>
    <w:rsid w:val="004576F3"/>
    <w:rsid w:val="00482C46"/>
    <w:rsid w:val="00484A14"/>
    <w:rsid w:val="004851AA"/>
    <w:rsid w:val="0049679C"/>
    <w:rsid w:val="004972C6"/>
    <w:rsid w:val="004B46B7"/>
    <w:rsid w:val="004B7778"/>
    <w:rsid w:val="004D5ADB"/>
    <w:rsid w:val="004F0AE3"/>
    <w:rsid w:val="004F7D3C"/>
    <w:rsid w:val="0050342B"/>
    <w:rsid w:val="00512F8F"/>
    <w:rsid w:val="00521B0E"/>
    <w:rsid w:val="00550370"/>
    <w:rsid w:val="00551493"/>
    <w:rsid w:val="005528D3"/>
    <w:rsid w:val="00564C45"/>
    <w:rsid w:val="00576CB4"/>
    <w:rsid w:val="00577586"/>
    <w:rsid w:val="00584794"/>
    <w:rsid w:val="00592E87"/>
    <w:rsid w:val="005A1C27"/>
    <w:rsid w:val="005B278F"/>
    <w:rsid w:val="005C1DD3"/>
    <w:rsid w:val="005C21DA"/>
    <w:rsid w:val="005C58AC"/>
    <w:rsid w:val="005D52D6"/>
    <w:rsid w:val="005E08AD"/>
    <w:rsid w:val="005E08CB"/>
    <w:rsid w:val="005E1FD4"/>
    <w:rsid w:val="005E48AA"/>
    <w:rsid w:val="005E7197"/>
    <w:rsid w:val="005E7A14"/>
    <w:rsid w:val="005F5B25"/>
    <w:rsid w:val="00611BFB"/>
    <w:rsid w:val="00621240"/>
    <w:rsid w:val="0063701B"/>
    <w:rsid w:val="00642C97"/>
    <w:rsid w:val="00642EB3"/>
    <w:rsid w:val="00643FFA"/>
    <w:rsid w:val="0064580F"/>
    <w:rsid w:val="00647BC3"/>
    <w:rsid w:val="0065173A"/>
    <w:rsid w:val="0065647B"/>
    <w:rsid w:val="006710F7"/>
    <w:rsid w:val="00673BA1"/>
    <w:rsid w:val="0067521F"/>
    <w:rsid w:val="00675A85"/>
    <w:rsid w:val="00683FEF"/>
    <w:rsid w:val="006A1C82"/>
    <w:rsid w:val="006A21B3"/>
    <w:rsid w:val="006A71FD"/>
    <w:rsid w:val="006A7413"/>
    <w:rsid w:val="006C24A3"/>
    <w:rsid w:val="006D7523"/>
    <w:rsid w:val="00703D67"/>
    <w:rsid w:val="007061E5"/>
    <w:rsid w:val="00732DEE"/>
    <w:rsid w:val="0073358F"/>
    <w:rsid w:val="00742C2D"/>
    <w:rsid w:val="00756BCA"/>
    <w:rsid w:val="007629EA"/>
    <w:rsid w:val="00773BDB"/>
    <w:rsid w:val="00774CC6"/>
    <w:rsid w:val="00781E6D"/>
    <w:rsid w:val="007A7864"/>
    <w:rsid w:val="007B1A28"/>
    <w:rsid w:val="007C5FBC"/>
    <w:rsid w:val="007C74D4"/>
    <w:rsid w:val="007C7F82"/>
    <w:rsid w:val="007D1073"/>
    <w:rsid w:val="007D74CB"/>
    <w:rsid w:val="008022AC"/>
    <w:rsid w:val="008026DA"/>
    <w:rsid w:val="00804341"/>
    <w:rsid w:val="00805ABC"/>
    <w:rsid w:val="00810B84"/>
    <w:rsid w:val="00813402"/>
    <w:rsid w:val="00817EC9"/>
    <w:rsid w:val="00823526"/>
    <w:rsid w:val="00830782"/>
    <w:rsid w:val="008410D4"/>
    <w:rsid w:val="00842EFE"/>
    <w:rsid w:val="00872CC4"/>
    <w:rsid w:val="00882626"/>
    <w:rsid w:val="00886193"/>
    <w:rsid w:val="00894A2D"/>
    <w:rsid w:val="008A62A5"/>
    <w:rsid w:val="008A671A"/>
    <w:rsid w:val="008B2DD8"/>
    <w:rsid w:val="008E7330"/>
    <w:rsid w:val="009125C1"/>
    <w:rsid w:val="00915D3B"/>
    <w:rsid w:val="00921607"/>
    <w:rsid w:val="00940B3E"/>
    <w:rsid w:val="00941F3D"/>
    <w:rsid w:val="009539AB"/>
    <w:rsid w:val="00957779"/>
    <w:rsid w:val="00957E4A"/>
    <w:rsid w:val="00961F67"/>
    <w:rsid w:val="00992211"/>
    <w:rsid w:val="0099686E"/>
    <w:rsid w:val="009A0EC1"/>
    <w:rsid w:val="009A3F60"/>
    <w:rsid w:val="009A4342"/>
    <w:rsid w:val="009A5793"/>
    <w:rsid w:val="009C7534"/>
    <w:rsid w:val="009D0320"/>
    <w:rsid w:val="009D12E2"/>
    <w:rsid w:val="009D6CA1"/>
    <w:rsid w:val="009F4987"/>
    <w:rsid w:val="00A00A3E"/>
    <w:rsid w:val="00A0238C"/>
    <w:rsid w:val="00A0437A"/>
    <w:rsid w:val="00A04C81"/>
    <w:rsid w:val="00A04FDD"/>
    <w:rsid w:val="00A20053"/>
    <w:rsid w:val="00A27544"/>
    <w:rsid w:val="00A37F18"/>
    <w:rsid w:val="00A422ED"/>
    <w:rsid w:val="00A47D64"/>
    <w:rsid w:val="00A5633E"/>
    <w:rsid w:val="00A64932"/>
    <w:rsid w:val="00A65738"/>
    <w:rsid w:val="00A678B1"/>
    <w:rsid w:val="00A83C5B"/>
    <w:rsid w:val="00A97F0C"/>
    <w:rsid w:val="00AA030A"/>
    <w:rsid w:val="00AA5C34"/>
    <w:rsid w:val="00AB6821"/>
    <w:rsid w:val="00AB7FD3"/>
    <w:rsid w:val="00AC1DA3"/>
    <w:rsid w:val="00AD2EB7"/>
    <w:rsid w:val="00AD3FDC"/>
    <w:rsid w:val="00AD5E5A"/>
    <w:rsid w:val="00AE15D5"/>
    <w:rsid w:val="00AE4778"/>
    <w:rsid w:val="00AF478A"/>
    <w:rsid w:val="00AF672A"/>
    <w:rsid w:val="00B07C43"/>
    <w:rsid w:val="00B13CF6"/>
    <w:rsid w:val="00B15ED7"/>
    <w:rsid w:val="00B248D8"/>
    <w:rsid w:val="00B34447"/>
    <w:rsid w:val="00B34FF8"/>
    <w:rsid w:val="00B4503A"/>
    <w:rsid w:val="00B45FF6"/>
    <w:rsid w:val="00B51F73"/>
    <w:rsid w:val="00B528C8"/>
    <w:rsid w:val="00B52FDB"/>
    <w:rsid w:val="00B55CD7"/>
    <w:rsid w:val="00B62E47"/>
    <w:rsid w:val="00B65500"/>
    <w:rsid w:val="00B66740"/>
    <w:rsid w:val="00B75F7D"/>
    <w:rsid w:val="00B83A77"/>
    <w:rsid w:val="00B9158C"/>
    <w:rsid w:val="00BA57F9"/>
    <w:rsid w:val="00BB01F0"/>
    <w:rsid w:val="00BB4364"/>
    <w:rsid w:val="00BD1831"/>
    <w:rsid w:val="00BE540B"/>
    <w:rsid w:val="00C0010E"/>
    <w:rsid w:val="00C134DB"/>
    <w:rsid w:val="00C250CF"/>
    <w:rsid w:val="00C25272"/>
    <w:rsid w:val="00C30ECB"/>
    <w:rsid w:val="00C33C26"/>
    <w:rsid w:val="00C464BB"/>
    <w:rsid w:val="00C61C20"/>
    <w:rsid w:val="00C62403"/>
    <w:rsid w:val="00C64B9D"/>
    <w:rsid w:val="00C737C5"/>
    <w:rsid w:val="00C85A27"/>
    <w:rsid w:val="00C96E85"/>
    <w:rsid w:val="00CC4740"/>
    <w:rsid w:val="00CE44BA"/>
    <w:rsid w:val="00CE7559"/>
    <w:rsid w:val="00CF20B9"/>
    <w:rsid w:val="00D05C8F"/>
    <w:rsid w:val="00D103CD"/>
    <w:rsid w:val="00D212D1"/>
    <w:rsid w:val="00D37793"/>
    <w:rsid w:val="00D44BC5"/>
    <w:rsid w:val="00D452DD"/>
    <w:rsid w:val="00D46D93"/>
    <w:rsid w:val="00D5404F"/>
    <w:rsid w:val="00D56645"/>
    <w:rsid w:val="00D66BDE"/>
    <w:rsid w:val="00D74D61"/>
    <w:rsid w:val="00D773CF"/>
    <w:rsid w:val="00D872B5"/>
    <w:rsid w:val="00D94BD2"/>
    <w:rsid w:val="00DC3A16"/>
    <w:rsid w:val="00DD1B92"/>
    <w:rsid w:val="00DD2261"/>
    <w:rsid w:val="00DD2B1B"/>
    <w:rsid w:val="00DE09FF"/>
    <w:rsid w:val="00DF0A4D"/>
    <w:rsid w:val="00DF5F02"/>
    <w:rsid w:val="00E12F25"/>
    <w:rsid w:val="00E141BC"/>
    <w:rsid w:val="00E27327"/>
    <w:rsid w:val="00E37B8A"/>
    <w:rsid w:val="00E43788"/>
    <w:rsid w:val="00E54151"/>
    <w:rsid w:val="00E67FC7"/>
    <w:rsid w:val="00E73698"/>
    <w:rsid w:val="00E74DA3"/>
    <w:rsid w:val="00E758EC"/>
    <w:rsid w:val="00E87489"/>
    <w:rsid w:val="00E9415F"/>
    <w:rsid w:val="00E953E2"/>
    <w:rsid w:val="00EB6F73"/>
    <w:rsid w:val="00EC26A9"/>
    <w:rsid w:val="00EC55FF"/>
    <w:rsid w:val="00EC59C0"/>
    <w:rsid w:val="00ED12C2"/>
    <w:rsid w:val="00EE27A6"/>
    <w:rsid w:val="00EE3B40"/>
    <w:rsid w:val="00EE4C7B"/>
    <w:rsid w:val="00EE4FB7"/>
    <w:rsid w:val="00EF6BC5"/>
    <w:rsid w:val="00F01A5F"/>
    <w:rsid w:val="00F04E36"/>
    <w:rsid w:val="00F05D4E"/>
    <w:rsid w:val="00F24AC5"/>
    <w:rsid w:val="00F25148"/>
    <w:rsid w:val="00F45702"/>
    <w:rsid w:val="00F57BC8"/>
    <w:rsid w:val="00F71860"/>
    <w:rsid w:val="00F9100C"/>
    <w:rsid w:val="00F946F1"/>
    <w:rsid w:val="00FB49AE"/>
    <w:rsid w:val="00FB7C75"/>
    <w:rsid w:val="00FC5492"/>
    <w:rsid w:val="00FD1183"/>
    <w:rsid w:val="00FD658D"/>
    <w:rsid w:val="00FD728A"/>
    <w:rsid w:val="00FE461A"/>
    <w:rsid w:val="00FF792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7DDA58-9029-474B-A266-E3A913338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2C6"/>
  </w:style>
  <w:style w:type="paragraph" w:styleId="Heading2">
    <w:name w:val="heading 2"/>
    <w:basedOn w:val="Normal"/>
    <w:next w:val="Normal"/>
    <w:link w:val="Heading2Char"/>
    <w:uiPriority w:val="9"/>
    <w:semiHidden/>
    <w:unhideWhenUsed/>
    <w:qFormat/>
    <w:rsid w:val="00C624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0F7"/>
    <w:pPr>
      <w:spacing w:after="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05ABC"/>
    <w:pPr>
      <w:tabs>
        <w:tab w:val="center" w:pos="4677"/>
        <w:tab w:val="right" w:pos="9355"/>
      </w:tabs>
      <w:spacing w:after="0" w:line="240" w:lineRule="auto"/>
    </w:pPr>
  </w:style>
  <w:style w:type="character" w:customStyle="1" w:styleId="HeaderChar">
    <w:name w:val="Header Char"/>
    <w:basedOn w:val="DefaultParagraphFont"/>
    <w:link w:val="Header"/>
    <w:uiPriority w:val="99"/>
    <w:rsid w:val="00805ABC"/>
  </w:style>
  <w:style w:type="paragraph" w:styleId="Footer">
    <w:name w:val="footer"/>
    <w:basedOn w:val="Normal"/>
    <w:link w:val="FooterChar"/>
    <w:uiPriority w:val="99"/>
    <w:unhideWhenUsed/>
    <w:rsid w:val="00805ABC"/>
    <w:pPr>
      <w:tabs>
        <w:tab w:val="center" w:pos="4677"/>
        <w:tab w:val="right" w:pos="9355"/>
      </w:tabs>
      <w:spacing w:after="0" w:line="240" w:lineRule="auto"/>
    </w:pPr>
  </w:style>
  <w:style w:type="character" w:customStyle="1" w:styleId="FooterChar">
    <w:name w:val="Footer Char"/>
    <w:basedOn w:val="DefaultParagraphFont"/>
    <w:link w:val="Footer"/>
    <w:uiPriority w:val="99"/>
    <w:rsid w:val="00805ABC"/>
  </w:style>
  <w:style w:type="paragraph" w:styleId="BalloonText">
    <w:name w:val="Balloon Text"/>
    <w:basedOn w:val="Normal"/>
    <w:link w:val="BalloonTextChar"/>
    <w:uiPriority w:val="99"/>
    <w:semiHidden/>
    <w:unhideWhenUsed/>
    <w:rsid w:val="00FD1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183"/>
    <w:rPr>
      <w:rFonts w:ascii="Tahoma" w:hAnsi="Tahoma" w:cs="Tahoma"/>
      <w:sz w:val="16"/>
      <w:szCs w:val="16"/>
    </w:rPr>
  </w:style>
  <w:style w:type="table" w:styleId="TableGrid">
    <w:name w:val="Table Grid"/>
    <w:basedOn w:val="TableNormal"/>
    <w:uiPriority w:val="59"/>
    <w:rsid w:val="00EE27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5ADB"/>
    <w:rPr>
      <w:color w:val="0000FF" w:themeColor="hyperlink"/>
      <w:u w:val="single"/>
    </w:rPr>
  </w:style>
  <w:style w:type="character" w:customStyle="1" w:styleId="Heading2Char">
    <w:name w:val="Heading 2 Char"/>
    <w:basedOn w:val="DefaultParagraphFont"/>
    <w:link w:val="Heading2"/>
    <w:uiPriority w:val="9"/>
    <w:semiHidden/>
    <w:rsid w:val="00C6240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392284">
      <w:bodyDiv w:val="1"/>
      <w:marLeft w:val="0"/>
      <w:marRight w:val="0"/>
      <w:marTop w:val="0"/>
      <w:marBottom w:val="0"/>
      <w:divBdr>
        <w:top w:val="none" w:sz="0" w:space="0" w:color="auto"/>
        <w:left w:val="none" w:sz="0" w:space="0" w:color="auto"/>
        <w:bottom w:val="none" w:sz="0" w:space="0" w:color="auto"/>
        <w:right w:val="none" w:sz="0" w:space="0" w:color="auto"/>
      </w:divBdr>
      <w:divsChild>
        <w:div w:id="165366883">
          <w:marLeft w:val="0"/>
          <w:marRight w:val="0"/>
          <w:marTop w:val="0"/>
          <w:marBottom w:val="0"/>
          <w:divBdr>
            <w:top w:val="none" w:sz="0" w:space="0" w:color="auto"/>
            <w:left w:val="none" w:sz="0" w:space="0" w:color="auto"/>
            <w:bottom w:val="none" w:sz="0" w:space="0" w:color="auto"/>
            <w:right w:val="none" w:sz="0" w:space="0" w:color="auto"/>
          </w:divBdr>
        </w:div>
      </w:divsChild>
    </w:div>
    <w:div w:id="354423232">
      <w:bodyDiv w:val="1"/>
      <w:marLeft w:val="0"/>
      <w:marRight w:val="0"/>
      <w:marTop w:val="0"/>
      <w:marBottom w:val="0"/>
      <w:divBdr>
        <w:top w:val="none" w:sz="0" w:space="0" w:color="auto"/>
        <w:left w:val="none" w:sz="0" w:space="0" w:color="auto"/>
        <w:bottom w:val="none" w:sz="0" w:space="0" w:color="auto"/>
        <w:right w:val="none" w:sz="0" w:space="0" w:color="auto"/>
      </w:divBdr>
      <w:divsChild>
        <w:div w:id="358314269">
          <w:marLeft w:val="0"/>
          <w:marRight w:val="0"/>
          <w:marTop w:val="0"/>
          <w:marBottom w:val="0"/>
          <w:divBdr>
            <w:top w:val="none" w:sz="0" w:space="0" w:color="auto"/>
            <w:left w:val="none" w:sz="0" w:space="0" w:color="auto"/>
            <w:bottom w:val="none" w:sz="0" w:space="0" w:color="auto"/>
            <w:right w:val="none" w:sz="0" w:space="0" w:color="auto"/>
          </w:divBdr>
        </w:div>
        <w:div w:id="249898982">
          <w:marLeft w:val="0"/>
          <w:marRight w:val="0"/>
          <w:marTop w:val="0"/>
          <w:marBottom w:val="0"/>
          <w:divBdr>
            <w:top w:val="none" w:sz="0" w:space="0" w:color="auto"/>
            <w:left w:val="none" w:sz="0" w:space="0" w:color="auto"/>
            <w:bottom w:val="none" w:sz="0" w:space="0" w:color="auto"/>
            <w:right w:val="none" w:sz="0" w:space="0" w:color="auto"/>
          </w:divBdr>
        </w:div>
        <w:div w:id="935792605">
          <w:marLeft w:val="0"/>
          <w:marRight w:val="0"/>
          <w:marTop w:val="0"/>
          <w:marBottom w:val="0"/>
          <w:divBdr>
            <w:top w:val="none" w:sz="0" w:space="0" w:color="auto"/>
            <w:left w:val="none" w:sz="0" w:space="0" w:color="auto"/>
            <w:bottom w:val="none" w:sz="0" w:space="0" w:color="auto"/>
            <w:right w:val="none" w:sz="0" w:space="0" w:color="auto"/>
          </w:divBdr>
        </w:div>
      </w:divsChild>
    </w:div>
    <w:div w:id="599609428">
      <w:bodyDiv w:val="1"/>
      <w:marLeft w:val="0"/>
      <w:marRight w:val="0"/>
      <w:marTop w:val="0"/>
      <w:marBottom w:val="0"/>
      <w:divBdr>
        <w:top w:val="none" w:sz="0" w:space="0" w:color="auto"/>
        <w:left w:val="none" w:sz="0" w:space="0" w:color="auto"/>
        <w:bottom w:val="none" w:sz="0" w:space="0" w:color="auto"/>
        <w:right w:val="none" w:sz="0" w:space="0" w:color="auto"/>
      </w:divBdr>
      <w:divsChild>
        <w:div w:id="1993369438">
          <w:marLeft w:val="0"/>
          <w:marRight w:val="0"/>
          <w:marTop w:val="0"/>
          <w:marBottom w:val="0"/>
          <w:divBdr>
            <w:top w:val="none" w:sz="0" w:space="0" w:color="auto"/>
            <w:left w:val="none" w:sz="0" w:space="0" w:color="auto"/>
            <w:bottom w:val="none" w:sz="0" w:space="0" w:color="auto"/>
            <w:right w:val="none" w:sz="0" w:space="0" w:color="auto"/>
          </w:divBdr>
        </w:div>
        <w:div w:id="380636961">
          <w:marLeft w:val="0"/>
          <w:marRight w:val="0"/>
          <w:marTop w:val="0"/>
          <w:marBottom w:val="0"/>
          <w:divBdr>
            <w:top w:val="none" w:sz="0" w:space="0" w:color="auto"/>
            <w:left w:val="none" w:sz="0" w:space="0" w:color="auto"/>
            <w:bottom w:val="none" w:sz="0" w:space="0" w:color="auto"/>
            <w:right w:val="none" w:sz="0" w:space="0" w:color="auto"/>
          </w:divBdr>
        </w:div>
        <w:div w:id="1984697757">
          <w:marLeft w:val="0"/>
          <w:marRight w:val="0"/>
          <w:marTop w:val="0"/>
          <w:marBottom w:val="0"/>
          <w:divBdr>
            <w:top w:val="none" w:sz="0" w:space="0" w:color="auto"/>
            <w:left w:val="none" w:sz="0" w:space="0" w:color="auto"/>
            <w:bottom w:val="none" w:sz="0" w:space="0" w:color="auto"/>
            <w:right w:val="none" w:sz="0" w:space="0" w:color="auto"/>
          </w:divBdr>
        </w:div>
      </w:divsChild>
    </w:div>
    <w:div w:id="616641015">
      <w:bodyDiv w:val="1"/>
      <w:marLeft w:val="0"/>
      <w:marRight w:val="0"/>
      <w:marTop w:val="0"/>
      <w:marBottom w:val="0"/>
      <w:divBdr>
        <w:top w:val="none" w:sz="0" w:space="0" w:color="auto"/>
        <w:left w:val="none" w:sz="0" w:space="0" w:color="auto"/>
        <w:bottom w:val="none" w:sz="0" w:space="0" w:color="auto"/>
        <w:right w:val="none" w:sz="0" w:space="0" w:color="auto"/>
      </w:divBdr>
      <w:divsChild>
        <w:div w:id="924458667">
          <w:marLeft w:val="0"/>
          <w:marRight w:val="0"/>
          <w:marTop w:val="0"/>
          <w:marBottom w:val="0"/>
          <w:divBdr>
            <w:top w:val="none" w:sz="0" w:space="0" w:color="auto"/>
            <w:left w:val="none" w:sz="0" w:space="0" w:color="auto"/>
            <w:bottom w:val="none" w:sz="0" w:space="0" w:color="auto"/>
            <w:right w:val="none" w:sz="0" w:space="0" w:color="auto"/>
          </w:divBdr>
        </w:div>
        <w:div w:id="327095154">
          <w:marLeft w:val="0"/>
          <w:marRight w:val="0"/>
          <w:marTop w:val="0"/>
          <w:marBottom w:val="0"/>
          <w:divBdr>
            <w:top w:val="none" w:sz="0" w:space="0" w:color="auto"/>
            <w:left w:val="none" w:sz="0" w:space="0" w:color="auto"/>
            <w:bottom w:val="none" w:sz="0" w:space="0" w:color="auto"/>
            <w:right w:val="none" w:sz="0" w:space="0" w:color="auto"/>
          </w:divBdr>
        </w:div>
        <w:div w:id="333148662">
          <w:marLeft w:val="0"/>
          <w:marRight w:val="0"/>
          <w:marTop w:val="0"/>
          <w:marBottom w:val="0"/>
          <w:divBdr>
            <w:top w:val="none" w:sz="0" w:space="0" w:color="auto"/>
            <w:left w:val="none" w:sz="0" w:space="0" w:color="auto"/>
            <w:bottom w:val="none" w:sz="0" w:space="0" w:color="auto"/>
            <w:right w:val="none" w:sz="0" w:space="0" w:color="auto"/>
          </w:divBdr>
        </w:div>
      </w:divsChild>
    </w:div>
    <w:div w:id="709650326">
      <w:bodyDiv w:val="1"/>
      <w:marLeft w:val="0"/>
      <w:marRight w:val="0"/>
      <w:marTop w:val="0"/>
      <w:marBottom w:val="0"/>
      <w:divBdr>
        <w:top w:val="none" w:sz="0" w:space="0" w:color="auto"/>
        <w:left w:val="none" w:sz="0" w:space="0" w:color="auto"/>
        <w:bottom w:val="none" w:sz="0" w:space="0" w:color="auto"/>
        <w:right w:val="none" w:sz="0" w:space="0" w:color="auto"/>
      </w:divBdr>
    </w:div>
    <w:div w:id="887835819">
      <w:bodyDiv w:val="1"/>
      <w:marLeft w:val="0"/>
      <w:marRight w:val="0"/>
      <w:marTop w:val="0"/>
      <w:marBottom w:val="0"/>
      <w:divBdr>
        <w:top w:val="none" w:sz="0" w:space="0" w:color="auto"/>
        <w:left w:val="none" w:sz="0" w:space="0" w:color="auto"/>
        <w:bottom w:val="none" w:sz="0" w:space="0" w:color="auto"/>
        <w:right w:val="none" w:sz="0" w:space="0" w:color="auto"/>
      </w:divBdr>
      <w:divsChild>
        <w:div w:id="512888347">
          <w:marLeft w:val="0"/>
          <w:marRight w:val="0"/>
          <w:marTop w:val="0"/>
          <w:marBottom w:val="0"/>
          <w:divBdr>
            <w:top w:val="none" w:sz="0" w:space="0" w:color="auto"/>
            <w:left w:val="none" w:sz="0" w:space="0" w:color="auto"/>
            <w:bottom w:val="none" w:sz="0" w:space="0" w:color="auto"/>
            <w:right w:val="none" w:sz="0" w:space="0" w:color="auto"/>
          </w:divBdr>
        </w:div>
      </w:divsChild>
    </w:div>
    <w:div w:id="1025248816">
      <w:bodyDiv w:val="1"/>
      <w:marLeft w:val="0"/>
      <w:marRight w:val="0"/>
      <w:marTop w:val="0"/>
      <w:marBottom w:val="0"/>
      <w:divBdr>
        <w:top w:val="none" w:sz="0" w:space="0" w:color="auto"/>
        <w:left w:val="none" w:sz="0" w:space="0" w:color="auto"/>
        <w:bottom w:val="none" w:sz="0" w:space="0" w:color="auto"/>
        <w:right w:val="none" w:sz="0" w:space="0" w:color="auto"/>
      </w:divBdr>
      <w:divsChild>
        <w:div w:id="243032232">
          <w:marLeft w:val="0"/>
          <w:marRight w:val="0"/>
          <w:marTop w:val="0"/>
          <w:marBottom w:val="0"/>
          <w:divBdr>
            <w:top w:val="none" w:sz="0" w:space="0" w:color="auto"/>
            <w:left w:val="none" w:sz="0" w:space="0" w:color="auto"/>
            <w:bottom w:val="none" w:sz="0" w:space="0" w:color="auto"/>
            <w:right w:val="none" w:sz="0" w:space="0" w:color="auto"/>
          </w:divBdr>
        </w:div>
      </w:divsChild>
    </w:div>
    <w:div w:id="1146509671">
      <w:bodyDiv w:val="1"/>
      <w:marLeft w:val="0"/>
      <w:marRight w:val="0"/>
      <w:marTop w:val="0"/>
      <w:marBottom w:val="0"/>
      <w:divBdr>
        <w:top w:val="none" w:sz="0" w:space="0" w:color="auto"/>
        <w:left w:val="none" w:sz="0" w:space="0" w:color="auto"/>
        <w:bottom w:val="none" w:sz="0" w:space="0" w:color="auto"/>
        <w:right w:val="none" w:sz="0" w:space="0" w:color="auto"/>
      </w:divBdr>
      <w:divsChild>
        <w:div w:id="1495102835">
          <w:marLeft w:val="0"/>
          <w:marRight w:val="0"/>
          <w:marTop w:val="0"/>
          <w:marBottom w:val="0"/>
          <w:divBdr>
            <w:top w:val="none" w:sz="0" w:space="0" w:color="auto"/>
            <w:left w:val="none" w:sz="0" w:space="0" w:color="auto"/>
            <w:bottom w:val="none" w:sz="0" w:space="0" w:color="auto"/>
            <w:right w:val="none" w:sz="0" w:space="0" w:color="auto"/>
          </w:divBdr>
        </w:div>
        <w:div w:id="1656106416">
          <w:marLeft w:val="0"/>
          <w:marRight w:val="0"/>
          <w:marTop w:val="0"/>
          <w:marBottom w:val="0"/>
          <w:divBdr>
            <w:top w:val="none" w:sz="0" w:space="0" w:color="auto"/>
            <w:left w:val="none" w:sz="0" w:space="0" w:color="auto"/>
            <w:bottom w:val="none" w:sz="0" w:space="0" w:color="auto"/>
            <w:right w:val="none" w:sz="0" w:space="0" w:color="auto"/>
          </w:divBdr>
        </w:div>
      </w:divsChild>
    </w:div>
    <w:div w:id="1326127281">
      <w:bodyDiv w:val="1"/>
      <w:marLeft w:val="0"/>
      <w:marRight w:val="0"/>
      <w:marTop w:val="0"/>
      <w:marBottom w:val="0"/>
      <w:divBdr>
        <w:top w:val="none" w:sz="0" w:space="0" w:color="auto"/>
        <w:left w:val="none" w:sz="0" w:space="0" w:color="auto"/>
        <w:bottom w:val="none" w:sz="0" w:space="0" w:color="auto"/>
        <w:right w:val="none" w:sz="0" w:space="0" w:color="auto"/>
      </w:divBdr>
      <w:divsChild>
        <w:div w:id="544217882">
          <w:marLeft w:val="0"/>
          <w:marRight w:val="0"/>
          <w:marTop w:val="0"/>
          <w:marBottom w:val="0"/>
          <w:divBdr>
            <w:top w:val="none" w:sz="0" w:space="0" w:color="auto"/>
            <w:left w:val="none" w:sz="0" w:space="0" w:color="auto"/>
            <w:bottom w:val="none" w:sz="0" w:space="0" w:color="auto"/>
            <w:right w:val="none" w:sz="0" w:space="0" w:color="auto"/>
          </w:divBdr>
        </w:div>
      </w:divsChild>
    </w:div>
    <w:div w:id="1443915246">
      <w:bodyDiv w:val="1"/>
      <w:marLeft w:val="0"/>
      <w:marRight w:val="0"/>
      <w:marTop w:val="0"/>
      <w:marBottom w:val="0"/>
      <w:divBdr>
        <w:top w:val="none" w:sz="0" w:space="0" w:color="auto"/>
        <w:left w:val="none" w:sz="0" w:space="0" w:color="auto"/>
        <w:bottom w:val="none" w:sz="0" w:space="0" w:color="auto"/>
        <w:right w:val="none" w:sz="0" w:space="0" w:color="auto"/>
      </w:divBdr>
    </w:div>
    <w:div w:id="1478693489">
      <w:bodyDiv w:val="1"/>
      <w:marLeft w:val="0"/>
      <w:marRight w:val="0"/>
      <w:marTop w:val="0"/>
      <w:marBottom w:val="0"/>
      <w:divBdr>
        <w:top w:val="none" w:sz="0" w:space="0" w:color="auto"/>
        <w:left w:val="none" w:sz="0" w:space="0" w:color="auto"/>
        <w:bottom w:val="none" w:sz="0" w:space="0" w:color="auto"/>
        <w:right w:val="none" w:sz="0" w:space="0" w:color="auto"/>
      </w:divBdr>
    </w:div>
    <w:div w:id="1567687572">
      <w:bodyDiv w:val="1"/>
      <w:marLeft w:val="0"/>
      <w:marRight w:val="0"/>
      <w:marTop w:val="0"/>
      <w:marBottom w:val="0"/>
      <w:divBdr>
        <w:top w:val="none" w:sz="0" w:space="0" w:color="auto"/>
        <w:left w:val="none" w:sz="0" w:space="0" w:color="auto"/>
        <w:bottom w:val="none" w:sz="0" w:space="0" w:color="auto"/>
        <w:right w:val="none" w:sz="0" w:space="0" w:color="auto"/>
      </w:divBdr>
      <w:divsChild>
        <w:div w:id="1119303459">
          <w:marLeft w:val="0"/>
          <w:marRight w:val="0"/>
          <w:marTop w:val="0"/>
          <w:marBottom w:val="0"/>
          <w:divBdr>
            <w:top w:val="none" w:sz="0" w:space="0" w:color="auto"/>
            <w:left w:val="none" w:sz="0" w:space="0" w:color="auto"/>
            <w:bottom w:val="none" w:sz="0" w:space="0" w:color="auto"/>
            <w:right w:val="none" w:sz="0" w:space="0" w:color="auto"/>
          </w:divBdr>
        </w:div>
      </w:divsChild>
    </w:div>
    <w:div w:id="1574705122">
      <w:bodyDiv w:val="1"/>
      <w:marLeft w:val="0"/>
      <w:marRight w:val="0"/>
      <w:marTop w:val="0"/>
      <w:marBottom w:val="0"/>
      <w:divBdr>
        <w:top w:val="none" w:sz="0" w:space="0" w:color="auto"/>
        <w:left w:val="none" w:sz="0" w:space="0" w:color="auto"/>
        <w:bottom w:val="none" w:sz="0" w:space="0" w:color="auto"/>
        <w:right w:val="none" w:sz="0" w:space="0" w:color="auto"/>
      </w:divBdr>
    </w:div>
    <w:div w:id="1654723373">
      <w:bodyDiv w:val="1"/>
      <w:marLeft w:val="0"/>
      <w:marRight w:val="0"/>
      <w:marTop w:val="0"/>
      <w:marBottom w:val="0"/>
      <w:divBdr>
        <w:top w:val="none" w:sz="0" w:space="0" w:color="auto"/>
        <w:left w:val="none" w:sz="0" w:space="0" w:color="auto"/>
        <w:bottom w:val="none" w:sz="0" w:space="0" w:color="auto"/>
        <w:right w:val="none" w:sz="0" w:space="0" w:color="auto"/>
      </w:divBdr>
    </w:div>
    <w:div w:id="1747847702">
      <w:bodyDiv w:val="1"/>
      <w:marLeft w:val="0"/>
      <w:marRight w:val="0"/>
      <w:marTop w:val="0"/>
      <w:marBottom w:val="0"/>
      <w:divBdr>
        <w:top w:val="none" w:sz="0" w:space="0" w:color="auto"/>
        <w:left w:val="none" w:sz="0" w:space="0" w:color="auto"/>
        <w:bottom w:val="none" w:sz="0" w:space="0" w:color="auto"/>
        <w:right w:val="none" w:sz="0" w:space="0" w:color="auto"/>
      </w:divBdr>
    </w:div>
    <w:div w:id="1758289329">
      <w:bodyDiv w:val="1"/>
      <w:marLeft w:val="0"/>
      <w:marRight w:val="0"/>
      <w:marTop w:val="0"/>
      <w:marBottom w:val="0"/>
      <w:divBdr>
        <w:top w:val="none" w:sz="0" w:space="0" w:color="auto"/>
        <w:left w:val="none" w:sz="0" w:space="0" w:color="auto"/>
        <w:bottom w:val="none" w:sz="0" w:space="0" w:color="auto"/>
        <w:right w:val="none" w:sz="0" w:space="0" w:color="auto"/>
      </w:divBdr>
    </w:div>
    <w:div w:id="1786924994">
      <w:bodyDiv w:val="1"/>
      <w:marLeft w:val="0"/>
      <w:marRight w:val="0"/>
      <w:marTop w:val="0"/>
      <w:marBottom w:val="0"/>
      <w:divBdr>
        <w:top w:val="none" w:sz="0" w:space="0" w:color="auto"/>
        <w:left w:val="none" w:sz="0" w:space="0" w:color="auto"/>
        <w:bottom w:val="none" w:sz="0" w:space="0" w:color="auto"/>
        <w:right w:val="none" w:sz="0" w:space="0" w:color="auto"/>
      </w:divBdr>
      <w:divsChild>
        <w:div w:id="1682392729">
          <w:marLeft w:val="0"/>
          <w:marRight w:val="0"/>
          <w:marTop w:val="0"/>
          <w:marBottom w:val="0"/>
          <w:divBdr>
            <w:top w:val="none" w:sz="0" w:space="0" w:color="auto"/>
            <w:left w:val="none" w:sz="0" w:space="0" w:color="auto"/>
            <w:bottom w:val="none" w:sz="0" w:space="0" w:color="auto"/>
            <w:right w:val="none" w:sz="0" w:space="0" w:color="auto"/>
          </w:divBdr>
        </w:div>
      </w:divsChild>
    </w:div>
    <w:div w:id="2001763989">
      <w:bodyDiv w:val="1"/>
      <w:marLeft w:val="0"/>
      <w:marRight w:val="0"/>
      <w:marTop w:val="0"/>
      <w:marBottom w:val="0"/>
      <w:divBdr>
        <w:top w:val="none" w:sz="0" w:space="0" w:color="auto"/>
        <w:left w:val="none" w:sz="0" w:space="0" w:color="auto"/>
        <w:bottom w:val="none" w:sz="0" w:space="0" w:color="auto"/>
        <w:right w:val="none" w:sz="0" w:space="0" w:color="auto"/>
      </w:divBdr>
      <w:divsChild>
        <w:div w:id="1265532832">
          <w:marLeft w:val="0"/>
          <w:marRight w:val="0"/>
          <w:marTop w:val="0"/>
          <w:marBottom w:val="0"/>
          <w:divBdr>
            <w:top w:val="none" w:sz="0" w:space="0" w:color="auto"/>
            <w:left w:val="none" w:sz="0" w:space="0" w:color="auto"/>
            <w:bottom w:val="none" w:sz="0" w:space="0" w:color="auto"/>
            <w:right w:val="none" w:sz="0" w:space="0" w:color="auto"/>
          </w:divBdr>
        </w:div>
        <w:div w:id="1347446374">
          <w:marLeft w:val="0"/>
          <w:marRight w:val="0"/>
          <w:marTop w:val="0"/>
          <w:marBottom w:val="0"/>
          <w:divBdr>
            <w:top w:val="none" w:sz="0" w:space="0" w:color="auto"/>
            <w:left w:val="none" w:sz="0" w:space="0" w:color="auto"/>
            <w:bottom w:val="none" w:sz="0" w:space="0" w:color="auto"/>
            <w:right w:val="none" w:sz="0" w:space="0" w:color="auto"/>
          </w:divBdr>
        </w:div>
      </w:divsChild>
    </w:div>
    <w:div w:id="2014069494">
      <w:bodyDiv w:val="1"/>
      <w:marLeft w:val="0"/>
      <w:marRight w:val="0"/>
      <w:marTop w:val="0"/>
      <w:marBottom w:val="0"/>
      <w:divBdr>
        <w:top w:val="none" w:sz="0" w:space="0" w:color="auto"/>
        <w:left w:val="none" w:sz="0" w:space="0" w:color="auto"/>
        <w:bottom w:val="none" w:sz="0" w:space="0" w:color="auto"/>
        <w:right w:val="none" w:sz="0" w:space="0" w:color="auto"/>
      </w:divBdr>
      <w:divsChild>
        <w:div w:id="1785231238">
          <w:marLeft w:val="0"/>
          <w:marRight w:val="0"/>
          <w:marTop w:val="0"/>
          <w:marBottom w:val="0"/>
          <w:divBdr>
            <w:top w:val="none" w:sz="0" w:space="0" w:color="auto"/>
            <w:left w:val="none" w:sz="0" w:space="0" w:color="auto"/>
            <w:bottom w:val="none" w:sz="0" w:space="0" w:color="auto"/>
            <w:right w:val="none" w:sz="0" w:space="0" w:color="auto"/>
          </w:divBdr>
        </w:div>
      </w:divsChild>
    </w:div>
    <w:div w:id="2118132830">
      <w:bodyDiv w:val="1"/>
      <w:marLeft w:val="0"/>
      <w:marRight w:val="0"/>
      <w:marTop w:val="0"/>
      <w:marBottom w:val="0"/>
      <w:divBdr>
        <w:top w:val="none" w:sz="0" w:space="0" w:color="auto"/>
        <w:left w:val="none" w:sz="0" w:space="0" w:color="auto"/>
        <w:bottom w:val="none" w:sz="0" w:space="0" w:color="auto"/>
        <w:right w:val="none" w:sz="0" w:space="0" w:color="auto"/>
      </w:divBdr>
      <w:divsChild>
        <w:div w:id="515192832">
          <w:marLeft w:val="0"/>
          <w:marRight w:val="0"/>
          <w:marTop w:val="0"/>
          <w:marBottom w:val="0"/>
          <w:divBdr>
            <w:top w:val="none" w:sz="0" w:space="0" w:color="auto"/>
            <w:left w:val="none" w:sz="0" w:space="0" w:color="auto"/>
            <w:bottom w:val="none" w:sz="0" w:space="0" w:color="auto"/>
            <w:right w:val="none" w:sz="0" w:space="0" w:color="auto"/>
          </w:divBdr>
        </w:div>
      </w:divsChild>
    </w:div>
    <w:div w:id="2144958099">
      <w:bodyDiv w:val="1"/>
      <w:marLeft w:val="0"/>
      <w:marRight w:val="0"/>
      <w:marTop w:val="0"/>
      <w:marBottom w:val="0"/>
      <w:divBdr>
        <w:top w:val="none" w:sz="0" w:space="0" w:color="auto"/>
        <w:left w:val="none" w:sz="0" w:space="0" w:color="auto"/>
        <w:bottom w:val="none" w:sz="0" w:space="0" w:color="auto"/>
        <w:right w:val="none" w:sz="0" w:space="0" w:color="auto"/>
      </w:divBdr>
      <w:divsChild>
        <w:div w:id="545260380">
          <w:marLeft w:val="0"/>
          <w:marRight w:val="0"/>
          <w:marTop w:val="0"/>
          <w:marBottom w:val="0"/>
          <w:divBdr>
            <w:top w:val="none" w:sz="0" w:space="0" w:color="auto"/>
            <w:left w:val="none" w:sz="0" w:space="0" w:color="auto"/>
            <w:bottom w:val="none" w:sz="0" w:space="0" w:color="auto"/>
            <w:right w:val="none" w:sz="0" w:space="0" w:color="auto"/>
          </w:divBdr>
        </w:div>
        <w:div w:id="1721859897">
          <w:marLeft w:val="0"/>
          <w:marRight w:val="0"/>
          <w:marTop w:val="0"/>
          <w:marBottom w:val="0"/>
          <w:divBdr>
            <w:top w:val="none" w:sz="0" w:space="0" w:color="auto"/>
            <w:left w:val="none" w:sz="0" w:space="0" w:color="auto"/>
            <w:bottom w:val="none" w:sz="0" w:space="0" w:color="auto"/>
            <w:right w:val="none" w:sz="0" w:space="0" w:color="auto"/>
          </w:divBdr>
        </w:div>
        <w:div w:id="1370955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5</Pages>
  <Words>2268</Words>
  <Characters>12929</Characters>
  <Application>Microsoft Office Word</Application>
  <DocSecurity>0</DocSecurity>
  <Lines>107</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AdInsMDRC</cp:lastModifiedBy>
  <cp:revision>41</cp:revision>
  <cp:lastPrinted>2017-11-14T08:05:00Z</cp:lastPrinted>
  <dcterms:created xsi:type="dcterms:W3CDTF">2014-04-05T08:01:00Z</dcterms:created>
  <dcterms:modified xsi:type="dcterms:W3CDTF">2017-11-14T08:06:00Z</dcterms:modified>
</cp:coreProperties>
</file>