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79" w:rsidRPr="00EE58AD" w:rsidRDefault="00171A79" w:rsidP="00171A79">
      <w:pPr>
        <w:widowControl w:val="0"/>
        <w:overflowPunct w:val="0"/>
        <w:adjustRightInd w:val="0"/>
        <w:spacing w:after="0" w:line="240" w:lineRule="auto"/>
        <w:jc w:val="center"/>
        <w:rPr>
          <w:rFonts w:ascii="Times New Roman" w:hAnsi="Times New Roman"/>
          <w:b/>
          <w:color w:val="191919"/>
          <w:sz w:val="28"/>
          <w:szCs w:val="28"/>
          <w:lang w:val="ro-RO"/>
        </w:rPr>
      </w:pPr>
      <w:r w:rsidRPr="00EE58AD">
        <w:rPr>
          <w:rFonts w:ascii="Times New Roman" w:hAnsi="Times New Roman"/>
          <w:b/>
          <w:color w:val="191919"/>
          <w:sz w:val="28"/>
          <w:szCs w:val="28"/>
          <w:lang w:val="ro-RO"/>
        </w:rPr>
        <w:t>Notă</w:t>
      </w:r>
      <w:r w:rsidR="00216166" w:rsidRPr="00EE58AD">
        <w:rPr>
          <w:rFonts w:ascii="Times New Roman" w:hAnsi="Times New Roman"/>
          <w:b/>
          <w:color w:val="191919"/>
          <w:sz w:val="28"/>
          <w:szCs w:val="28"/>
          <w:lang w:val="ro-RO"/>
        </w:rPr>
        <w:t xml:space="preserve"> informativă</w:t>
      </w:r>
    </w:p>
    <w:p w:rsidR="00171A79" w:rsidRPr="007913D3" w:rsidRDefault="00216166" w:rsidP="00171A79">
      <w:pPr>
        <w:widowControl w:val="0"/>
        <w:overflowPunct w:val="0"/>
        <w:adjustRightInd w:val="0"/>
        <w:spacing w:after="0" w:line="240" w:lineRule="auto"/>
        <w:jc w:val="center"/>
        <w:rPr>
          <w:rFonts w:ascii="Times New Roman" w:hAnsi="Times New Roman"/>
          <w:b/>
          <w:color w:val="191919"/>
          <w:sz w:val="28"/>
          <w:szCs w:val="28"/>
          <w:lang w:val="ro-RO"/>
        </w:rPr>
      </w:pPr>
      <w:r w:rsidRPr="00EE58AD">
        <w:rPr>
          <w:rFonts w:ascii="Times New Roman" w:hAnsi="Times New Roman"/>
          <w:b/>
          <w:color w:val="191919"/>
          <w:sz w:val="28"/>
          <w:szCs w:val="28"/>
          <w:lang w:val="ro-RO"/>
        </w:rPr>
        <w:t xml:space="preserve">la proiectul </w:t>
      </w:r>
      <w:r w:rsidR="009B4B86">
        <w:rPr>
          <w:rFonts w:ascii="Times New Roman" w:hAnsi="Times New Roman"/>
          <w:b/>
          <w:color w:val="191919"/>
          <w:sz w:val="28"/>
          <w:szCs w:val="28"/>
          <w:lang w:val="ro-RO"/>
        </w:rPr>
        <w:t>h</w:t>
      </w:r>
      <w:r w:rsidR="009E0CA6" w:rsidRPr="00EE58AD">
        <w:rPr>
          <w:rFonts w:ascii="Times New Roman" w:hAnsi="Times New Roman"/>
          <w:b/>
          <w:bCs/>
          <w:iCs/>
          <w:sz w:val="28"/>
          <w:szCs w:val="28"/>
          <w:lang w:val="ro-RO"/>
        </w:rPr>
        <w:t xml:space="preserve">otărârii Guvernului </w:t>
      </w:r>
      <w:r w:rsidR="009E0CA6" w:rsidRPr="00EE58AD">
        <w:rPr>
          <w:rFonts w:ascii="Times New Roman" w:hAnsi="Times New Roman"/>
          <w:b/>
          <w:sz w:val="28"/>
          <w:szCs w:val="28"/>
          <w:lang w:val="ro-RO"/>
        </w:rPr>
        <w:t xml:space="preserve">cu privire la aprobarea Foii de parcurs privind promovarea economiei verzi în Republica </w:t>
      </w:r>
      <w:r w:rsidR="009E0CA6" w:rsidRPr="007913D3">
        <w:rPr>
          <w:rFonts w:ascii="Times New Roman" w:hAnsi="Times New Roman"/>
          <w:b/>
          <w:sz w:val="28"/>
          <w:szCs w:val="28"/>
          <w:lang w:val="ro-RO"/>
        </w:rPr>
        <w:t>Moldova</w:t>
      </w:r>
      <w:r w:rsidR="007913D3" w:rsidRPr="007913D3">
        <w:rPr>
          <w:rFonts w:ascii="Times New Roman" w:hAnsi="Times New Roman"/>
          <w:b/>
          <w:sz w:val="28"/>
          <w:szCs w:val="28"/>
          <w:lang w:val="ro-RO"/>
        </w:rPr>
        <w:t xml:space="preserve"> și a Planului de acțiuni de implementare a acesteia</w:t>
      </w:r>
    </w:p>
    <w:p w:rsidR="00171A79" w:rsidRPr="00EE58AD" w:rsidRDefault="00171A79" w:rsidP="00171A79">
      <w:pPr>
        <w:widowControl w:val="0"/>
        <w:overflowPunct w:val="0"/>
        <w:adjustRightInd w:val="0"/>
        <w:spacing w:after="0" w:line="240" w:lineRule="auto"/>
        <w:ind w:firstLine="720"/>
        <w:jc w:val="center"/>
        <w:rPr>
          <w:rFonts w:ascii="Times New Roman" w:hAnsi="Times New Roman"/>
          <w:color w:val="191919"/>
          <w:sz w:val="28"/>
          <w:szCs w:val="28"/>
          <w:lang w:val="ro-RO"/>
        </w:rPr>
      </w:pPr>
    </w:p>
    <w:tbl>
      <w:tblPr>
        <w:tblStyle w:val="Tabelgril"/>
        <w:tblW w:w="9924" w:type="dxa"/>
        <w:tblInd w:w="-318" w:type="dxa"/>
        <w:tblLook w:val="04A0" w:firstRow="1" w:lastRow="0" w:firstColumn="1" w:lastColumn="0" w:noHBand="0" w:noVBand="1"/>
      </w:tblPr>
      <w:tblGrid>
        <w:gridCol w:w="9924"/>
      </w:tblGrid>
      <w:tr w:rsidR="00A53F99" w:rsidRPr="004621FC" w:rsidTr="009B4B86">
        <w:tc>
          <w:tcPr>
            <w:tcW w:w="9924" w:type="dxa"/>
            <w:shd w:val="clear" w:color="auto" w:fill="D9D9D9" w:themeFill="background1" w:themeFillShade="D9"/>
          </w:tcPr>
          <w:p w:rsidR="00A53F99" w:rsidRPr="00A53F99" w:rsidRDefault="00A53F99" w:rsidP="00A53F99">
            <w:pPr>
              <w:pStyle w:val="Listparagraf"/>
              <w:widowControl w:val="0"/>
              <w:numPr>
                <w:ilvl w:val="0"/>
                <w:numId w:val="1"/>
              </w:numPr>
              <w:overflowPunct w:val="0"/>
              <w:adjustRightInd w:val="0"/>
              <w:jc w:val="both"/>
              <w:rPr>
                <w:rFonts w:ascii="Times New Roman" w:hAnsi="Times New Roman"/>
                <w:color w:val="191919"/>
                <w:sz w:val="28"/>
                <w:szCs w:val="28"/>
                <w:lang w:val="ro-RO"/>
              </w:rPr>
            </w:pPr>
            <w:bookmarkStart w:id="0" w:name="_Hlk491071512"/>
            <w:r>
              <w:rPr>
                <w:rFonts w:ascii="Times New Roman" w:hAnsi="Times New Roman"/>
                <w:color w:val="191919"/>
                <w:sz w:val="28"/>
                <w:szCs w:val="28"/>
                <w:lang w:val="ro-RO"/>
              </w:rPr>
              <w:t>Denumirea autorului, și, după caz, a participanților la elaborarea proiectului</w:t>
            </w:r>
          </w:p>
        </w:tc>
      </w:tr>
      <w:tr w:rsidR="00A53F99" w:rsidRPr="004621FC" w:rsidTr="009B4B86">
        <w:tc>
          <w:tcPr>
            <w:tcW w:w="9924" w:type="dxa"/>
          </w:tcPr>
          <w:p w:rsidR="005D2D21" w:rsidRDefault="00896110" w:rsidP="00E32DDA">
            <w:pPr>
              <w:jc w:val="both"/>
              <w:rPr>
                <w:rFonts w:ascii="Times New Roman" w:hAnsi="Times New Roman"/>
                <w:color w:val="191919"/>
                <w:sz w:val="28"/>
                <w:szCs w:val="28"/>
                <w:lang w:val="ro-RO"/>
              </w:rPr>
            </w:pPr>
            <w:r>
              <w:rPr>
                <w:rFonts w:ascii="Times New Roman" w:hAnsi="Times New Roman"/>
                <w:color w:val="191919"/>
                <w:sz w:val="28"/>
                <w:szCs w:val="28"/>
                <w:lang w:val="ro-RO"/>
              </w:rPr>
              <w:t xml:space="preserve">          </w:t>
            </w:r>
            <w:r w:rsidR="00EE3445">
              <w:rPr>
                <w:rFonts w:ascii="Times New Roman" w:hAnsi="Times New Roman"/>
                <w:color w:val="191919"/>
                <w:sz w:val="28"/>
                <w:szCs w:val="28"/>
                <w:lang w:val="ro-RO"/>
              </w:rPr>
              <w:t xml:space="preserve">Proiectul </w:t>
            </w:r>
            <w:r w:rsidR="009B4B86">
              <w:rPr>
                <w:rFonts w:ascii="Times New Roman" w:hAnsi="Times New Roman"/>
                <w:color w:val="191919"/>
                <w:sz w:val="28"/>
                <w:szCs w:val="28"/>
                <w:lang w:val="ro-RO"/>
              </w:rPr>
              <w:t>h</w:t>
            </w:r>
            <w:r w:rsidR="00EE3445">
              <w:rPr>
                <w:rFonts w:ascii="Times New Roman" w:hAnsi="Times New Roman"/>
                <w:color w:val="191919"/>
                <w:sz w:val="28"/>
                <w:szCs w:val="28"/>
                <w:lang w:val="ro-RO"/>
              </w:rPr>
              <w:t>otărârii Guvernului este elaborat de Ministerul Agriculturii, Dezvoltării Regionale și Mediului, în co</w:t>
            </w:r>
            <w:r w:rsidR="009B4B86">
              <w:rPr>
                <w:rFonts w:ascii="Times New Roman" w:hAnsi="Times New Roman"/>
                <w:color w:val="191919"/>
                <w:sz w:val="28"/>
                <w:szCs w:val="28"/>
                <w:lang w:val="ro-RO"/>
              </w:rPr>
              <w:t>laborare</w:t>
            </w:r>
            <w:r w:rsidR="00EE3445">
              <w:rPr>
                <w:rFonts w:ascii="Times New Roman" w:hAnsi="Times New Roman"/>
                <w:color w:val="191919"/>
                <w:sz w:val="28"/>
                <w:szCs w:val="28"/>
                <w:lang w:val="ro-RO"/>
              </w:rPr>
              <w:t xml:space="preserve"> cu Grupul de lucru inter-ministerial </w:t>
            </w:r>
            <w:r w:rsidR="000077D3">
              <w:rPr>
                <w:rFonts w:ascii="Times New Roman" w:hAnsi="Times New Roman"/>
                <w:color w:val="191919"/>
                <w:sz w:val="28"/>
                <w:szCs w:val="28"/>
                <w:lang w:val="ro-RO"/>
              </w:rPr>
              <w:t>pentru promovarea dezvoltării durabile și economiei verzi, constituit prin Ordinul comun al Ministerului Economiei și Ministerului Mediului nr. 107/66 din 17.06.2015.</w:t>
            </w:r>
            <w:r w:rsidR="0076052F">
              <w:rPr>
                <w:rFonts w:ascii="Times New Roman" w:hAnsi="Times New Roman"/>
                <w:color w:val="191919"/>
                <w:sz w:val="28"/>
                <w:szCs w:val="28"/>
                <w:lang w:val="ro-RO"/>
              </w:rPr>
              <w:t xml:space="preserve"> </w:t>
            </w:r>
            <w:r w:rsidR="00E32DDA">
              <w:rPr>
                <w:rFonts w:ascii="Times New Roman" w:hAnsi="Times New Roman"/>
                <w:sz w:val="28"/>
                <w:szCs w:val="28"/>
                <w:lang w:val="ro-RO"/>
              </w:rPr>
              <w:t>GL constituie o platformă interministerială de colaborare și asigurare</w:t>
            </w:r>
            <w:r w:rsidR="00E32DDA">
              <w:rPr>
                <w:rFonts w:ascii="Times New Roman" w:hAnsi="Times New Roman"/>
                <w:sz w:val="28"/>
                <w:szCs w:val="28"/>
                <w:lang w:val="ro-RO"/>
              </w:rPr>
              <w:t xml:space="preserve"> </w:t>
            </w:r>
            <w:r w:rsidR="00E32DDA">
              <w:rPr>
                <w:rFonts w:ascii="Times New Roman" w:hAnsi="Times New Roman"/>
                <w:sz w:val="28"/>
                <w:szCs w:val="28"/>
                <w:lang w:val="ro-RO"/>
              </w:rPr>
              <w:t xml:space="preserve">a sinergiei dintre diferite instituții care au tangență cu promovarea </w:t>
            </w:r>
            <w:r w:rsidR="00E32DDA" w:rsidRPr="00E62E18">
              <w:rPr>
                <w:rFonts w:ascii="Times New Roman" w:hAnsi="Times New Roman"/>
                <w:sz w:val="28"/>
                <w:szCs w:val="28"/>
                <w:lang w:val="ro-RO"/>
              </w:rPr>
              <w:t xml:space="preserve">principiilor economiei verzi. </w:t>
            </w:r>
            <w:r w:rsidR="005D2D21">
              <w:rPr>
                <w:rFonts w:ascii="Times New Roman" w:hAnsi="Times New Roman"/>
                <w:color w:val="191919"/>
                <w:sz w:val="28"/>
                <w:szCs w:val="28"/>
                <w:lang w:val="ro-RO"/>
              </w:rPr>
              <w:t>F</w:t>
            </w:r>
            <w:r w:rsidR="005D2D21" w:rsidRPr="00EE58AD">
              <w:rPr>
                <w:rFonts w:ascii="Times New Roman" w:hAnsi="Times New Roman"/>
                <w:sz w:val="28"/>
                <w:szCs w:val="28"/>
                <w:lang w:val="ro-RO"/>
              </w:rPr>
              <w:t xml:space="preserve">oaia de parcurs </w:t>
            </w:r>
            <w:r w:rsidR="005D2D21">
              <w:rPr>
                <w:rFonts w:ascii="Times New Roman" w:hAnsi="Times New Roman"/>
                <w:sz w:val="28"/>
                <w:szCs w:val="28"/>
                <w:lang w:val="ro-RO"/>
              </w:rPr>
              <w:t>a fost</w:t>
            </w:r>
            <w:r w:rsidR="005D2D21" w:rsidRPr="00EE58AD">
              <w:rPr>
                <w:rFonts w:ascii="Times New Roman" w:hAnsi="Times New Roman"/>
                <w:sz w:val="28"/>
                <w:szCs w:val="28"/>
                <w:lang w:val="ro-RO"/>
              </w:rPr>
              <w:t xml:space="preserve"> elaborată în cadrul Programului „Ecologizarea economiilor în țările Parteneriatului Estic” (</w:t>
            </w:r>
            <w:proofErr w:type="spellStart"/>
            <w:r w:rsidR="005D2D21" w:rsidRPr="00EE58AD">
              <w:rPr>
                <w:rFonts w:ascii="Times New Roman" w:hAnsi="Times New Roman"/>
                <w:sz w:val="28"/>
                <w:szCs w:val="28"/>
                <w:lang w:val="ro-RO"/>
              </w:rPr>
              <w:t>EaP</w:t>
            </w:r>
            <w:proofErr w:type="spellEnd"/>
            <w:r w:rsidR="005D2D21" w:rsidRPr="00EE58AD">
              <w:rPr>
                <w:rFonts w:ascii="Times New Roman" w:hAnsi="Times New Roman"/>
                <w:sz w:val="28"/>
                <w:szCs w:val="28"/>
                <w:lang w:val="ro-RO"/>
              </w:rPr>
              <w:t xml:space="preserve"> GREEN), finanțat de UE, implementat în comun de OCDE, CEE ONU, Programul ONU pentru Mediu și ONUDI. </w:t>
            </w:r>
          </w:p>
        </w:tc>
      </w:tr>
      <w:tr w:rsidR="00A53F99" w:rsidRPr="004621FC" w:rsidTr="009B4B86">
        <w:tc>
          <w:tcPr>
            <w:tcW w:w="9924" w:type="dxa"/>
            <w:shd w:val="clear" w:color="auto" w:fill="D9D9D9" w:themeFill="background1" w:themeFillShade="D9"/>
          </w:tcPr>
          <w:p w:rsidR="00A53F99" w:rsidRPr="00A53F99" w:rsidRDefault="00A53F99" w:rsidP="00A53F99">
            <w:pPr>
              <w:pStyle w:val="Listparagraf"/>
              <w:widowControl w:val="0"/>
              <w:numPr>
                <w:ilvl w:val="0"/>
                <w:numId w:val="1"/>
              </w:numPr>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Condițiile ce au impus elaborarea proiectului de act normativ și finalitățile acestuia</w:t>
            </w:r>
          </w:p>
        </w:tc>
      </w:tr>
      <w:tr w:rsidR="00A53F99" w:rsidRPr="004621FC" w:rsidTr="009B4B86">
        <w:tc>
          <w:tcPr>
            <w:tcW w:w="9924" w:type="dxa"/>
          </w:tcPr>
          <w:p w:rsidR="00C82AA5" w:rsidRDefault="00DB650E" w:rsidP="00DB650E">
            <w:pPr>
              <w:jc w:val="both"/>
              <w:rPr>
                <w:rFonts w:ascii="Times New Roman" w:hAnsi="Times New Roman"/>
                <w:color w:val="191919"/>
                <w:sz w:val="28"/>
                <w:szCs w:val="28"/>
                <w:lang w:val="ro-RO"/>
              </w:rPr>
            </w:pPr>
            <w:r>
              <w:rPr>
                <w:rFonts w:ascii="Times New Roman" w:hAnsi="Times New Roman"/>
                <w:color w:val="191919"/>
                <w:sz w:val="28"/>
                <w:szCs w:val="28"/>
                <w:lang w:val="ro-RO"/>
              </w:rPr>
              <w:t xml:space="preserve">       </w:t>
            </w:r>
            <w:r w:rsidR="00272E83" w:rsidRPr="00EE58AD">
              <w:rPr>
                <w:rFonts w:ascii="Times New Roman" w:hAnsi="Times New Roman"/>
                <w:color w:val="191919"/>
                <w:sz w:val="28"/>
                <w:szCs w:val="28"/>
                <w:lang w:val="ro-RO"/>
              </w:rPr>
              <w:t xml:space="preserve">Proiectul </w:t>
            </w:r>
            <w:r w:rsidR="009B4B86">
              <w:rPr>
                <w:rFonts w:ascii="Times New Roman" w:hAnsi="Times New Roman"/>
                <w:color w:val="191919"/>
                <w:sz w:val="28"/>
                <w:szCs w:val="28"/>
                <w:lang w:val="ro-RO"/>
              </w:rPr>
              <w:t>h</w:t>
            </w:r>
            <w:r w:rsidR="00272E83" w:rsidRPr="00EE58AD">
              <w:rPr>
                <w:rFonts w:ascii="Times New Roman" w:hAnsi="Times New Roman"/>
                <w:color w:val="191919"/>
                <w:sz w:val="28"/>
                <w:szCs w:val="28"/>
                <w:lang w:val="ro-RO"/>
              </w:rPr>
              <w:t xml:space="preserve">otărârii </w:t>
            </w:r>
            <w:r w:rsidR="00272E83" w:rsidRPr="00272E83">
              <w:rPr>
                <w:rFonts w:ascii="Times New Roman" w:hAnsi="Times New Roman"/>
                <w:color w:val="191919"/>
                <w:sz w:val="28"/>
                <w:szCs w:val="28"/>
                <w:lang w:val="ro-RO"/>
              </w:rPr>
              <w:t xml:space="preserve">Guvernului </w:t>
            </w:r>
            <w:r w:rsidR="00272E83" w:rsidRPr="00272E83">
              <w:rPr>
                <w:rFonts w:ascii="Times New Roman" w:hAnsi="Times New Roman"/>
                <w:sz w:val="28"/>
                <w:szCs w:val="28"/>
                <w:lang w:val="ro-RO"/>
              </w:rPr>
              <w:t>cu privire la aprobarea Foii de parcurs privind promovarea economiei verzi în Republica Moldova</w:t>
            </w:r>
            <w:r w:rsidR="00272E83" w:rsidRPr="00272E83">
              <w:rPr>
                <w:rFonts w:ascii="Times New Roman" w:hAnsi="Times New Roman"/>
                <w:color w:val="191919"/>
                <w:sz w:val="28"/>
                <w:szCs w:val="28"/>
                <w:lang w:val="ro-RO"/>
              </w:rPr>
              <w:t xml:space="preserve"> </w:t>
            </w:r>
            <w:r w:rsidR="007913D3" w:rsidRPr="007913D3">
              <w:rPr>
                <w:rFonts w:ascii="Times New Roman" w:hAnsi="Times New Roman"/>
                <w:sz w:val="28"/>
                <w:szCs w:val="28"/>
                <w:lang w:val="ro-RO"/>
              </w:rPr>
              <w:t>și a Planului de acțiuni de implementare a acesteia</w:t>
            </w:r>
            <w:r w:rsidR="007913D3">
              <w:rPr>
                <w:rFonts w:ascii="Times New Roman" w:hAnsi="Times New Roman"/>
                <w:sz w:val="28"/>
                <w:szCs w:val="28"/>
                <w:lang w:val="ro-RO"/>
              </w:rPr>
              <w:t xml:space="preserve"> </w:t>
            </w:r>
            <w:r w:rsidR="00C82AA5" w:rsidRPr="007913D3">
              <w:rPr>
                <w:rFonts w:ascii="Times New Roman" w:hAnsi="Times New Roman"/>
                <w:color w:val="191919"/>
                <w:sz w:val="28"/>
                <w:szCs w:val="28"/>
                <w:lang w:val="ro-RO"/>
              </w:rPr>
              <w:t>este</w:t>
            </w:r>
            <w:r w:rsidR="00C82AA5" w:rsidRPr="00272E83">
              <w:rPr>
                <w:rFonts w:ascii="Times New Roman" w:hAnsi="Times New Roman"/>
                <w:color w:val="191919"/>
                <w:sz w:val="28"/>
                <w:szCs w:val="28"/>
                <w:lang w:val="ro-RO"/>
              </w:rPr>
              <w:t xml:space="preserve"> elaborat </w:t>
            </w:r>
            <w:r w:rsidR="00272E83" w:rsidRPr="00272E83">
              <w:rPr>
                <w:rFonts w:ascii="Times New Roman" w:hAnsi="Times New Roman"/>
                <w:color w:val="191919"/>
                <w:sz w:val="28"/>
                <w:szCs w:val="28"/>
                <w:lang w:val="ro-RO"/>
              </w:rPr>
              <w:t xml:space="preserve">în scopul </w:t>
            </w:r>
            <w:r w:rsidR="00677988">
              <w:rPr>
                <w:rFonts w:ascii="Times New Roman" w:hAnsi="Times New Roman"/>
                <w:color w:val="191919"/>
                <w:sz w:val="28"/>
                <w:szCs w:val="28"/>
                <w:lang w:val="ro-RO"/>
              </w:rPr>
              <w:t xml:space="preserve">implementării </w:t>
            </w:r>
            <w:r w:rsidR="004E138F">
              <w:rPr>
                <w:rFonts w:ascii="Times New Roman" w:hAnsi="Times New Roman"/>
                <w:color w:val="191919"/>
                <w:sz w:val="28"/>
                <w:szCs w:val="28"/>
                <w:lang w:val="ro-RO"/>
              </w:rPr>
              <w:t>prevederilor art. 89 pct. (a), C</w:t>
            </w:r>
            <w:r w:rsidR="00272E83">
              <w:rPr>
                <w:rFonts w:ascii="Times New Roman" w:hAnsi="Times New Roman"/>
                <w:color w:val="191919"/>
                <w:sz w:val="28"/>
                <w:szCs w:val="28"/>
                <w:lang w:val="ro-RO"/>
              </w:rPr>
              <w:t xml:space="preserve">apitolul 16. ”Mediul Înconjurător” </w:t>
            </w:r>
            <w:r w:rsidR="00A761B3">
              <w:rPr>
                <w:rFonts w:ascii="Times New Roman" w:hAnsi="Times New Roman"/>
                <w:color w:val="191919"/>
                <w:sz w:val="28"/>
                <w:szCs w:val="28"/>
                <w:lang w:val="ro-RO"/>
              </w:rPr>
              <w:t>din Acordul de Asociere Republica Moldova – Uniunea Europeană</w:t>
            </w:r>
            <w:r w:rsidR="00AA194D">
              <w:rPr>
                <w:rFonts w:ascii="Times New Roman" w:hAnsi="Times New Roman"/>
                <w:color w:val="191919"/>
                <w:sz w:val="28"/>
                <w:szCs w:val="28"/>
                <w:lang w:val="ro-RO"/>
              </w:rPr>
              <w:t xml:space="preserve"> </w:t>
            </w:r>
            <w:proofErr w:type="spellStart"/>
            <w:r w:rsidR="00AA194D">
              <w:rPr>
                <w:rFonts w:ascii="Times New Roman" w:hAnsi="Times New Roman"/>
                <w:color w:val="191919"/>
                <w:sz w:val="28"/>
                <w:szCs w:val="28"/>
                <w:lang w:val="ro-RO"/>
              </w:rPr>
              <w:t>şi</w:t>
            </w:r>
            <w:proofErr w:type="spellEnd"/>
            <w:r w:rsidR="00272E83">
              <w:rPr>
                <w:rFonts w:ascii="Times New Roman" w:hAnsi="Times New Roman"/>
                <w:color w:val="191919"/>
                <w:sz w:val="28"/>
                <w:szCs w:val="28"/>
                <w:lang w:val="ro-RO"/>
              </w:rPr>
              <w:t xml:space="preserve"> </w:t>
            </w:r>
            <w:r w:rsidR="004E138F">
              <w:rPr>
                <w:rFonts w:ascii="Times New Roman" w:hAnsi="Times New Roman"/>
                <w:color w:val="191919"/>
                <w:sz w:val="28"/>
                <w:szCs w:val="28"/>
                <w:lang w:val="ro-RO"/>
              </w:rPr>
              <w:t xml:space="preserve">a </w:t>
            </w:r>
            <w:r w:rsidR="00C82AA5" w:rsidRPr="00EE58AD">
              <w:rPr>
                <w:rFonts w:ascii="Times New Roman" w:hAnsi="Times New Roman"/>
                <w:color w:val="000000"/>
                <w:sz w:val="28"/>
                <w:szCs w:val="28"/>
                <w:lang w:val="ro-RO"/>
              </w:rPr>
              <w:t>Planului național de acțiuni pentru implementarea Acordului de Asociere Republica Moldova–Uniunea Europeană în perioada 2017–2019 (Hotărârea Guvernului nr. 1472 din 30.12.2016, MO nr. 103-108, art. 271)</w:t>
            </w:r>
            <w:r w:rsidR="005E0A1B">
              <w:rPr>
                <w:rFonts w:ascii="Times New Roman" w:hAnsi="Times New Roman"/>
                <w:color w:val="000000"/>
                <w:sz w:val="28"/>
                <w:szCs w:val="28"/>
                <w:lang w:val="ro-RO"/>
              </w:rPr>
              <w:t>,</w:t>
            </w:r>
            <w:r w:rsidR="005E0A1B">
              <w:rPr>
                <w:rFonts w:ascii="Times New Roman" w:hAnsi="Times New Roman"/>
                <w:sz w:val="28"/>
                <w:szCs w:val="28"/>
                <w:lang w:val="ro-RO"/>
              </w:rPr>
              <w:t xml:space="preserve"> care </w:t>
            </w:r>
            <w:r w:rsidR="005979C1">
              <w:rPr>
                <w:rFonts w:ascii="Times New Roman" w:hAnsi="Times New Roman"/>
                <w:sz w:val="28"/>
                <w:szCs w:val="28"/>
                <w:lang w:val="ro-RO"/>
              </w:rPr>
              <w:t xml:space="preserve">include elaborarea </w:t>
            </w:r>
            <w:proofErr w:type="spellStart"/>
            <w:r w:rsidR="005979C1">
              <w:rPr>
                <w:rFonts w:ascii="Times New Roman" w:hAnsi="Times New Roman"/>
                <w:sz w:val="28"/>
                <w:szCs w:val="28"/>
                <w:lang w:val="ro-RO"/>
              </w:rPr>
              <w:t>şi</w:t>
            </w:r>
            <w:proofErr w:type="spellEnd"/>
            <w:r w:rsidR="005979C1">
              <w:rPr>
                <w:rFonts w:ascii="Times New Roman" w:hAnsi="Times New Roman"/>
                <w:sz w:val="28"/>
                <w:szCs w:val="28"/>
                <w:lang w:val="ro-RO"/>
              </w:rPr>
              <w:t xml:space="preserve"> </w:t>
            </w:r>
            <w:r w:rsidR="005979C1" w:rsidRPr="005979C1">
              <w:rPr>
                <w:rFonts w:ascii="Times New Roman" w:hAnsi="Times New Roman"/>
                <w:sz w:val="28"/>
                <w:szCs w:val="28"/>
                <w:lang w:val="ro-RO"/>
              </w:rPr>
              <w:t xml:space="preserve">aprobarea </w:t>
            </w:r>
            <w:r w:rsidR="005979C1" w:rsidRPr="009B4B86">
              <w:rPr>
                <w:rFonts w:ascii="Times New Roman" w:hAnsi="Times New Roman"/>
                <w:sz w:val="28"/>
                <w:szCs w:val="28"/>
                <w:lang w:val="ro-RO"/>
              </w:rPr>
              <w:t>”</w:t>
            </w:r>
            <w:r w:rsidR="004E138F" w:rsidRPr="009B4B86">
              <w:rPr>
                <w:rFonts w:ascii="Times New Roman" w:hAnsi="Times New Roman"/>
                <w:bCs/>
                <w:sz w:val="28"/>
                <w:szCs w:val="28"/>
                <w:lang w:val="ro-RO"/>
              </w:rPr>
              <w:t>Fo</w:t>
            </w:r>
            <w:r w:rsidR="005979C1" w:rsidRPr="009B4B86">
              <w:rPr>
                <w:rFonts w:ascii="Times New Roman" w:hAnsi="Times New Roman"/>
                <w:bCs/>
                <w:sz w:val="28"/>
                <w:szCs w:val="28"/>
                <w:lang w:val="ro-RO"/>
              </w:rPr>
              <w:t>ii</w:t>
            </w:r>
            <w:r w:rsidR="004E138F" w:rsidRPr="009B4B86">
              <w:rPr>
                <w:rFonts w:ascii="Times New Roman" w:hAnsi="Times New Roman"/>
                <w:bCs/>
                <w:sz w:val="28"/>
                <w:szCs w:val="28"/>
                <w:lang w:val="ro-RO"/>
              </w:rPr>
              <w:t xml:space="preserve"> de parcurs privind promovarea economiei verzi în Republica Moldova</w:t>
            </w:r>
            <w:r w:rsidR="005979C1" w:rsidRPr="009B4B86">
              <w:rPr>
                <w:rFonts w:ascii="Times New Roman" w:hAnsi="Times New Roman"/>
                <w:sz w:val="28"/>
                <w:szCs w:val="28"/>
                <w:lang w:val="ro-RO"/>
              </w:rPr>
              <w:t xml:space="preserve">” </w:t>
            </w:r>
            <w:proofErr w:type="spellStart"/>
            <w:r w:rsidR="005979C1" w:rsidRPr="009B4B86">
              <w:rPr>
                <w:rFonts w:ascii="Times New Roman" w:hAnsi="Times New Roman"/>
                <w:sz w:val="28"/>
                <w:szCs w:val="28"/>
                <w:lang w:val="ro-RO"/>
              </w:rPr>
              <w:t>pîn</w:t>
            </w:r>
            <w:r w:rsidR="009B4B86" w:rsidRPr="009B4B86">
              <w:rPr>
                <w:rFonts w:ascii="Times New Roman" w:hAnsi="Times New Roman"/>
                <w:sz w:val="28"/>
                <w:szCs w:val="28"/>
                <w:lang w:val="ro-RO"/>
              </w:rPr>
              <w:t>ă</w:t>
            </w:r>
            <w:proofErr w:type="spellEnd"/>
            <w:r w:rsidR="005979C1" w:rsidRPr="009B4B86">
              <w:rPr>
                <w:rFonts w:ascii="Times New Roman" w:hAnsi="Times New Roman"/>
                <w:sz w:val="28"/>
                <w:szCs w:val="28"/>
                <w:lang w:val="ro-RO"/>
              </w:rPr>
              <w:t xml:space="preserve"> la </w:t>
            </w:r>
            <w:proofErr w:type="spellStart"/>
            <w:r w:rsidR="009B4B86" w:rsidRPr="009B4B86">
              <w:rPr>
                <w:rFonts w:ascii="Times New Roman" w:hAnsi="Times New Roman"/>
                <w:sz w:val="28"/>
                <w:szCs w:val="28"/>
                <w:lang w:val="ro-RO"/>
              </w:rPr>
              <w:t>sfîrșitul</w:t>
            </w:r>
            <w:proofErr w:type="spellEnd"/>
            <w:r w:rsidR="005979C1" w:rsidRPr="009B4B86">
              <w:rPr>
                <w:rFonts w:ascii="Times New Roman" w:hAnsi="Times New Roman"/>
                <w:sz w:val="28"/>
                <w:szCs w:val="28"/>
                <w:lang w:val="ro-RO"/>
              </w:rPr>
              <w:t xml:space="preserve"> anului 2017.</w:t>
            </w:r>
            <w:r w:rsidR="005979C1">
              <w:rPr>
                <w:rFonts w:ascii="Times New Roman" w:hAnsi="Times New Roman"/>
                <w:sz w:val="28"/>
                <w:szCs w:val="28"/>
                <w:lang w:val="ro-RO"/>
              </w:rPr>
              <w:t xml:space="preserve"> </w:t>
            </w:r>
          </w:p>
          <w:p w:rsidR="000077D3" w:rsidRDefault="00272E83" w:rsidP="000B4919">
            <w:pPr>
              <w:ind w:firstLine="720"/>
              <w:jc w:val="both"/>
              <w:rPr>
                <w:rFonts w:ascii="Times New Roman" w:hAnsi="Times New Roman"/>
                <w:color w:val="000000"/>
                <w:sz w:val="28"/>
                <w:szCs w:val="28"/>
                <w:lang w:val="ro-RO"/>
              </w:rPr>
            </w:pPr>
            <w:r>
              <w:rPr>
                <w:rFonts w:ascii="Times New Roman" w:hAnsi="Times New Roman"/>
                <w:color w:val="191919"/>
                <w:sz w:val="28"/>
                <w:szCs w:val="28"/>
                <w:lang w:val="ro-RO"/>
              </w:rPr>
              <w:t>De asemenea, p</w:t>
            </w:r>
            <w:r w:rsidR="00896110" w:rsidRPr="00EE58AD">
              <w:rPr>
                <w:rFonts w:ascii="Times New Roman" w:hAnsi="Times New Roman"/>
                <w:color w:val="191919"/>
                <w:sz w:val="28"/>
                <w:szCs w:val="28"/>
                <w:lang w:val="ro-RO"/>
              </w:rPr>
              <w:t xml:space="preserve">roiectul </w:t>
            </w:r>
            <w:proofErr w:type="spellStart"/>
            <w:r w:rsidR="00896110" w:rsidRPr="00EE58AD">
              <w:rPr>
                <w:rFonts w:ascii="Times New Roman" w:hAnsi="Times New Roman"/>
                <w:color w:val="191919"/>
                <w:sz w:val="28"/>
                <w:szCs w:val="28"/>
                <w:lang w:val="ro-RO"/>
              </w:rPr>
              <w:t>Hotăr</w:t>
            </w:r>
            <w:r w:rsidR="0066132D">
              <w:rPr>
                <w:rFonts w:ascii="Times New Roman" w:hAnsi="Times New Roman"/>
                <w:color w:val="191919"/>
                <w:sz w:val="28"/>
                <w:szCs w:val="28"/>
                <w:lang w:val="ro-RO"/>
              </w:rPr>
              <w:t>î</w:t>
            </w:r>
            <w:r w:rsidR="00896110" w:rsidRPr="00EE58AD">
              <w:rPr>
                <w:rFonts w:ascii="Times New Roman" w:hAnsi="Times New Roman"/>
                <w:color w:val="191919"/>
                <w:sz w:val="28"/>
                <w:szCs w:val="28"/>
                <w:lang w:val="ro-RO"/>
              </w:rPr>
              <w:t>rii</w:t>
            </w:r>
            <w:proofErr w:type="spellEnd"/>
            <w:r w:rsidR="00896110" w:rsidRPr="00EE58AD">
              <w:rPr>
                <w:rFonts w:ascii="Times New Roman" w:hAnsi="Times New Roman"/>
                <w:color w:val="191919"/>
                <w:sz w:val="28"/>
                <w:szCs w:val="28"/>
                <w:lang w:val="ro-RO"/>
              </w:rPr>
              <w:t xml:space="preserve"> Guvernului este elaborat pentru </w:t>
            </w:r>
            <w:r w:rsidR="00677988">
              <w:rPr>
                <w:rFonts w:ascii="Times New Roman" w:hAnsi="Times New Roman"/>
                <w:color w:val="000000"/>
                <w:sz w:val="28"/>
                <w:szCs w:val="28"/>
                <w:lang w:val="ro-RO"/>
              </w:rPr>
              <w:t xml:space="preserve">realizarea prevederilor </w:t>
            </w:r>
            <w:r w:rsidRPr="00EE58AD">
              <w:rPr>
                <w:rFonts w:ascii="Times New Roman" w:hAnsi="Times New Roman"/>
                <w:bCs/>
                <w:sz w:val="28"/>
                <w:szCs w:val="28"/>
                <w:lang w:val="ro-RO"/>
              </w:rPr>
              <w:t xml:space="preserve">Strategiei de Mediu </w:t>
            </w:r>
            <w:r>
              <w:rPr>
                <w:rFonts w:ascii="Times New Roman" w:hAnsi="Times New Roman"/>
                <w:bCs/>
                <w:sz w:val="28"/>
                <w:szCs w:val="28"/>
                <w:lang w:val="ro-RO"/>
              </w:rPr>
              <w:t xml:space="preserve">pentru anii </w:t>
            </w:r>
            <w:r w:rsidRPr="00EE58AD">
              <w:rPr>
                <w:rFonts w:ascii="Times New Roman" w:hAnsi="Times New Roman"/>
                <w:bCs/>
                <w:sz w:val="28"/>
                <w:szCs w:val="28"/>
                <w:lang w:val="ro-RO"/>
              </w:rPr>
              <w:t>2014-2023</w:t>
            </w:r>
            <w:r>
              <w:rPr>
                <w:rFonts w:ascii="Times New Roman" w:hAnsi="Times New Roman"/>
                <w:bCs/>
                <w:sz w:val="28"/>
                <w:szCs w:val="28"/>
                <w:lang w:val="ro-RO"/>
              </w:rPr>
              <w:t xml:space="preserve"> și a Planului de acțiuni pentru implementarea acesteia (HG nr. 301 din 24 aprilie 2014)</w:t>
            </w:r>
            <w:r w:rsidR="00CC6BB4">
              <w:rPr>
                <w:rFonts w:ascii="Times New Roman" w:hAnsi="Times New Roman"/>
                <w:bCs/>
                <w:sz w:val="28"/>
                <w:szCs w:val="28"/>
                <w:lang w:val="ro-RO"/>
              </w:rPr>
              <w:t>,</w:t>
            </w:r>
            <w:r>
              <w:rPr>
                <w:rFonts w:ascii="Times New Roman" w:hAnsi="Times New Roman"/>
                <w:bCs/>
                <w:sz w:val="28"/>
                <w:szCs w:val="28"/>
                <w:lang w:val="ro-RO"/>
              </w:rPr>
              <w:t xml:space="preserve"> a </w:t>
            </w:r>
            <w:r w:rsidR="00A761B3">
              <w:rPr>
                <w:rFonts w:ascii="Times New Roman" w:hAnsi="Times New Roman"/>
                <w:bCs/>
                <w:sz w:val="28"/>
                <w:szCs w:val="28"/>
                <w:lang w:val="ro-RO"/>
              </w:rPr>
              <w:t xml:space="preserve">aspectelor </w:t>
            </w:r>
            <w:r w:rsidRPr="00EE58AD">
              <w:rPr>
                <w:rFonts w:ascii="Times New Roman" w:hAnsi="Times New Roman"/>
                <w:bCs/>
                <w:sz w:val="28"/>
                <w:szCs w:val="28"/>
                <w:lang w:val="ro-RO"/>
              </w:rPr>
              <w:t>privind promovarea dezvoltării durabile din Strategia națională de dezvoltare pentru 2012-2020 „Moldova 2020”</w:t>
            </w:r>
            <w:r w:rsidR="000B4919">
              <w:rPr>
                <w:rFonts w:ascii="Times New Roman" w:hAnsi="Times New Roman"/>
                <w:bCs/>
                <w:sz w:val="28"/>
                <w:szCs w:val="28"/>
                <w:lang w:val="ro-RO"/>
              </w:rPr>
              <w:t xml:space="preserve">, </w:t>
            </w:r>
            <w:r w:rsidR="000B4919">
              <w:rPr>
                <w:rFonts w:ascii="Times New Roman" w:hAnsi="Times New Roman"/>
                <w:sz w:val="28"/>
                <w:szCs w:val="28"/>
                <w:lang w:val="ro-RO"/>
              </w:rPr>
              <w:t>a</w:t>
            </w:r>
            <w:r w:rsidR="00A761B3">
              <w:rPr>
                <w:rFonts w:ascii="Times New Roman" w:hAnsi="Times New Roman"/>
                <w:sz w:val="28"/>
                <w:szCs w:val="28"/>
                <w:lang w:val="ro-RO"/>
              </w:rPr>
              <w:t xml:space="preserve"> </w:t>
            </w:r>
            <w:r w:rsidR="004F72A9" w:rsidRPr="00EE58AD">
              <w:rPr>
                <w:rFonts w:ascii="Times New Roman" w:hAnsi="Times New Roman"/>
                <w:sz w:val="28"/>
                <w:szCs w:val="28"/>
                <w:lang w:val="ro-RO"/>
              </w:rPr>
              <w:t>Declarației finale a Conferinței Națiunilor Unite privind Dezvoltarea Durabilă „</w:t>
            </w:r>
            <w:r w:rsidR="004F72A9" w:rsidRPr="00EE58AD">
              <w:rPr>
                <w:rFonts w:ascii="Times New Roman" w:hAnsi="Times New Roman"/>
                <w:bCs/>
                <w:sz w:val="28"/>
                <w:szCs w:val="28"/>
                <w:lang w:val="ro-RO"/>
              </w:rPr>
              <w:t xml:space="preserve">Viitorul pe care ni-l dorim” (Rio de Janeiro, 20-22 iunie 2012), </w:t>
            </w:r>
            <w:r w:rsidR="000B4919">
              <w:rPr>
                <w:rFonts w:ascii="Times New Roman" w:hAnsi="Times New Roman"/>
                <w:bCs/>
                <w:sz w:val="28"/>
                <w:szCs w:val="28"/>
                <w:lang w:val="ro-RO"/>
              </w:rPr>
              <w:t xml:space="preserve">a </w:t>
            </w:r>
            <w:r w:rsidR="004F72A9" w:rsidRPr="00EE58AD">
              <w:rPr>
                <w:rFonts w:ascii="Times New Roman" w:hAnsi="Times New Roman"/>
                <w:bCs/>
                <w:sz w:val="28"/>
                <w:szCs w:val="28"/>
                <w:lang w:val="ro-RO"/>
              </w:rPr>
              <w:t xml:space="preserve">Declarației de intenție privind dezvoltarea durabilă și economia verde (Ministerul Economiei, Ministerul Mediului, Ministerul Agriculturii și Industriei Alimentare, 08 aprilie 2014), </w:t>
            </w:r>
            <w:r w:rsidR="000B4919">
              <w:rPr>
                <w:rFonts w:ascii="Times New Roman" w:hAnsi="Times New Roman"/>
                <w:bCs/>
                <w:sz w:val="28"/>
                <w:szCs w:val="28"/>
                <w:lang w:val="ro-RO"/>
              </w:rPr>
              <w:t xml:space="preserve">a </w:t>
            </w:r>
            <w:r w:rsidR="004F72A9" w:rsidRPr="00EE58AD">
              <w:rPr>
                <w:rFonts w:ascii="Times New Roman" w:hAnsi="Times New Roman"/>
                <w:bCs/>
                <w:sz w:val="28"/>
                <w:szCs w:val="28"/>
                <w:lang w:val="ro-RO"/>
              </w:rPr>
              <w:t xml:space="preserve">Declarației </w:t>
            </w:r>
            <w:r w:rsidR="004F72A9" w:rsidRPr="00EE58AD">
              <w:rPr>
                <w:rFonts w:ascii="Times New Roman" w:hAnsi="Times New Roman"/>
                <w:sz w:val="28"/>
                <w:szCs w:val="28"/>
                <w:lang w:val="ro-RO"/>
              </w:rPr>
              <w:t xml:space="preserve">Conferinței Ministeriale “Un Mediul pentru Europa” </w:t>
            </w:r>
            <w:r w:rsidR="0066132D">
              <w:rPr>
                <w:rFonts w:ascii="Times New Roman" w:hAnsi="Times New Roman"/>
                <w:sz w:val="28"/>
                <w:szCs w:val="28"/>
                <w:lang w:val="ro-RO"/>
              </w:rPr>
              <w:t>(</w:t>
            </w:r>
            <w:r w:rsidR="004F72A9" w:rsidRPr="00EE58AD">
              <w:rPr>
                <w:rFonts w:ascii="Times New Roman" w:hAnsi="Times New Roman"/>
                <w:sz w:val="28"/>
                <w:szCs w:val="28"/>
                <w:lang w:val="ro-RO"/>
              </w:rPr>
              <w:t>Batumi, Georgia</w:t>
            </w:r>
            <w:r w:rsidR="0066132D">
              <w:rPr>
                <w:rFonts w:ascii="Times New Roman" w:hAnsi="Times New Roman"/>
                <w:sz w:val="28"/>
                <w:szCs w:val="28"/>
                <w:lang w:val="ro-RO"/>
              </w:rPr>
              <w:t xml:space="preserve">, </w:t>
            </w:r>
            <w:r w:rsidR="004F72A9" w:rsidRPr="00EE58AD">
              <w:rPr>
                <w:rFonts w:ascii="Times New Roman" w:hAnsi="Times New Roman"/>
                <w:sz w:val="28"/>
                <w:szCs w:val="28"/>
                <w:lang w:val="ro-RO"/>
              </w:rPr>
              <w:t xml:space="preserve">8-10 iunie 2016), în cadrul căreia Republica Moldova a selectat și a prezentat cinci </w:t>
            </w:r>
            <w:r w:rsidR="000B4919">
              <w:rPr>
                <w:rFonts w:ascii="Times New Roman" w:hAnsi="Times New Roman"/>
                <w:sz w:val="28"/>
                <w:szCs w:val="28"/>
                <w:lang w:val="ro-RO"/>
              </w:rPr>
              <w:t>acțiuni</w:t>
            </w:r>
            <w:r w:rsidR="004F72A9" w:rsidRPr="00EE58AD">
              <w:rPr>
                <w:rFonts w:ascii="Times New Roman" w:hAnsi="Times New Roman"/>
                <w:sz w:val="28"/>
                <w:szCs w:val="28"/>
                <w:lang w:val="ro-RO"/>
              </w:rPr>
              <w:t xml:space="preserve"> naționale privind economia verde, angajamente voluntare la Inițiativa pentru Economia Verde de la Batumi (BIG-E), </w:t>
            </w:r>
            <w:r w:rsidR="000B4919">
              <w:rPr>
                <w:rFonts w:ascii="Times New Roman" w:hAnsi="Times New Roman"/>
                <w:sz w:val="28"/>
                <w:szCs w:val="28"/>
                <w:lang w:val="ro-RO"/>
              </w:rPr>
              <w:t xml:space="preserve">a </w:t>
            </w:r>
            <w:r w:rsidR="004F72A9" w:rsidRPr="00EE58AD">
              <w:rPr>
                <w:rFonts w:ascii="Times New Roman" w:hAnsi="Times New Roman"/>
                <w:sz w:val="28"/>
                <w:szCs w:val="28"/>
                <w:lang w:val="ro-RO"/>
              </w:rPr>
              <w:t>Declarației Miniștrilor Parteneriatului Estic privind colaborarea în domeniul mediului și schimbărilor climatice</w:t>
            </w:r>
            <w:r w:rsidR="000B4919">
              <w:rPr>
                <w:rFonts w:ascii="Times New Roman" w:hAnsi="Times New Roman"/>
                <w:sz w:val="28"/>
                <w:szCs w:val="28"/>
                <w:lang w:val="ro-RO"/>
              </w:rPr>
              <w:t xml:space="preserve"> </w:t>
            </w:r>
            <w:r w:rsidR="004F72A9" w:rsidRPr="00EE58AD">
              <w:rPr>
                <w:rFonts w:ascii="Times New Roman" w:hAnsi="Times New Roman"/>
                <w:sz w:val="28"/>
                <w:szCs w:val="28"/>
                <w:lang w:val="ro-RO"/>
              </w:rPr>
              <w:t xml:space="preserve">(18 octombrie 2016), asigurarea sinergiei și promovarea atingerii Obiectivelor Dezvoltării Durabile și Agendei 2030 în domeniul mediului </w:t>
            </w:r>
            <w:r w:rsidR="0066132D">
              <w:rPr>
                <w:rFonts w:ascii="Times New Roman" w:hAnsi="Times New Roman"/>
                <w:sz w:val="28"/>
                <w:szCs w:val="28"/>
                <w:lang w:val="ro-RO"/>
              </w:rPr>
              <w:t>în</w:t>
            </w:r>
            <w:r w:rsidR="004F72A9" w:rsidRPr="00EE58AD">
              <w:rPr>
                <w:rFonts w:ascii="Times New Roman" w:hAnsi="Times New Roman"/>
                <w:sz w:val="28"/>
                <w:szCs w:val="28"/>
                <w:lang w:val="ro-RO"/>
              </w:rPr>
              <w:t xml:space="preserve"> sectoarele relevante</w:t>
            </w:r>
            <w:r w:rsidR="004F72A9" w:rsidRPr="00EE58AD">
              <w:rPr>
                <w:rFonts w:ascii="Times New Roman" w:hAnsi="Times New Roman"/>
                <w:color w:val="000000"/>
                <w:sz w:val="28"/>
                <w:szCs w:val="28"/>
                <w:lang w:val="ro-RO"/>
              </w:rPr>
              <w:t>.</w:t>
            </w:r>
          </w:p>
          <w:p w:rsidR="00B7535A" w:rsidRDefault="00C66C0C" w:rsidP="00CF1EE9">
            <w:pPr>
              <w:pStyle w:val="cn"/>
              <w:spacing w:after="60"/>
              <w:ind w:firstLine="425"/>
              <w:jc w:val="both"/>
              <w:rPr>
                <w:color w:val="191919"/>
                <w:sz w:val="28"/>
                <w:szCs w:val="28"/>
                <w:lang w:val="ro-RO"/>
              </w:rPr>
            </w:pPr>
            <w:r w:rsidRPr="00B7535A">
              <w:rPr>
                <w:color w:val="000000"/>
                <w:sz w:val="28"/>
                <w:szCs w:val="28"/>
                <w:lang w:val="ro-RO"/>
              </w:rPr>
              <w:t>Necesitatea elaborării</w:t>
            </w:r>
            <w:r w:rsidRPr="00FF4FF6">
              <w:rPr>
                <w:color w:val="000000"/>
                <w:sz w:val="28"/>
                <w:szCs w:val="28"/>
                <w:lang w:val="ro-RO"/>
              </w:rPr>
              <w:t xml:space="preserve"> </w:t>
            </w:r>
            <w:proofErr w:type="spellStart"/>
            <w:r w:rsidRPr="00FF4FF6">
              <w:rPr>
                <w:color w:val="000000"/>
                <w:sz w:val="28"/>
                <w:szCs w:val="28"/>
                <w:lang w:val="ro-RO"/>
              </w:rPr>
              <w:t>şi</w:t>
            </w:r>
            <w:proofErr w:type="spellEnd"/>
            <w:r w:rsidRPr="00FF4FF6">
              <w:rPr>
                <w:color w:val="000000"/>
                <w:sz w:val="28"/>
                <w:szCs w:val="28"/>
                <w:lang w:val="ro-RO"/>
              </w:rPr>
              <w:t xml:space="preserve"> adoptării proiectului este condiționat de lipsa unui document de planificare la nivel național, care ar oferi un cadru unic de implementare pe termen mediu în domeniul promovării acțiunilor specifice, </w:t>
            </w:r>
            <w:r>
              <w:rPr>
                <w:color w:val="000000"/>
                <w:sz w:val="28"/>
                <w:szCs w:val="28"/>
                <w:lang w:val="ro-RO"/>
              </w:rPr>
              <w:t>conexe</w:t>
            </w:r>
            <w:r w:rsidRPr="00FF4FF6">
              <w:rPr>
                <w:color w:val="000000"/>
                <w:sz w:val="28"/>
                <w:szCs w:val="28"/>
                <w:lang w:val="ro-RO"/>
              </w:rPr>
              <w:t xml:space="preserve"> principiil</w:t>
            </w:r>
            <w:r>
              <w:rPr>
                <w:color w:val="000000"/>
                <w:sz w:val="28"/>
                <w:szCs w:val="28"/>
                <w:lang w:val="ro-RO"/>
              </w:rPr>
              <w:t>or</w:t>
            </w:r>
            <w:r w:rsidRPr="00FF4FF6">
              <w:rPr>
                <w:color w:val="000000"/>
                <w:sz w:val="28"/>
                <w:szCs w:val="28"/>
                <w:lang w:val="ro-RO"/>
              </w:rPr>
              <w:t xml:space="preserve"> </w:t>
            </w:r>
            <w:r w:rsidRPr="00FF4FF6">
              <w:rPr>
                <w:color w:val="000000"/>
                <w:sz w:val="28"/>
                <w:szCs w:val="28"/>
                <w:lang w:val="ro-RO"/>
              </w:rPr>
              <w:lastRenderedPageBreak/>
              <w:t xml:space="preserve">economiei verzi. </w:t>
            </w:r>
          </w:p>
        </w:tc>
      </w:tr>
      <w:tr w:rsidR="00A53F99" w:rsidRPr="004621FC" w:rsidTr="009B4B86">
        <w:tc>
          <w:tcPr>
            <w:tcW w:w="9924" w:type="dxa"/>
            <w:shd w:val="clear" w:color="auto" w:fill="D9D9D9" w:themeFill="background1" w:themeFillShade="D9"/>
          </w:tcPr>
          <w:p w:rsidR="00A53F99" w:rsidRPr="00A53F99" w:rsidRDefault="002C013F" w:rsidP="00A53F99">
            <w:pPr>
              <w:pStyle w:val="Listparagraf"/>
              <w:widowControl w:val="0"/>
              <w:numPr>
                <w:ilvl w:val="0"/>
                <w:numId w:val="1"/>
              </w:numPr>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lastRenderedPageBreak/>
              <w:t xml:space="preserve">Descrierea gradului de compatibilitate, pentru proiectele care au ca scop armonizarea legislației naționale cu legislația Uniunii Europene </w:t>
            </w:r>
          </w:p>
        </w:tc>
      </w:tr>
      <w:tr w:rsidR="00A53F99" w:rsidRPr="004621FC" w:rsidTr="009B4B86">
        <w:tc>
          <w:tcPr>
            <w:tcW w:w="9924" w:type="dxa"/>
          </w:tcPr>
          <w:p w:rsidR="005E0A1B" w:rsidRDefault="00896110" w:rsidP="005E0A1B">
            <w:pPr>
              <w:contextualSpacing/>
              <w:jc w:val="both"/>
              <w:rPr>
                <w:rFonts w:ascii="Times New Roman" w:hAnsi="Times New Roman"/>
                <w:sz w:val="28"/>
                <w:szCs w:val="28"/>
                <w:lang w:val="ro-RO"/>
              </w:rPr>
            </w:pPr>
            <w:r>
              <w:rPr>
                <w:rFonts w:ascii="Times New Roman" w:hAnsi="Times New Roman"/>
                <w:color w:val="191919"/>
                <w:sz w:val="28"/>
                <w:szCs w:val="28"/>
                <w:lang w:val="ro-RO"/>
              </w:rPr>
              <w:t xml:space="preserve">        </w:t>
            </w:r>
            <w:r w:rsidR="00D44E83">
              <w:rPr>
                <w:rFonts w:ascii="Times New Roman" w:hAnsi="Times New Roman"/>
                <w:color w:val="191919"/>
                <w:sz w:val="28"/>
                <w:szCs w:val="28"/>
                <w:lang w:val="ro-RO"/>
              </w:rPr>
              <w:t>P</w:t>
            </w:r>
            <w:r w:rsidR="005E0A1B" w:rsidRPr="00EE58AD">
              <w:rPr>
                <w:rFonts w:ascii="Times New Roman" w:hAnsi="Times New Roman"/>
                <w:color w:val="191919"/>
                <w:sz w:val="28"/>
                <w:szCs w:val="28"/>
                <w:lang w:val="ro-RO"/>
              </w:rPr>
              <w:t xml:space="preserve">roiectul Hotărârii Guvernului </w:t>
            </w:r>
            <w:r w:rsidR="005E0A1B" w:rsidRPr="00272E83">
              <w:rPr>
                <w:rFonts w:ascii="Times New Roman" w:hAnsi="Times New Roman"/>
                <w:sz w:val="28"/>
                <w:szCs w:val="28"/>
                <w:lang w:val="ro-RO"/>
              </w:rPr>
              <w:t xml:space="preserve">cu privire la aprobarea Foii de parcurs privind promovarea economiei verzi </w:t>
            </w:r>
            <w:r w:rsidR="00D44E83">
              <w:rPr>
                <w:rFonts w:ascii="Times New Roman" w:hAnsi="Times New Roman"/>
                <w:sz w:val="28"/>
                <w:szCs w:val="28"/>
                <w:lang w:val="ro-RO"/>
              </w:rPr>
              <w:t>nu transpu</w:t>
            </w:r>
            <w:r w:rsidR="004435CF">
              <w:rPr>
                <w:rFonts w:ascii="Times New Roman" w:hAnsi="Times New Roman"/>
                <w:sz w:val="28"/>
                <w:szCs w:val="28"/>
                <w:lang w:val="ro-RO"/>
              </w:rPr>
              <w:t>ne</w:t>
            </w:r>
            <w:r w:rsidR="00D44E83">
              <w:rPr>
                <w:rFonts w:ascii="Times New Roman" w:hAnsi="Times New Roman"/>
                <w:sz w:val="28"/>
                <w:szCs w:val="28"/>
                <w:lang w:val="ro-RO"/>
              </w:rPr>
              <w:t xml:space="preserve"> careva Directive UE.</w:t>
            </w:r>
          </w:p>
          <w:p w:rsidR="00896110" w:rsidRDefault="005E0A1B" w:rsidP="00D44E83">
            <w:pPr>
              <w:widowControl w:val="0"/>
              <w:overflowPunct w:val="0"/>
              <w:adjustRightInd w:val="0"/>
              <w:jc w:val="both"/>
              <w:rPr>
                <w:rFonts w:ascii="Times New Roman" w:hAnsi="Times New Roman"/>
                <w:color w:val="191919"/>
                <w:sz w:val="28"/>
                <w:szCs w:val="28"/>
                <w:lang w:val="ro-RO"/>
              </w:rPr>
            </w:pPr>
            <w:r>
              <w:rPr>
                <w:rFonts w:ascii="Times New Roman" w:hAnsi="Times New Roman"/>
                <w:color w:val="000000"/>
                <w:sz w:val="28"/>
                <w:szCs w:val="28"/>
                <w:lang w:val="ro-RO"/>
              </w:rPr>
              <w:t xml:space="preserve">        Proiectul documentului are la bază prevederile politicilor și strategiilor UE în domeniul Economiei Verzi: </w:t>
            </w:r>
            <w:hyperlink r:id="rId6" w:history="1">
              <w:r w:rsidRPr="001765B1">
                <w:rPr>
                  <w:rStyle w:val="Hyperlink"/>
                  <w:rFonts w:ascii="Times New Roman" w:hAnsi="Times New Roman"/>
                  <w:sz w:val="28"/>
                  <w:szCs w:val="28"/>
                  <w:lang w:val="ro-RO"/>
                </w:rPr>
                <w:t>http://ec.europa.eu/environment/basics/green-economy/index_en.htm</w:t>
              </w:r>
            </w:hyperlink>
          </w:p>
        </w:tc>
      </w:tr>
      <w:tr w:rsidR="00A53F99" w:rsidRPr="004621FC" w:rsidTr="009B4B86">
        <w:tc>
          <w:tcPr>
            <w:tcW w:w="9924" w:type="dxa"/>
            <w:shd w:val="clear" w:color="auto" w:fill="D9D9D9" w:themeFill="background1" w:themeFillShade="D9"/>
          </w:tcPr>
          <w:p w:rsidR="00A53F99" w:rsidRPr="002C013F" w:rsidRDefault="002C013F" w:rsidP="002C013F">
            <w:pPr>
              <w:pStyle w:val="Listparagraf"/>
              <w:widowControl w:val="0"/>
              <w:numPr>
                <w:ilvl w:val="0"/>
                <w:numId w:val="1"/>
              </w:numPr>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Principalele prevederi ale proiectului și evidențierea elementelor noi</w:t>
            </w:r>
          </w:p>
        </w:tc>
      </w:tr>
      <w:tr w:rsidR="00A53F99" w:rsidRPr="004621FC" w:rsidTr="009B4B86">
        <w:tc>
          <w:tcPr>
            <w:tcW w:w="9924" w:type="dxa"/>
          </w:tcPr>
          <w:p w:rsidR="000B7D49" w:rsidRDefault="00790AE6" w:rsidP="006E030E">
            <w:pPr>
              <w:jc w:val="both"/>
              <w:rPr>
                <w:rFonts w:ascii="Times New Roman" w:hAnsi="Times New Roman"/>
                <w:sz w:val="28"/>
                <w:szCs w:val="28"/>
                <w:lang w:val="ro-RO"/>
              </w:rPr>
            </w:pPr>
            <w:r w:rsidRPr="000B7D49">
              <w:rPr>
                <w:rFonts w:ascii="Times New Roman" w:hAnsi="Times New Roman"/>
                <w:sz w:val="28"/>
                <w:szCs w:val="28"/>
                <w:lang w:val="ro-RO"/>
              </w:rPr>
              <w:t xml:space="preserve">          </w:t>
            </w:r>
            <w:r w:rsidR="000B7D49" w:rsidRPr="000B7D49">
              <w:rPr>
                <w:rFonts w:ascii="Times New Roman" w:hAnsi="Times New Roman"/>
                <w:color w:val="000000"/>
                <w:sz w:val="28"/>
                <w:szCs w:val="28"/>
                <w:lang w:val="ro-RO"/>
              </w:rPr>
              <w:t>Prevederile de bază ale proiectului sunt orientare spre integrarea și realizarea măsurilor practice de implementare a principiilor economiei verzi în sectoarele prioritare, cum sunt</w:t>
            </w:r>
            <w:r w:rsidR="00240C24">
              <w:rPr>
                <w:rFonts w:ascii="Times New Roman" w:hAnsi="Times New Roman"/>
                <w:color w:val="000000"/>
                <w:sz w:val="28"/>
                <w:szCs w:val="28"/>
                <w:lang w:val="ro-RO"/>
              </w:rPr>
              <w:t>:</w:t>
            </w:r>
            <w:r w:rsidR="000B7D49" w:rsidRPr="000B7D49">
              <w:rPr>
                <w:rFonts w:ascii="Times New Roman" w:hAnsi="Times New Roman"/>
                <w:color w:val="000000"/>
                <w:sz w:val="28"/>
                <w:szCs w:val="28"/>
                <w:lang w:val="ro-RO"/>
              </w:rPr>
              <w:t xml:space="preserve"> energetica (eficiența energetică și utilizarea surselor regenerabile), agricultura ecologică, transportul durabil, ecologizarea ÎMM, achiziții publice durabile, construcții, educație pentru dezvoltarea durabilă, industria verde (producerea și consumul durabil), cu promovarea unui proces de evaluare a performanțelor folosind setul ajustat de Indicatori ai Creșterii Verzi (OECD), fără dublarea documentelor strategice sau de planificare existente, dar cu </w:t>
            </w:r>
            <w:r w:rsidR="00152928">
              <w:rPr>
                <w:rFonts w:ascii="Times New Roman" w:hAnsi="Times New Roman"/>
                <w:color w:val="000000"/>
                <w:sz w:val="28"/>
                <w:szCs w:val="28"/>
                <w:lang w:val="ro-RO"/>
              </w:rPr>
              <w:t>înlăturarea</w:t>
            </w:r>
            <w:r w:rsidR="000B7D49" w:rsidRPr="000B7D49">
              <w:rPr>
                <w:rFonts w:ascii="Times New Roman" w:hAnsi="Times New Roman"/>
                <w:color w:val="000000"/>
                <w:sz w:val="28"/>
                <w:szCs w:val="28"/>
                <w:lang w:val="ro-RO"/>
              </w:rPr>
              <w:t xml:space="preserve"> golurilor sau asigurarea unui efect cumulativ de la implementarea acțiunilor sectoriale în domeniul economiei verzi, inclusiv pentru o mai bună coordonare inter-ministerială și fortificarea cadrului instituțional și de implementare în domeniul dat.</w:t>
            </w:r>
          </w:p>
          <w:p w:rsidR="006E030E" w:rsidRPr="00EE58AD" w:rsidRDefault="009A18B9" w:rsidP="006E030E">
            <w:pPr>
              <w:jc w:val="both"/>
              <w:rPr>
                <w:rFonts w:ascii="Times New Roman" w:hAnsi="Times New Roman"/>
                <w:bCs/>
                <w:sz w:val="28"/>
                <w:szCs w:val="28"/>
                <w:lang w:val="ro-RO"/>
              </w:rPr>
            </w:pPr>
            <w:r>
              <w:rPr>
                <w:rFonts w:ascii="Times New Roman" w:hAnsi="Times New Roman"/>
                <w:sz w:val="28"/>
                <w:szCs w:val="28"/>
                <w:lang w:val="ro-RO"/>
              </w:rPr>
              <w:t xml:space="preserve">        </w:t>
            </w:r>
            <w:r w:rsidR="006E030E" w:rsidRPr="00EE58AD">
              <w:rPr>
                <w:rFonts w:ascii="Times New Roman" w:hAnsi="Times New Roman"/>
                <w:sz w:val="28"/>
                <w:szCs w:val="28"/>
                <w:lang w:val="ro-RO"/>
              </w:rPr>
              <w:t>Republica Moldova a integrat prevederil</w:t>
            </w:r>
            <w:r w:rsidR="004435CF">
              <w:rPr>
                <w:rFonts w:ascii="Times New Roman" w:hAnsi="Times New Roman"/>
                <w:sz w:val="28"/>
                <w:szCs w:val="28"/>
                <w:lang w:val="ro-RO"/>
              </w:rPr>
              <w:t>e</w:t>
            </w:r>
            <w:r w:rsidR="006E030E" w:rsidRPr="00EE58AD">
              <w:rPr>
                <w:rFonts w:ascii="Times New Roman" w:hAnsi="Times New Roman"/>
                <w:sz w:val="28"/>
                <w:szCs w:val="28"/>
                <w:lang w:val="ro-RO"/>
              </w:rPr>
              <w:t xml:space="preserve"> Declarației finale a Conferinței Națiunilor Unite privind Dezvoltarea Durabilă „</w:t>
            </w:r>
            <w:r w:rsidR="006E030E" w:rsidRPr="00EE58AD">
              <w:rPr>
                <w:rFonts w:ascii="Times New Roman" w:hAnsi="Times New Roman"/>
                <w:bCs/>
                <w:sz w:val="28"/>
                <w:szCs w:val="28"/>
                <w:lang w:val="ro-RO"/>
              </w:rPr>
              <w:t>Viitorul pe care ni-l dorim” (Rio de Janeiro, 20-22 iunie 2012) în Strategia națională de dezvoltare pentru 2012-2020 „Moldova 2020”</w:t>
            </w:r>
            <w:r w:rsidR="002401B7">
              <w:rPr>
                <w:rFonts w:ascii="Times New Roman" w:hAnsi="Times New Roman"/>
                <w:bCs/>
                <w:sz w:val="28"/>
                <w:szCs w:val="28"/>
                <w:lang w:val="ro-RO"/>
              </w:rPr>
              <w:t xml:space="preserve">, astfel </w:t>
            </w:r>
            <w:proofErr w:type="spellStart"/>
            <w:r w:rsidR="006E030E" w:rsidRPr="00EE58AD">
              <w:rPr>
                <w:rFonts w:ascii="Times New Roman" w:hAnsi="Times New Roman"/>
                <w:bCs/>
                <w:sz w:val="28"/>
                <w:szCs w:val="28"/>
                <w:lang w:val="ro-RO"/>
              </w:rPr>
              <w:t>asigur</w:t>
            </w:r>
            <w:r w:rsidR="002401B7">
              <w:rPr>
                <w:rFonts w:ascii="Times New Roman" w:hAnsi="Times New Roman"/>
                <w:bCs/>
                <w:sz w:val="28"/>
                <w:szCs w:val="28"/>
                <w:lang w:val="ro-RO"/>
              </w:rPr>
              <w:t>îndu</w:t>
            </w:r>
            <w:proofErr w:type="spellEnd"/>
            <w:r w:rsidR="002401B7">
              <w:rPr>
                <w:rFonts w:ascii="Times New Roman" w:hAnsi="Times New Roman"/>
                <w:bCs/>
                <w:sz w:val="28"/>
                <w:szCs w:val="28"/>
                <w:lang w:val="ro-RO"/>
              </w:rPr>
              <w:t>-se</w:t>
            </w:r>
            <w:r w:rsidR="006E030E" w:rsidRPr="00EE58AD">
              <w:rPr>
                <w:rFonts w:ascii="Times New Roman" w:hAnsi="Times New Roman"/>
                <w:bCs/>
                <w:sz w:val="28"/>
                <w:szCs w:val="28"/>
                <w:lang w:val="ro-RO"/>
              </w:rPr>
              <w:t xml:space="preserve"> tranziți</w:t>
            </w:r>
            <w:r w:rsidR="002401B7">
              <w:rPr>
                <w:rFonts w:ascii="Times New Roman" w:hAnsi="Times New Roman"/>
                <w:bCs/>
                <w:sz w:val="28"/>
                <w:szCs w:val="28"/>
                <w:lang w:val="ro-RO"/>
              </w:rPr>
              <w:t>a</w:t>
            </w:r>
            <w:r w:rsidR="006E030E" w:rsidRPr="00EE58AD">
              <w:rPr>
                <w:rFonts w:ascii="Times New Roman" w:hAnsi="Times New Roman"/>
                <w:bCs/>
                <w:sz w:val="28"/>
                <w:szCs w:val="28"/>
                <w:lang w:val="ro-RO"/>
              </w:rPr>
              <w:t xml:space="preserve"> spre dezvoltarea economică verde, inclusiv prin intermediul unei mai bune guvernări </w:t>
            </w:r>
            <w:proofErr w:type="spellStart"/>
            <w:r>
              <w:rPr>
                <w:rFonts w:ascii="Times New Roman" w:hAnsi="Times New Roman"/>
                <w:bCs/>
                <w:sz w:val="28"/>
                <w:szCs w:val="28"/>
                <w:lang w:val="ro-RO"/>
              </w:rPr>
              <w:t>şi</w:t>
            </w:r>
            <w:proofErr w:type="spellEnd"/>
            <w:r w:rsidR="006E030E" w:rsidRPr="00EE58AD">
              <w:rPr>
                <w:rFonts w:ascii="Times New Roman" w:hAnsi="Times New Roman"/>
                <w:bCs/>
                <w:sz w:val="28"/>
                <w:szCs w:val="28"/>
                <w:lang w:val="ro-RO"/>
              </w:rPr>
              <w:t xml:space="preserve"> integrarea aspectelor ce țin protecția mediului în toate domeniile de dezvoltare </w:t>
            </w:r>
            <w:proofErr w:type="spellStart"/>
            <w:r w:rsidR="006E030E" w:rsidRPr="00EE58AD">
              <w:rPr>
                <w:rFonts w:ascii="Times New Roman" w:hAnsi="Times New Roman"/>
                <w:bCs/>
                <w:sz w:val="28"/>
                <w:szCs w:val="28"/>
                <w:lang w:val="ro-RO"/>
              </w:rPr>
              <w:t>socio</w:t>
            </w:r>
            <w:proofErr w:type="spellEnd"/>
            <w:r w:rsidR="0004707E">
              <w:rPr>
                <w:rFonts w:ascii="Times New Roman" w:hAnsi="Times New Roman"/>
                <w:bCs/>
                <w:sz w:val="28"/>
                <w:szCs w:val="28"/>
                <w:lang w:val="ro-RO"/>
              </w:rPr>
              <w:t>-</w:t>
            </w:r>
            <w:r w:rsidR="006E030E" w:rsidRPr="00EE58AD">
              <w:rPr>
                <w:rFonts w:ascii="Times New Roman" w:hAnsi="Times New Roman"/>
                <w:bCs/>
                <w:sz w:val="28"/>
                <w:szCs w:val="28"/>
                <w:lang w:val="ro-RO"/>
              </w:rPr>
              <w:t xml:space="preserve">economică. Acest proces a </w:t>
            </w:r>
            <w:r w:rsidR="002401B7">
              <w:rPr>
                <w:rFonts w:ascii="Times New Roman" w:hAnsi="Times New Roman"/>
                <w:bCs/>
                <w:sz w:val="28"/>
                <w:szCs w:val="28"/>
                <w:lang w:val="ro-RO"/>
              </w:rPr>
              <w:t>continuat</w:t>
            </w:r>
            <w:r w:rsidR="006E030E" w:rsidRPr="00EE58AD">
              <w:rPr>
                <w:rFonts w:ascii="Times New Roman" w:hAnsi="Times New Roman"/>
                <w:bCs/>
                <w:sz w:val="28"/>
                <w:szCs w:val="28"/>
                <w:lang w:val="ro-RO"/>
              </w:rPr>
              <w:t xml:space="preserve"> </w:t>
            </w:r>
            <w:r w:rsidR="002401B7">
              <w:rPr>
                <w:rFonts w:ascii="Times New Roman" w:hAnsi="Times New Roman"/>
                <w:bCs/>
                <w:sz w:val="28"/>
                <w:szCs w:val="28"/>
                <w:lang w:val="ro-RO"/>
              </w:rPr>
              <w:t>prin</w:t>
            </w:r>
            <w:r w:rsidR="006E030E" w:rsidRPr="00EE58AD">
              <w:rPr>
                <w:rFonts w:ascii="Times New Roman" w:hAnsi="Times New Roman"/>
                <w:bCs/>
                <w:sz w:val="28"/>
                <w:szCs w:val="28"/>
                <w:lang w:val="ro-RO"/>
              </w:rPr>
              <w:t xml:space="preserve"> semnarea Declarației de intenție privind dezvoltarea durabilă și economia verde (08 aprilie 2014).</w:t>
            </w:r>
            <w:r w:rsidR="006E030E" w:rsidRPr="00EE58AD">
              <w:rPr>
                <w:rFonts w:ascii="Times New Roman" w:hAnsi="Times New Roman"/>
                <w:sz w:val="28"/>
                <w:szCs w:val="28"/>
                <w:lang w:val="ro-RO"/>
              </w:rPr>
              <w:t xml:space="preserve"> </w:t>
            </w:r>
          </w:p>
          <w:p w:rsidR="006E030E" w:rsidRPr="00EE58AD" w:rsidRDefault="00DA7D7A" w:rsidP="006E030E">
            <w:pPr>
              <w:jc w:val="both"/>
              <w:rPr>
                <w:rFonts w:ascii="Times New Roman" w:hAnsi="Times New Roman"/>
                <w:sz w:val="28"/>
                <w:szCs w:val="28"/>
                <w:lang w:val="ro-RO"/>
              </w:rPr>
            </w:pPr>
            <w:r>
              <w:rPr>
                <w:rFonts w:ascii="Times New Roman" w:hAnsi="Times New Roman"/>
                <w:sz w:val="28"/>
                <w:szCs w:val="28"/>
                <w:lang w:val="ro-RO"/>
              </w:rPr>
              <w:t xml:space="preserve">        </w:t>
            </w:r>
            <w:r w:rsidR="00C239D4">
              <w:rPr>
                <w:rFonts w:ascii="Times New Roman" w:hAnsi="Times New Roman"/>
                <w:sz w:val="28"/>
                <w:szCs w:val="28"/>
                <w:lang w:val="ro-RO"/>
              </w:rPr>
              <w:t>Ulterior, în 2014</w:t>
            </w:r>
            <w:r w:rsidR="006E030E" w:rsidRPr="00EE58AD">
              <w:rPr>
                <w:rFonts w:ascii="Times New Roman" w:hAnsi="Times New Roman"/>
                <w:sz w:val="28"/>
                <w:szCs w:val="28"/>
                <w:lang w:val="ro-RO"/>
              </w:rPr>
              <w:t xml:space="preserve"> a </w:t>
            </w:r>
            <w:r w:rsidR="002401B7">
              <w:rPr>
                <w:rFonts w:ascii="Times New Roman" w:hAnsi="Times New Roman"/>
                <w:sz w:val="28"/>
                <w:szCs w:val="28"/>
                <w:lang w:val="ro-RO"/>
              </w:rPr>
              <w:t xml:space="preserve">fost </w:t>
            </w:r>
            <w:r w:rsidR="006E030E" w:rsidRPr="00EE58AD">
              <w:rPr>
                <w:rFonts w:ascii="Times New Roman" w:hAnsi="Times New Roman"/>
                <w:sz w:val="28"/>
                <w:szCs w:val="28"/>
                <w:lang w:val="ro-RO"/>
              </w:rPr>
              <w:t>aprobat</w:t>
            </w:r>
            <w:r w:rsidR="002401B7">
              <w:rPr>
                <w:rFonts w:ascii="Times New Roman" w:hAnsi="Times New Roman"/>
                <w:sz w:val="28"/>
                <w:szCs w:val="28"/>
                <w:lang w:val="ro-RO"/>
              </w:rPr>
              <w:t>ă</w:t>
            </w:r>
            <w:r w:rsidR="006E030E" w:rsidRPr="00EE58AD">
              <w:rPr>
                <w:rFonts w:ascii="Times New Roman" w:hAnsi="Times New Roman"/>
                <w:sz w:val="28"/>
                <w:szCs w:val="28"/>
                <w:lang w:val="ro-RO"/>
              </w:rPr>
              <w:t xml:space="preserve"> Strategia de mediu 2014-2023, care stabil</w:t>
            </w:r>
            <w:r w:rsidR="002401B7">
              <w:rPr>
                <w:rFonts w:ascii="Times New Roman" w:hAnsi="Times New Roman"/>
                <w:sz w:val="28"/>
                <w:szCs w:val="28"/>
                <w:lang w:val="ro-RO"/>
              </w:rPr>
              <w:t>ește</w:t>
            </w:r>
            <w:r w:rsidR="006E030E" w:rsidRPr="00EE58AD">
              <w:rPr>
                <w:rFonts w:ascii="Times New Roman" w:hAnsi="Times New Roman"/>
                <w:sz w:val="28"/>
                <w:szCs w:val="28"/>
                <w:lang w:val="ro-RO"/>
              </w:rPr>
              <w:t xml:space="preserve"> prioritățile naționale </w:t>
            </w:r>
            <w:proofErr w:type="spellStart"/>
            <w:r w:rsidR="006E030E" w:rsidRPr="00EE58AD">
              <w:rPr>
                <w:rFonts w:ascii="Times New Roman" w:hAnsi="Times New Roman"/>
                <w:sz w:val="28"/>
                <w:szCs w:val="28"/>
                <w:lang w:val="ro-RO"/>
              </w:rPr>
              <w:t>şi</w:t>
            </w:r>
            <w:proofErr w:type="spellEnd"/>
            <w:r w:rsidR="006E030E" w:rsidRPr="00EE58AD">
              <w:rPr>
                <w:rFonts w:ascii="Times New Roman" w:hAnsi="Times New Roman"/>
                <w:sz w:val="28"/>
                <w:szCs w:val="28"/>
                <w:lang w:val="ro-RO"/>
              </w:rPr>
              <w:t xml:space="preserve"> sectoriale privind promovarea economiei verzi și defin</w:t>
            </w:r>
            <w:r w:rsidR="002401B7">
              <w:rPr>
                <w:rFonts w:ascii="Times New Roman" w:hAnsi="Times New Roman"/>
                <w:sz w:val="28"/>
                <w:szCs w:val="28"/>
                <w:lang w:val="ro-RO"/>
              </w:rPr>
              <w:t>ește</w:t>
            </w:r>
            <w:r w:rsidR="006E030E" w:rsidRPr="00EE58AD">
              <w:rPr>
                <w:rFonts w:ascii="Times New Roman" w:hAnsi="Times New Roman"/>
                <w:sz w:val="28"/>
                <w:szCs w:val="28"/>
                <w:lang w:val="ro-RO"/>
              </w:rPr>
              <w:t xml:space="preserve"> cadrul pentru ulterioara integrare a economiei verzi în domeniul agriculturii, transportului, energiei, industriei, construcțiilor, dezvoltării regionale, educației și achizițiilor.</w:t>
            </w:r>
            <w:r w:rsidR="00001C28">
              <w:rPr>
                <w:rFonts w:ascii="Times New Roman" w:hAnsi="Times New Roman"/>
                <w:sz w:val="28"/>
                <w:szCs w:val="28"/>
                <w:lang w:val="ro-RO"/>
              </w:rPr>
              <w:t xml:space="preserve"> </w:t>
            </w:r>
            <w:r w:rsidR="006E030E" w:rsidRPr="00EE58AD">
              <w:rPr>
                <w:rFonts w:ascii="Times New Roman" w:hAnsi="Times New Roman"/>
                <w:sz w:val="28"/>
                <w:szCs w:val="28"/>
                <w:lang w:val="ro-RO"/>
              </w:rPr>
              <w:t xml:space="preserve">Astfel, </w:t>
            </w:r>
            <w:r w:rsidR="00001C28">
              <w:rPr>
                <w:rFonts w:ascii="Times New Roman" w:hAnsi="Times New Roman"/>
                <w:sz w:val="28"/>
                <w:szCs w:val="28"/>
                <w:lang w:val="ro-RO"/>
              </w:rPr>
              <w:t>”</w:t>
            </w:r>
            <w:r w:rsidR="00C239D4">
              <w:rPr>
                <w:rFonts w:ascii="Times New Roman" w:hAnsi="Times New Roman"/>
                <w:sz w:val="28"/>
                <w:szCs w:val="28"/>
                <w:lang w:val="ro-RO"/>
              </w:rPr>
              <w:t>e</w:t>
            </w:r>
            <w:r w:rsidR="006E030E" w:rsidRPr="00EE58AD">
              <w:rPr>
                <w:rFonts w:ascii="Times New Roman" w:hAnsi="Times New Roman"/>
                <w:sz w:val="28"/>
                <w:szCs w:val="28"/>
                <w:lang w:val="ro-RO"/>
              </w:rPr>
              <w:t xml:space="preserve">conomia </w:t>
            </w:r>
            <w:r w:rsidR="00C239D4">
              <w:rPr>
                <w:rFonts w:ascii="Times New Roman" w:hAnsi="Times New Roman"/>
                <w:sz w:val="28"/>
                <w:szCs w:val="28"/>
                <w:lang w:val="ro-RO"/>
              </w:rPr>
              <w:t>v</w:t>
            </w:r>
            <w:r w:rsidR="006E030E" w:rsidRPr="00EE58AD">
              <w:rPr>
                <w:rFonts w:ascii="Times New Roman" w:hAnsi="Times New Roman"/>
                <w:sz w:val="28"/>
                <w:szCs w:val="28"/>
                <w:lang w:val="ro-RO"/>
              </w:rPr>
              <w:t>erde</w:t>
            </w:r>
            <w:r w:rsidR="00001C28">
              <w:rPr>
                <w:rFonts w:ascii="Times New Roman" w:hAnsi="Times New Roman"/>
                <w:sz w:val="28"/>
                <w:szCs w:val="28"/>
                <w:lang w:val="ro-RO"/>
              </w:rPr>
              <w:t xml:space="preserve">” reprezintă dezvoltarea economică care contribuie la </w:t>
            </w:r>
            <w:r w:rsidR="006E030E" w:rsidRPr="00EE58AD">
              <w:rPr>
                <w:rFonts w:ascii="Times New Roman" w:hAnsi="Times New Roman"/>
                <w:sz w:val="28"/>
                <w:szCs w:val="28"/>
                <w:lang w:val="ro-RO"/>
              </w:rPr>
              <w:t xml:space="preserve">îmbunătățirea </w:t>
            </w:r>
            <w:r w:rsidR="00001C28">
              <w:rPr>
                <w:rFonts w:ascii="Times New Roman" w:hAnsi="Times New Roman"/>
                <w:sz w:val="28"/>
                <w:szCs w:val="28"/>
                <w:lang w:val="ro-RO"/>
              </w:rPr>
              <w:t>vieții</w:t>
            </w:r>
            <w:r w:rsidR="006E030E" w:rsidRPr="00EE58AD">
              <w:rPr>
                <w:rFonts w:ascii="Times New Roman" w:hAnsi="Times New Roman"/>
                <w:sz w:val="28"/>
                <w:szCs w:val="28"/>
                <w:lang w:val="ro-RO"/>
              </w:rPr>
              <w:t xml:space="preserve"> populației</w:t>
            </w:r>
            <w:r w:rsidR="00001C28">
              <w:rPr>
                <w:rFonts w:ascii="Times New Roman" w:hAnsi="Times New Roman"/>
                <w:sz w:val="28"/>
                <w:szCs w:val="28"/>
                <w:lang w:val="ro-RO"/>
              </w:rPr>
              <w:t>, asigurarea</w:t>
            </w:r>
            <w:r w:rsidR="006E030E" w:rsidRPr="00EE58AD">
              <w:rPr>
                <w:rFonts w:ascii="Times New Roman" w:hAnsi="Times New Roman"/>
                <w:sz w:val="28"/>
                <w:szCs w:val="28"/>
                <w:lang w:val="ro-RO"/>
              </w:rPr>
              <w:t xml:space="preserve"> echit</w:t>
            </w:r>
            <w:r w:rsidR="00001C28">
              <w:rPr>
                <w:rFonts w:ascii="Times New Roman" w:hAnsi="Times New Roman"/>
                <w:sz w:val="28"/>
                <w:szCs w:val="28"/>
                <w:lang w:val="ro-RO"/>
              </w:rPr>
              <w:t>ății</w:t>
            </w:r>
            <w:r w:rsidR="006E030E" w:rsidRPr="00EE58AD">
              <w:rPr>
                <w:rFonts w:ascii="Times New Roman" w:hAnsi="Times New Roman"/>
                <w:sz w:val="28"/>
                <w:szCs w:val="28"/>
                <w:lang w:val="ro-RO"/>
              </w:rPr>
              <w:t xml:space="preserve"> social</w:t>
            </w:r>
            <w:r w:rsidR="00001C28">
              <w:rPr>
                <w:rFonts w:ascii="Times New Roman" w:hAnsi="Times New Roman"/>
                <w:sz w:val="28"/>
                <w:szCs w:val="28"/>
                <w:lang w:val="ro-RO"/>
              </w:rPr>
              <w:t>e</w:t>
            </w:r>
            <w:r w:rsidR="006E030E" w:rsidRPr="00EE58AD">
              <w:rPr>
                <w:rFonts w:ascii="Times New Roman" w:hAnsi="Times New Roman"/>
                <w:sz w:val="28"/>
                <w:szCs w:val="28"/>
                <w:lang w:val="ro-RO"/>
              </w:rPr>
              <w:t xml:space="preserve"> cu reducerea riscurilor pentru mediu. Este o economie cu emisii reduse de carbon, eficientă în utilizarea resurselor </w:t>
            </w:r>
            <w:proofErr w:type="spellStart"/>
            <w:r w:rsidR="006E030E" w:rsidRPr="00EE58AD">
              <w:rPr>
                <w:rFonts w:ascii="Times New Roman" w:hAnsi="Times New Roman"/>
                <w:sz w:val="28"/>
                <w:szCs w:val="28"/>
                <w:lang w:val="ro-RO"/>
              </w:rPr>
              <w:t>şi</w:t>
            </w:r>
            <w:proofErr w:type="spellEnd"/>
            <w:r w:rsidR="006E030E" w:rsidRPr="00EE58AD">
              <w:rPr>
                <w:rFonts w:ascii="Times New Roman" w:hAnsi="Times New Roman"/>
                <w:sz w:val="28"/>
                <w:szCs w:val="28"/>
                <w:lang w:val="ro-RO"/>
              </w:rPr>
              <w:t xml:space="preserve"> social inclusivă.</w:t>
            </w:r>
          </w:p>
          <w:p w:rsidR="00766DC1" w:rsidRPr="00F73D51" w:rsidRDefault="00152928" w:rsidP="00766DC1">
            <w:pPr>
              <w:jc w:val="both"/>
              <w:rPr>
                <w:rFonts w:ascii="Times New Roman" w:hAnsi="Times New Roman"/>
                <w:sz w:val="28"/>
                <w:szCs w:val="28"/>
                <w:lang w:val="ro-MD"/>
              </w:rPr>
            </w:pPr>
            <w:r>
              <w:rPr>
                <w:rFonts w:ascii="Times New Roman" w:eastAsia="SimSun" w:hAnsi="Times New Roman"/>
                <w:sz w:val="28"/>
                <w:szCs w:val="28"/>
                <w:lang w:val="ro-RO" w:eastAsia="ja-JP"/>
              </w:rPr>
              <w:t xml:space="preserve">        </w:t>
            </w:r>
            <w:r w:rsidR="00766DC1" w:rsidRPr="00EE58AD">
              <w:rPr>
                <w:rFonts w:ascii="Times New Roman" w:hAnsi="Times New Roman"/>
                <w:sz w:val="28"/>
                <w:szCs w:val="28"/>
                <w:lang w:val="ro-RO"/>
              </w:rPr>
              <w:t>Fo</w:t>
            </w:r>
            <w:r w:rsidR="00766DC1">
              <w:rPr>
                <w:rFonts w:ascii="Times New Roman" w:hAnsi="Times New Roman"/>
                <w:sz w:val="28"/>
                <w:szCs w:val="28"/>
                <w:lang w:val="ro-RO"/>
              </w:rPr>
              <w:t>aia</w:t>
            </w:r>
            <w:r w:rsidR="00766DC1" w:rsidRPr="00EE58AD">
              <w:rPr>
                <w:rFonts w:ascii="Times New Roman" w:hAnsi="Times New Roman"/>
                <w:sz w:val="28"/>
                <w:szCs w:val="28"/>
                <w:lang w:val="ro-RO"/>
              </w:rPr>
              <w:t xml:space="preserve"> de parcurs </w:t>
            </w:r>
            <w:r w:rsidR="00766DC1">
              <w:rPr>
                <w:rFonts w:ascii="Times New Roman" w:hAnsi="Times New Roman"/>
                <w:sz w:val="28"/>
                <w:szCs w:val="28"/>
                <w:lang w:val="ro-RO"/>
              </w:rPr>
              <w:t>este s</w:t>
            </w:r>
            <w:r w:rsidR="006E030E" w:rsidRPr="00EE58AD">
              <w:rPr>
                <w:rFonts w:ascii="Times New Roman" w:hAnsi="Times New Roman"/>
                <w:sz w:val="28"/>
                <w:szCs w:val="28"/>
                <w:lang w:val="ro-RO"/>
              </w:rPr>
              <w:t>tructura</w:t>
            </w:r>
            <w:r w:rsidR="00766DC1">
              <w:rPr>
                <w:rFonts w:ascii="Times New Roman" w:hAnsi="Times New Roman"/>
                <w:sz w:val="28"/>
                <w:szCs w:val="28"/>
                <w:lang w:val="ro-RO"/>
              </w:rPr>
              <w:t>tă</w:t>
            </w:r>
            <w:r w:rsidR="006E030E" w:rsidRPr="00EE58AD">
              <w:rPr>
                <w:rFonts w:ascii="Times New Roman" w:hAnsi="Times New Roman"/>
                <w:sz w:val="28"/>
                <w:szCs w:val="28"/>
                <w:lang w:val="ro-RO"/>
              </w:rPr>
              <w:t xml:space="preserve"> </w:t>
            </w:r>
            <w:r w:rsidR="00AA2701">
              <w:rPr>
                <w:rFonts w:ascii="Times New Roman" w:hAnsi="Times New Roman"/>
                <w:sz w:val="28"/>
                <w:szCs w:val="28"/>
                <w:lang w:val="ro-RO"/>
              </w:rPr>
              <w:t>în 3</w:t>
            </w:r>
            <w:r w:rsidR="00766DC1">
              <w:rPr>
                <w:rFonts w:ascii="Times New Roman" w:hAnsi="Times New Roman"/>
                <w:sz w:val="28"/>
                <w:szCs w:val="28"/>
                <w:lang w:val="ro-RO"/>
              </w:rPr>
              <w:t xml:space="preserve"> </w:t>
            </w:r>
            <w:r w:rsidR="00766DC1" w:rsidRPr="00EE58AD">
              <w:rPr>
                <w:rFonts w:ascii="Times New Roman" w:hAnsi="Times New Roman"/>
                <w:sz w:val="28"/>
                <w:szCs w:val="28"/>
                <w:lang w:val="ro-RO"/>
              </w:rPr>
              <w:t>capitol</w:t>
            </w:r>
            <w:r w:rsidR="00766DC1">
              <w:rPr>
                <w:rFonts w:ascii="Times New Roman" w:hAnsi="Times New Roman"/>
                <w:sz w:val="28"/>
                <w:szCs w:val="28"/>
                <w:lang w:val="ro-RO"/>
              </w:rPr>
              <w:t xml:space="preserve">e </w:t>
            </w:r>
            <w:proofErr w:type="spellStart"/>
            <w:r w:rsidR="00766DC1">
              <w:rPr>
                <w:rFonts w:ascii="Times New Roman" w:hAnsi="Times New Roman"/>
                <w:sz w:val="28"/>
                <w:szCs w:val="28"/>
                <w:lang w:val="ro-RO"/>
              </w:rPr>
              <w:t>şi</w:t>
            </w:r>
            <w:proofErr w:type="spellEnd"/>
            <w:r w:rsidR="00E32DDA">
              <w:rPr>
                <w:rFonts w:ascii="Times New Roman" w:hAnsi="Times New Roman"/>
                <w:sz w:val="28"/>
                <w:szCs w:val="28"/>
                <w:lang w:val="ro-RO"/>
              </w:rPr>
              <w:t xml:space="preserve"> un </w:t>
            </w:r>
            <w:r w:rsidR="00766DC1">
              <w:rPr>
                <w:rFonts w:ascii="Times New Roman" w:hAnsi="Times New Roman"/>
                <w:sz w:val="28"/>
                <w:szCs w:val="28"/>
                <w:lang w:val="ro-RO"/>
              </w:rPr>
              <w:t>Plan de Acțiuni</w:t>
            </w:r>
            <w:r w:rsidR="002510D3" w:rsidRPr="00EE58AD">
              <w:rPr>
                <w:rFonts w:ascii="Times New Roman" w:hAnsi="Times New Roman"/>
                <w:sz w:val="28"/>
                <w:szCs w:val="28"/>
                <w:lang w:val="ro-RO"/>
              </w:rPr>
              <w:t xml:space="preserve"> pentru implementarea activităților în domeniul economiei verzi, cu </w:t>
            </w:r>
            <w:r w:rsidR="002510D3">
              <w:rPr>
                <w:rFonts w:ascii="Times New Roman" w:hAnsi="Times New Roman"/>
                <w:sz w:val="28"/>
                <w:szCs w:val="28"/>
                <w:lang w:val="ro-RO"/>
              </w:rPr>
              <w:t xml:space="preserve">indicarea </w:t>
            </w:r>
            <w:r w:rsidR="00F73D51">
              <w:rPr>
                <w:rFonts w:ascii="Times New Roman" w:hAnsi="Times New Roman"/>
                <w:sz w:val="28"/>
                <w:szCs w:val="28"/>
                <w:lang w:val="ro-RO"/>
              </w:rPr>
              <w:t xml:space="preserve">termenului de realizare, a responsabililor și a </w:t>
            </w:r>
            <w:r w:rsidR="002510D3">
              <w:rPr>
                <w:rFonts w:ascii="Times New Roman" w:hAnsi="Times New Roman"/>
                <w:sz w:val="28"/>
                <w:szCs w:val="28"/>
                <w:lang w:val="ro-RO"/>
              </w:rPr>
              <w:t xml:space="preserve">surselor de </w:t>
            </w:r>
            <w:r w:rsidR="00F73D51" w:rsidRPr="00F73D51">
              <w:rPr>
                <w:rFonts w:ascii="Times New Roman" w:hAnsi="Times New Roman"/>
                <w:sz w:val="28"/>
                <w:szCs w:val="28"/>
                <w:lang w:val="ro-MD"/>
              </w:rPr>
              <w:t>finanțare</w:t>
            </w:r>
            <w:r w:rsidR="002510D3" w:rsidRPr="00F73D51">
              <w:rPr>
                <w:rFonts w:ascii="Times New Roman" w:hAnsi="Times New Roman"/>
                <w:sz w:val="28"/>
                <w:szCs w:val="28"/>
                <w:lang w:val="ro-MD"/>
              </w:rPr>
              <w:t>.</w:t>
            </w:r>
            <w:r w:rsidR="00766DC1" w:rsidRPr="00F73D51">
              <w:rPr>
                <w:rFonts w:ascii="Times New Roman" w:hAnsi="Times New Roman"/>
                <w:sz w:val="28"/>
                <w:szCs w:val="28"/>
                <w:lang w:val="ro-MD"/>
              </w:rPr>
              <w:t xml:space="preserve"> Viziunea Foii de parcurs este de a consolida potențialul instituțional, administrativ și de management pentru asigura</w:t>
            </w:r>
            <w:r w:rsidR="00F73D51">
              <w:rPr>
                <w:rFonts w:ascii="Times New Roman" w:hAnsi="Times New Roman"/>
                <w:sz w:val="28"/>
                <w:szCs w:val="28"/>
                <w:lang w:val="ro-MD"/>
              </w:rPr>
              <w:t>rea</w:t>
            </w:r>
            <w:r w:rsidR="00766DC1" w:rsidRPr="00F73D51">
              <w:rPr>
                <w:rFonts w:ascii="Times New Roman" w:hAnsi="Times New Roman"/>
                <w:sz w:val="28"/>
                <w:szCs w:val="28"/>
                <w:lang w:val="ro-MD"/>
              </w:rPr>
              <w:t xml:space="preserve"> implement</w:t>
            </w:r>
            <w:r w:rsidR="00F73D51">
              <w:rPr>
                <w:rFonts w:ascii="Times New Roman" w:hAnsi="Times New Roman"/>
                <w:sz w:val="28"/>
                <w:szCs w:val="28"/>
                <w:lang w:val="ro-MD"/>
              </w:rPr>
              <w:t>ării</w:t>
            </w:r>
            <w:r w:rsidR="00766DC1" w:rsidRPr="00F73D51">
              <w:rPr>
                <w:rFonts w:ascii="Times New Roman" w:hAnsi="Times New Roman"/>
                <w:sz w:val="28"/>
                <w:szCs w:val="28"/>
                <w:lang w:val="ro-MD"/>
              </w:rPr>
              <w:t xml:space="preserve"> principiilor economiei verzi în toate sectoarele de dezvoltare </w:t>
            </w:r>
            <w:proofErr w:type="spellStart"/>
            <w:r w:rsidR="00766DC1" w:rsidRPr="00F73D51">
              <w:rPr>
                <w:rFonts w:ascii="Times New Roman" w:hAnsi="Times New Roman"/>
                <w:sz w:val="28"/>
                <w:szCs w:val="28"/>
                <w:lang w:val="ro-MD"/>
              </w:rPr>
              <w:t>socio</w:t>
            </w:r>
            <w:proofErr w:type="spellEnd"/>
            <w:r w:rsidR="00766DC1" w:rsidRPr="00F73D51">
              <w:rPr>
                <w:rFonts w:ascii="Times New Roman" w:hAnsi="Times New Roman"/>
                <w:sz w:val="28"/>
                <w:szCs w:val="28"/>
                <w:lang w:val="ro-MD"/>
              </w:rPr>
              <w:t xml:space="preserve">-economică a Republicii Moldova. Scopul </w:t>
            </w:r>
            <w:r w:rsidR="00184D17" w:rsidRPr="00F73D51">
              <w:rPr>
                <w:rFonts w:ascii="Times New Roman" w:hAnsi="Times New Roman"/>
                <w:sz w:val="28"/>
                <w:szCs w:val="28"/>
                <w:lang w:val="ro-MD"/>
              </w:rPr>
              <w:t>documentului</w:t>
            </w:r>
            <w:r w:rsidR="00766DC1" w:rsidRPr="00F73D51">
              <w:rPr>
                <w:rFonts w:ascii="Times New Roman" w:hAnsi="Times New Roman"/>
                <w:sz w:val="28"/>
                <w:szCs w:val="28"/>
                <w:lang w:val="ro-MD"/>
              </w:rPr>
              <w:t xml:space="preserve"> este de a promova implementarea principiilor economiei verzi în Republica Moldova în armonie cu dezvoltarea economică și bunăstarea socială.</w:t>
            </w:r>
          </w:p>
          <w:p w:rsidR="00521CB5" w:rsidRDefault="00A41FBC" w:rsidP="00323696">
            <w:pPr>
              <w:jc w:val="both"/>
              <w:rPr>
                <w:rFonts w:ascii="Times New Roman" w:hAnsi="Times New Roman"/>
                <w:color w:val="191919"/>
                <w:sz w:val="28"/>
                <w:szCs w:val="28"/>
                <w:lang w:val="ro-RO"/>
              </w:rPr>
            </w:pPr>
            <w:r>
              <w:rPr>
                <w:rFonts w:ascii="Times New Roman" w:hAnsi="Times New Roman"/>
                <w:sz w:val="28"/>
                <w:szCs w:val="28"/>
                <w:lang w:val="ro-RO"/>
              </w:rPr>
              <w:lastRenderedPageBreak/>
              <w:t xml:space="preserve">         </w:t>
            </w:r>
            <w:r w:rsidR="006E030E" w:rsidRPr="00EE58AD">
              <w:rPr>
                <w:rFonts w:ascii="Times New Roman" w:hAnsi="Times New Roman"/>
                <w:sz w:val="28"/>
                <w:szCs w:val="28"/>
                <w:lang w:val="ro-RO"/>
              </w:rPr>
              <w:t>Pentru asigura</w:t>
            </w:r>
            <w:r>
              <w:rPr>
                <w:rFonts w:ascii="Times New Roman" w:hAnsi="Times New Roman"/>
                <w:sz w:val="28"/>
                <w:szCs w:val="28"/>
                <w:lang w:val="ro-RO"/>
              </w:rPr>
              <w:t>rea</w:t>
            </w:r>
            <w:r w:rsidR="006E030E" w:rsidRPr="00EE58AD">
              <w:rPr>
                <w:rFonts w:ascii="Times New Roman" w:hAnsi="Times New Roman"/>
                <w:sz w:val="28"/>
                <w:szCs w:val="28"/>
                <w:lang w:val="ro-RO"/>
              </w:rPr>
              <w:t xml:space="preserve"> un</w:t>
            </w:r>
            <w:r>
              <w:rPr>
                <w:rFonts w:ascii="Times New Roman" w:hAnsi="Times New Roman"/>
                <w:sz w:val="28"/>
                <w:szCs w:val="28"/>
                <w:lang w:val="ro-RO"/>
              </w:rPr>
              <w:t>ui</w:t>
            </w:r>
            <w:r w:rsidR="006E030E" w:rsidRPr="00EE58AD">
              <w:rPr>
                <w:rFonts w:ascii="Times New Roman" w:hAnsi="Times New Roman"/>
                <w:sz w:val="28"/>
                <w:szCs w:val="28"/>
                <w:lang w:val="ro-RO"/>
              </w:rPr>
              <w:t xml:space="preserve"> cadru eficient </w:t>
            </w:r>
            <w:r w:rsidR="00F73D51">
              <w:rPr>
                <w:rFonts w:ascii="Times New Roman" w:hAnsi="Times New Roman"/>
                <w:sz w:val="28"/>
                <w:szCs w:val="28"/>
                <w:lang w:val="ro-RO"/>
              </w:rPr>
              <w:t>de</w:t>
            </w:r>
            <w:r w:rsidR="006E030E" w:rsidRPr="00EE58AD">
              <w:rPr>
                <w:rFonts w:ascii="Times New Roman" w:hAnsi="Times New Roman"/>
                <w:sz w:val="28"/>
                <w:szCs w:val="28"/>
                <w:lang w:val="ro-RO"/>
              </w:rPr>
              <w:t xml:space="preserve"> evaluare </w:t>
            </w:r>
            <w:proofErr w:type="spellStart"/>
            <w:r>
              <w:rPr>
                <w:rFonts w:ascii="Times New Roman" w:hAnsi="Times New Roman"/>
                <w:sz w:val="28"/>
                <w:szCs w:val="28"/>
                <w:lang w:val="ro-RO"/>
              </w:rPr>
              <w:t>şi</w:t>
            </w:r>
            <w:proofErr w:type="spellEnd"/>
            <w:r>
              <w:rPr>
                <w:rFonts w:ascii="Times New Roman" w:hAnsi="Times New Roman"/>
                <w:sz w:val="28"/>
                <w:szCs w:val="28"/>
                <w:lang w:val="ro-RO"/>
              </w:rPr>
              <w:t xml:space="preserve"> </w:t>
            </w:r>
            <w:r w:rsidRPr="00EE58AD">
              <w:rPr>
                <w:rFonts w:ascii="Times New Roman" w:hAnsi="Times New Roman"/>
                <w:sz w:val="28"/>
                <w:szCs w:val="28"/>
                <w:lang w:val="ro-RO"/>
              </w:rPr>
              <w:t>monitorizare</w:t>
            </w:r>
            <w:r w:rsidR="00F73D51">
              <w:rPr>
                <w:rFonts w:ascii="Times New Roman" w:hAnsi="Times New Roman"/>
                <w:sz w:val="28"/>
                <w:szCs w:val="28"/>
                <w:lang w:val="ro-RO"/>
              </w:rPr>
              <w:t xml:space="preserve"> </w:t>
            </w:r>
            <w:r w:rsidRPr="00EE58AD">
              <w:rPr>
                <w:rFonts w:ascii="Times New Roman" w:hAnsi="Times New Roman"/>
                <w:sz w:val="28"/>
                <w:szCs w:val="28"/>
                <w:lang w:val="ro-RO"/>
              </w:rPr>
              <w:t xml:space="preserve">a </w:t>
            </w:r>
            <w:r>
              <w:rPr>
                <w:rFonts w:ascii="Times New Roman" w:hAnsi="Times New Roman"/>
                <w:sz w:val="28"/>
                <w:szCs w:val="28"/>
                <w:lang w:val="ro-RO"/>
              </w:rPr>
              <w:t xml:space="preserve">nivelului de </w:t>
            </w:r>
            <w:r w:rsidRPr="00EE58AD">
              <w:rPr>
                <w:rFonts w:ascii="Times New Roman" w:hAnsi="Times New Roman"/>
                <w:sz w:val="28"/>
                <w:szCs w:val="28"/>
                <w:lang w:val="ro-RO"/>
              </w:rPr>
              <w:t xml:space="preserve">implementare </w:t>
            </w:r>
            <w:r>
              <w:rPr>
                <w:rFonts w:ascii="Times New Roman" w:hAnsi="Times New Roman"/>
                <w:sz w:val="28"/>
                <w:szCs w:val="28"/>
                <w:lang w:val="ro-RO"/>
              </w:rPr>
              <w:t xml:space="preserve">a </w:t>
            </w:r>
            <w:r w:rsidR="00B62E7E">
              <w:rPr>
                <w:rFonts w:ascii="Times New Roman" w:hAnsi="Times New Roman"/>
                <w:sz w:val="28"/>
                <w:szCs w:val="28"/>
                <w:lang w:val="ro-RO"/>
              </w:rPr>
              <w:t>Fo</w:t>
            </w:r>
            <w:r w:rsidR="001A7D31">
              <w:rPr>
                <w:rFonts w:ascii="Times New Roman" w:hAnsi="Times New Roman"/>
                <w:sz w:val="28"/>
                <w:szCs w:val="28"/>
                <w:lang w:val="ro-RO"/>
              </w:rPr>
              <w:t>ii</w:t>
            </w:r>
            <w:r w:rsidR="00B62E7E">
              <w:rPr>
                <w:rFonts w:ascii="Times New Roman" w:hAnsi="Times New Roman"/>
                <w:sz w:val="28"/>
                <w:szCs w:val="28"/>
                <w:lang w:val="ro-RO"/>
              </w:rPr>
              <w:t xml:space="preserve"> de parcurs </w:t>
            </w:r>
            <w:r w:rsidR="00521CB5" w:rsidRPr="00521CB5">
              <w:rPr>
                <w:rFonts w:ascii="Times New Roman" w:hAnsi="Times New Roman"/>
                <w:sz w:val="28"/>
                <w:szCs w:val="28"/>
                <w:lang w:val="ro-RO"/>
              </w:rPr>
              <w:t xml:space="preserve">a </w:t>
            </w:r>
            <w:r w:rsidR="001A7D31">
              <w:rPr>
                <w:rFonts w:ascii="Times New Roman" w:hAnsi="Times New Roman"/>
                <w:sz w:val="28"/>
                <w:szCs w:val="28"/>
                <w:lang w:val="ro-RO"/>
              </w:rPr>
              <w:t xml:space="preserve">elaborat </w:t>
            </w:r>
            <w:r w:rsidR="00521CB5" w:rsidRPr="00521CB5">
              <w:rPr>
                <w:rFonts w:ascii="Times New Roman" w:hAnsi="Times New Roman"/>
                <w:sz w:val="28"/>
                <w:szCs w:val="28"/>
                <w:lang w:val="ro-RO"/>
              </w:rPr>
              <w:t>set</w:t>
            </w:r>
            <w:r w:rsidR="001A7D31">
              <w:rPr>
                <w:rFonts w:ascii="Times New Roman" w:hAnsi="Times New Roman"/>
                <w:sz w:val="28"/>
                <w:szCs w:val="28"/>
                <w:lang w:val="ro-RO"/>
              </w:rPr>
              <w:t>ul</w:t>
            </w:r>
            <w:r w:rsidR="00521CB5" w:rsidRPr="00521CB5">
              <w:rPr>
                <w:rFonts w:ascii="Times New Roman" w:hAnsi="Times New Roman"/>
                <w:sz w:val="28"/>
                <w:szCs w:val="28"/>
                <w:lang w:val="ro-RO"/>
              </w:rPr>
              <w:t xml:space="preserve"> de indicatori de creștere </w:t>
            </w:r>
            <w:r w:rsidR="00F73D51">
              <w:rPr>
                <w:rFonts w:ascii="Times New Roman" w:hAnsi="Times New Roman"/>
                <w:sz w:val="28"/>
                <w:szCs w:val="28"/>
                <w:lang w:val="ro-RO"/>
              </w:rPr>
              <w:t>”ver</w:t>
            </w:r>
            <w:r w:rsidR="001A7D31">
              <w:rPr>
                <w:rFonts w:ascii="Times New Roman" w:hAnsi="Times New Roman"/>
                <w:sz w:val="28"/>
                <w:szCs w:val="28"/>
                <w:lang w:val="ro-RO"/>
              </w:rPr>
              <w:t>zi</w:t>
            </w:r>
            <w:r w:rsidR="00F73D51">
              <w:rPr>
                <w:rFonts w:ascii="Times New Roman" w:hAnsi="Times New Roman"/>
                <w:sz w:val="28"/>
                <w:szCs w:val="28"/>
                <w:lang w:val="ro-RO"/>
              </w:rPr>
              <w:t>”</w:t>
            </w:r>
            <w:r w:rsidR="00521CB5" w:rsidRPr="00521CB5">
              <w:rPr>
                <w:rFonts w:ascii="Times New Roman" w:hAnsi="Times New Roman"/>
                <w:sz w:val="28"/>
                <w:szCs w:val="28"/>
                <w:lang w:val="ro-RO"/>
              </w:rPr>
              <w:t xml:space="preserve"> în Moldova, pe baza setului de indicatori ai OCDE.</w:t>
            </w:r>
            <w:r w:rsidR="001A7D31">
              <w:rPr>
                <w:rFonts w:ascii="Times New Roman" w:hAnsi="Times New Roman"/>
                <w:sz w:val="28"/>
                <w:szCs w:val="28"/>
                <w:lang w:val="ro-RO"/>
              </w:rPr>
              <w:t xml:space="preserve"> </w:t>
            </w:r>
            <w:r w:rsidR="00521CB5" w:rsidRPr="00521CB5">
              <w:rPr>
                <w:rFonts w:ascii="Times New Roman" w:hAnsi="Times New Roman"/>
                <w:sz w:val="28"/>
                <w:szCs w:val="28"/>
                <w:lang w:val="ro-RO"/>
              </w:rPr>
              <w:t xml:space="preserve">Raportul Național bazat pe setul </w:t>
            </w:r>
            <w:r w:rsidR="00323696" w:rsidRPr="00521CB5">
              <w:rPr>
                <w:rFonts w:ascii="Times New Roman" w:hAnsi="Times New Roman"/>
                <w:sz w:val="28"/>
                <w:szCs w:val="28"/>
                <w:lang w:val="ro-RO"/>
              </w:rPr>
              <w:t>OCDE</w:t>
            </w:r>
            <w:r w:rsidR="00323696" w:rsidRPr="00521CB5">
              <w:rPr>
                <w:rFonts w:ascii="Times New Roman" w:hAnsi="Times New Roman"/>
                <w:sz w:val="28"/>
                <w:szCs w:val="28"/>
                <w:lang w:val="ro-RO"/>
              </w:rPr>
              <w:t xml:space="preserve"> </w:t>
            </w:r>
            <w:r w:rsidR="00521CB5" w:rsidRPr="00521CB5">
              <w:rPr>
                <w:rFonts w:ascii="Times New Roman" w:hAnsi="Times New Roman"/>
                <w:sz w:val="28"/>
                <w:szCs w:val="28"/>
                <w:lang w:val="ro-RO"/>
              </w:rPr>
              <w:t xml:space="preserve">de indicatori </w:t>
            </w:r>
            <w:r w:rsidR="00323696">
              <w:rPr>
                <w:rFonts w:ascii="Times New Roman" w:hAnsi="Times New Roman"/>
                <w:sz w:val="28"/>
                <w:szCs w:val="28"/>
                <w:lang w:val="ro-RO"/>
              </w:rPr>
              <w:t>ai</w:t>
            </w:r>
            <w:r w:rsidR="00521CB5" w:rsidRPr="00521CB5">
              <w:rPr>
                <w:rFonts w:ascii="Times New Roman" w:hAnsi="Times New Roman"/>
                <w:sz w:val="28"/>
                <w:szCs w:val="28"/>
                <w:lang w:val="ro-RO"/>
              </w:rPr>
              <w:t xml:space="preserve"> creșter</w:t>
            </w:r>
            <w:r w:rsidR="00323696">
              <w:rPr>
                <w:rFonts w:ascii="Times New Roman" w:hAnsi="Times New Roman"/>
                <w:sz w:val="28"/>
                <w:szCs w:val="28"/>
                <w:lang w:val="ro-RO"/>
              </w:rPr>
              <w:t>ii</w:t>
            </w:r>
            <w:r w:rsidR="00521CB5" w:rsidRPr="00521CB5">
              <w:rPr>
                <w:rFonts w:ascii="Times New Roman" w:hAnsi="Times New Roman"/>
                <w:sz w:val="28"/>
                <w:szCs w:val="28"/>
                <w:lang w:val="ro-RO"/>
              </w:rPr>
              <w:t xml:space="preserve"> ver</w:t>
            </w:r>
            <w:r w:rsidR="00323696">
              <w:rPr>
                <w:rFonts w:ascii="Times New Roman" w:hAnsi="Times New Roman"/>
                <w:sz w:val="28"/>
                <w:szCs w:val="28"/>
                <w:lang w:val="ro-RO"/>
              </w:rPr>
              <w:t>zi</w:t>
            </w:r>
            <w:r w:rsidR="00521CB5" w:rsidRPr="00521CB5">
              <w:rPr>
                <w:rFonts w:ascii="Times New Roman" w:hAnsi="Times New Roman"/>
                <w:sz w:val="28"/>
                <w:szCs w:val="28"/>
                <w:lang w:val="ro-RO"/>
              </w:rPr>
              <w:t xml:space="preserve"> a fost elaborat în comun de către Ministerul </w:t>
            </w:r>
            <w:r w:rsidR="00323696">
              <w:rPr>
                <w:rFonts w:ascii="Times New Roman" w:hAnsi="Times New Roman"/>
                <w:sz w:val="28"/>
                <w:szCs w:val="28"/>
                <w:lang w:val="ro-RO"/>
              </w:rPr>
              <w:t>Agriculturii, Dezvoltării Regionale și Mediului</w:t>
            </w:r>
            <w:r w:rsidR="00521CB5" w:rsidRPr="00521CB5">
              <w:rPr>
                <w:rFonts w:ascii="Times New Roman" w:hAnsi="Times New Roman"/>
                <w:sz w:val="28"/>
                <w:szCs w:val="28"/>
                <w:lang w:val="ro-RO"/>
              </w:rPr>
              <w:t>, Ministerul Economiei</w:t>
            </w:r>
            <w:r w:rsidR="00323696">
              <w:rPr>
                <w:rFonts w:ascii="Times New Roman" w:hAnsi="Times New Roman"/>
                <w:sz w:val="28"/>
                <w:szCs w:val="28"/>
                <w:lang w:val="ro-RO"/>
              </w:rPr>
              <w:t xml:space="preserve"> și Infrastructurii</w:t>
            </w:r>
            <w:r w:rsidR="00521CB5" w:rsidRPr="00521CB5">
              <w:rPr>
                <w:rFonts w:ascii="Times New Roman" w:hAnsi="Times New Roman"/>
                <w:sz w:val="28"/>
                <w:szCs w:val="28"/>
                <w:lang w:val="ro-RO"/>
              </w:rPr>
              <w:t xml:space="preserve">, Biroul Național de Statistică, </w:t>
            </w:r>
            <w:r w:rsidR="00323696" w:rsidRPr="00521CB5">
              <w:rPr>
                <w:rFonts w:ascii="Times New Roman" w:hAnsi="Times New Roman"/>
                <w:sz w:val="28"/>
                <w:szCs w:val="28"/>
                <w:lang w:val="ro-RO"/>
              </w:rPr>
              <w:t>parteneri</w:t>
            </w:r>
            <w:r w:rsidR="00323696">
              <w:rPr>
                <w:rFonts w:ascii="Times New Roman" w:hAnsi="Times New Roman"/>
                <w:sz w:val="28"/>
                <w:szCs w:val="28"/>
                <w:lang w:val="ro-RO"/>
              </w:rPr>
              <w:t>i de</w:t>
            </w:r>
            <w:r w:rsidR="00323696" w:rsidRPr="00521CB5">
              <w:rPr>
                <w:rFonts w:ascii="Times New Roman" w:hAnsi="Times New Roman"/>
                <w:sz w:val="28"/>
                <w:szCs w:val="28"/>
                <w:lang w:val="ro-RO"/>
              </w:rPr>
              <w:t xml:space="preserve"> </w:t>
            </w:r>
            <w:r w:rsidR="00521CB5" w:rsidRPr="00521CB5">
              <w:rPr>
                <w:rFonts w:ascii="Times New Roman" w:hAnsi="Times New Roman"/>
                <w:sz w:val="28"/>
                <w:szCs w:val="28"/>
                <w:lang w:val="ro-RO"/>
              </w:rPr>
              <w:t xml:space="preserve">dezvoltare (OECD, UNECE, UNIDO etc.) și publicat în </w:t>
            </w:r>
            <w:r w:rsidR="00323696">
              <w:rPr>
                <w:rFonts w:ascii="Times New Roman" w:hAnsi="Times New Roman"/>
                <w:sz w:val="28"/>
                <w:szCs w:val="28"/>
                <w:lang w:val="ro-RO"/>
              </w:rPr>
              <w:t xml:space="preserve">septembrie </w:t>
            </w:r>
            <w:r w:rsidR="00521CB5" w:rsidRPr="00521CB5">
              <w:rPr>
                <w:rFonts w:ascii="Times New Roman" w:hAnsi="Times New Roman"/>
                <w:sz w:val="28"/>
                <w:szCs w:val="28"/>
                <w:lang w:val="ro-RO"/>
              </w:rPr>
              <w:t xml:space="preserve">2017 (http://www.green-economies-eap.org/resources/Report_EN.pdf). Acest raport prezintă situația și tendințele ecologizării economiei, utilizând </w:t>
            </w:r>
            <w:r w:rsidR="00323696">
              <w:rPr>
                <w:rFonts w:ascii="Times New Roman" w:hAnsi="Times New Roman"/>
                <w:sz w:val="28"/>
                <w:szCs w:val="28"/>
                <w:lang w:val="ro-RO"/>
              </w:rPr>
              <w:t>o</w:t>
            </w:r>
            <w:r w:rsidR="00521CB5" w:rsidRPr="00521CB5">
              <w:rPr>
                <w:rFonts w:ascii="Times New Roman" w:hAnsi="Times New Roman"/>
                <w:sz w:val="28"/>
                <w:szCs w:val="28"/>
                <w:lang w:val="ro-RO"/>
              </w:rPr>
              <w:t>rientările OCDE pentru țările Parteneriatului estic și un set specific de indicatori.</w:t>
            </w:r>
          </w:p>
        </w:tc>
      </w:tr>
      <w:bookmarkEnd w:id="0"/>
      <w:tr w:rsidR="00A53F99" w:rsidTr="009B4B86">
        <w:tc>
          <w:tcPr>
            <w:tcW w:w="9924" w:type="dxa"/>
            <w:shd w:val="clear" w:color="auto" w:fill="D9D9D9" w:themeFill="background1" w:themeFillShade="D9"/>
          </w:tcPr>
          <w:p w:rsidR="00A53F99" w:rsidRPr="002C013F" w:rsidRDefault="002C013F" w:rsidP="002C013F">
            <w:pPr>
              <w:pStyle w:val="Listparagraf"/>
              <w:widowControl w:val="0"/>
              <w:numPr>
                <w:ilvl w:val="0"/>
                <w:numId w:val="1"/>
              </w:numPr>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lastRenderedPageBreak/>
              <w:t>Fundamentarea economico-financiara</w:t>
            </w:r>
          </w:p>
        </w:tc>
      </w:tr>
      <w:tr w:rsidR="00A53F99" w:rsidRPr="004621FC" w:rsidTr="009B4B86">
        <w:tc>
          <w:tcPr>
            <w:tcW w:w="9924" w:type="dxa"/>
          </w:tcPr>
          <w:p w:rsidR="00300D91" w:rsidRDefault="00790AE6" w:rsidP="00790AE6">
            <w:pPr>
              <w:widowControl w:val="0"/>
              <w:overflowPunct w:val="0"/>
              <w:adjustRightInd w:val="0"/>
              <w:ind w:firstLine="720"/>
              <w:jc w:val="both"/>
              <w:rPr>
                <w:rFonts w:ascii="Times New Roman" w:hAnsi="Times New Roman"/>
                <w:color w:val="191919"/>
                <w:sz w:val="28"/>
                <w:szCs w:val="28"/>
                <w:lang w:val="ro-RO"/>
              </w:rPr>
            </w:pPr>
            <w:r w:rsidRPr="00EE58AD">
              <w:rPr>
                <w:rFonts w:ascii="Times New Roman" w:hAnsi="Times New Roman"/>
                <w:color w:val="191919"/>
                <w:sz w:val="28"/>
                <w:szCs w:val="28"/>
                <w:lang w:val="ro-RO"/>
              </w:rPr>
              <w:t xml:space="preserve">La punerea în aplicare a Foii de parcurs și Planului de acțiuni vor fi necesare cheltuieli pentru consolidarea capacităților autorității centrale de mediu și a ministerelor și </w:t>
            </w:r>
            <w:r w:rsidR="00323696">
              <w:rPr>
                <w:rFonts w:ascii="Times New Roman" w:hAnsi="Times New Roman"/>
                <w:color w:val="191919"/>
                <w:sz w:val="28"/>
                <w:szCs w:val="28"/>
                <w:lang w:val="ro-RO"/>
              </w:rPr>
              <w:t>altor instituții</w:t>
            </w:r>
            <w:r w:rsidRPr="00EE58AD">
              <w:rPr>
                <w:rFonts w:ascii="Times New Roman" w:hAnsi="Times New Roman"/>
                <w:color w:val="191919"/>
                <w:sz w:val="28"/>
                <w:szCs w:val="28"/>
                <w:lang w:val="ro-RO"/>
              </w:rPr>
              <w:t xml:space="preserve"> implicate</w:t>
            </w:r>
            <w:r w:rsidR="008A7348">
              <w:rPr>
                <w:rFonts w:ascii="Times New Roman" w:hAnsi="Times New Roman"/>
                <w:color w:val="191919"/>
                <w:sz w:val="28"/>
                <w:szCs w:val="28"/>
                <w:lang w:val="ro-RO"/>
              </w:rPr>
              <w:t xml:space="preserve"> </w:t>
            </w:r>
            <w:r w:rsidR="00323696">
              <w:rPr>
                <w:rFonts w:ascii="Times New Roman" w:hAnsi="Times New Roman"/>
                <w:color w:val="191919"/>
                <w:sz w:val="28"/>
                <w:szCs w:val="28"/>
                <w:lang w:val="ro-RO"/>
              </w:rPr>
              <w:t xml:space="preserve">în </w:t>
            </w:r>
            <w:r w:rsidR="008A7348">
              <w:rPr>
                <w:rFonts w:ascii="Times New Roman" w:hAnsi="Times New Roman"/>
                <w:color w:val="191919"/>
                <w:sz w:val="28"/>
                <w:szCs w:val="28"/>
                <w:lang w:val="ro-RO"/>
              </w:rPr>
              <w:t>realizarea măsurilor planificate</w:t>
            </w:r>
            <w:r w:rsidRPr="00EE58AD">
              <w:rPr>
                <w:rFonts w:ascii="Times New Roman" w:hAnsi="Times New Roman"/>
                <w:color w:val="191919"/>
                <w:sz w:val="28"/>
                <w:szCs w:val="28"/>
                <w:lang w:val="ro-RO"/>
              </w:rPr>
              <w:t xml:space="preserve">. </w:t>
            </w:r>
          </w:p>
          <w:p w:rsidR="0076052F" w:rsidRDefault="00300D91" w:rsidP="009A2EB3">
            <w:pPr>
              <w:widowControl w:val="0"/>
              <w:overflowPunct w:val="0"/>
              <w:adjustRightInd w:val="0"/>
              <w:ind w:firstLine="720"/>
              <w:jc w:val="both"/>
              <w:rPr>
                <w:rFonts w:ascii="Times New Roman" w:hAnsi="Times New Roman"/>
                <w:color w:val="191919"/>
                <w:sz w:val="28"/>
                <w:szCs w:val="28"/>
                <w:lang w:val="ro-RO"/>
              </w:rPr>
            </w:pPr>
            <w:r w:rsidRPr="00461C74">
              <w:rPr>
                <w:rFonts w:ascii="Times New Roman" w:hAnsi="Times New Roman"/>
                <w:color w:val="191919"/>
                <w:sz w:val="28"/>
                <w:szCs w:val="28"/>
                <w:lang w:val="ro-RO"/>
              </w:rPr>
              <w:t>Se propune integrarea și</w:t>
            </w:r>
            <w:r w:rsidR="00790AE6" w:rsidRPr="00461C74">
              <w:rPr>
                <w:rFonts w:ascii="Times New Roman" w:hAnsi="Times New Roman"/>
                <w:color w:val="191919"/>
                <w:sz w:val="28"/>
                <w:szCs w:val="28"/>
                <w:lang w:val="ro-RO"/>
              </w:rPr>
              <w:t xml:space="preserve"> planifica</w:t>
            </w:r>
            <w:r w:rsidRPr="00461C74">
              <w:rPr>
                <w:rFonts w:ascii="Times New Roman" w:hAnsi="Times New Roman"/>
                <w:color w:val="191919"/>
                <w:sz w:val="28"/>
                <w:szCs w:val="28"/>
                <w:lang w:val="ro-RO"/>
              </w:rPr>
              <w:t>rea acestor cheltuieli</w:t>
            </w:r>
            <w:r w:rsidR="00790AE6" w:rsidRPr="00461C74">
              <w:rPr>
                <w:rFonts w:ascii="Times New Roman" w:hAnsi="Times New Roman"/>
                <w:color w:val="191919"/>
                <w:sz w:val="28"/>
                <w:szCs w:val="28"/>
                <w:lang w:val="ro-RO"/>
              </w:rPr>
              <w:t xml:space="preserve"> în Strategi</w:t>
            </w:r>
            <w:r w:rsidR="00717EF0">
              <w:rPr>
                <w:rFonts w:ascii="Times New Roman" w:hAnsi="Times New Roman"/>
                <w:color w:val="191919"/>
                <w:sz w:val="28"/>
                <w:szCs w:val="28"/>
                <w:lang w:val="ro-RO"/>
              </w:rPr>
              <w:t>ile</w:t>
            </w:r>
            <w:r w:rsidR="00790AE6" w:rsidRPr="00461C74">
              <w:rPr>
                <w:rFonts w:ascii="Times New Roman" w:hAnsi="Times New Roman"/>
                <w:color w:val="191919"/>
                <w:sz w:val="28"/>
                <w:szCs w:val="28"/>
                <w:lang w:val="ro-RO"/>
              </w:rPr>
              <w:t xml:space="preserve"> de cheltuieli pentru anii 2018-2020 în domen</w:t>
            </w:r>
            <w:r w:rsidR="00717EF0">
              <w:rPr>
                <w:rFonts w:ascii="Times New Roman" w:hAnsi="Times New Roman"/>
                <w:color w:val="191919"/>
                <w:sz w:val="28"/>
                <w:szCs w:val="28"/>
                <w:lang w:val="ro-RO"/>
              </w:rPr>
              <w:t xml:space="preserve">iile de competență. </w:t>
            </w:r>
            <w:r w:rsidR="00790AE6" w:rsidRPr="00EE58AD">
              <w:rPr>
                <w:rFonts w:ascii="Times New Roman" w:hAnsi="Times New Roman"/>
                <w:color w:val="191919"/>
                <w:sz w:val="28"/>
                <w:szCs w:val="28"/>
                <w:lang w:val="ro-RO"/>
              </w:rPr>
              <w:t>Totodată</w:t>
            </w:r>
            <w:r w:rsidR="009A2EB3">
              <w:rPr>
                <w:rFonts w:ascii="Times New Roman" w:hAnsi="Times New Roman"/>
                <w:color w:val="191919"/>
                <w:sz w:val="28"/>
                <w:szCs w:val="28"/>
                <w:lang w:val="ro-RO"/>
              </w:rPr>
              <w:t>,</w:t>
            </w:r>
            <w:r w:rsidR="00790AE6" w:rsidRPr="00EE58AD">
              <w:rPr>
                <w:rFonts w:ascii="Times New Roman" w:hAnsi="Times New Roman"/>
                <w:color w:val="191919"/>
                <w:sz w:val="28"/>
                <w:szCs w:val="28"/>
                <w:lang w:val="ro-RO"/>
              </w:rPr>
              <w:t xml:space="preserve"> </w:t>
            </w:r>
            <w:r w:rsidR="009A2EB3">
              <w:rPr>
                <w:rFonts w:ascii="Times New Roman" w:hAnsi="Times New Roman"/>
                <w:color w:val="191919"/>
                <w:sz w:val="28"/>
                <w:szCs w:val="28"/>
                <w:lang w:val="ro-RO"/>
              </w:rPr>
              <w:t>va fi necesară</w:t>
            </w:r>
            <w:r w:rsidR="00790AE6" w:rsidRPr="00EE58AD">
              <w:rPr>
                <w:rFonts w:ascii="Times New Roman" w:hAnsi="Times New Roman"/>
                <w:color w:val="191919"/>
                <w:sz w:val="28"/>
                <w:szCs w:val="28"/>
                <w:lang w:val="ro-RO"/>
              </w:rPr>
              <w:t xml:space="preserve"> atragerea asistenței metodologice și financiare din cadrul </w:t>
            </w:r>
            <w:r w:rsidR="00717EF0">
              <w:rPr>
                <w:rFonts w:ascii="Times New Roman" w:hAnsi="Times New Roman"/>
                <w:color w:val="191919"/>
                <w:sz w:val="28"/>
                <w:szCs w:val="28"/>
                <w:lang w:val="ro-RO"/>
              </w:rPr>
              <w:t>p</w:t>
            </w:r>
            <w:r w:rsidR="009A2EB3">
              <w:rPr>
                <w:rFonts w:ascii="Times New Roman" w:hAnsi="Times New Roman"/>
                <w:color w:val="191919"/>
                <w:sz w:val="28"/>
                <w:szCs w:val="28"/>
                <w:lang w:val="ro-RO"/>
              </w:rPr>
              <w:t>r</w:t>
            </w:r>
            <w:r w:rsidR="00717EF0">
              <w:rPr>
                <w:rFonts w:ascii="Times New Roman" w:hAnsi="Times New Roman"/>
                <w:color w:val="191919"/>
                <w:sz w:val="28"/>
                <w:szCs w:val="28"/>
                <w:lang w:val="ro-RO"/>
              </w:rPr>
              <w:t>oi</w:t>
            </w:r>
            <w:r w:rsidR="009A2EB3">
              <w:rPr>
                <w:rFonts w:ascii="Times New Roman" w:hAnsi="Times New Roman"/>
                <w:color w:val="191919"/>
                <w:sz w:val="28"/>
                <w:szCs w:val="28"/>
                <w:lang w:val="ro-RO"/>
              </w:rPr>
              <w:t>e</w:t>
            </w:r>
            <w:r w:rsidR="00717EF0">
              <w:rPr>
                <w:rFonts w:ascii="Times New Roman" w:hAnsi="Times New Roman"/>
                <w:color w:val="191919"/>
                <w:sz w:val="28"/>
                <w:szCs w:val="28"/>
                <w:lang w:val="ro-RO"/>
              </w:rPr>
              <w:t>ctelor</w:t>
            </w:r>
            <w:r w:rsidR="00790AE6" w:rsidRPr="00EE58AD">
              <w:rPr>
                <w:rFonts w:ascii="Times New Roman" w:hAnsi="Times New Roman"/>
                <w:color w:val="191919"/>
                <w:sz w:val="28"/>
                <w:szCs w:val="28"/>
                <w:lang w:val="ro-RO"/>
              </w:rPr>
              <w:t xml:space="preserve"> UE in domeniu și de la partenerii de dezvoltare implicați în promovarea economiei verzi</w:t>
            </w:r>
            <w:r w:rsidR="00790AE6">
              <w:rPr>
                <w:rFonts w:ascii="Times New Roman" w:hAnsi="Times New Roman"/>
                <w:color w:val="191919"/>
                <w:sz w:val="28"/>
                <w:szCs w:val="28"/>
                <w:lang w:val="ro-RO"/>
              </w:rPr>
              <w:t xml:space="preserve">: OECD GREEN Action Program: </w:t>
            </w:r>
            <w:hyperlink r:id="rId7" w:history="1">
              <w:r w:rsidR="00790AE6" w:rsidRPr="001765B1">
                <w:rPr>
                  <w:rStyle w:val="Hyperlink"/>
                  <w:rFonts w:ascii="Times New Roman" w:hAnsi="Times New Roman"/>
                  <w:sz w:val="28"/>
                  <w:szCs w:val="28"/>
                  <w:lang w:val="ro-RO"/>
                </w:rPr>
                <w:t>http://www.oecd.org/env/outreach/eap-tf.htm</w:t>
              </w:r>
            </w:hyperlink>
            <w:r w:rsidR="00790AE6">
              <w:rPr>
                <w:rFonts w:ascii="Times New Roman" w:hAnsi="Times New Roman"/>
                <w:color w:val="191919"/>
                <w:sz w:val="28"/>
                <w:szCs w:val="28"/>
                <w:lang w:val="ro-RO"/>
              </w:rPr>
              <w:t xml:space="preserve">; UN Environment, Programul Cadru de 10 ani privind consumul și producerea durabilă: </w:t>
            </w:r>
            <w:hyperlink r:id="rId8" w:history="1">
              <w:r w:rsidR="00790AE6" w:rsidRPr="001765B1">
                <w:rPr>
                  <w:rStyle w:val="Hyperlink"/>
                  <w:rFonts w:ascii="Times New Roman" w:hAnsi="Times New Roman"/>
                  <w:sz w:val="28"/>
                  <w:szCs w:val="28"/>
                  <w:lang w:val="ro-RO"/>
                </w:rPr>
                <w:t>http://www.unep.org/10yfp/about/what-10yfp</w:t>
              </w:r>
            </w:hyperlink>
            <w:r w:rsidR="00790AE6">
              <w:rPr>
                <w:rFonts w:ascii="Times New Roman" w:hAnsi="Times New Roman"/>
                <w:color w:val="191919"/>
                <w:sz w:val="28"/>
                <w:szCs w:val="28"/>
                <w:lang w:val="ro-RO"/>
              </w:rPr>
              <w:t>; și programe</w:t>
            </w:r>
            <w:r w:rsidR="009A2EB3">
              <w:rPr>
                <w:rFonts w:ascii="Times New Roman" w:hAnsi="Times New Roman"/>
                <w:color w:val="191919"/>
                <w:sz w:val="28"/>
                <w:szCs w:val="28"/>
                <w:lang w:val="ro-RO"/>
              </w:rPr>
              <w:t>le</w:t>
            </w:r>
            <w:r w:rsidR="00602759">
              <w:rPr>
                <w:rFonts w:ascii="Times New Roman" w:hAnsi="Times New Roman"/>
                <w:color w:val="191919"/>
                <w:sz w:val="28"/>
                <w:szCs w:val="28"/>
                <w:lang w:val="ro-RO"/>
              </w:rPr>
              <w:t xml:space="preserve"> regionale</w:t>
            </w:r>
            <w:r w:rsidR="00790AE6">
              <w:rPr>
                <w:rFonts w:ascii="Times New Roman" w:hAnsi="Times New Roman"/>
                <w:color w:val="191919"/>
                <w:sz w:val="28"/>
                <w:szCs w:val="28"/>
                <w:lang w:val="ro-RO"/>
              </w:rPr>
              <w:t xml:space="preserve"> </w:t>
            </w:r>
            <w:r w:rsidR="009A2EB3">
              <w:rPr>
                <w:rFonts w:ascii="Times New Roman" w:hAnsi="Times New Roman"/>
                <w:color w:val="191919"/>
                <w:sz w:val="28"/>
                <w:szCs w:val="28"/>
                <w:lang w:val="ro-RO"/>
              </w:rPr>
              <w:t>noi</w:t>
            </w:r>
            <w:r w:rsidR="009A2EB3">
              <w:rPr>
                <w:rFonts w:ascii="Times New Roman" w:hAnsi="Times New Roman"/>
                <w:color w:val="191919"/>
                <w:sz w:val="28"/>
                <w:szCs w:val="28"/>
                <w:lang w:val="ro-RO"/>
              </w:rPr>
              <w:t xml:space="preserve"> </w:t>
            </w:r>
            <w:r w:rsidR="00790AE6">
              <w:rPr>
                <w:rFonts w:ascii="Times New Roman" w:hAnsi="Times New Roman"/>
                <w:color w:val="191919"/>
                <w:sz w:val="28"/>
                <w:szCs w:val="28"/>
                <w:lang w:val="ro-RO"/>
              </w:rPr>
              <w:t xml:space="preserve">în domeniul mediului și economiei verzi ale UE. </w:t>
            </w:r>
          </w:p>
        </w:tc>
      </w:tr>
      <w:tr w:rsidR="00A53F99" w:rsidRPr="004621FC" w:rsidTr="009B4B86">
        <w:tc>
          <w:tcPr>
            <w:tcW w:w="9924" w:type="dxa"/>
            <w:shd w:val="clear" w:color="auto" w:fill="D9D9D9" w:themeFill="background1" w:themeFillShade="D9"/>
          </w:tcPr>
          <w:p w:rsidR="00A53F99" w:rsidRPr="002C013F" w:rsidRDefault="002C013F" w:rsidP="002C013F">
            <w:pPr>
              <w:pStyle w:val="Listparagraf"/>
              <w:widowControl w:val="0"/>
              <w:numPr>
                <w:ilvl w:val="0"/>
                <w:numId w:val="1"/>
              </w:numPr>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Modul de incorporare a proiectului în sistemul actelor normative în vigoare</w:t>
            </w:r>
          </w:p>
        </w:tc>
      </w:tr>
      <w:tr w:rsidR="00A53F99" w:rsidRPr="004621FC" w:rsidTr="009B4B86">
        <w:tc>
          <w:tcPr>
            <w:tcW w:w="9924" w:type="dxa"/>
          </w:tcPr>
          <w:p w:rsidR="0076052F" w:rsidRDefault="00CC378A" w:rsidP="00461C74">
            <w:pPr>
              <w:widowControl w:val="0"/>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 xml:space="preserve">          </w:t>
            </w:r>
            <w:r w:rsidR="001B351C">
              <w:rPr>
                <w:rFonts w:ascii="Times New Roman" w:hAnsi="Times New Roman"/>
                <w:color w:val="191919"/>
                <w:sz w:val="28"/>
                <w:szCs w:val="28"/>
                <w:lang w:val="ro-RO"/>
              </w:rPr>
              <w:t xml:space="preserve">Fiind elaborat întru implementarea </w:t>
            </w:r>
            <w:r w:rsidR="001B351C" w:rsidRPr="00EE58AD">
              <w:rPr>
                <w:rFonts w:ascii="Times New Roman" w:hAnsi="Times New Roman"/>
                <w:sz w:val="28"/>
                <w:szCs w:val="28"/>
                <w:lang w:val="ro-RO"/>
              </w:rPr>
              <w:t xml:space="preserve">prevederilor </w:t>
            </w:r>
            <w:r w:rsidR="001B351C" w:rsidRPr="00EE58AD">
              <w:rPr>
                <w:rFonts w:ascii="Times New Roman" w:hAnsi="Times New Roman"/>
                <w:color w:val="000000"/>
                <w:sz w:val="28"/>
                <w:szCs w:val="28"/>
                <w:lang w:val="ro-RO"/>
              </w:rPr>
              <w:t>Planului național de acțiuni pentru implementarea Acordului de Asociere Republica Moldova–Uniunea Europeană în perioada 2017–2019</w:t>
            </w:r>
            <w:r w:rsidR="001B351C">
              <w:rPr>
                <w:rFonts w:ascii="Times New Roman" w:hAnsi="Times New Roman"/>
                <w:color w:val="000000"/>
                <w:sz w:val="28"/>
                <w:szCs w:val="28"/>
                <w:lang w:val="ro-RO"/>
              </w:rPr>
              <w:t xml:space="preserve">, </w:t>
            </w:r>
            <w:r w:rsidR="00461C74">
              <w:rPr>
                <w:rFonts w:ascii="Times New Roman" w:hAnsi="Times New Roman"/>
                <w:color w:val="000000"/>
                <w:sz w:val="28"/>
                <w:szCs w:val="28"/>
                <w:lang w:val="ro-RO"/>
              </w:rPr>
              <w:t>p</w:t>
            </w:r>
            <w:r w:rsidR="001B351C" w:rsidRPr="00EE58AD">
              <w:rPr>
                <w:rFonts w:ascii="Times New Roman" w:hAnsi="Times New Roman"/>
                <w:color w:val="191919"/>
                <w:sz w:val="28"/>
                <w:szCs w:val="28"/>
                <w:lang w:val="ro-RO"/>
              </w:rPr>
              <w:t xml:space="preserve">roiectul Hotărârii Guvernului </w:t>
            </w:r>
            <w:r w:rsidR="001B351C">
              <w:rPr>
                <w:rFonts w:ascii="Times New Roman" w:hAnsi="Times New Roman"/>
                <w:color w:val="191919"/>
                <w:sz w:val="28"/>
                <w:szCs w:val="28"/>
                <w:lang w:val="ro-RO"/>
              </w:rPr>
              <w:t xml:space="preserve">va crea un cadru unic pentru promovarea acțiunilor </w:t>
            </w:r>
            <w:r w:rsidR="00FC6CF6">
              <w:rPr>
                <w:rFonts w:ascii="Times New Roman" w:hAnsi="Times New Roman"/>
                <w:color w:val="191919"/>
                <w:sz w:val="28"/>
                <w:szCs w:val="28"/>
                <w:lang w:val="ro-RO"/>
              </w:rPr>
              <w:t xml:space="preserve">de scurtă durată </w:t>
            </w:r>
            <w:r w:rsidR="001B351C">
              <w:rPr>
                <w:rFonts w:ascii="Times New Roman" w:hAnsi="Times New Roman"/>
                <w:color w:val="191919"/>
                <w:sz w:val="28"/>
                <w:szCs w:val="28"/>
                <w:lang w:val="ro-RO"/>
              </w:rPr>
              <w:t>în domeniul economiei verzi</w:t>
            </w:r>
            <w:r w:rsidR="00FC6CF6">
              <w:rPr>
                <w:rFonts w:ascii="Times New Roman" w:hAnsi="Times New Roman"/>
                <w:color w:val="191919"/>
                <w:sz w:val="28"/>
                <w:szCs w:val="28"/>
                <w:lang w:val="ro-RO"/>
              </w:rPr>
              <w:t xml:space="preserve"> în Republica Moldova</w:t>
            </w:r>
            <w:r w:rsidR="001B351C">
              <w:rPr>
                <w:rFonts w:ascii="Times New Roman" w:hAnsi="Times New Roman"/>
                <w:color w:val="191919"/>
                <w:sz w:val="28"/>
                <w:szCs w:val="28"/>
                <w:lang w:val="ro-RO"/>
              </w:rPr>
              <w:t>, suplinind golurile în domeniul dat din Strategia de Mediu 2014-2023 și strategiile sectoriale</w:t>
            </w:r>
            <w:r w:rsidR="00FC6CF6">
              <w:rPr>
                <w:rFonts w:ascii="Times New Roman" w:hAnsi="Times New Roman"/>
                <w:color w:val="191919"/>
                <w:sz w:val="28"/>
                <w:szCs w:val="28"/>
                <w:lang w:val="ro-RO"/>
              </w:rPr>
              <w:t xml:space="preserve"> relevante</w:t>
            </w:r>
            <w:r w:rsidR="001B351C">
              <w:rPr>
                <w:rFonts w:ascii="Times New Roman" w:hAnsi="Times New Roman"/>
                <w:color w:val="191919"/>
                <w:sz w:val="28"/>
                <w:szCs w:val="28"/>
                <w:lang w:val="ro-RO"/>
              </w:rPr>
              <w:t xml:space="preserve"> în vigoare și </w:t>
            </w:r>
            <w:r w:rsidR="00461C74">
              <w:rPr>
                <w:rFonts w:ascii="Times New Roman" w:hAnsi="Times New Roman"/>
                <w:color w:val="191919"/>
                <w:sz w:val="28"/>
                <w:szCs w:val="28"/>
                <w:lang w:val="ro-RO"/>
              </w:rPr>
              <w:t>va sta</w:t>
            </w:r>
            <w:r w:rsidR="001B351C">
              <w:rPr>
                <w:rFonts w:ascii="Times New Roman" w:hAnsi="Times New Roman"/>
                <w:color w:val="191919"/>
                <w:sz w:val="28"/>
                <w:szCs w:val="28"/>
                <w:lang w:val="ro-RO"/>
              </w:rPr>
              <w:t xml:space="preserve"> </w:t>
            </w:r>
            <w:r w:rsidR="00461C74">
              <w:rPr>
                <w:rFonts w:ascii="Times New Roman" w:hAnsi="Times New Roman"/>
                <w:color w:val="191919"/>
                <w:sz w:val="28"/>
                <w:szCs w:val="28"/>
                <w:lang w:val="ro-RO"/>
              </w:rPr>
              <w:t xml:space="preserve">la baza </w:t>
            </w:r>
            <w:r w:rsidR="001B351C">
              <w:rPr>
                <w:rFonts w:ascii="Times New Roman" w:hAnsi="Times New Roman"/>
                <w:color w:val="191919"/>
                <w:sz w:val="28"/>
                <w:szCs w:val="28"/>
                <w:lang w:val="ro-RO"/>
              </w:rPr>
              <w:t>elaborării Strategiei Moldova 2030.</w:t>
            </w:r>
          </w:p>
        </w:tc>
      </w:tr>
      <w:tr w:rsidR="00A53F99" w:rsidRPr="004621FC" w:rsidTr="009B4B86">
        <w:tc>
          <w:tcPr>
            <w:tcW w:w="9924" w:type="dxa"/>
            <w:shd w:val="clear" w:color="auto" w:fill="D9D9D9" w:themeFill="background1" w:themeFillShade="D9"/>
          </w:tcPr>
          <w:p w:rsidR="00A53F99" w:rsidRPr="002C013F" w:rsidRDefault="002C013F" w:rsidP="002C013F">
            <w:pPr>
              <w:pStyle w:val="Listparagraf"/>
              <w:widowControl w:val="0"/>
              <w:numPr>
                <w:ilvl w:val="0"/>
                <w:numId w:val="1"/>
              </w:numPr>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Avizarea și consultarea publică a proiectului</w:t>
            </w:r>
          </w:p>
        </w:tc>
      </w:tr>
      <w:tr w:rsidR="00A53F99" w:rsidRPr="004621FC" w:rsidTr="009B4B86">
        <w:tc>
          <w:tcPr>
            <w:tcW w:w="9924" w:type="dxa"/>
          </w:tcPr>
          <w:p w:rsidR="0076052F" w:rsidRDefault="00F75DB4" w:rsidP="008F5CE0">
            <w:pPr>
              <w:widowControl w:val="0"/>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 xml:space="preserve">          </w:t>
            </w:r>
            <w:r w:rsidR="00461C74">
              <w:rPr>
                <w:rFonts w:ascii="Times New Roman" w:hAnsi="Times New Roman"/>
                <w:color w:val="191919"/>
                <w:sz w:val="28"/>
                <w:szCs w:val="28"/>
                <w:lang w:val="ro-RO"/>
              </w:rPr>
              <w:t xml:space="preserve">Prezentarea </w:t>
            </w:r>
            <w:r>
              <w:rPr>
                <w:rFonts w:ascii="Times New Roman" w:hAnsi="Times New Roman"/>
                <w:color w:val="191919"/>
                <w:sz w:val="28"/>
                <w:szCs w:val="28"/>
                <w:lang w:val="ro-RO"/>
              </w:rPr>
              <w:t>preliminar</w:t>
            </w:r>
            <w:r w:rsidR="00461C74">
              <w:rPr>
                <w:rFonts w:ascii="Times New Roman" w:hAnsi="Times New Roman"/>
                <w:color w:val="191919"/>
                <w:sz w:val="28"/>
                <w:szCs w:val="28"/>
                <w:lang w:val="ro-RO"/>
              </w:rPr>
              <w:t>ă</w:t>
            </w:r>
            <w:r>
              <w:rPr>
                <w:rFonts w:ascii="Times New Roman" w:hAnsi="Times New Roman"/>
                <w:color w:val="191919"/>
                <w:sz w:val="28"/>
                <w:szCs w:val="28"/>
                <w:lang w:val="ro-RO"/>
              </w:rPr>
              <w:t xml:space="preserve"> a</w:t>
            </w:r>
            <w:r w:rsidR="00461C74">
              <w:rPr>
                <w:rFonts w:ascii="Times New Roman" w:hAnsi="Times New Roman"/>
                <w:color w:val="191919"/>
                <w:sz w:val="28"/>
                <w:szCs w:val="28"/>
                <w:lang w:val="ro-RO"/>
              </w:rPr>
              <w:t xml:space="preserve"> proiectului</w:t>
            </w:r>
            <w:r>
              <w:rPr>
                <w:rFonts w:ascii="Times New Roman" w:hAnsi="Times New Roman"/>
                <w:color w:val="191919"/>
                <w:sz w:val="28"/>
                <w:szCs w:val="28"/>
                <w:lang w:val="ro-RO"/>
              </w:rPr>
              <w:t xml:space="preserve"> </w:t>
            </w:r>
            <w:r w:rsidRPr="00F75DB4">
              <w:rPr>
                <w:rFonts w:ascii="Times New Roman" w:hAnsi="Times New Roman"/>
                <w:sz w:val="28"/>
                <w:szCs w:val="28"/>
                <w:lang w:val="ro-RO"/>
              </w:rPr>
              <w:t>Foii de parcurs privind promovarea economiei verzi în Republica Moldova</w:t>
            </w:r>
            <w:r>
              <w:rPr>
                <w:rFonts w:ascii="Times New Roman" w:hAnsi="Times New Roman"/>
                <w:sz w:val="28"/>
                <w:szCs w:val="28"/>
                <w:lang w:val="ro-RO"/>
              </w:rPr>
              <w:t xml:space="preserve"> a avut loc </w:t>
            </w:r>
            <w:r w:rsidR="00461C74">
              <w:rPr>
                <w:rFonts w:ascii="Times New Roman" w:hAnsi="Times New Roman"/>
                <w:sz w:val="28"/>
                <w:szCs w:val="28"/>
                <w:lang w:val="ro-RO"/>
              </w:rPr>
              <w:t xml:space="preserve">în cadrul ședințelor </w:t>
            </w:r>
            <w:r>
              <w:rPr>
                <w:rFonts w:ascii="Times New Roman" w:hAnsi="Times New Roman"/>
                <w:sz w:val="28"/>
                <w:szCs w:val="28"/>
                <w:lang w:val="ro-RO"/>
              </w:rPr>
              <w:t>Grupului de lucru inter-ministerial</w:t>
            </w:r>
            <w:r w:rsidR="00461C74">
              <w:rPr>
                <w:rFonts w:ascii="Times New Roman" w:hAnsi="Times New Roman"/>
                <w:sz w:val="28"/>
                <w:szCs w:val="28"/>
                <w:lang w:val="ro-RO"/>
              </w:rPr>
              <w:t xml:space="preserve"> privind economia verde. </w:t>
            </w:r>
            <w:r w:rsidR="009614A0">
              <w:rPr>
                <w:rFonts w:ascii="Times New Roman" w:hAnsi="Times New Roman"/>
                <w:sz w:val="28"/>
                <w:szCs w:val="28"/>
                <w:lang w:val="ro-RO"/>
              </w:rPr>
              <w:t xml:space="preserve">         </w:t>
            </w:r>
          </w:p>
        </w:tc>
      </w:tr>
      <w:tr w:rsidR="00A53F99" w:rsidTr="009B4B86">
        <w:tc>
          <w:tcPr>
            <w:tcW w:w="9924" w:type="dxa"/>
            <w:shd w:val="clear" w:color="auto" w:fill="D9D9D9" w:themeFill="background1" w:themeFillShade="D9"/>
          </w:tcPr>
          <w:p w:rsidR="00A53F99" w:rsidRPr="002C013F" w:rsidRDefault="002C013F" w:rsidP="002C013F">
            <w:pPr>
              <w:pStyle w:val="Listparagraf"/>
              <w:widowControl w:val="0"/>
              <w:numPr>
                <w:ilvl w:val="0"/>
                <w:numId w:val="1"/>
              </w:numPr>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Constatările altor expertize</w:t>
            </w:r>
          </w:p>
        </w:tc>
      </w:tr>
      <w:tr w:rsidR="00A53F99" w:rsidRPr="004621FC" w:rsidTr="009B4B86">
        <w:tc>
          <w:tcPr>
            <w:tcW w:w="9924" w:type="dxa"/>
          </w:tcPr>
          <w:p w:rsidR="0076052F" w:rsidRDefault="003249D7" w:rsidP="00461C74">
            <w:pPr>
              <w:widowControl w:val="0"/>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 xml:space="preserve">          </w:t>
            </w:r>
            <w:r w:rsidR="0040053C">
              <w:rPr>
                <w:rFonts w:ascii="Times New Roman" w:hAnsi="Times New Roman"/>
                <w:color w:val="191919"/>
                <w:sz w:val="28"/>
                <w:szCs w:val="28"/>
                <w:lang w:val="ro-RO"/>
              </w:rPr>
              <w:t>În perioada februarie-iulie 2017 p</w:t>
            </w:r>
            <w:r>
              <w:rPr>
                <w:rFonts w:ascii="Times New Roman" w:hAnsi="Times New Roman"/>
                <w:color w:val="191919"/>
                <w:sz w:val="28"/>
                <w:szCs w:val="28"/>
                <w:lang w:val="ro-RO"/>
              </w:rPr>
              <w:t xml:space="preserve">roiectul documentului a fost </w:t>
            </w:r>
            <w:r w:rsidR="00087A4E">
              <w:rPr>
                <w:rFonts w:ascii="Times New Roman" w:hAnsi="Times New Roman"/>
                <w:color w:val="191919"/>
                <w:sz w:val="28"/>
                <w:szCs w:val="28"/>
                <w:lang w:val="ro-RO"/>
              </w:rPr>
              <w:t xml:space="preserve">coordonat și </w:t>
            </w:r>
            <w:r>
              <w:rPr>
                <w:rFonts w:ascii="Times New Roman" w:hAnsi="Times New Roman"/>
                <w:color w:val="191919"/>
                <w:sz w:val="28"/>
                <w:szCs w:val="28"/>
                <w:lang w:val="ro-RO"/>
              </w:rPr>
              <w:t>consulat</w:t>
            </w:r>
            <w:r w:rsidR="0040053C">
              <w:rPr>
                <w:rFonts w:ascii="Times New Roman" w:hAnsi="Times New Roman"/>
                <w:color w:val="191919"/>
                <w:sz w:val="28"/>
                <w:szCs w:val="28"/>
                <w:lang w:val="ro-RO"/>
              </w:rPr>
              <w:t xml:space="preserve"> de către </w:t>
            </w:r>
            <w:r w:rsidR="00A5682E">
              <w:rPr>
                <w:rFonts w:ascii="Times New Roman" w:hAnsi="Times New Roman"/>
                <w:color w:val="191919"/>
                <w:sz w:val="28"/>
                <w:szCs w:val="28"/>
                <w:lang w:val="ro-RO"/>
              </w:rPr>
              <w:t>experți</w:t>
            </w:r>
            <w:r w:rsidR="0040053C">
              <w:rPr>
                <w:rFonts w:ascii="Times New Roman" w:hAnsi="Times New Roman"/>
                <w:color w:val="191919"/>
                <w:sz w:val="28"/>
                <w:szCs w:val="28"/>
                <w:lang w:val="ro-RO"/>
              </w:rPr>
              <w:t>i</w:t>
            </w:r>
            <w:r w:rsidR="00A5682E">
              <w:rPr>
                <w:rFonts w:ascii="Times New Roman" w:hAnsi="Times New Roman"/>
                <w:color w:val="191919"/>
                <w:sz w:val="28"/>
                <w:szCs w:val="28"/>
                <w:lang w:val="ro-RO"/>
              </w:rPr>
              <w:t xml:space="preserve"> UN Environment și OECD în domeniu.   </w:t>
            </w:r>
          </w:p>
        </w:tc>
      </w:tr>
      <w:tr w:rsidR="002C013F" w:rsidTr="009B4B86">
        <w:tc>
          <w:tcPr>
            <w:tcW w:w="9924" w:type="dxa"/>
            <w:shd w:val="clear" w:color="auto" w:fill="D9D9D9" w:themeFill="background1" w:themeFillShade="D9"/>
          </w:tcPr>
          <w:p w:rsidR="002C013F" w:rsidRPr="002C013F" w:rsidRDefault="002C013F" w:rsidP="002C013F">
            <w:pPr>
              <w:pStyle w:val="Listparagraf"/>
              <w:widowControl w:val="0"/>
              <w:numPr>
                <w:ilvl w:val="0"/>
                <w:numId w:val="1"/>
              </w:numPr>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Constatările expertizei anticorupție</w:t>
            </w:r>
          </w:p>
        </w:tc>
      </w:tr>
      <w:tr w:rsidR="002C013F" w:rsidTr="009B4B86">
        <w:tc>
          <w:tcPr>
            <w:tcW w:w="9924" w:type="dxa"/>
          </w:tcPr>
          <w:p w:rsidR="001B351C" w:rsidRDefault="004A0F20" w:rsidP="0040053C">
            <w:pPr>
              <w:widowControl w:val="0"/>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w:t>
            </w:r>
          </w:p>
        </w:tc>
      </w:tr>
      <w:tr w:rsidR="002C013F" w:rsidTr="009B4B86">
        <w:tc>
          <w:tcPr>
            <w:tcW w:w="9924" w:type="dxa"/>
            <w:shd w:val="clear" w:color="auto" w:fill="D9D9D9" w:themeFill="background1" w:themeFillShade="D9"/>
          </w:tcPr>
          <w:p w:rsidR="002C013F" w:rsidRPr="002C013F" w:rsidRDefault="002C013F" w:rsidP="002C013F">
            <w:pPr>
              <w:pStyle w:val="Listparagraf"/>
              <w:widowControl w:val="0"/>
              <w:numPr>
                <w:ilvl w:val="0"/>
                <w:numId w:val="1"/>
              </w:numPr>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Constatările expertizei juridice</w:t>
            </w:r>
          </w:p>
        </w:tc>
      </w:tr>
      <w:tr w:rsidR="002C013F" w:rsidTr="009B4B86">
        <w:tc>
          <w:tcPr>
            <w:tcW w:w="9924" w:type="dxa"/>
          </w:tcPr>
          <w:p w:rsidR="001B351C" w:rsidRDefault="004A0F20" w:rsidP="007E5FC8">
            <w:pPr>
              <w:widowControl w:val="0"/>
              <w:overflowPunct w:val="0"/>
              <w:adjustRightInd w:val="0"/>
              <w:jc w:val="both"/>
              <w:rPr>
                <w:rFonts w:ascii="Times New Roman" w:hAnsi="Times New Roman"/>
                <w:color w:val="191919"/>
                <w:sz w:val="28"/>
                <w:szCs w:val="28"/>
                <w:lang w:val="ro-RO"/>
              </w:rPr>
            </w:pPr>
            <w:r>
              <w:rPr>
                <w:rFonts w:ascii="Times New Roman" w:hAnsi="Times New Roman"/>
                <w:color w:val="191919"/>
                <w:sz w:val="28"/>
                <w:szCs w:val="28"/>
                <w:lang w:val="ro-RO"/>
              </w:rPr>
              <w:t>-</w:t>
            </w:r>
          </w:p>
        </w:tc>
      </w:tr>
    </w:tbl>
    <w:p w:rsidR="002F004A" w:rsidRDefault="002F004A" w:rsidP="002F004A">
      <w:pPr>
        <w:widowControl w:val="0"/>
        <w:overflowPunct w:val="0"/>
        <w:adjustRightInd w:val="0"/>
        <w:spacing w:after="0" w:line="240" w:lineRule="auto"/>
        <w:jc w:val="both"/>
        <w:rPr>
          <w:rFonts w:ascii="Times New Roman" w:hAnsi="Times New Roman"/>
          <w:color w:val="191919"/>
          <w:sz w:val="28"/>
          <w:szCs w:val="28"/>
          <w:lang w:val="ro-RO"/>
        </w:rPr>
      </w:pPr>
    </w:p>
    <w:p w:rsidR="002457F9" w:rsidRPr="00EE58AD" w:rsidRDefault="002457F9" w:rsidP="002F004A">
      <w:pPr>
        <w:widowControl w:val="0"/>
        <w:overflowPunct w:val="0"/>
        <w:adjustRightInd w:val="0"/>
        <w:spacing w:after="0" w:line="240" w:lineRule="auto"/>
        <w:jc w:val="both"/>
        <w:rPr>
          <w:rFonts w:ascii="Times New Roman" w:hAnsi="Times New Roman"/>
          <w:color w:val="191919"/>
          <w:sz w:val="28"/>
          <w:szCs w:val="28"/>
          <w:lang w:val="ro-RO"/>
        </w:rPr>
      </w:pPr>
    </w:p>
    <w:p w:rsidR="00397AA2" w:rsidRPr="00EE58AD" w:rsidRDefault="009950A6" w:rsidP="004621FC">
      <w:pPr>
        <w:widowControl w:val="0"/>
        <w:overflowPunct w:val="0"/>
        <w:adjustRightInd w:val="0"/>
        <w:spacing w:after="0" w:line="240" w:lineRule="auto"/>
        <w:ind w:firstLine="720"/>
        <w:jc w:val="both"/>
        <w:rPr>
          <w:rFonts w:ascii="Times New Roman" w:hAnsi="Times New Roman"/>
          <w:lang w:val="ro-RO"/>
        </w:rPr>
      </w:pPr>
      <w:bookmarkStart w:id="1" w:name="_GoBack"/>
      <w:bookmarkEnd w:id="1"/>
      <w:r w:rsidRPr="008A6422">
        <w:rPr>
          <w:rFonts w:ascii="Times New Roman" w:hAnsi="Times New Roman"/>
          <w:b/>
          <w:color w:val="000000"/>
          <w:sz w:val="28"/>
          <w:szCs w:val="28"/>
          <w:lang w:val="ro-RO"/>
        </w:rPr>
        <w:t xml:space="preserve">Ministru </w:t>
      </w:r>
      <w:r w:rsidR="00A56A10">
        <w:rPr>
          <w:rFonts w:ascii="Times New Roman" w:hAnsi="Times New Roman"/>
          <w:b/>
          <w:color w:val="000000"/>
          <w:sz w:val="28"/>
          <w:szCs w:val="28"/>
          <w:lang w:val="ro-RO"/>
        </w:rPr>
        <w:tab/>
      </w:r>
      <w:r w:rsidR="00A56A10">
        <w:rPr>
          <w:rFonts w:ascii="Times New Roman" w:hAnsi="Times New Roman"/>
          <w:b/>
          <w:color w:val="000000"/>
          <w:sz w:val="28"/>
          <w:szCs w:val="28"/>
          <w:lang w:val="ro-RO"/>
        </w:rPr>
        <w:tab/>
      </w:r>
      <w:r w:rsidR="00A56A10">
        <w:rPr>
          <w:rFonts w:ascii="Times New Roman" w:hAnsi="Times New Roman"/>
          <w:b/>
          <w:color w:val="000000"/>
          <w:sz w:val="28"/>
          <w:szCs w:val="28"/>
          <w:lang w:val="ro-RO"/>
        </w:rPr>
        <w:tab/>
      </w:r>
      <w:r w:rsidR="00A56A10">
        <w:rPr>
          <w:rFonts w:ascii="Times New Roman" w:hAnsi="Times New Roman"/>
          <w:b/>
          <w:color w:val="000000"/>
          <w:sz w:val="28"/>
          <w:szCs w:val="28"/>
          <w:lang w:val="ro-RO"/>
        </w:rPr>
        <w:tab/>
      </w:r>
      <w:r w:rsidR="00A56A10">
        <w:rPr>
          <w:rFonts w:ascii="Times New Roman" w:hAnsi="Times New Roman"/>
          <w:b/>
          <w:color w:val="000000"/>
          <w:sz w:val="28"/>
          <w:szCs w:val="28"/>
          <w:lang w:val="ro-RO"/>
        </w:rPr>
        <w:tab/>
      </w:r>
      <w:r w:rsidR="0040053C">
        <w:rPr>
          <w:rFonts w:ascii="Times New Roman" w:hAnsi="Times New Roman"/>
          <w:b/>
          <w:color w:val="000000"/>
          <w:sz w:val="28"/>
          <w:szCs w:val="28"/>
          <w:lang w:val="ro-RO"/>
        </w:rPr>
        <w:tab/>
      </w:r>
      <w:r w:rsidR="0040053C">
        <w:rPr>
          <w:rFonts w:ascii="Times New Roman" w:hAnsi="Times New Roman"/>
          <w:b/>
          <w:color w:val="000000"/>
          <w:sz w:val="28"/>
          <w:szCs w:val="28"/>
          <w:lang w:val="ro-RO"/>
        </w:rPr>
        <w:tab/>
      </w:r>
      <w:r w:rsidR="0040053C">
        <w:rPr>
          <w:rFonts w:ascii="Times New Roman" w:hAnsi="Times New Roman"/>
          <w:b/>
          <w:color w:val="000000"/>
          <w:sz w:val="28"/>
          <w:szCs w:val="28"/>
          <w:lang w:val="ro-RO"/>
        </w:rPr>
        <w:tab/>
      </w:r>
      <w:r w:rsidR="00A56A10">
        <w:rPr>
          <w:rFonts w:ascii="Times New Roman" w:hAnsi="Times New Roman"/>
          <w:b/>
          <w:color w:val="000000"/>
          <w:sz w:val="28"/>
          <w:szCs w:val="28"/>
          <w:lang w:val="ro-RO"/>
        </w:rPr>
        <w:t>Vasile BÎTCA</w:t>
      </w:r>
    </w:p>
    <w:sectPr w:rsidR="00397AA2" w:rsidRPr="00EE58AD" w:rsidSect="009B4B86">
      <w:pgSz w:w="11907" w:h="16839" w:code="9"/>
      <w:pgMar w:top="1440" w:right="1134"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E0244"/>
    <w:multiLevelType w:val="hybridMultilevel"/>
    <w:tmpl w:val="63FE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2"/>
  </w:compat>
  <w:rsids>
    <w:rsidRoot w:val="00171A79"/>
    <w:rsid w:val="00001C28"/>
    <w:rsid w:val="000077D3"/>
    <w:rsid w:val="000349AE"/>
    <w:rsid w:val="0004707E"/>
    <w:rsid w:val="0005719A"/>
    <w:rsid w:val="0006424A"/>
    <w:rsid w:val="000778DB"/>
    <w:rsid w:val="00087A4E"/>
    <w:rsid w:val="000910B6"/>
    <w:rsid w:val="00096343"/>
    <w:rsid w:val="000A4125"/>
    <w:rsid w:val="000B4919"/>
    <w:rsid w:val="000B7D49"/>
    <w:rsid w:val="0010672D"/>
    <w:rsid w:val="00130307"/>
    <w:rsid w:val="00152928"/>
    <w:rsid w:val="00171A79"/>
    <w:rsid w:val="00184D17"/>
    <w:rsid w:val="00185C93"/>
    <w:rsid w:val="001A7D31"/>
    <w:rsid w:val="001B351C"/>
    <w:rsid w:val="001D0DE5"/>
    <w:rsid w:val="001F1EA5"/>
    <w:rsid w:val="002029CC"/>
    <w:rsid w:val="0021023B"/>
    <w:rsid w:val="00216166"/>
    <w:rsid w:val="002377D9"/>
    <w:rsid w:val="002401B7"/>
    <w:rsid w:val="00240C24"/>
    <w:rsid w:val="002457F9"/>
    <w:rsid w:val="002510D3"/>
    <w:rsid w:val="002679C4"/>
    <w:rsid w:val="00272E83"/>
    <w:rsid w:val="00273531"/>
    <w:rsid w:val="002920BA"/>
    <w:rsid w:val="002A32A8"/>
    <w:rsid w:val="002C013F"/>
    <w:rsid w:val="002F004A"/>
    <w:rsid w:val="00300D91"/>
    <w:rsid w:val="00323696"/>
    <w:rsid w:val="003249D7"/>
    <w:rsid w:val="0035241E"/>
    <w:rsid w:val="00361757"/>
    <w:rsid w:val="003812B3"/>
    <w:rsid w:val="00385D0A"/>
    <w:rsid w:val="00397AA2"/>
    <w:rsid w:val="003E5E7C"/>
    <w:rsid w:val="003F58AD"/>
    <w:rsid w:val="0040053C"/>
    <w:rsid w:val="004159E8"/>
    <w:rsid w:val="004435CF"/>
    <w:rsid w:val="00461C74"/>
    <w:rsid w:val="004621FC"/>
    <w:rsid w:val="004A0F20"/>
    <w:rsid w:val="004C4522"/>
    <w:rsid w:val="004C76A0"/>
    <w:rsid w:val="004C7AE6"/>
    <w:rsid w:val="004D774C"/>
    <w:rsid w:val="004E138F"/>
    <w:rsid w:val="004F72A9"/>
    <w:rsid w:val="0050556B"/>
    <w:rsid w:val="00521CB5"/>
    <w:rsid w:val="005418BA"/>
    <w:rsid w:val="00557229"/>
    <w:rsid w:val="005616FF"/>
    <w:rsid w:val="0056303F"/>
    <w:rsid w:val="0057083C"/>
    <w:rsid w:val="005979C1"/>
    <w:rsid w:val="005D1837"/>
    <w:rsid w:val="005D2D21"/>
    <w:rsid w:val="005D6853"/>
    <w:rsid w:val="005E0A1B"/>
    <w:rsid w:val="005F39D5"/>
    <w:rsid w:val="00602759"/>
    <w:rsid w:val="006131B0"/>
    <w:rsid w:val="00634299"/>
    <w:rsid w:val="00640B52"/>
    <w:rsid w:val="0065026E"/>
    <w:rsid w:val="006542B1"/>
    <w:rsid w:val="0066132D"/>
    <w:rsid w:val="00677988"/>
    <w:rsid w:val="00692678"/>
    <w:rsid w:val="006A1877"/>
    <w:rsid w:val="006A48E5"/>
    <w:rsid w:val="006E030E"/>
    <w:rsid w:val="00717EF0"/>
    <w:rsid w:val="00720BF7"/>
    <w:rsid w:val="00736525"/>
    <w:rsid w:val="0075706E"/>
    <w:rsid w:val="0076052F"/>
    <w:rsid w:val="00766DC1"/>
    <w:rsid w:val="00790AE6"/>
    <w:rsid w:val="007913D3"/>
    <w:rsid w:val="007A0783"/>
    <w:rsid w:val="007A0A40"/>
    <w:rsid w:val="007A18AB"/>
    <w:rsid w:val="007A6B00"/>
    <w:rsid w:val="007E0C73"/>
    <w:rsid w:val="007E4BCF"/>
    <w:rsid w:val="007E5FC8"/>
    <w:rsid w:val="00856A05"/>
    <w:rsid w:val="0087780A"/>
    <w:rsid w:val="00887B46"/>
    <w:rsid w:val="00896110"/>
    <w:rsid w:val="008A6422"/>
    <w:rsid w:val="008A7348"/>
    <w:rsid w:val="008E1A38"/>
    <w:rsid w:val="008F5CE0"/>
    <w:rsid w:val="00911E43"/>
    <w:rsid w:val="00914D26"/>
    <w:rsid w:val="009614A0"/>
    <w:rsid w:val="009770D2"/>
    <w:rsid w:val="009950A6"/>
    <w:rsid w:val="009A18B9"/>
    <w:rsid w:val="009A2EB3"/>
    <w:rsid w:val="009B4B86"/>
    <w:rsid w:val="009E0CA6"/>
    <w:rsid w:val="00A26F4D"/>
    <w:rsid w:val="00A301A0"/>
    <w:rsid w:val="00A41FBC"/>
    <w:rsid w:val="00A465E9"/>
    <w:rsid w:val="00A53F99"/>
    <w:rsid w:val="00A5682E"/>
    <w:rsid w:val="00A56A10"/>
    <w:rsid w:val="00A65784"/>
    <w:rsid w:val="00A7170F"/>
    <w:rsid w:val="00A761B3"/>
    <w:rsid w:val="00A80F57"/>
    <w:rsid w:val="00A94904"/>
    <w:rsid w:val="00AA194D"/>
    <w:rsid w:val="00AA2701"/>
    <w:rsid w:val="00AC1B87"/>
    <w:rsid w:val="00AD06C9"/>
    <w:rsid w:val="00B21F27"/>
    <w:rsid w:val="00B23AB5"/>
    <w:rsid w:val="00B62E7E"/>
    <w:rsid w:val="00B7535A"/>
    <w:rsid w:val="00B832E2"/>
    <w:rsid w:val="00C14821"/>
    <w:rsid w:val="00C239D4"/>
    <w:rsid w:val="00C31D0A"/>
    <w:rsid w:val="00C32217"/>
    <w:rsid w:val="00C66C0C"/>
    <w:rsid w:val="00C82341"/>
    <w:rsid w:val="00C82AA5"/>
    <w:rsid w:val="00CA028E"/>
    <w:rsid w:val="00CB3E21"/>
    <w:rsid w:val="00CC378A"/>
    <w:rsid w:val="00CC6BB4"/>
    <w:rsid w:val="00CC73FA"/>
    <w:rsid w:val="00CF1EE9"/>
    <w:rsid w:val="00D05627"/>
    <w:rsid w:val="00D44E83"/>
    <w:rsid w:val="00D45635"/>
    <w:rsid w:val="00D56364"/>
    <w:rsid w:val="00D67D4C"/>
    <w:rsid w:val="00D714A8"/>
    <w:rsid w:val="00D763B2"/>
    <w:rsid w:val="00D91440"/>
    <w:rsid w:val="00D93DE3"/>
    <w:rsid w:val="00DA7D7A"/>
    <w:rsid w:val="00DB650E"/>
    <w:rsid w:val="00DC0062"/>
    <w:rsid w:val="00DD23F6"/>
    <w:rsid w:val="00DF6E60"/>
    <w:rsid w:val="00E32DDA"/>
    <w:rsid w:val="00E35315"/>
    <w:rsid w:val="00E36D49"/>
    <w:rsid w:val="00E62B3A"/>
    <w:rsid w:val="00E62E18"/>
    <w:rsid w:val="00E73107"/>
    <w:rsid w:val="00E9280A"/>
    <w:rsid w:val="00EA2BAC"/>
    <w:rsid w:val="00EA397D"/>
    <w:rsid w:val="00EC3C11"/>
    <w:rsid w:val="00EE3445"/>
    <w:rsid w:val="00EE58AD"/>
    <w:rsid w:val="00F230D3"/>
    <w:rsid w:val="00F61BAE"/>
    <w:rsid w:val="00F70BE8"/>
    <w:rsid w:val="00F73D51"/>
    <w:rsid w:val="00F75DB4"/>
    <w:rsid w:val="00F87CD5"/>
    <w:rsid w:val="00F966AC"/>
    <w:rsid w:val="00FC6CF6"/>
    <w:rsid w:val="00FD7B31"/>
    <w:rsid w:val="00FE621C"/>
    <w:rsid w:val="00FF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400BB-F31D-4DCC-B626-C5C6FC0D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A79"/>
    <w:rPr>
      <w:rFonts w:ascii="Calibri" w:eastAsia="Times New Roman" w:hAnsi="Calibri"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ocheader">
    <w:name w:val="doc_header"/>
    <w:basedOn w:val="Fontdeparagrafimplicit"/>
    <w:rsid w:val="00171A79"/>
  </w:style>
  <w:style w:type="paragraph" w:customStyle="1" w:styleId="rg">
    <w:name w:val="rg"/>
    <w:basedOn w:val="Normal"/>
    <w:rsid w:val="00D714A8"/>
    <w:pPr>
      <w:spacing w:after="0" w:line="240" w:lineRule="auto"/>
      <w:jc w:val="right"/>
    </w:pPr>
    <w:rPr>
      <w:rFonts w:ascii="Times New Roman" w:hAnsi="Times New Roman"/>
      <w:sz w:val="24"/>
      <w:szCs w:val="24"/>
    </w:rPr>
  </w:style>
  <w:style w:type="paragraph" w:customStyle="1" w:styleId="Normal1">
    <w:name w:val="Normal1"/>
    <w:rsid w:val="004C4522"/>
    <w:rPr>
      <w:rFonts w:ascii="Calibri" w:eastAsia="Calibri" w:hAnsi="Calibri" w:cs="Calibri"/>
      <w:color w:val="000000"/>
    </w:rPr>
  </w:style>
  <w:style w:type="table" w:styleId="Tabelgril">
    <w:name w:val="Table Grid"/>
    <w:basedOn w:val="TabelNormal"/>
    <w:uiPriority w:val="59"/>
    <w:rsid w:val="00A53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53F99"/>
    <w:pPr>
      <w:ind w:left="720"/>
      <w:contextualSpacing/>
    </w:pPr>
  </w:style>
  <w:style w:type="character" w:styleId="Hyperlink">
    <w:name w:val="Hyperlink"/>
    <w:basedOn w:val="Fontdeparagrafimplicit"/>
    <w:uiPriority w:val="99"/>
    <w:unhideWhenUsed/>
    <w:rsid w:val="00790AE6"/>
    <w:rPr>
      <w:color w:val="0000FF" w:themeColor="hyperlink"/>
      <w:u w:val="single"/>
    </w:rPr>
  </w:style>
  <w:style w:type="character" w:customStyle="1" w:styleId="UnresolvedMention">
    <w:name w:val="Unresolved Mention"/>
    <w:basedOn w:val="Fontdeparagrafimplicit"/>
    <w:uiPriority w:val="99"/>
    <w:semiHidden/>
    <w:unhideWhenUsed/>
    <w:rsid w:val="00790AE6"/>
    <w:rPr>
      <w:color w:val="808080"/>
      <w:shd w:val="clear" w:color="auto" w:fill="E6E6E6"/>
    </w:rPr>
  </w:style>
  <w:style w:type="character" w:styleId="HyperlinkParcurs">
    <w:name w:val="FollowedHyperlink"/>
    <w:basedOn w:val="Fontdeparagrafimplicit"/>
    <w:uiPriority w:val="99"/>
    <w:semiHidden/>
    <w:unhideWhenUsed/>
    <w:rsid w:val="000B4919"/>
    <w:rPr>
      <w:color w:val="800080" w:themeColor="followedHyperlink"/>
      <w:u w:val="single"/>
    </w:rPr>
  </w:style>
  <w:style w:type="paragraph" w:customStyle="1" w:styleId="cn">
    <w:name w:val="cn"/>
    <w:basedOn w:val="Normal"/>
    <w:rsid w:val="00C66C0C"/>
    <w:pPr>
      <w:spacing w:after="0" w:line="240" w:lineRule="auto"/>
      <w:jc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p.org/10yfp/about/what-10yfp" TargetMode="External"/><Relationship Id="rId3" Type="http://schemas.openxmlformats.org/officeDocument/2006/relationships/styles" Target="styles.xml"/><Relationship Id="rId7" Type="http://schemas.openxmlformats.org/officeDocument/2006/relationships/hyperlink" Target="http://www.oecd.org/env/outreach/eap-tf.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environment/basics/green-economy/index_en.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FB417-76AA-4D18-8E02-8E80FAFD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3</Pages>
  <Words>1414</Words>
  <Characters>8206</Characters>
  <Application>Microsoft Office Word</Application>
  <DocSecurity>0</DocSecurity>
  <Lines>68</Lines>
  <Paragraphs>19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nbit</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Maria Nagornîi</cp:lastModifiedBy>
  <cp:revision>63</cp:revision>
  <cp:lastPrinted>2016-10-13T07:17:00Z</cp:lastPrinted>
  <dcterms:created xsi:type="dcterms:W3CDTF">2017-09-18T10:47:00Z</dcterms:created>
  <dcterms:modified xsi:type="dcterms:W3CDTF">2017-10-23T11:32:00Z</dcterms:modified>
</cp:coreProperties>
</file>