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B9" w:rsidRPr="00F81765" w:rsidRDefault="003D4FB9" w:rsidP="003D4FB9">
      <w:pPr>
        <w:jc w:val="center"/>
        <w:rPr>
          <w:b/>
          <w:sz w:val="24"/>
          <w:szCs w:val="24"/>
          <w:lang w:val="ro-RO"/>
        </w:rPr>
      </w:pPr>
      <w:r w:rsidRPr="00F81765">
        <w:rPr>
          <w:b/>
          <w:sz w:val="24"/>
          <w:szCs w:val="24"/>
          <w:lang w:val="ro-RO"/>
        </w:rPr>
        <w:t xml:space="preserve">TABELUL DIVERGENŢELOR </w:t>
      </w:r>
    </w:p>
    <w:p w:rsidR="001D1CC0" w:rsidRPr="00F81765" w:rsidRDefault="0003004A" w:rsidP="001D1CC0">
      <w:pPr>
        <w:jc w:val="center"/>
        <w:rPr>
          <w:b/>
          <w:bCs/>
          <w:sz w:val="24"/>
          <w:szCs w:val="24"/>
          <w:lang w:val="ro-RO"/>
        </w:rPr>
      </w:pPr>
      <w:r w:rsidRPr="00F81765">
        <w:rPr>
          <w:b/>
          <w:bCs/>
          <w:sz w:val="24"/>
          <w:szCs w:val="24"/>
          <w:lang w:val="ro-RO"/>
        </w:rPr>
        <w:t xml:space="preserve">cu privire la </w:t>
      </w:r>
      <w:r w:rsidR="00DC1ED6" w:rsidRPr="00F81765">
        <w:rPr>
          <w:b/>
          <w:bCs/>
          <w:sz w:val="24"/>
          <w:szCs w:val="24"/>
          <w:lang w:val="ro-RO"/>
        </w:rPr>
        <w:t xml:space="preserve">aprobarea proiectului </w:t>
      </w:r>
      <w:r w:rsidR="00F81765" w:rsidRPr="00F81765">
        <w:rPr>
          <w:b/>
          <w:bCs/>
          <w:sz w:val="24"/>
          <w:szCs w:val="24"/>
          <w:lang w:val="ro-RO"/>
        </w:rPr>
        <w:t xml:space="preserve">Hotărârii </w:t>
      </w:r>
      <w:r w:rsidR="00957042" w:rsidRPr="00F81765">
        <w:rPr>
          <w:b/>
          <w:bCs/>
          <w:sz w:val="24"/>
          <w:szCs w:val="24"/>
          <w:lang w:val="ro-RO"/>
        </w:rPr>
        <w:t>Guvern</w:t>
      </w:r>
      <w:r w:rsidR="00F81765" w:rsidRPr="00F81765">
        <w:rPr>
          <w:b/>
          <w:bCs/>
          <w:sz w:val="24"/>
          <w:szCs w:val="24"/>
          <w:lang w:val="ro-RO"/>
        </w:rPr>
        <w:t>ului</w:t>
      </w:r>
      <w:r w:rsidR="00957042" w:rsidRPr="00F81765">
        <w:rPr>
          <w:b/>
          <w:bCs/>
          <w:sz w:val="24"/>
          <w:szCs w:val="24"/>
          <w:lang w:val="ro-RO"/>
        </w:rPr>
        <w:t xml:space="preserve"> </w:t>
      </w:r>
      <w:r w:rsidR="00F81765" w:rsidRPr="00F81765">
        <w:rPr>
          <w:b/>
          <w:bCs/>
          <w:sz w:val="24"/>
          <w:szCs w:val="24"/>
          <w:lang w:val="ro-RO"/>
        </w:rPr>
        <w:t>„</w:t>
      </w:r>
      <w:r w:rsidR="00957042" w:rsidRPr="00F81765">
        <w:rPr>
          <w:b/>
          <w:bCs/>
          <w:sz w:val="24"/>
          <w:szCs w:val="24"/>
          <w:lang w:val="ro-RO"/>
        </w:rPr>
        <w:t>cu privire la aprobarea proiectului de lege pentru modificare și completarea Legii nr.172 din 25.07.2014 privind aprobarea Nomenclaturii combinate a mărfurilor</w:t>
      </w:r>
      <w:r w:rsidR="00F81765" w:rsidRPr="00F81765">
        <w:rPr>
          <w:b/>
          <w:bCs/>
          <w:sz w:val="24"/>
          <w:szCs w:val="24"/>
          <w:lang w:val="ro-RO"/>
        </w:rPr>
        <w:t>”</w:t>
      </w:r>
    </w:p>
    <w:p w:rsidR="003D4FB9" w:rsidRPr="008F57F1" w:rsidRDefault="003D4FB9" w:rsidP="00F9357F">
      <w:pPr>
        <w:pStyle w:val="BodyText"/>
        <w:rPr>
          <w:sz w:val="20"/>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9213"/>
        <w:gridCol w:w="4508"/>
      </w:tblGrid>
      <w:tr w:rsidR="003D4FB9" w:rsidRPr="00E009DC" w:rsidTr="008A41E8">
        <w:tc>
          <w:tcPr>
            <w:tcW w:w="1873" w:type="dxa"/>
            <w:shd w:val="clear" w:color="auto" w:fill="auto"/>
            <w:vAlign w:val="center"/>
          </w:tcPr>
          <w:p w:rsidR="003D4FB9" w:rsidRPr="00E009DC" w:rsidRDefault="003D4FB9" w:rsidP="006B35A3">
            <w:pPr>
              <w:pStyle w:val="BodyText"/>
              <w:tabs>
                <w:tab w:val="num" w:pos="825"/>
                <w:tab w:val="num" w:pos="1353"/>
              </w:tabs>
              <w:jc w:val="center"/>
              <w:rPr>
                <w:b/>
                <w:sz w:val="20"/>
              </w:rPr>
            </w:pPr>
            <w:r w:rsidRPr="00E009DC">
              <w:rPr>
                <w:b/>
                <w:sz w:val="20"/>
              </w:rPr>
              <w:t>Denumirea instituţiilor</w:t>
            </w:r>
          </w:p>
        </w:tc>
        <w:tc>
          <w:tcPr>
            <w:tcW w:w="9213" w:type="dxa"/>
            <w:shd w:val="clear" w:color="auto" w:fill="auto"/>
            <w:vAlign w:val="center"/>
          </w:tcPr>
          <w:p w:rsidR="003D4FB9" w:rsidRPr="00E009DC" w:rsidRDefault="003D4FB9" w:rsidP="008066EA">
            <w:pPr>
              <w:pStyle w:val="BodyText"/>
              <w:tabs>
                <w:tab w:val="num" w:pos="825"/>
                <w:tab w:val="num" w:pos="1353"/>
              </w:tabs>
              <w:jc w:val="center"/>
              <w:rPr>
                <w:b/>
                <w:sz w:val="20"/>
              </w:rPr>
            </w:pPr>
            <w:r w:rsidRPr="00E009DC">
              <w:rPr>
                <w:b/>
                <w:sz w:val="20"/>
              </w:rPr>
              <w:t>Obiecţiile şi propunerile</w:t>
            </w:r>
          </w:p>
        </w:tc>
        <w:tc>
          <w:tcPr>
            <w:tcW w:w="4508" w:type="dxa"/>
            <w:shd w:val="clear" w:color="auto" w:fill="auto"/>
            <w:vAlign w:val="center"/>
          </w:tcPr>
          <w:p w:rsidR="003D4FB9" w:rsidRPr="00E009DC" w:rsidRDefault="003D4FB9" w:rsidP="008066EA">
            <w:pPr>
              <w:pStyle w:val="BodyText"/>
              <w:tabs>
                <w:tab w:val="num" w:pos="825"/>
                <w:tab w:val="num" w:pos="1353"/>
              </w:tabs>
              <w:jc w:val="center"/>
              <w:rPr>
                <w:b/>
                <w:sz w:val="20"/>
              </w:rPr>
            </w:pPr>
            <w:r w:rsidRPr="00E009DC">
              <w:rPr>
                <w:b/>
                <w:sz w:val="20"/>
              </w:rPr>
              <w:t>Opinia MEC</w:t>
            </w:r>
          </w:p>
        </w:tc>
      </w:tr>
      <w:tr w:rsidR="003D4FB9" w:rsidRPr="00E009DC" w:rsidTr="008A41E8">
        <w:tc>
          <w:tcPr>
            <w:tcW w:w="1873" w:type="dxa"/>
            <w:shd w:val="clear" w:color="auto" w:fill="auto"/>
          </w:tcPr>
          <w:p w:rsidR="00F906EF" w:rsidRPr="00E009DC" w:rsidRDefault="00F906EF" w:rsidP="00980080">
            <w:pPr>
              <w:pStyle w:val="BodyText"/>
              <w:tabs>
                <w:tab w:val="num" w:pos="825"/>
                <w:tab w:val="num" w:pos="1353"/>
              </w:tabs>
              <w:jc w:val="left"/>
              <w:rPr>
                <w:sz w:val="20"/>
              </w:rPr>
            </w:pPr>
            <w:r w:rsidRPr="00E009DC">
              <w:rPr>
                <w:sz w:val="20"/>
              </w:rPr>
              <w:t xml:space="preserve">Ministerul </w:t>
            </w:r>
            <w:r w:rsidR="00980080" w:rsidRPr="00E009DC">
              <w:rPr>
                <w:sz w:val="20"/>
              </w:rPr>
              <w:t>Sănătății</w:t>
            </w:r>
          </w:p>
          <w:p w:rsidR="00980080" w:rsidRPr="00E009DC" w:rsidRDefault="00980080" w:rsidP="00980080">
            <w:pPr>
              <w:pStyle w:val="BodyText"/>
              <w:tabs>
                <w:tab w:val="num" w:pos="825"/>
                <w:tab w:val="num" w:pos="1353"/>
              </w:tabs>
              <w:jc w:val="left"/>
              <w:rPr>
                <w:i/>
                <w:sz w:val="20"/>
                <w:highlight w:val="yellow"/>
              </w:rPr>
            </w:pPr>
            <w:r w:rsidRPr="00E009DC">
              <w:rPr>
                <w:i/>
                <w:sz w:val="20"/>
              </w:rPr>
              <w:t>Nr. 01-9/931 din 23.06.2017</w:t>
            </w:r>
          </w:p>
        </w:tc>
        <w:tc>
          <w:tcPr>
            <w:tcW w:w="9213" w:type="dxa"/>
            <w:shd w:val="clear" w:color="auto" w:fill="auto"/>
          </w:tcPr>
          <w:p w:rsidR="00F906EF" w:rsidRPr="00E009DC" w:rsidRDefault="00054C3E" w:rsidP="00F906EF">
            <w:pPr>
              <w:spacing w:after="120"/>
              <w:jc w:val="both"/>
              <w:rPr>
                <w:highlight w:val="yellow"/>
                <w:lang w:val="ro-RO"/>
              </w:rPr>
            </w:pPr>
            <w:r w:rsidRPr="00E009DC">
              <w:rPr>
                <w:lang w:val="ro-RO"/>
              </w:rPr>
              <w:t>Lipsa propunerilor şi obiecţiilor.</w:t>
            </w:r>
          </w:p>
        </w:tc>
        <w:tc>
          <w:tcPr>
            <w:tcW w:w="4508" w:type="dxa"/>
            <w:shd w:val="clear" w:color="auto" w:fill="auto"/>
          </w:tcPr>
          <w:p w:rsidR="00983A42" w:rsidRPr="00E009DC" w:rsidRDefault="008702CB" w:rsidP="008702CB">
            <w:pPr>
              <w:jc w:val="center"/>
              <w:rPr>
                <w:lang w:val="ro-RO"/>
              </w:rPr>
            </w:pPr>
            <w:r w:rsidRPr="00E009DC">
              <w:rPr>
                <w:lang w:val="ro-RO"/>
              </w:rPr>
              <w:t>-</w:t>
            </w:r>
          </w:p>
        </w:tc>
      </w:tr>
      <w:tr w:rsidR="006446AB" w:rsidRPr="00E009DC" w:rsidTr="008A41E8">
        <w:trPr>
          <w:trHeight w:val="1526"/>
        </w:trPr>
        <w:tc>
          <w:tcPr>
            <w:tcW w:w="1873" w:type="dxa"/>
            <w:shd w:val="clear" w:color="auto" w:fill="auto"/>
          </w:tcPr>
          <w:p w:rsidR="006446AB" w:rsidRPr="00E009DC" w:rsidRDefault="0067427B" w:rsidP="00910557">
            <w:pPr>
              <w:pStyle w:val="BodyText"/>
              <w:tabs>
                <w:tab w:val="num" w:pos="825"/>
                <w:tab w:val="num" w:pos="1353"/>
              </w:tabs>
              <w:jc w:val="left"/>
              <w:rPr>
                <w:sz w:val="20"/>
              </w:rPr>
            </w:pPr>
            <w:r w:rsidRPr="00E009DC">
              <w:rPr>
                <w:sz w:val="20"/>
              </w:rPr>
              <w:t>Biroul Național de Statistică</w:t>
            </w:r>
          </w:p>
          <w:p w:rsidR="00983A42" w:rsidRPr="00E009DC" w:rsidRDefault="0067427B" w:rsidP="00576DC8">
            <w:pPr>
              <w:pStyle w:val="BodyText"/>
              <w:tabs>
                <w:tab w:val="num" w:pos="825"/>
                <w:tab w:val="num" w:pos="1353"/>
              </w:tabs>
              <w:jc w:val="left"/>
              <w:rPr>
                <w:i/>
                <w:sz w:val="20"/>
              </w:rPr>
            </w:pPr>
            <w:r w:rsidRPr="00E009DC">
              <w:rPr>
                <w:i/>
                <w:sz w:val="20"/>
              </w:rPr>
              <w:t>Nr. 17-12/166 din 28.06.2017</w:t>
            </w:r>
          </w:p>
        </w:tc>
        <w:tc>
          <w:tcPr>
            <w:tcW w:w="9213" w:type="dxa"/>
            <w:shd w:val="clear" w:color="auto" w:fill="auto"/>
          </w:tcPr>
          <w:p w:rsidR="00E67F84" w:rsidRPr="00E009DC" w:rsidRDefault="00983A42" w:rsidP="007E68F3">
            <w:pPr>
              <w:jc w:val="both"/>
              <w:rPr>
                <w:lang w:val="ro-RO"/>
              </w:rPr>
            </w:pPr>
            <w:r w:rsidRPr="00E009DC">
              <w:rPr>
                <w:lang w:val="ro-RO"/>
              </w:rPr>
              <w:t>Lipsa propunerilor şi obiecţiilor.</w:t>
            </w:r>
          </w:p>
        </w:tc>
        <w:tc>
          <w:tcPr>
            <w:tcW w:w="4508" w:type="dxa"/>
            <w:shd w:val="clear" w:color="auto" w:fill="auto"/>
          </w:tcPr>
          <w:p w:rsidR="00E67F84" w:rsidRPr="00E009DC" w:rsidRDefault="008702CB" w:rsidP="008702CB">
            <w:pPr>
              <w:jc w:val="center"/>
              <w:rPr>
                <w:lang w:val="ro-RO"/>
              </w:rPr>
            </w:pPr>
            <w:r w:rsidRPr="00E009DC">
              <w:rPr>
                <w:lang w:val="ro-RO"/>
              </w:rPr>
              <w:t>-</w:t>
            </w:r>
          </w:p>
        </w:tc>
      </w:tr>
      <w:tr w:rsidR="00216408" w:rsidRPr="00E009DC" w:rsidTr="008A41E8">
        <w:trPr>
          <w:trHeight w:val="1526"/>
        </w:trPr>
        <w:tc>
          <w:tcPr>
            <w:tcW w:w="1873" w:type="dxa"/>
            <w:shd w:val="clear" w:color="auto" w:fill="auto"/>
          </w:tcPr>
          <w:p w:rsidR="00216408" w:rsidRPr="00E009DC" w:rsidRDefault="00216408" w:rsidP="00216408">
            <w:pPr>
              <w:pStyle w:val="BodyText"/>
              <w:tabs>
                <w:tab w:val="num" w:pos="825"/>
                <w:tab w:val="num" w:pos="1353"/>
              </w:tabs>
              <w:jc w:val="left"/>
              <w:rPr>
                <w:sz w:val="20"/>
              </w:rPr>
            </w:pPr>
            <w:r w:rsidRPr="00E009DC">
              <w:rPr>
                <w:sz w:val="20"/>
              </w:rPr>
              <w:t>Ministerul Afacerilor Interne</w:t>
            </w:r>
          </w:p>
          <w:p w:rsidR="00216408" w:rsidRPr="00E009DC" w:rsidRDefault="00216408" w:rsidP="00216408">
            <w:pPr>
              <w:pStyle w:val="BodyText"/>
              <w:tabs>
                <w:tab w:val="num" w:pos="825"/>
                <w:tab w:val="num" w:pos="1353"/>
              </w:tabs>
              <w:jc w:val="left"/>
              <w:rPr>
                <w:i/>
                <w:sz w:val="20"/>
              </w:rPr>
            </w:pPr>
            <w:r w:rsidRPr="00E009DC">
              <w:rPr>
                <w:i/>
                <w:sz w:val="20"/>
              </w:rPr>
              <w:t>Nr.22/1077 din 27.06.2017</w:t>
            </w:r>
          </w:p>
        </w:tc>
        <w:tc>
          <w:tcPr>
            <w:tcW w:w="9213" w:type="dxa"/>
            <w:shd w:val="clear" w:color="auto" w:fill="auto"/>
          </w:tcPr>
          <w:p w:rsidR="00216408" w:rsidRPr="00E009DC" w:rsidRDefault="00216408" w:rsidP="00216408">
            <w:pPr>
              <w:jc w:val="both"/>
              <w:rPr>
                <w:lang w:val="ro-RO"/>
              </w:rPr>
            </w:pPr>
            <w:r w:rsidRPr="00E009DC">
              <w:rPr>
                <w:lang w:val="ro-RO"/>
              </w:rPr>
              <w:t>Lipsa propunerilor şi obiecţiilor.</w:t>
            </w:r>
          </w:p>
        </w:tc>
        <w:tc>
          <w:tcPr>
            <w:tcW w:w="4508" w:type="dxa"/>
            <w:shd w:val="clear" w:color="auto" w:fill="auto"/>
          </w:tcPr>
          <w:p w:rsidR="00216408" w:rsidRPr="00E009DC" w:rsidRDefault="00216408" w:rsidP="00216408">
            <w:pPr>
              <w:jc w:val="center"/>
              <w:rPr>
                <w:lang w:val="ro-RO"/>
              </w:rPr>
            </w:pPr>
            <w:r w:rsidRPr="00E009DC">
              <w:rPr>
                <w:lang w:val="ro-RO"/>
              </w:rPr>
              <w:t>-</w:t>
            </w:r>
          </w:p>
        </w:tc>
      </w:tr>
      <w:tr w:rsidR="008F57F1" w:rsidRPr="001E03F3" w:rsidTr="008A41E8">
        <w:trPr>
          <w:trHeight w:val="1526"/>
        </w:trPr>
        <w:tc>
          <w:tcPr>
            <w:tcW w:w="1873" w:type="dxa"/>
            <w:shd w:val="clear" w:color="auto" w:fill="auto"/>
          </w:tcPr>
          <w:p w:rsidR="008F57F1" w:rsidRPr="00E009DC" w:rsidRDefault="008F57F1" w:rsidP="00DB64D0">
            <w:pPr>
              <w:pStyle w:val="BodyText"/>
              <w:tabs>
                <w:tab w:val="num" w:pos="825"/>
                <w:tab w:val="num" w:pos="1353"/>
              </w:tabs>
              <w:jc w:val="left"/>
              <w:rPr>
                <w:sz w:val="20"/>
              </w:rPr>
            </w:pPr>
            <w:r w:rsidRPr="00E009DC">
              <w:rPr>
                <w:sz w:val="20"/>
              </w:rPr>
              <w:t>Ministerul Agriculturii și Industriei Alimentare nr.06-2/318 din 26.06.2017</w:t>
            </w:r>
          </w:p>
        </w:tc>
        <w:tc>
          <w:tcPr>
            <w:tcW w:w="9213" w:type="dxa"/>
            <w:shd w:val="clear" w:color="auto" w:fill="auto"/>
          </w:tcPr>
          <w:p w:rsidR="008F57F1" w:rsidRPr="00E009DC" w:rsidRDefault="008F57F1" w:rsidP="00951350">
            <w:pPr>
              <w:pStyle w:val="ListParagraph"/>
              <w:numPr>
                <w:ilvl w:val="0"/>
                <w:numId w:val="8"/>
              </w:numPr>
              <w:overflowPunct w:val="0"/>
              <w:autoSpaceDE w:val="0"/>
              <w:autoSpaceDN w:val="0"/>
              <w:adjustRightInd w:val="0"/>
              <w:ind w:left="0" w:firstLine="708"/>
              <w:jc w:val="both"/>
              <w:rPr>
                <w:i/>
                <w:lang w:val="ro-RO"/>
              </w:rPr>
            </w:pPr>
            <w:r w:rsidRPr="00E009DC">
              <w:rPr>
                <w:lang w:val="ro-RO"/>
              </w:rPr>
              <w:t>Importul semințelor de pepene galben, pepene verde și porumb zaharat destinate insămînțării, urmează a fi atribuite/clasificate la poziția tarifară 1209 „Semințe, fructe și spori, destinate insămînțării, subpoziția 1209 91 „Semințe de legume””.</w:t>
            </w:r>
          </w:p>
          <w:p w:rsidR="008F57F1" w:rsidRPr="00E009DC" w:rsidRDefault="008F57F1" w:rsidP="008F57F1">
            <w:pPr>
              <w:overflowPunct w:val="0"/>
              <w:autoSpaceDE w:val="0"/>
              <w:autoSpaceDN w:val="0"/>
              <w:adjustRightInd w:val="0"/>
              <w:jc w:val="both"/>
              <w:rPr>
                <w:lang w:val="ro-RO"/>
              </w:rPr>
            </w:pPr>
            <w:r w:rsidRPr="00E009DC">
              <w:rPr>
                <w:lang w:val="ro-RO"/>
              </w:rPr>
              <w:t>În susținerea propunerilor făcute, menționăm că, în conformitate cu clasificarea botanică a plantelor, pepenele galben și pepenele verde sint plante legumicole anuale, erbacee și fac parte din regnul Plantae, diviziunea Magnoliophyta, subclasa Rosidae, ordinul Cucurbitales, familia Cucurbitacee, iar porumbul zaharat (Zea mays var saccharata), este o legumă ce face parte din Familia Graminaeae.</w:t>
            </w:r>
          </w:p>
          <w:p w:rsidR="008F57F1" w:rsidRPr="00E009DC" w:rsidRDefault="008F57F1" w:rsidP="008F57F1">
            <w:pPr>
              <w:overflowPunct w:val="0"/>
              <w:autoSpaceDE w:val="0"/>
              <w:autoSpaceDN w:val="0"/>
              <w:adjustRightInd w:val="0"/>
              <w:jc w:val="both"/>
              <w:rPr>
                <w:lang w:val="ro-RO"/>
              </w:rPr>
            </w:pPr>
            <w:r w:rsidRPr="00E009DC">
              <w:rPr>
                <w:lang w:val="ro-RO"/>
              </w:rPr>
              <w:t>Ajustarea se impune și din motiv că, la importul semințelor de pepene galben, pepene verde și porumb zaharat, destinate însămînțării, se aplică o cotă vamală și o cotă TVA mai mare față de celelalte semințe de legume destinate însămînțării. Acesat fapt este o consecință a modificărilor efectuată în Nomenclatură. Astfel, semințele de pepene galben și pepene verde au fost atribuite la poziția tarifară 1207 „Alte semințe și fructe oleaginoase, chiar sfărîmate”, iar semințele de porumb zaharat au fost atribuite la poziția tarifară 0709 „Alte legume, în stare proaspătă sau refrigerată”.</w:t>
            </w:r>
          </w:p>
          <w:p w:rsidR="008F57F1" w:rsidRPr="00E009DC" w:rsidRDefault="008F57F1" w:rsidP="008F57F1">
            <w:pPr>
              <w:overflowPunct w:val="0"/>
              <w:autoSpaceDE w:val="0"/>
              <w:autoSpaceDN w:val="0"/>
              <w:adjustRightInd w:val="0"/>
              <w:jc w:val="both"/>
              <w:rPr>
                <w:lang w:val="ro-RO"/>
              </w:rPr>
            </w:pPr>
            <w:r w:rsidRPr="00E009DC">
              <w:rPr>
                <w:lang w:val="ro-RO"/>
              </w:rPr>
              <w:t>Prin pct.2)</w:t>
            </w:r>
            <w:r w:rsidR="00951350" w:rsidRPr="00E009DC">
              <w:rPr>
                <w:lang w:val="ro-RO"/>
              </w:rPr>
              <w:t xml:space="preserve"> din Ordinul Serviciului Vamal nr.510-O din 18.12.2014 a fost modificată Anexa la Ordinul nr.76-O din 15.03.2011. Astfel, semințele de pepene galben din specia Cucumis melo au fost clasificate la poziția tarifară 1207, subpoziția 1207 70 000 „Semințe de pepene galben”, iar semințele de pepene verde din specia Citrullus vulgarus Schrad au fost clasificate la poziția tarifară 1209, subpoziția 1209 99 „Altele”. Ulterior, Ordinul Serviciul Vamal nr.76-O din 15.03.2011 a fost abrogat prin Ordinul Serviciului Vamal nr.176 din 04.05.2015.</w:t>
            </w:r>
          </w:p>
          <w:p w:rsidR="00951350" w:rsidRPr="00E009DC" w:rsidRDefault="00951350" w:rsidP="008F57F1">
            <w:pPr>
              <w:overflowPunct w:val="0"/>
              <w:autoSpaceDE w:val="0"/>
              <w:autoSpaceDN w:val="0"/>
              <w:adjustRightInd w:val="0"/>
              <w:jc w:val="both"/>
              <w:rPr>
                <w:lang w:val="ro-RO"/>
              </w:rPr>
            </w:pPr>
            <w:r w:rsidRPr="00E009DC">
              <w:rPr>
                <w:lang w:val="ro-RO"/>
              </w:rPr>
              <w:t>Potrivit prevederilor Nomenclaturii combinate a mărfurilor, aprobată prin Legea nr.172 din 25.07.2014, semințele de legume destinate însămînțării se referă la poziția 1209 „Semințe, fructe și spori, destinate însămînțării”, subpoziția 1209 99 „Altele”.</w:t>
            </w:r>
          </w:p>
          <w:p w:rsidR="00951350" w:rsidRPr="00E009DC" w:rsidRDefault="00951350" w:rsidP="008F57F1">
            <w:pPr>
              <w:overflowPunct w:val="0"/>
              <w:autoSpaceDE w:val="0"/>
              <w:autoSpaceDN w:val="0"/>
              <w:adjustRightInd w:val="0"/>
              <w:jc w:val="both"/>
              <w:rPr>
                <w:b/>
                <w:lang w:val="ro-RO"/>
              </w:rPr>
            </w:pPr>
            <w:r w:rsidRPr="00E009DC">
              <w:rPr>
                <w:b/>
                <w:lang w:val="ro-RO"/>
              </w:rPr>
              <w:t>Reieșind din cele expuse, considerăm necesară clasificarea corectă a semințelor de pepene galben, pepene verde și porumb zaharat, destinate însămînțării.</w:t>
            </w:r>
          </w:p>
          <w:p w:rsidR="00951350" w:rsidRPr="00E009DC" w:rsidRDefault="00951350" w:rsidP="0095493E">
            <w:pPr>
              <w:pStyle w:val="ListParagraph"/>
              <w:numPr>
                <w:ilvl w:val="0"/>
                <w:numId w:val="8"/>
              </w:numPr>
              <w:overflowPunct w:val="0"/>
              <w:autoSpaceDE w:val="0"/>
              <w:autoSpaceDN w:val="0"/>
              <w:adjustRightInd w:val="0"/>
              <w:ind w:left="42" w:firstLine="666"/>
              <w:jc w:val="both"/>
              <w:rPr>
                <w:b/>
                <w:lang w:val="ro-RO"/>
              </w:rPr>
            </w:pPr>
            <w:r w:rsidRPr="00E009DC">
              <w:rPr>
                <w:lang w:val="ro-RO"/>
              </w:rPr>
              <w:lastRenderedPageBreak/>
              <w:t xml:space="preserve">La pct.1 din subdiviziunea „Notă de subpoziție” a Capitolului 22 „Băuturi, lichide alcoolice și oțet”, sintagma „vinuri spumoase”, </w:t>
            </w:r>
            <w:r w:rsidRPr="00E009DC">
              <w:rPr>
                <w:b/>
                <w:lang w:val="ro-RO"/>
              </w:rPr>
              <w:t>se va substitui cu sintagma „vinuri spumante”.</w:t>
            </w:r>
          </w:p>
          <w:p w:rsidR="00951350" w:rsidRPr="00E009DC" w:rsidRDefault="006E6098" w:rsidP="0095493E">
            <w:pPr>
              <w:pStyle w:val="ListParagraph"/>
              <w:numPr>
                <w:ilvl w:val="0"/>
                <w:numId w:val="8"/>
              </w:numPr>
              <w:overflowPunct w:val="0"/>
              <w:autoSpaceDE w:val="0"/>
              <w:autoSpaceDN w:val="0"/>
              <w:adjustRightInd w:val="0"/>
              <w:ind w:left="42" w:firstLine="666"/>
              <w:jc w:val="both"/>
              <w:rPr>
                <w:b/>
                <w:lang w:val="ro-RO"/>
              </w:rPr>
            </w:pPr>
            <w:r w:rsidRPr="00E009DC">
              <w:rPr>
                <w:b/>
                <w:lang w:val="ro-RO"/>
              </w:rPr>
              <w:t>Nu se acceptă majorarea Taxei Vamale la import, de la 8% la 10%, pe motiv că nu este argumentată această majorare în nota informativă</w:t>
            </w:r>
            <w:r w:rsidRPr="00E009DC">
              <w:rPr>
                <w:lang w:val="ro-RO"/>
              </w:rPr>
              <w:t>. În acest context, atragem atenția că tractoarele agricole sunt procurate și de producătorii agricoli cu capacitate redusă de a efectua investiții majore. În consecință, prin această modificare se vor crea premise pentru importul tractoarelor de mîna a doua în detrimentul celor noi.</w:t>
            </w:r>
          </w:p>
          <w:p w:rsidR="006E6098" w:rsidRPr="00E009DC" w:rsidRDefault="006E6098" w:rsidP="0095493E">
            <w:pPr>
              <w:pStyle w:val="ListParagraph"/>
              <w:numPr>
                <w:ilvl w:val="0"/>
                <w:numId w:val="8"/>
              </w:numPr>
              <w:overflowPunct w:val="0"/>
              <w:autoSpaceDE w:val="0"/>
              <w:autoSpaceDN w:val="0"/>
              <w:adjustRightInd w:val="0"/>
              <w:ind w:left="42" w:firstLine="666"/>
              <w:jc w:val="both"/>
              <w:rPr>
                <w:lang w:val="ro-RO"/>
              </w:rPr>
            </w:pPr>
            <w:r w:rsidRPr="00E009DC">
              <w:rPr>
                <w:lang w:val="ro-RO"/>
              </w:rPr>
              <w:t xml:space="preserve">De asemenea, la pozițiile 8701 92 100, 8701 93 100, 8701 94 100 și 8701 95 100, propunem ca sintagma </w:t>
            </w:r>
            <w:r w:rsidRPr="00E009DC">
              <w:rPr>
                <w:b/>
                <w:lang w:val="ro-RO"/>
              </w:rPr>
              <w:t>„Tractoare agricole și forestiere, cu roți” să fie completată la sfîrșit cu sintagma „și șenile”</w:t>
            </w:r>
            <w:r w:rsidRPr="00E009DC">
              <w:rPr>
                <w:lang w:val="ro-RO"/>
              </w:rPr>
              <w:t>, conform clasificării stabilite de Regulamentul (UE) nr.167/2013 al Parlamentului European și al Consiliului din 5 februarie 2013 privind omologarea și supravegherea pieței pentru vehiculele agricole și forestiere.</w:t>
            </w:r>
          </w:p>
        </w:tc>
        <w:tc>
          <w:tcPr>
            <w:tcW w:w="4508" w:type="dxa"/>
            <w:shd w:val="clear" w:color="auto" w:fill="auto"/>
          </w:tcPr>
          <w:p w:rsidR="008F57F1" w:rsidRPr="00E009DC" w:rsidRDefault="0095493E" w:rsidP="0095493E">
            <w:pPr>
              <w:jc w:val="both"/>
              <w:rPr>
                <w:lang w:val="ro-RO"/>
              </w:rPr>
            </w:pPr>
            <w:r w:rsidRPr="00E009DC">
              <w:rPr>
                <w:b/>
                <w:lang w:val="ro-RO"/>
              </w:rPr>
              <w:lastRenderedPageBreak/>
              <w:t>Nu se acceptă propunerea abordată</w:t>
            </w:r>
            <w:r w:rsidRPr="00E009DC">
              <w:rPr>
                <w:lang w:val="ro-RO"/>
              </w:rPr>
              <w:t xml:space="preserve">, deoarece această </w:t>
            </w:r>
            <w:r w:rsidR="00EC0887" w:rsidRPr="00E009DC">
              <w:rPr>
                <w:lang w:val="ro-RO"/>
              </w:rPr>
              <w:t xml:space="preserve">propunere </w:t>
            </w:r>
            <w:r w:rsidRPr="00E009DC">
              <w:rPr>
                <w:lang w:val="ro-RO"/>
              </w:rPr>
              <w:t xml:space="preserve">este în contrazicere cu Sistemul Armonizat, care clasifică aceste semințe la plante oleaginoase – poziția tarifară 1207 70 000 – semințe de pepene. Anterior, au fost clasificate aceste semințe de pepene separat, dat fiind faptul că </w:t>
            </w:r>
            <w:r w:rsidR="00EC0887" w:rsidRPr="00E009DC">
              <w:rPr>
                <w:lang w:val="ro-RO"/>
              </w:rPr>
              <w:t xml:space="preserve">în </w:t>
            </w:r>
            <w:r w:rsidRPr="00E009DC">
              <w:rPr>
                <w:lang w:val="ro-RO"/>
              </w:rPr>
              <w:t>Legea nr.172 a fost eronată indicată denumirea poziției ca semințe de pepene galben.</w:t>
            </w: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95493E" w:rsidP="0095493E">
            <w:pPr>
              <w:jc w:val="both"/>
              <w:rPr>
                <w:lang w:val="ro-RO"/>
              </w:rPr>
            </w:pPr>
          </w:p>
          <w:p w:rsidR="0095493E" w:rsidRPr="00E009DC" w:rsidRDefault="00207922" w:rsidP="0095493E">
            <w:pPr>
              <w:jc w:val="both"/>
              <w:rPr>
                <w:b/>
                <w:lang w:val="ro-RO"/>
              </w:rPr>
            </w:pPr>
            <w:r w:rsidRPr="00E009DC">
              <w:rPr>
                <w:b/>
                <w:lang w:val="ro-RO"/>
              </w:rPr>
              <w:t>Se acceptă.</w:t>
            </w:r>
          </w:p>
          <w:p w:rsidR="00207922" w:rsidRPr="00E009DC" w:rsidRDefault="00207922" w:rsidP="0095493E">
            <w:pPr>
              <w:jc w:val="both"/>
              <w:rPr>
                <w:b/>
                <w:lang w:val="ro-RO"/>
              </w:rPr>
            </w:pPr>
          </w:p>
          <w:p w:rsidR="00207922" w:rsidRPr="00E009DC" w:rsidRDefault="00207922" w:rsidP="0095493E">
            <w:pPr>
              <w:jc w:val="both"/>
              <w:rPr>
                <w:b/>
                <w:lang w:val="ro-RO"/>
              </w:rPr>
            </w:pPr>
            <w:r w:rsidRPr="00E009DC">
              <w:rPr>
                <w:b/>
                <w:lang w:val="ro-RO"/>
              </w:rPr>
              <w:t xml:space="preserve">Se acceptă. </w:t>
            </w:r>
          </w:p>
          <w:p w:rsidR="00207922" w:rsidRPr="00E009DC" w:rsidRDefault="00207922" w:rsidP="0095493E">
            <w:pPr>
              <w:jc w:val="both"/>
              <w:rPr>
                <w:b/>
                <w:lang w:val="ro-RO"/>
              </w:rPr>
            </w:pPr>
          </w:p>
          <w:p w:rsidR="00207922" w:rsidRPr="00E009DC" w:rsidRDefault="00207922" w:rsidP="0095493E">
            <w:pPr>
              <w:jc w:val="both"/>
              <w:rPr>
                <w:b/>
                <w:lang w:val="ro-RO"/>
              </w:rPr>
            </w:pPr>
          </w:p>
          <w:p w:rsidR="00207922" w:rsidRPr="00E009DC" w:rsidRDefault="00207922" w:rsidP="0095493E">
            <w:pPr>
              <w:jc w:val="both"/>
              <w:rPr>
                <w:b/>
                <w:lang w:val="ro-RO"/>
              </w:rPr>
            </w:pPr>
          </w:p>
          <w:p w:rsidR="00207922" w:rsidRPr="00E009DC" w:rsidRDefault="005E21BF" w:rsidP="0095493E">
            <w:pPr>
              <w:jc w:val="both"/>
              <w:rPr>
                <w:b/>
                <w:lang w:val="ro-RO"/>
              </w:rPr>
            </w:pPr>
            <w:r w:rsidRPr="00E009DC">
              <w:rPr>
                <w:b/>
                <w:lang w:val="ro-RO"/>
              </w:rPr>
              <w:t>Se acceptă, dar cu înlocuirea cuvîntului „și” cu simbolul „/”, deoarece sintagma „… cu roți și șenile” presupune că modificarea se va reflecta doar asupra tractoarelor care urmează să întrunească concomitent ambele condiții și vor fi evitate celelalte tractoare.</w:t>
            </w:r>
          </w:p>
          <w:p w:rsidR="0095493E" w:rsidRPr="00E009DC" w:rsidRDefault="0095493E" w:rsidP="00022AA5">
            <w:pPr>
              <w:rPr>
                <w:lang w:val="ro-RO"/>
              </w:rPr>
            </w:pPr>
          </w:p>
        </w:tc>
      </w:tr>
      <w:tr w:rsidR="000A1C68" w:rsidRPr="001E03F3" w:rsidTr="008A41E8">
        <w:trPr>
          <w:trHeight w:val="1526"/>
        </w:trPr>
        <w:tc>
          <w:tcPr>
            <w:tcW w:w="1873" w:type="dxa"/>
            <w:shd w:val="clear" w:color="auto" w:fill="auto"/>
          </w:tcPr>
          <w:p w:rsidR="00DB64D0" w:rsidRPr="00E009DC" w:rsidRDefault="00926AC0" w:rsidP="00DB64D0">
            <w:pPr>
              <w:pStyle w:val="BodyText"/>
              <w:tabs>
                <w:tab w:val="num" w:pos="825"/>
                <w:tab w:val="num" w:pos="1353"/>
              </w:tabs>
              <w:jc w:val="left"/>
              <w:rPr>
                <w:i/>
                <w:sz w:val="20"/>
              </w:rPr>
            </w:pPr>
            <w:r w:rsidRPr="00E009DC">
              <w:rPr>
                <w:sz w:val="20"/>
              </w:rPr>
              <w:lastRenderedPageBreak/>
              <w:t xml:space="preserve">Ministerul Agriculturii și Industriei Alimentare </w:t>
            </w:r>
            <w:r w:rsidR="00DB64D0" w:rsidRPr="00E009DC">
              <w:rPr>
                <w:i/>
                <w:sz w:val="20"/>
              </w:rPr>
              <w:t>Nr. 16-2-165 din 05.07.2017</w:t>
            </w:r>
          </w:p>
        </w:tc>
        <w:tc>
          <w:tcPr>
            <w:tcW w:w="9213" w:type="dxa"/>
            <w:shd w:val="clear" w:color="auto" w:fill="auto"/>
          </w:tcPr>
          <w:p w:rsidR="005F4982" w:rsidRPr="00E009DC" w:rsidRDefault="005F4982" w:rsidP="005F4982">
            <w:pPr>
              <w:overflowPunct w:val="0"/>
              <w:autoSpaceDE w:val="0"/>
              <w:autoSpaceDN w:val="0"/>
              <w:adjustRightInd w:val="0"/>
              <w:ind w:firstLine="708"/>
              <w:jc w:val="both"/>
              <w:rPr>
                <w:bCs/>
                <w:color w:val="000000"/>
                <w:lang w:val="ro-RO"/>
              </w:rPr>
            </w:pPr>
            <w:r w:rsidRPr="00E009DC">
              <w:rPr>
                <w:i/>
                <w:lang w:val="ro-RO"/>
              </w:rPr>
              <w:t xml:space="preserve">Referitor la capitolul 2. Note complementare, punctul 1, litera (a). </w:t>
            </w:r>
            <w:r w:rsidRPr="00E009DC">
              <w:rPr>
                <w:lang w:val="ro-RO"/>
              </w:rPr>
              <w:t>Propunem noțiunea din proiect ”</w:t>
            </w:r>
            <w:r w:rsidRPr="00E009DC">
              <w:rPr>
                <w:i/>
                <w:noProof/>
                <w:lang w:val="ro-RO"/>
              </w:rPr>
              <w:t xml:space="preserve">carcasă din specia bovine” </w:t>
            </w:r>
            <w:r w:rsidRPr="00E009DC">
              <w:rPr>
                <w:noProof/>
                <w:lang w:val="ro-RO"/>
              </w:rPr>
              <w:t>să fie expusă</w:t>
            </w:r>
            <w:r w:rsidRPr="00E009DC">
              <w:rPr>
                <w:i/>
                <w:noProof/>
                <w:lang w:val="ro-RO"/>
              </w:rPr>
              <w:t xml:space="preserve"> </w:t>
            </w:r>
            <w:r w:rsidRPr="00E009DC">
              <w:rPr>
                <w:noProof/>
                <w:lang w:val="ro-RO"/>
              </w:rPr>
              <w:t>în următoarea redacție:</w:t>
            </w:r>
            <w:r w:rsidRPr="00E009DC">
              <w:rPr>
                <w:i/>
                <w:noProof/>
                <w:lang w:val="ro-RO"/>
              </w:rPr>
              <w:t xml:space="preserve"> </w:t>
            </w:r>
            <w:r w:rsidRPr="00E009DC">
              <w:rPr>
                <w:lang w:val="ro-RO"/>
              </w:rPr>
              <w:t>”</w:t>
            </w:r>
            <w:r w:rsidRPr="00E009DC">
              <w:rPr>
                <w:noProof/>
                <w:lang w:val="ro-RO"/>
              </w:rPr>
              <w:t>carcasă din specia bovine”, în sensul subpozițiilor 0201 10 și 0202 10</w:t>
            </w:r>
            <w:r w:rsidRPr="00E009DC">
              <w:rPr>
                <w:i/>
                <w:noProof/>
                <w:lang w:val="ro-RO"/>
              </w:rPr>
              <w:t>,</w:t>
            </w:r>
            <w:r w:rsidRPr="00E009DC">
              <w:rPr>
                <w:i/>
                <w:noProof/>
                <w:color w:val="FF0000"/>
                <w:lang w:val="ro-RO"/>
              </w:rPr>
              <w:t xml:space="preserve"> </w:t>
            </w:r>
            <w:r w:rsidRPr="00E009DC">
              <w:rPr>
                <w:noProof/>
                <w:lang w:val="ro-RO"/>
              </w:rPr>
              <w:t>corpul întreg al animalului sacrificat, așa cum se prezintă după operațiunile de eliminare a sîngelui, eviscerare și jupuire, prezentate fără cap, fără picioare, fără organele reproductive și cu sau fără celelalte organe comestibile. Capul trebuie să fie separat de carcasă la nivelul articulației atlanto-occipitală, picioarele trebuie să fie secționate la nivelul articulațiilor carpo-metacarpiene sau tarso-metatarsiene; se consideră carcasă și partea anterioară a carcasei care conține toate oasele, precum și gîtul și spata, dar cu mai mult de zece perechi de coaste”</w:t>
            </w:r>
            <w:r w:rsidRPr="00E009DC">
              <w:rPr>
                <w:color w:val="000000"/>
                <w:lang w:val="ro-RO"/>
              </w:rPr>
              <w:t>,</w:t>
            </w:r>
            <w:r w:rsidRPr="00E009DC">
              <w:rPr>
                <w:i/>
                <w:noProof/>
                <w:lang w:val="ro-RO"/>
              </w:rPr>
              <w:t xml:space="preserve"> </w:t>
            </w:r>
            <w:r w:rsidRPr="00E009DC">
              <w:rPr>
                <w:noProof/>
                <w:lang w:val="ro-RO"/>
              </w:rPr>
              <w:t xml:space="preserve">în scopul conformării </w:t>
            </w:r>
            <w:r w:rsidRPr="00E009DC">
              <w:rPr>
                <w:lang w:val="ro-RO"/>
              </w:rPr>
              <w:t>cu noțiunile similare</w:t>
            </w:r>
            <w:r w:rsidRPr="00E009DC">
              <w:rPr>
                <w:color w:val="FF0000"/>
                <w:lang w:val="ro-RO"/>
              </w:rPr>
              <w:t xml:space="preserve"> </w:t>
            </w:r>
            <w:r w:rsidRPr="00E009DC">
              <w:rPr>
                <w:lang w:val="ro-RO"/>
              </w:rPr>
              <w:t xml:space="preserve">stipulate în Legea nr. </w:t>
            </w:r>
            <w:r w:rsidRPr="00E009DC">
              <w:rPr>
                <w:color w:val="000000"/>
                <w:lang w:val="ro-RO"/>
              </w:rPr>
              <w:t xml:space="preserve">27 din 10.03.2017 </w:t>
            </w:r>
            <w:r w:rsidRPr="00E009DC">
              <w:rPr>
                <w:bCs/>
                <w:color w:val="000000"/>
                <w:lang w:val="ro-RO"/>
              </w:rPr>
              <w:t>privind clasificarea carcaselor de bovine, porcine și ovine.</w:t>
            </w:r>
          </w:p>
          <w:p w:rsidR="00EC0887" w:rsidRPr="00E009DC" w:rsidRDefault="00EC0887" w:rsidP="005F4982">
            <w:pPr>
              <w:overflowPunct w:val="0"/>
              <w:autoSpaceDE w:val="0"/>
              <w:autoSpaceDN w:val="0"/>
              <w:adjustRightInd w:val="0"/>
              <w:ind w:firstLine="708"/>
              <w:jc w:val="both"/>
              <w:rPr>
                <w:bCs/>
                <w:color w:val="000000"/>
                <w:lang w:val="ro-RO"/>
              </w:rPr>
            </w:pPr>
            <w:r w:rsidRPr="00E009DC">
              <w:rPr>
                <w:bCs/>
                <w:color w:val="000000"/>
                <w:lang w:val="ro-RO"/>
              </w:rPr>
              <w:t xml:space="preserve">Autorul proiectului a exclus poziția tarifară 040610200 „cu un conținut de grăsimi de maxim 40% din greutate”. Totodată, această poziție tarifară se regăsește în Codul Fiscal, cap.3, art.96, lit.b) în redacția: cote reduse în mărime de: 8% … la lapte și produse lactate (0401, 0402, 0403, 0405, 040610200) livrate pe teritoriul Republicii Moldova. Prin urmare se atestă, riscul excluderii poziției tarifare 040610200 din Codul fiscal. Modificarea respectivă poate conduce la o majorare a prețului pentru consumatorul final, ceea </w:t>
            </w:r>
            <w:r w:rsidR="004C57EE" w:rsidRPr="00E009DC">
              <w:rPr>
                <w:bCs/>
                <w:color w:val="000000"/>
                <w:lang w:val="ro-RO"/>
              </w:rPr>
              <w:t>ar avea un impact negativ asupra nivelului de consum, aceasta fiind un produs de prima necesitate din gama de lactate.</w:t>
            </w:r>
          </w:p>
          <w:p w:rsidR="004C57EE" w:rsidRPr="00E009DC" w:rsidRDefault="004C57EE" w:rsidP="005F4982">
            <w:pPr>
              <w:overflowPunct w:val="0"/>
              <w:autoSpaceDE w:val="0"/>
              <w:autoSpaceDN w:val="0"/>
              <w:adjustRightInd w:val="0"/>
              <w:ind w:firstLine="708"/>
              <w:jc w:val="both"/>
              <w:rPr>
                <w:lang w:val="ro-RO" w:eastAsia="en-US"/>
              </w:rPr>
            </w:pPr>
          </w:p>
          <w:p w:rsidR="004C57EE" w:rsidRPr="00E009DC" w:rsidRDefault="004C57EE" w:rsidP="005F4982">
            <w:pPr>
              <w:overflowPunct w:val="0"/>
              <w:autoSpaceDE w:val="0"/>
              <w:autoSpaceDN w:val="0"/>
              <w:adjustRightInd w:val="0"/>
              <w:ind w:firstLine="708"/>
              <w:jc w:val="both"/>
              <w:rPr>
                <w:lang w:val="ro-RO" w:eastAsia="en-US"/>
              </w:rPr>
            </w:pPr>
          </w:p>
          <w:p w:rsidR="004C57EE" w:rsidRPr="00E009DC" w:rsidRDefault="004C57EE" w:rsidP="005F4982">
            <w:pPr>
              <w:overflowPunct w:val="0"/>
              <w:autoSpaceDE w:val="0"/>
              <w:autoSpaceDN w:val="0"/>
              <w:adjustRightInd w:val="0"/>
              <w:ind w:firstLine="708"/>
              <w:jc w:val="both"/>
              <w:rPr>
                <w:lang w:val="ro-RO" w:eastAsia="en-US"/>
              </w:rPr>
            </w:pPr>
          </w:p>
          <w:p w:rsidR="005F4982" w:rsidRPr="00E009DC" w:rsidRDefault="004C57EE" w:rsidP="005F4982">
            <w:pPr>
              <w:overflowPunct w:val="0"/>
              <w:autoSpaceDE w:val="0"/>
              <w:autoSpaceDN w:val="0"/>
              <w:adjustRightInd w:val="0"/>
              <w:ind w:firstLine="708"/>
              <w:jc w:val="both"/>
              <w:rPr>
                <w:lang w:val="ro-RO" w:eastAsia="en-US"/>
              </w:rPr>
            </w:pPr>
            <w:r w:rsidRPr="00E009DC">
              <w:rPr>
                <w:lang w:val="ro-RO" w:eastAsia="en-US"/>
              </w:rPr>
              <w:t>Astfel, considerăm oportul p</w:t>
            </w:r>
            <w:r w:rsidR="00054B39" w:rsidRPr="00E009DC">
              <w:rPr>
                <w:lang w:val="ro-RO" w:eastAsia="en-US"/>
              </w:rPr>
              <w:t>ăstrarea poziții tarifare 0406 10 200 în Nomenclatura combinată a mărfurilor sau completarea cap.3, art.96, litera b) a Codului Fiscal, cu poziția tarifară 0406 10, doar că modificarea dată va cuprinde un sortiment mai larg de produse comercializate la cota TVA de 8% pe teritoriul Republicii Moldova</w:t>
            </w:r>
            <w:r w:rsidRPr="00E009DC">
              <w:rPr>
                <w:lang w:val="ro-RO" w:eastAsia="en-US"/>
              </w:rPr>
              <w:t>.</w:t>
            </w:r>
          </w:p>
          <w:p w:rsidR="004C57EE" w:rsidRPr="00E009DC" w:rsidRDefault="004C57EE"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216408" w:rsidRPr="00E009DC" w:rsidRDefault="00216408" w:rsidP="005F4982">
            <w:pPr>
              <w:overflowPunct w:val="0"/>
              <w:autoSpaceDE w:val="0"/>
              <w:autoSpaceDN w:val="0"/>
              <w:adjustRightInd w:val="0"/>
              <w:ind w:firstLine="708"/>
              <w:jc w:val="both"/>
              <w:rPr>
                <w:lang w:val="ro-RO" w:eastAsia="en-US"/>
              </w:rPr>
            </w:pPr>
          </w:p>
          <w:p w:rsidR="00054B39" w:rsidRPr="00E009DC" w:rsidRDefault="00054B39" w:rsidP="005F4982">
            <w:pPr>
              <w:overflowPunct w:val="0"/>
              <w:autoSpaceDE w:val="0"/>
              <w:autoSpaceDN w:val="0"/>
              <w:adjustRightInd w:val="0"/>
              <w:ind w:firstLine="708"/>
              <w:jc w:val="both"/>
              <w:rPr>
                <w:lang w:val="ro-RO" w:eastAsia="en-US"/>
              </w:rPr>
            </w:pPr>
            <w:r w:rsidRPr="00E009DC">
              <w:rPr>
                <w:lang w:val="ro-RO" w:eastAsia="en-US"/>
              </w:rPr>
              <w:t>Poziția tari</w:t>
            </w:r>
            <w:r w:rsidR="004C57EE" w:rsidRPr="00E009DC">
              <w:rPr>
                <w:lang w:val="ro-RO" w:eastAsia="en-US"/>
              </w:rPr>
              <w:t xml:space="preserve">fară 0406 10 include: </w:t>
            </w:r>
            <w:r w:rsidRPr="00E009DC">
              <w:rPr>
                <w:lang w:val="ro-RO" w:eastAsia="en-US"/>
              </w:rPr>
              <w:t>”–Brînză proaspătă (nefermentată), inclusiv brînza din zer, și caș”. Atunci nu este clar de ce ”mozzarella”se regăsește la poziția tarifară nou introdusă 0406 10 300 ”---Mozzarella”, cu sau fără lichid, dat fiind faptul că acest produs poate fi atît nefermentat cît și fermentat</w:t>
            </w:r>
          </w:p>
          <w:p w:rsidR="000A1C68" w:rsidRPr="00E009DC" w:rsidRDefault="000A1C68" w:rsidP="007E68F3">
            <w:pPr>
              <w:jc w:val="both"/>
              <w:rPr>
                <w:lang w:val="ro-RO"/>
              </w:rPr>
            </w:pPr>
          </w:p>
        </w:tc>
        <w:tc>
          <w:tcPr>
            <w:tcW w:w="4508" w:type="dxa"/>
            <w:shd w:val="clear" w:color="auto" w:fill="auto"/>
          </w:tcPr>
          <w:p w:rsidR="000A1C68" w:rsidRPr="00E009DC" w:rsidRDefault="00EC0887" w:rsidP="00EC0887">
            <w:pPr>
              <w:jc w:val="both"/>
              <w:rPr>
                <w:b/>
                <w:lang w:val="ro-RO"/>
              </w:rPr>
            </w:pPr>
            <w:r w:rsidRPr="00E009DC">
              <w:rPr>
                <w:b/>
                <w:lang w:val="ro-RO"/>
              </w:rPr>
              <w:t>Nu se acceptă. Textul din Nota complementară de la capitolul 2, pct.1, lit.a) corespunde cu Nomenclatura Combinată a UE, iar modificarea/sau referință la Legislația națională este secundară față de cea internațională.</w:t>
            </w: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EC0887" w:rsidP="00EC0887">
            <w:pPr>
              <w:jc w:val="both"/>
              <w:rPr>
                <w:b/>
                <w:lang w:val="ro-RO"/>
              </w:rPr>
            </w:pPr>
          </w:p>
          <w:p w:rsidR="00EC0887" w:rsidRPr="00E009DC" w:rsidRDefault="004C57EE" w:rsidP="00EC0887">
            <w:pPr>
              <w:jc w:val="both"/>
              <w:rPr>
                <w:b/>
                <w:lang w:val="ro-RO"/>
              </w:rPr>
            </w:pPr>
            <w:r w:rsidRPr="00E009DC">
              <w:rPr>
                <w:b/>
                <w:lang w:val="ro-RO"/>
              </w:rPr>
              <w:t>Nu se acceptă. Referitor la untul de 72,5% grăsimi, acesta nu ține de avizarea Legii, deoarece această clasificare nu se încadrează în noțiunea de unt conform Nomenclaturii Combinate, corespunzător va fi clasificat la pastă de lapte. Mai mult ca atît, în relațiile economice externe, poate fi folosit doar codul stabilit de Sistemul Armonizat.</w:t>
            </w:r>
          </w:p>
          <w:p w:rsidR="00EC0887" w:rsidRPr="00E009DC" w:rsidRDefault="00EC0887" w:rsidP="00EC0887">
            <w:pPr>
              <w:jc w:val="both"/>
              <w:rPr>
                <w:b/>
                <w:lang w:val="ro-RO"/>
              </w:rPr>
            </w:pPr>
          </w:p>
          <w:p w:rsidR="004C57EE" w:rsidRPr="00E009DC" w:rsidRDefault="004C57EE" w:rsidP="00EC0887">
            <w:pPr>
              <w:jc w:val="both"/>
              <w:rPr>
                <w:b/>
                <w:lang w:val="ro-RO"/>
              </w:rPr>
            </w:pPr>
          </w:p>
          <w:p w:rsidR="004C57EE" w:rsidRPr="00E009DC" w:rsidRDefault="004C57EE" w:rsidP="00EC0887">
            <w:pPr>
              <w:jc w:val="both"/>
              <w:rPr>
                <w:b/>
                <w:lang w:val="ro-RO"/>
              </w:rPr>
            </w:pPr>
            <w:r w:rsidRPr="00E009DC">
              <w:rPr>
                <w:b/>
                <w:lang w:val="ro-RO"/>
              </w:rPr>
              <w:t>Nu se acceptă. Referitor la poziția 040610200 „cu un conținut de grăsimi de maxim 40%, din greutate”, al produselor lactate, ea a fost exclusă deja la nivel internațional, astfel ceea ce se invocă, se rezolvă prin includerea a 2 subpoziții în Codul fiscal 040610300 și 040610500. Poziția anterioară 040610200  care a fost exclusă, se ramifică în pozițiile tarifare sus menționate.</w:t>
            </w:r>
          </w:p>
          <w:p w:rsidR="004C57EE" w:rsidRPr="00E009DC" w:rsidRDefault="004C57EE" w:rsidP="00EC0887">
            <w:pPr>
              <w:jc w:val="both"/>
              <w:rPr>
                <w:b/>
                <w:lang w:val="ro-RO"/>
              </w:rPr>
            </w:pPr>
          </w:p>
          <w:p w:rsidR="00216408" w:rsidRPr="00E009DC" w:rsidRDefault="00216408" w:rsidP="00EC0887">
            <w:pPr>
              <w:jc w:val="both"/>
              <w:rPr>
                <w:b/>
                <w:lang w:val="ro-RO"/>
              </w:rPr>
            </w:pPr>
          </w:p>
          <w:p w:rsidR="00216408" w:rsidRPr="00E009DC" w:rsidRDefault="00216408" w:rsidP="00EC0887">
            <w:pPr>
              <w:jc w:val="both"/>
              <w:rPr>
                <w:b/>
                <w:lang w:val="ro-RO"/>
              </w:rPr>
            </w:pPr>
            <w:r w:rsidRPr="00E009DC">
              <w:rPr>
                <w:b/>
                <w:lang w:val="ro-RO"/>
              </w:rPr>
              <w:t>La poziția tarifară 040610 se va clasifica doar Mozzarella nefermentată.</w:t>
            </w:r>
          </w:p>
          <w:p w:rsidR="004C57EE" w:rsidRPr="00E009DC" w:rsidRDefault="004C57EE" w:rsidP="00EC0887">
            <w:pPr>
              <w:jc w:val="both"/>
              <w:rPr>
                <w:b/>
                <w:lang w:val="ro-RO"/>
              </w:rPr>
            </w:pPr>
          </w:p>
          <w:p w:rsidR="004C57EE" w:rsidRPr="00E009DC" w:rsidRDefault="004C57EE" w:rsidP="00EC0887">
            <w:pPr>
              <w:jc w:val="both"/>
              <w:rPr>
                <w:b/>
                <w:lang w:val="ro-RO"/>
              </w:rPr>
            </w:pPr>
          </w:p>
        </w:tc>
      </w:tr>
      <w:tr w:rsidR="000A1C68" w:rsidRPr="00E009DC" w:rsidTr="008A41E8">
        <w:trPr>
          <w:trHeight w:val="1526"/>
        </w:trPr>
        <w:tc>
          <w:tcPr>
            <w:tcW w:w="1873" w:type="dxa"/>
            <w:shd w:val="clear" w:color="auto" w:fill="auto"/>
          </w:tcPr>
          <w:p w:rsidR="000A1C68" w:rsidRPr="00E009DC" w:rsidRDefault="000A1C68" w:rsidP="00576DC8">
            <w:pPr>
              <w:pStyle w:val="BodyText"/>
              <w:tabs>
                <w:tab w:val="num" w:pos="825"/>
                <w:tab w:val="num" w:pos="1353"/>
              </w:tabs>
              <w:jc w:val="left"/>
              <w:rPr>
                <w:sz w:val="20"/>
              </w:rPr>
            </w:pPr>
            <w:r w:rsidRPr="00E009DC">
              <w:rPr>
                <w:sz w:val="20"/>
              </w:rPr>
              <w:lastRenderedPageBreak/>
              <w:t>Ministerul Finanțelor</w:t>
            </w:r>
          </w:p>
          <w:p w:rsidR="000A1C68" w:rsidRPr="00E009DC" w:rsidRDefault="000A1C68" w:rsidP="00576DC8">
            <w:pPr>
              <w:pStyle w:val="BodyText"/>
              <w:tabs>
                <w:tab w:val="num" w:pos="825"/>
                <w:tab w:val="num" w:pos="1353"/>
              </w:tabs>
              <w:jc w:val="left"/>
              <w:rPr>
                <w:i/>
                <w:sz w:val="20"/>
              </w:rPr>
            </w:pPr>
            <w:r w:rsidRPr="00E009DC">
              <w:rPr>
                <w:i/>
                <w:sz w:val="20"/>
              </w:rPr>
              <w:t>Nr.</w:t>
            </w:r>
            <w:r w:rsidR="00216408" w:rsidRPr="00E009DC">
              <w:rPr>
                <w:i/>
                <w:sz w:val="20"/>
              </w:rPr>
              <w:t>14/4-06/380 din 15.09.2017</w:t>
            </w:r>
          </w:p>
          <w:p w:rsidR="005E21BF" w:rsidRPr="00E009DC" w:rsidRDefault="005E21BF" w:rsidP="00576DC8">
            <w:pPr>
              <w:pStyle w:val="BodyText"/>
              <w:tabs>
                <w:tab w:val="num" w:pos="825"/>
                <w:tab w:val="num" w:pos="1353"/>
              </w:tabs>
              <w:jc w:val="left"/>
              <w:rPr>
                <w:i/>
                <w:sz w:val="20"/>
              </w:rPr>
            </w:pPr>
          </w:p>
          <w:p w:rsidR="005E21BF" w:rsidRPr="00E009DC" w:rsidRDefault="005E21BF" w:rsidP="00576DC8">
            <w:pPr>
              <w:pStyle w:val="BodyText"/>
              <w:tabs>
                <w:tab w:val="num" w:pos="825"/>
                <w:tab w:val="num" w:pos="1353"/>
              </w:tabs>
              <w:jc w:val="left"/>
              <w:rPr>
                <w:sz w:val="20"/>
              </w:rPr>
            </w:pPr>
            <w:r w:rsidRPr="00E009DC">
              <w:rPr>
                <w:sz w:val="20"/>
              </w:rPr>
              <w:t xml:space="preserve">Serviciul Vamal </w:t>
            </w:r>
          </w:p>
          <w:p w:rsidR="005E21BF" w:rsidRPr="00E009DC" w:rsidRDefault="005E21BF" w:rsidP="00576DC8">
            <w:pPr>
              <w:pStyle w:val="BodyText"/>
              <w:tabs>
                <w:tab w:val="num" w:pos="825"/>
                <w:tab w:val="num" w:pos="1353"/>
              </w:tabs>
              <w:jc w:val="left"/>
              <w:rPr>
                <w:i/>
                <w:sz w:val="20"/>
              </w:rPr>
            </w:pPr>
            <w:r w:rsidRPr="00E009DC">
              <w:rPr>
                <w:i/>
                <w:sz w:val="20"/>
              </w:rPr>
              <w:t>Nr. 28/11-9910 din 31.07.2017</w:t>
            </w:r>
          </w:p>
        </w:tc>
        <w:tc>
          <w:tcPr>
            <w:tcW w:w="9213" w:type="dxa"/>
            <w:shd w:val="clear" w:color="auto" w:fill="auto"/>
          </w:tcPr>
          <w:p w:rsidR="00D00887" w:rsidRPr="00E009DC" w:rsidRDefault="00D00887" w:rsidP="00D00887">
            <w:pPr>
              <w:jc w:val="both"/>
              <w:rPr>
                <w:b/>
                <w:lang w:val="ro-RO"/>
              </w:rPr>
            </w:pPr>
            <w:r w:rsidRPr="00E009DC">
              <w:rPr>
                <w:b/>
                <w:lang w:val="ro-RO"/>
              </w:rPr>
              <w:t>La Art.I:</w:t>
            </w:r>
          </w:p>
          <w:p w:rsidR="00D00887" w:rsidRPr="00E009DC" w:rsidRDefault="00D00887" w:rsidP="00D00887">
            <w:pPr>
              <w:jc w:val="both"/>
              <w:rPr>
                <w:lang w:val="ro-RO"/>
              </w:rPr>
            </w:pPr>
            <w:r w:rsidRPr="00E009DC">
              <w:rPr>
                <w:lang w:val="ro-RO"/>
              </w:rPr>
              <w:t>1. Alin.(1) va avea următorul cuprins:</w:t>
            </w:r>
          </w:p>
          <w:p w:rsidR="00D00887" w:rsidRPr="00E009DC" w:rsidRDefault="00D00887" w:rsidP="00D00887">
            <w:pPr>
              <w:jc w:val="both"/>
              <w:rPr>
                <w:lang w:val="ro-RO"/>
              </w:rPr>
            </w:pPr>
            <w:r w:rsidRPr="00E009DC">
              <w:rPr>
                <w:lang w:val="ro-RO"/>
              </w:rPr>
              <w:t>„(1) În scopul asigurării interpretării și aplicării uniforme a prevederilor prezentei legi se dispune aplicarea Notelor explicative ale Convenției internaționale privind Sistemul armonizat de descriere și codificare a mărfurilor din 14 iunie 1983, aprobat de Organizația Mondială a Vămilor, la care Republica Moldova este parte, precum și Notele explicative la Nomenclatura combinată a mărfurilor elaborate de Serviciul Vamal”.</w:t>
            </w:r>
          </w:p>
          <w:p w:rsidR="00D00887" w:rsidRPr="00E009DC" w:rsidRDefault="00D00887" w:rsidP="00D00887">
            <w:pPr>
              <w:jc w:val="both"/>
              <w:rPr>
                <w:lang w:val="ro-RO"/>
              </w:rPr>
            </w:pPr>
            <w:r w:rsidRPr="00E009DC">
              <w:rPr>
                <w:lang w:val="ro-RO"/>
              </w:rPr>
              <w:t>2. Alin.(2) va avea următorul cuprins:</w:t>
            </w:r>
          </w:p>
          <w:p w:rsidR="00D00887" w:rsidRPr="00E009DC" w:rsidRDefault="00D00887" w:rsidP="00D00887">
            <w:pPr>
              <w:jc w:val="both"/>
              <w:rPr>
                <w:lang w:val="ro-RO"/>
              </w:rPr>
            </w:pPr>
            <w:r w:rsidRPr="00E009DC">
              <w:rPr>
                <w:lang w:val="ro-RO"/>
              </w:rPr>
              <w:t xml:space="preserve">„(2) În scopul înlăturării lacunelor, îmbunătățirii/revizuirii cadrului legislativ/normativ național aplicat în procesul clasificării mărfurilor și evitării tratării echivoce a acestuia, se dispune crearea Comisiei interinstituționale. Regulamentul de activitate și componența Comisiei se aprobă de Guvern.” </w:t>
            </w:r>
          </w:p>
          <w:p w:rsidR="00D00887" w:rsidRPr="00E009DC" w:rsidRDefault="00D00887" w:rsidP="00D00887">
            <w:pPr>
              <w:jc w:val="both"/>
              <w:rPr>
                <w:b/>
                <w:lang w:val="ro-RO"/>
              </w:rPr>
            </w:pPr>
            <w:r w:rsidRPr="00E009DC">
              <w:rPr>
                <w:b/>
                <w:lang w:val="ro-RO"/>
              </w:rPr>
              <w:t>Art. IV:</w:t>
            </w:r>
          </w:p>
          <w:p w:rsidR="00D00887" w:rsidRPr="00E009DC" w:rsidRDefault="00D00887" w:rsidP="00D00887">
            <w:pPr>
              <w:jc w:val="both"/>
              <w:rPr>
                <w:lang w:val="ro-RO"/>
              </w:rPr>
            </w:pPr>
            <w:r w:rsidRPr="00E009DC">
              <w:rPr>
                <w:lang w:val="ro-RO"/>
              </w:rPr>
              <w:t xml:space="preserve"> 1.Tabelul „UNITĂŢILE DE MĂSURĂ” va avea următorul cuprins:</w:t>
            </w:r>
          </w:p>
          <w:p w:rsidR="00D00887" w:rsidRPr="00E009DC" w:rsidRDefault="00D00887" w:rsidP="008702CB">
            <w:pPr>
              <w:jc w:val="center"/>
              <w:rPr>
                <w:lang w:val="ro-RO"/>
              </w:rPr>
            </w:pPr>
          </w:p>
          <w:p w:rsidR="00D00887" w:rsidRPr="00E009DC" w:rsidRDefault="00D00887" w:rsidP="008702CB">
            <w:pPr>
              <w:jc w:val="center"/>
              <w:rPr>
                <w:lang w:val="ro-RO"/>
              </w:rPr>
            </w:pPr>
            <w:r w:rsidRPr="00E009DC">
              <w:rPr>
                <w:lang w:val="ro-RO"/>
              </w:rPr>
              <w:t>„UNITĂŢILE DE MĂSURĂ SUPLIMENTARE</w:t>
            </w:r>
            <w:r w:rsidR="008702CB" w:rsidRPr="00E009DC">
              <w:rPr>
                <w:lang w:val="ro-RO"/>
              </w:rPr>
              <w:t>”</w:t>
            </w:r>
          </w:p>
          <w:tbl>
            <w:tblPr>
              <w:tblW w:w="0" w:type="auto"/>
              <w:jc w:val="center"/>
              <w:tblCellMar>
                <w:left w:w="40" w:type="dxa"/>
                <w:right w:w="40" w:type="dxa"/>
              </w:tblCellMar>
              <w:tblLook w:val="04A0" w:firstRow="1" w:lastRow="0" w:firstColumn="1" w:lastColumn="0" w:noHBand="0" w:noVBand="1"/>
            </w:tblPr>
            <w:tblGrid>
              <w:gridCol w:w="5339"/>
              <w:gridCol w:w="2044"/>
              <w:gridCol w:w="9"/>
            </w:tblGrid>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b/>
                      <w:lang w:val="ro-RO"/>
                    </w:rPr>
                  </w:pPr>
                  <w:r w:rsidRPr="00E009DC">
                    <w:rPr>
                      <w:b/>
                      <w:lang w:val="ro-RO"/>
                    </w:rPr>
                    <w:t>Denumirea unității de măsură suplimentară</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b/>
                      <w:lang w:val="ro-RO"/>
                    </w:rPr>
                  </w:pPr>
                  <w:r w:rsidRPr="00E009DC">
                    <w:rPr>
                      <w:b/>
                      <w:lang w:val="ro-RO"/>
                    </w:rPr>
                    <w:t>Semnul convențional</w:t>
                  </w:r>
                </w:p>
              </w:tc>
            </w:tr>
            <w:tr w:rsidR="00D00887" w:rsidRPr="00E009DC" w:rsidTr="008702CB">
              <w:trPr>
                <w:trHeight w:val="16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Gram</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Gram izotopi fisionabili</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gi F/S</w:t>
                  </w:r>
                </w:p>
              </w:tc>
            </w:tr>
            <w:tr w:rsidR="00D00887" w:rsidRPr="00E009DC" w:rsidTr="008702CB">
              <w:trPr>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Capacitate de încărcare utilă în tone metrice</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ct/1.</w:t>
                  </w:r>
                </w:p>
              </w:tc>
            </w:tr>
            <w:tr w:rsidR="00D00887" w:rsidRPr="00E009DC" w:rsidTr="008702CB">
              <w:trPr>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 pătrat</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r w:rsidRPr="00E009DC">
                    <w:rPr>
                      <w:vertAlign w:val="superscript"/>
                      <w:lang w:val="ro-RO"/>
                    </w:rPr>
                    <w:t>2</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azot</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N</w:t>
                  </w:r>
                </w:p>
              </w:tc>
            </w:tr>
            <w:tr w:rsidR="00D00887" w:rsidRPr="00E009DC" w:rsidTr="008702CB">
              <w:trPr>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hidroxid de potasiu</w:t>
                  </w:r>
                </w:p>
              </w:tc>
              <w:tc>
                <w:tcPr>
                  <w:tcW w:w="2053" w:type="dxa"/>
                  <w:gridSpan w:val="2"/>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KOH</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peroxid de hidrogen</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H</w:t>
                  </w:r>
                  <w:r w:rsidRPr="00E009DC">
                    <w:rPr>
                      <w:vertAlign w:val="subscript"/>
                      <w:lang w:val="ro-RO"/>
                    </w:rPr>
                    <w:t>2</w:t>
                  </w:r>
                  <w:r w:rsidRPr="00E009DC">
                    <w:rPr>
                      <w:lang w:val="ro-RO"/>
                    </w:rPr>
                    <w:t>O</w:t>
                  </w:r>
                  <w:r w:rsidRPr="00E009DC">
                    <w:rPr>
                      <w:vertAlign w:val="subscript"/>
                      <w:lang w:val="ro-RO"/>
                    </w:rPr>
                    <w:t>2</w:t>
                  </w:r>
                </w:p>
              </w:tc>
            </w:tr>
            <w:tr w:rsidR="00D00887" w:rsidRPr="00E009DC"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pentaoxid de fosfor (anhidridă fosforică)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P</w:t>
                  </w:r>
                  <w:r w:rsidRPr="00E009DC">
                    <w:rPr>
                      <w:vertAlign w:val="subscript"/>
                      <w:lang w:val="ro-RO"/>
                    </w:rPr>
                    <w:t>2</w:t>
                  </w:r>
                  <w:r w:rsidRPr="00E009DC">
                    <w:rPr>
                      <w:lang w:val="ro-RO"/>
                    </w:rPr>
                    <w:t>O</w:t>
                  </w:r>
                  <w:r w:rsidRPr="00E009DC">
                    <w:rPr>
                      <w:vertAlign w:val="subscript"/>
                      <w:lang w:val="ro-RO"/>
                    </w:rPr>
                    <w:t>5</w:t>
                  </w:r>
                </w:p>
              </w:tc>
            </w:tr>
            <w:tr w:rsidR="00D00887" w:rsidRPr="00E009DC" w:rsidTr="008702CB">
              <w:trPr>
                <w:gridAfter w:val="1"/>
                <w:wAfter w:w="9" w:type="dxa"/>
                <w:trHeight w:val="16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substanţă uscată 90%</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90% sdt</w:t>
                  </w:r>
                </w:p>
              </w:tc>
            </w:tr>
            <w:tr w:rsidR="00D00887" w:rsidRPr="00E009DC"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uraniu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U</w:t>
                  </w:r>
                </w:p>
              </w:tc>
            </w:tr>
            <w:tr w:rsidR="00D00887" w:rsidRPr="00E009DC" w:rsidTr="008702CB">
              <w:trPr>
                <w:gridAfter w:val="1"/>
                <w:wAfter w:w="9" w:type="dxa"/>
                <w:trHeight w:val="17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 cub</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r w:rsidRPr="00E009DC">
                    <w:rPr>
                      <w:vertAlign w:val="superscript"/>
                      <w:lang w:val="ro-RO"/>
                    </w:rPr>
                    <w:t>3</w:t>
                  </w:r>
                </w:p>
              </w:tc>
            </w:tr>
            <w:tr w:rsidR="00D00887" w:rsidRPr="00E009DC" w:rsidTr="008702CB">
              <w:trPr>
                <w:gridAfter w:val="1"/>
                <w:wAfter w:w="9" w:type="dxa"/>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greutate netă a produsului scurs</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kg/net eda</w:t>
                  </w:r>
                </w:p>
              </w:tc>
            </w:tr>
            <w:tr w:rsidR="00D00887" w:rsidRPr="00E009DC" w:rsidTr="008702CB">
              <w:trPr>
                <w:gridAfter w:val="1"/>
                <w:wAfter w:w="9" w:type="dxa"/>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Kilogram de metilamine</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Kg met. am.</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Litru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w:t>
                  </w:r>
                </w:p>
              </w:tc>
            </w:tr>
            <w:tr w:rsidR="00D00887" w:rsidRPr="00E009DC"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Litru de alcool pur (100%)</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L alc.100%</w:t>
                  </w:r>
                </w:p>
              </w:tc>
            </w:tr>
            <w:tr w:rsidR="00D00887" w:rsidRPr="00E009DC" w:rsidTr="008702CB">
              <w:trPr>
                <w:gridAfter w:val="1"/>
                <w:wAfter w:w="9" w:type="dxa"/>
                <w:trHeight w:val="22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Metru</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t>
                  </w:r>
                </w:p>
              </w:tc>
            </w:tr>
            <w:tr w:rsidR="00D00887" w:rsidRPr="001E03F3" w:rsidTr="008702CB">
              <w:trPr>
                <w:gridAfter w:val="1"/>
                <w:wAfter w:w="9" w:type="dxa"/>
                <w:trHeight w:val="187"/>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de carate (1 carat metric = 2 x 10</w:t>
                  </w:r>
                  <w:r w:rsidRPr="00E009DC">
                    <w:rPr>
                      <w:vertAlign w:val="superscript"/>
                      <w:lang w:val="ro-RO"/>
                    </w:rPr>
                    <w:t>-4</w:t>
                  </w:r>
                  <w:r w:rsidRPr="00E009DC">
                    <w:rPr>
                      <w:lang w:val="ro-RO"/>
                    </w:rPr>
                    <w:t xml:space="preserve"> kg)</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c/k</w:t>
                  </w:r>
                </w:p>
              </w:tc>
            </w:tr>
            <w:tr w:rsidR="00D00887" w:rsidRPr="001E03F3" w:rsidTr="008702CB">
              <w:trPr>
                <w:gridAfter w:val="1"/>
                <w:wAfter w:w="9" w:type="dxa"/>
                <w:trHeight w:val="133"/>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de elemente</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ce/el</w:t>
                  </w:r>
                </w:p>
              </w:tc>
            </w:tr>
            <w:tr w:rsidR="00D00887" w:rsidRPr="001E03F3" w:rsidTr="008702CB">
              <w:trPr>
                <w:gridAfter w:val="1"/>
                <w:wAfter w:w="9" w:type="dxa"/>
                <w:trHeight w:val="23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perechi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per.</w:t>
                  </w:r>
                </w:p>
              </w:tc>
            </w:tr>
            <w:tr w:rsidR="00D00887" w:rsidRPr="001E03F3"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O sută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 buc.</w:t>
                  </w:r>
                </w:p>
              </w:tc>
            </w:tr>
            <w:tr w:rsidR="00D00887" w:rsidRPr="001E03F3"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O mie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buc.</w:t>
                  </w:r>
                </w:p>
              </w:tc>
            </w:tr>
            <w:tr w:rsidR="00D00887" w:rsidRPr="001E03F3"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Număr bucăţi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buc.</w:t>
                  </w:r>
                </w:p>
              </w:tc>
            </w:tr>
            <w:tr w:rsidR="00D00887" w:rsidRPr="001E03F3" w:rsidTr="008702CB">
              <w:trPr>
                <w:gridAfter w:val="1"/>
                <w:wAfter w:w="9" w:type="dxa"/>
                <w:trHeight w:val="268"/>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kilowatt/oră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MWh</w:t>
                  </w:r>
                </w:p>
              </w:tc>
            </w:tr>
            <w:tr w:rsidR="00D00887" w:rsidRPr="001E03F3"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1 000 metri cubi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m</w:t>
                  </w:r>
                  <w:r w:rsidRPr="00E009DC">
                    <w:rPr>
                      <w:vertAlign w:val="superscript"/>
                      <w:lang w:val="ro-RO"/>
                    </w:rPr>
                    <w:t>3</w:t>
                  </w:r>
                </w:p>
              </w:tc>
            </w:tr>
            <w:tr w:rsidR="00D00887" w:rsidRPr="001E03F3" w:rsidTr="008702CB">
              <w:trPr>
                <w:gridAfter w:val="1"/>
                <w:wAfter w:w="9" w:type="dxa"/>
                <w:trHeight w:val="250"/>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Doze de material seminal</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Dms</w:t>
                  </w:r>
                </w:p>
              </w:tc>
            </w:tr>
            <w:tr w:rsidR="00D00887" w:rsidRPr="001E03F3" w:rsidTr="008702CB">
              <w:trPr>
                <w:gridAfter w:val="1"/>
                <w:wAfter w:w="9" w:type="dxa"/>
                <w:trHeight w:val="355"/>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 litri</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10001</w:t>
                  </w:r>
                </w:p>
              </w:tc>
            </w:tr>
            <w:tr w:rsidR="00D00887" w:rsidRPr="001E03F3" w:rsidTr="008702CB">
              <w:trPr>
                <w:gridAfter w:val="1"/>
                <w:wAfter w:w="9" w:type="dxa"/>
                <w:trHeight w:val="23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Terajoule (putere calorică superioară)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TJ</w:t>
                  </w:r>
                </w:p>
              </w:tc>
            </w:tr>
            <w:tr w:rsidR="00D00887" w:rsidRPr="001E03F3" w:rsidTr="008702CB">
              <w:trPr>
                <w:gridAfter w:val="1"/>
                <w:wAfter w:w="9" w:type="dxa"/>
                <w:trHeight w:val="142"/>
                <w:jc w:val="center"/>
              </w:trPr>
              <w:tc>
                <w:tcPr>
                  <w:tcW w:w="5339"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lastRenderedPageBreak/>
                    <w:t>Fără unitate suplimentară</w:t>
                  </w:r>
                </w:p>
              </w:tc>
              <w:tc>
                <w:tcPr>
                  <w:tcW w:w="204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8702CB">
                  <w:pPr>
                    <w:jc w:val="center"/>
                    <w:rPr>
                      <w:lang w:val="ro-RO"/>
                    </w:rPr>
                  </w:pPr>
                  <w:r w:rsidRPr="00E009DC">
                    <w:rPr>
                      <w:lang w:val="ro-RO"/>
                    </w:rPr>
                    <w:t>-</w:t>
                  </w:r>
                </w:p>
              </w:tc>
            </w:tr>
          </w:tbl>
          <w:p w:rsidR="00D00887" w:rsidRPr="00E009DC" w:rsidRDefault="00D00887" w:rsidP="00D00887">
            <w:pPr>
              <w:jc w:val="both"/>
              <w:rPr>
                <w:lang w:val="ro-RO"/>
              </w:rPr>
            </w:pPr>
          </w:p>
          <w:p w:rsidR="00D00887" w:rsidRPr="00E009DC" w:rsidRDefault="00D00887" w:rsidP="00D00887">
            <w:pPr>
              <w:jc w:val="both"/>
              <w:rPr>
                <w:lang w:val="ro-RO"/>
              </w:rPr>
            </w:pPr>
            <w:r w:rsidRPr="00E009DC">
              <w:rPr>
                <w:lang w:val="ro-RO"/>
              </w:rPr>
              <w:t xml:space="preserve"> </w:t>
            </w:r>
            <w:r w:rsidRPr="00E009DC">
              <w:rPr>
                <w:lang w:val="ro-RO"/>
              </w:rPr>
              <w:tab/>
              <w:t>Tabelul se completează în final cu Notă cu următorul cuprins:</w:t>
            </w:r>
          </w:p>
          <w:p w:rsidR="00D00887" w:rsidRPr="00E009DC" w:rsidRDefault="00D00887" w:rsidP="00BC5F8C">
            <w:pPr>
              <w:shd w:val="clear" w:color="auto" w:fill="FFFFFF" w:themeFill="background1"/>
              <w:jc w:val="both"/>
              <w:rPr>
                <w:lang w:val="ro-RO"/>
              </w:rPr>
            </w:pPr>
            <w:r w:rsidRPr="00E009DC">
              <w:rPr>
                <w:lang w:val="ro-RO"/>
              </w:rPr>
              <w:t>„ Notă: Prin capacitate de încărcare utilă în tone metrice (ct/1) se înțelege capacitatea de încărcare a unui vapor exprimată în tone metrice, cu excepția mărfurilor transportate cu titlu de provizii de bord (carburanți, utilaje, alimente etc.). De asemenea, persoanele transportate (personal și pasageri), precum și bagajele acestora, nu se iau în considerare la calcularea capacității de încărcare utile.”</w:t>
            </w:r>
          </w:p>
          <w:p w:rsidR="00D00887" w:rsidRPr="00E009DC" w:rsidRDefault="00D00887" w:rsidP="00BC5F8C">
            <w:pPr>
              <w:shd w:val="clear" w:color="auto" w:fill="FFFFFF" w:themeFill="background1"/>
              <w:jc w:val="both"/>
              <w:rPr>
                <w:lang w:val="ro-RO"/>
              </w:rPr>
            </w:pPr>
            <w:r w:rsidRPr="00E009DC">
              <w:rPr>
                <w:lang w:val="ro-RO"/>
              </w:rPr>
              <w:t xml:space="preserve">2. Capitolul 2: </w:t>
            </w:r>
          </w:p>
          <w:p w:rsidR="00D00887" w:rsidRPr="00E009DC" w:rsidRDefault="00D00887" w:rsidP="00BC5F8C">
            <w:pPr>
              <w:shd w:val="clear" w:color="auto" w:fill="FFFFFF" w:themeFill="background1"/>
              <w:jc w:val="both"/>
              <w:rPr>
                <w:lang w:val="ro-RO"/>
              </w:rPr>
            </w:pPr>
            <w:r w:rsidRPr="00E009DC">
              <w:rPr>
                <w:lang w:val="ro-RO"/>
              </w:rPr>
              <w:t>la Note complementare pct.2. A. lit.(c), cuvintele „în stare proaspătă sau sărată” se exclud;</w:t>
            </w:r>
          </w:p>
          <w:p w:rsidR="00D00887" w:rsidRPr="00E009DC" w:rsidRDefault="00D00887" w:rsidP="00BC5F8C">
            <w:pPr>
              <w:shd w:val="clear" w:color="auto" w:fill="FFFFFF" w:themeFill="background1"/>
              <w:jc w:val="both"/>
              <w:rPr>
                <w:lang w:val="ro-RO"/>
              </w:rPr>
            </w:pPr>
            <w:r w:rsidRPr="00E009DC">
              <w:rPr>
                <w:lang w:val="ro-RO"/>
              </w:rPr>
              <w:t>la poziția tarifară 0209 în denumire cuvintele „de curte” se exclud;</w:t>
            </w:r>
          </w:p>
          <w:p w:rsidR="00D00887" w:rsidRPr="00E009DC" w:rsidRDefault="00D00887" w:rsidP="00BC5F8C">
            <w:pPr>
              <w:shd w:val="clear" w:color="auto" w:fill="FFFFFF" w:themeFill="background1"/>
              <w:jc w:val="both"/>
              <w:rPr>
                <w:lang w:val="ro-RO"/>
              </w:rPr>
            </w:pPr>
            <w:r w:rsidRPr="00E009DC">
              <w:rPr>
                <w:lang w:val="ro-RO"/>
              </w:rPr>
              <w:t>la rândul „- - - - - Ficat de pasăre de curte” predecesor subpoziției 021099710</w:t>
            </w:r>
          </w:p>
          <w:p w:rsidR="00D00887" w:rsidRPr="00E009DC" w:rsidRDefault="00D00887" w:rsidP="00BC5F8C">
            <w:pPr>
              <w:shd w:val="clear" w:color="auto" w:fill="FFFFFF" w:themeFill="background1"/>
              <w:jc w:val="both"/>
              <w:rPr>
                <w:lang w:val="ro-RO"/>
              </w:rPr>
            </w:pPr>
            <w:r w:rsidRPr="00E009DC">
              <w:rPr>
                <w:lang w:val="ro-RO"/>
              </w:rPr>
              <w:t>cuvintele „de curte” se exclud;</w:t>
            </w:r>
          </w:p>
          <w:p w:rsidR="00D00887" w:rsidRPr="00E009DC" w:rsidRDefault="00D00887" w:rsidP="00BC5F8C">
            <w:pPr>
              <w:shd w:val="clear" w:color="auto" w:fill="FFFFFF" w:themeFill="background1"/>
              <w:jc w:val="both"/>
              <w:rPr>
                <w:lang w:val="ro-RO"/>
              </w:rPr>
            </w:pPr>
            <w:r w:rsidRPr="00E009DC">
              <w:rPr>
                <w:lang w:val="ro-RO"/>
              </w:rPr>
              <w:t>3. Capitolul 8:</w:t>
            </w:r>
          </w:p>
          <w:p w:rsidR="00D00887" w:rsidRPr="00E009DC" w:rsidRDefault="00D00887" w:rsidP="00BC5F8C">
            <w:pPr>
              <w:shd w:val="clear" w:color="auto" w:fill="FFFFFF" w:themeFill="background1"/>
              <w:jc w:val="both"/>
              <w:rPr>
                <w:lang w:val="ro-RO"/>
              </w:rPr>
            </w:pPr>
            <w:r w:rsidRPr="00E009DC">
              <w:rPr>
                <w:lang w:val="ro-RO"/>
              </w:rPr>
              <w:t>la Note complimentare pct.3, după subpoziția „081190850” se introduce subpoziția „081290700”;</w:t>
            </w:r>
          </w:p>
          <w:p w:rsidR="00D00887" w:rsidRPr="00E009DC" w:rsidRDefault="00D00887" w:rsidP="00BC5F8C">
            <w:pPr>
              <w:shd w:val="clear" w:color="auto" w:fill="FFFFFF" w:themeFill="background1"/>
              <w:jc w:val="both"/>
              <w:rPr>
                <w:lang w:val="ro-RO"/>
              </w:rPr>
            </w:pPr>
            <w:r w:rsidRPr="00E009DC">
              <w:rPr>
                <w:lang w:val="ro-RO"/>
              </w:rPr>
              <w:t>la poziția tarifară 0802, poziția tarifară 0813, subpoziţia 081350, la rândul predecesor subpoziţiei 081350310 şi subpoziţiei 200811, cuvintele „fructe cu coajă” se înlocuiesc cu cuvintele „nuci”;</w:t>
            </w:r>
          </w:p>
          <w:p w:rsidR="00D00887" w:rsidRPr="00E009DC" w:rsidRDefault="00D00887" w:rsidP="00D00887">
            <w:pPr>
              <w:jc w:val="both"/>
              <w:rPr>
                <w:lang w:val="ro-RO"/>
              </w:rPr>
            </w:pPr>
            <w:r w:rsidRPr="00E009DC">
              <w:rPr>
                <w:lang w:val="ro-RO"/>
              </w:rPr>
              <w:t>în denumirea subpoziţiei 08093010 cuvintele „Piersici fără puf și nectarine” se înlocuiesc cu cuvintele „Nectarine”;</w:t>
            </w:r>
          </w:p>
          <w:p w:rsidR="00D00887" w:rsidRPr="00E009DC" w:rsidRDefault="00D00887" w:rsidP="00D00887">
            <w:pPr>
              <w:jc w:val="both"/>
              <w:rPr>
                <w:lang w:val="ro-RO"/>
              </w:rPr>
            </w:pPr>
            <w:r w:rsidRPr="00E009DC">
              <w:rPr>
                <w:lang w:val="ro-RO"/>
              </w:rPr>
              <w:t>în denumirea subpoziţiei 081290700 cuvintele „fructe tropicale cu coajă” se înlocuiesc cu cuvintele „nuci tropicale”;</w:t>
            </w:r>
          </w:p>
          <w:p w:rsidR="00D00887" w:rsidRPr="00E009DC" w:rsidRDefault="00D00887" w:rsidP="00D00887">
            <w:pPr>
              <w:jc w:val="both"/>
              <w:rPr>
                <w:lang w:val="ro-RO"/>
              </w:rPr>
            </w:pPr>
            <w:r w:rsidRPr="00E009DC">
              <w:rPr>
                <w:lang w:val="ro-RO"/>
              </w:rPr>
              <w:t>4. Capitolul 11:</w:t>
            </w:r>
          </w:p>
          <w:p w:rsidR="00D00887" w:rsidRPr="00E009DC" w:rsidRDefault="00D00887" w:rsidP="00D00887">
            <w:pPr>
              <w:jc w:val="both"/>
              <w:rPr>
                <w:lang w:val="ro-RO"/>
              </w:rPr>
            </w:pPr>
            <w:r w:rsidRPr="00E009DC">
              <w:rPr>
                <w:lang w:val="ro-RO"/>
              </w:rPr>
              <w:t>la Note complimentare pct.l lit.(b), cuvintele „fructelor cu coajă” se înlocuiesc cu cuvîntul „nucilor”;</w:t>
            </w:r>
          </w:p>
          <w:p w:rsidR="00D00887" w:rsidRPr="00E009DC" w:rsidRDefault="00D00887" w:rsidP="00D00887">
            <w:pPr>
              <w:jc w:val="both"/>
              <w:rPr>
                <w:lang w:val="ro-RO"/>
              </w:rPr>
            </w:pPr>
            <w:r w:rsidRPr="00E009DC">
              <w:rPr>
                <w:lang w:val="ro-RO"/>
              </w:rPr>
              <w:t>5. Capitolul 12 :</w:t>
            </w:r>
          </w:p>
          <w:p w:rsidR="00D00887" w:rsidRPr="00E009DC" w:rsidRDefault="00D00887" w:rsidP="00D00887">
            <w:pPr>
              <w:jc w:val="both"/>
              <w:rPr>
                <w:lang w:val="ro-RO"/>
              </w:rPr>
            </w:pPr>
            <w:r w:rsidRPr="00E009DC">
              <w:rPr>
                <w:lang w:val="ro-RO"/>
              </w:rPr>
              <w:t>la Note de capitol pct.l, după cuvintele „seminţe de mac şi seminţe de Karite” se introduc cuvintele „considerate drept „seminţe oleaginoase””;</w:t>
            </w:r>
          </w:p>
          <w:p w:rsidR="00D00887" w:rsidRPr="00E009DC" w:rsidRDefault="00D00887" w:rsidP="00D00887">
            <w:pPr>
              <w:jc w:val="both"/>
              <w:rPr>
                <w:lang w:val="ro-RO"/>
              </w:rPr>
            </w:pPr>
            <w:r w:rsidRPr="00E009DC">
              <w:rPr>
                <w:lang w:val="ro-RO"/>
              </w:rPr>
              <w:t>6. Denumirea Capitolului 15 va avea următorul cuprins:</w:t>
            </w:r>
          </w:p>
          <w:p w:rsidR="00D00887" w:rsidRPr="00E009DC" w:rsidRDefault="00D00887" w:rsidP="00D00887">
            <w:pPr>
              <w:jc w:val="both"/>
              <w:rPr>
                <w:lang w:val="ro-RO"/>
              </w:rPr>
            </w:pPr>
            <w:r w:rsidRPr="00E009DC">
              <w:rPr>
                <w:lang w:val="ro-RO"/>
              </w:rPr>
              <w:t>„GRĂSIMI ŞI ULEIURI DE   ORIGINE   ANIMALĂ    SAU   VEGETALĂ    ŞI   PRODUSE   ALE DISOCIERII   ACESTORA;   GRĂSIMI   ALIMENTARE   PRELUCRATE; CEARĂ DE ORIGINE ANIMALĂ SAU VEGETALĂ”;</w:t>
            </w:r>
          </w:p>
          <w:p w:rsidR="00D00887" w:rsidRPr="00E009DC" w:rsidRDefault="00D00887" w:rsidP="00D00887">
            <w:pPr>
              <w:jc w:val="both"/>
              <w:rPr>
                <w:lang w:val="ro-RO"/>
              </w:rPr>
            </w:pPr>
            <w:r w:rsidRPr="00E009DC">
              <w:rPr>
                <w:lang w:val="ro-RO"/>
              </w:rPr>
              <w:t>la Note complimentare pct.2. A., Tabelul I va avea următorul cuprins:</w:t>
            </w:r>
          </w:p>
          <w:p w:rsidR="00D00887" w:rsidRPr="00E009DC" w:rsidRDefault="00D00887" w:rsidP="00D00887">
            <w:pPr>
              <w:jc w:val="both"/>
              <w:rPr>
                <w:lang w:val="ro-RO"/>
              </w:rPr>
            </w:pPr>
          </w:p>
          <w:p w:rsidR="00D00887" w:rsidRPr="00E009DC" w:rsidRDefault="00D00887" w:rsidP="00D00887">
            <w:pPr>
              <w:jc w:val="both"/>
              <w:rPr>
                <w:lang w:val="ro-RO"/>
              </w:rPr>
            </w:pPr>
            <w:r w:rsidRPr="00E009DC">
              <w:rPr>
                <w:lang w:val="ro-RO"/>
              </w:rPr>
              <w:t>„Tabelul I</w:t>
            </w:r>
          </w:p>
          <w:p w:rsidR="00D00887" w:rsidRPr="00E009DC" w:rsidRDefault="00D00887" w:rsidP="00D00887">
            <w:pPr>
              <w:jc w:val="both"/>
              <w:rPr>
                <w:b/>
                <w:lang w:val="ro-RO"/>
              </w:rPr>
            </w:pPr>
            <w:r w:rsidRPr="00E009DC">
              <w:rPr>
                <w:b/>
                <w:lang w:val="ro-RO"/>
              </w:rPr>
              <w:t>Conţinutul de acizi graşi în procente din total acizi graşi</w:t>
            </w:r>
          </w:p>
          <w:tbl>
            <w:tblPr>
              <w:tblW w:w="0" w:type="auto"/>
              <w:tblInd w:w="40" w:type="dxa"/>
              <w:tblCellMar>
                <w:left w:w="40" w:type="dxa"/>
                <w:right w:w="40" w:type="dxa"/>
              </w:tblCellMar>
              <w:tblLook w:val="04A0" w:firstRow="1" w:lastRow="0" w:firstColumn="1" w:lastColumn="0" w:noHBand="0" w:noVBand="1"/>
            </w:tblPr>
            <w:tblGrid>
              <w:gridCol w:w="3081"/>
              <w:gridCol w:w="1617"/>
              <w:gridCol w:w="268"/>
              <w:gridCol w:w="2467"/>
              <w:gridCol w:w="1508"/>
            </w:tblGrid>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Acizi graşi </w:t>
                  </w:r>
                </w:p>
              </w:tc>
              <w:tc>
                <w:tcPr>
                  <w:tcW w:w="1661"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Procente </w:t>
                  </w:r>
                </w:p>
              </w:tc>
              <w:tc>
                <w:tcPr>
                  <w:tcW w:w="278" w:type="dxa"/>
                  <w:vMerge w:val="restart"/>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 </w:t>
                  </w: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Acizi graşi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b/>
                      <w:lang w:val="ro-RO"/>
                    </w:rPr>
                  </w:pPr>
                  <w:r w:rsidRPr="00E009DC">
                    <w:rPr>
                      <w:b/>
                      <w:lang w:val="ro-RO"/>
                    </w:rPr>
                    <w:t xml:space="preserve">Procente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miristic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≤0,05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linoleic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3,5-21,0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palmitic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7,5-20,0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linolenic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1,0 </w:t>
                  </w:r>
                </w:p>
              </w:tc>
            </w:tr>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palmitoleic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0,3-3,5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arahidic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≤0,6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heptadecanoic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eicosenoic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≤0,4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heptadecenoic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≤0,3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behenic </w:t>
                  </w:r>
                  <w:r w:rsidRPr="00E009DC">
                    <w:rPr>
                      <w:vertAlign w:val="superscript"/>
                      <w:lang w:val="ro-RO"/>
                    </w:rPr>
                    <w:t>(1)</w:t>
                  </w:r>
                  <w:r w:rsidRPr="00E009DC">
                    <w:rPr>
                      <w:lang w:val="ro-RO"/>
                    </w:rPr>
                    <w:t xml:space="preserve">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≤0,3 </w:t>
                  </w:r>
                </w:p>
              </w:tc>
            </w:tr>
            <w:tr w:rsidR="00D00887" w:rsidRPr="00E009DC" w:rsidTr="008702CB">
              <w:trPr>
                <w:trHeight w:val="268"/>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stearic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0,5-5,0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lignoceric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≤0,2 </w:t>
                  </w:r>
                </w:p>
              </w:tc>
            </w:tr>
            <w:tr w:rsidR="00D00887" w:rsidRPr="00E009DC" w:rsidTr="008702CB">
              <w:trPr>
                <w:trHeight w:val="250"/>
              </w:trPr>
              <w:tc>
                <w:tcPr>
                  <w:tcW w:w="3187"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Acid oleic </w:t>
                  </w:r>
                </w:p>
              </w:tc>
              <w:tc>
                <w:tcPr>
                  <w:tcW w:w="1661" w:type="dxa"/>
                  <w:tcBorders>
                    <w:top w:val="single" w:sz="6" w:space="0" w:color="auto"/>
                    <w:left w:val="single" w:sz="6" w:space="0" w:color="auto"/>
                    <w:bottom w:val="single" w:sz="6" w:space="0" w:color="auto"/>
                    <w:right w:val="single" w:sz="6" w:space="0" w:color="auto"/>
                  </w:tcBorders>
                </w:tcPr>
                <w:p w:rsidR="00D00887" w:rsidRPr="00E009DC" w:rsidRDefault="00D00887" w:rsidP="00D00887">
                  <w:pPr>
                    <w:jc w:val="both"/>
                    <w:rPr>
                      <w:lang w:val="ro-RO"/>
                    </w:rPr>
                  </w:pPr>
                  <w:r w:rsidRPr="00E009DC">
                    <w:rPr>
                      <w:lang w:val="ro-RO"/>
                    </w:rPr>
                    <w:t xml:space="preserve">55,0-83,0 </w:t>
                  </w:r>
                </w:p>
              </w:tc>
              <w:tc>
                <w:tcPr>
                  <w:tcW w:w="278" w:type="dxa"/>
                  <w:vMerge/>
                  <w:tcBorders>
                    <w:top w:val="single" w:sz="6" w:space="0" w:color="auto"/>
                    <w:left w:val="single" w:sz="6" w:space="0" w:color="auto"/>
                    <w:bottom w:val="single" w:sz="6" w:space="0" w:color="auto"/>
                    <w:right w:val="single" w:sz="6" w:space="0" w:color="auto"/>
                  </w:tcBorders>
                  <w:vAlign w:val="center"/>
                  <w:hideMark/>
                </w:tcPr>
                <w:p w:rsidR="00D00887" w:rsidRPr="00E009DC" w:rsidRDefault="00D00887" w:rsidP="00D00887">
                  <w:pPr>
                    <w:jc w:val="both"/>
                    <w:rPr>
                      <w:lang w:val="ro-RO"/>
                    </w:rPr>
                  </w:pPr>
                </w:p>
                <w:p w:rsidR="00D00887" w:rsidRPr="00E009DC" w:rsidRDefault="00D00887" w:rsidP="00D00887">
                  <w:pPr>
                    <w:jc w:val="both"/>
                    <w:rPr>
                      <w:b/>
                      <w:lang w:val="ro-RO"/>
                    </w:rPr>
                  </w:pPr>
                </w:p>
              </w:tc>
              <w:tc>
                <w:tcPr>
                  <w:tcW w:w="2554"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w:t>
                  </w:r>
                </w:p>
              </w:tc>
              <w:tc>
                <w:tcPr>
                  <w:tcW w:w="1546" w:type="dxa"/>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lang w:val="ro-RO"/>
                    </w:rPr>
                    <w:t xml:space="preserve"> </w:t>
                  </w:r>
                </w:p>
              </w:tc>
            </w:tr>
            <w:tr w:rsidR="00D00887" w:rsidRPr="001E03F3" w:rsidTr="00D00887">
              <w:trPr>
                <w:trHeight w:val="499"/>
              </w:trPr>
              <w:tc>
                <w:tcPr>
                  <w:tcW w:w="9226" w:type="dxa"/>
                  <w:gridSpan w:val="5"/>
                  <w:tcBorders>
                    <w:top w:val="single" w:sz="6" w:space="0" w:color="auto"/>
                    <w:left w:val="single" w:sz="6" w:space="0" w:color="auto"/>
                    <w:bottom w:val="single" w:sz="6" w:space="0" w:color="auto"/>
                    <w:right w:val="single" w:sz="6" w:space="0" w:color="auto"/>
                  </w:tcBorders>
                  <w:hideMark/>
                </w:tcPr>
                <w:p w:rsidR="00D00887" w:rsidRPr="00E009DC" w:rsidRDefault="00D00887" w:rsidP="00D00887">
                  <w:pPr>
                    <w:jc w:val="both"/>
                    <w:rPr>
                      <w:lang w:val="ro-RO"/>
                    </w:rPr>
                  </w:pPr>
                  <w:r w:rsidRPr="00E009DC">
                    <w:rPr>
                      <w:vertAlign w:val="superscript"/>
                      <w:lang w:val="ro-RO"/>
                    </w:rPr>
                    <w:t>(1)</w:t>
                  </w:r>
                  <w:r w:rsidRPr="00E009DC">
                    <w:rPr>
                      <w:lang w:val="ro-RO"/>
                    </w:rPr>
                    <w:t xml:space="preserve"> </w:t>
                  </w:r>
                  <w:r w:rsidRPr="00E009DC">
                    <w:rPr>
                      <w:i/>
                      <w:lang w:val="ro-RO"/>
                    </w:rPr>
                    <w:t>≤</w:t>
                  </w:r>
                  <w:r w:rsidRPr="00E009DC">
                    <w:rPr>
                      <w:lang w:val="ro-RO"/>
                    </w:rPr>
                    <w:t xml:space="preserve"> 0,2 pentru uleiurile de la poziţia 1509. </w:t>
                  </w:r>
                </w:p>
              </w:tc>
            </w:tr>
          </w:tbl>
          <w:p w:rsidR="00D00887" w:rsidRPr="00E009DC" w:rsidRDefault="00D00887" w:rsidP="00D00887">
            <w:pPr>
              <w:jc w:val="both"/>
              <w:rPr>
                <w:lang w:val="ro-RO"/>
              </w:rPr>
            </w:pPr>
            <w:r w:rsidRPr="00E009DC">
              <w:rPr>
                <w:lang w:val="ro-RO"/>
              </w:rPr>
              <w:t>”</w:t>
            </w:r>
          </w:p>
          <w:p w:rsidR="00D00887" w:rsidRPr="00E009DC" w:rsidRDefault="00D00887" w:rsidP="00D00887">
            <w:pPr>
              <w:jc w:val="both"/>
              <w:rPr>
                <w:lang w:val="ro-RO"/>
              </w:rPr>
            </w:pPr>
            <w:r w:rsidRPr="00E009DC">
              <w:rPr>
                <w:lang w:val="ro-RO"/>
              </w:rPr>
              <w:lastRenderedPageBreak/>
              <w:t>la Note complimentare pct.2. B, subpct.l lit.(f) de expus în următoarea redacție:</w:t>
            </w:r>
          </w:p>
          <w:p w:rsidR="00D00887" w:rsidRPr="00E009DC" w:rsidRDefault="00D00887" w:rsidP="00D00887">
            <w:pPr>
              <w:jc w:val="both"/>
              <w:rPr>
                <w:lang w:val="ro-RO"/>
              </w:rPr>
            </w:pPr>
            <w:r w:rsidRPr="00E009DC">
              <w:rPr>
                <w:lang w:val="ro-RO"/>
              </w:rPr>
              <w:t>„(f) o diferenţă între conţinutul HPLC şi conţinutul teoretic de trigliceride cu ECN42 de maximum 0,3 şi”;</w:t>
            </w:r>
          </w:p>
          <w:p w:rsidR="00D00887" w:rsidRPr="00E009DC" w:rsidRDefault="00D00887" w:rsidP="00D00887">
            <w:pPr>
              <w:jc w:val="both"/>
              <w:rPr>
                <w:lang w:val="ro-RO"/>
              </w:rPr>
            </w:pPr>
            <w:r w:rsidRPr="00E009DC">
              <w:rPr>
                <w:lang w:val="ro-RO"/>
              </w:rPr>
              <w:t>în continuare numerotarea se modifică astfel, lit.(f) devine litera (g);</w:t>
            </w:r>
          </w:p>
          <w:p w:rsidR="00D00887" w:rsidRPr="00E009DC" w:rsidRDefault="00D00887" w:rsidP="00D00887">
            <w:pPr>
              <w:jc w:val="both"/>
              <w:rPr>
                <w:lang w:val="ro-RO"/>
              </w:rPr>
            </w:pPr>
            <w:r w:rsidRPr="00E009DC">
              <w:rPr>
                <w:lang w:val="ro-RO"/>
              </w:rPr>
              <w:t xml:space="preserve">la lit.(f), subpct.2 se completează în final cu următorul text: „medie mai mare de 3,5”; </w:t>
            </w:r>
          </w:p>
          <w:p w:rsidR="00D00887" w:rsidRPr="00E009DC" w:rsidRDefault="00D00887" w:rsidP="00D00887">
            <w:pPr>
              <w:jc w:val="both"/>
              <w:rPr>
                <w:lang w:val="ro-RO"/>
              </w:rPr>
            </w:pPr>
            <w:r w:rsidRPr="00E009DC">
              <w:rPr>
                <w:lang w:val="ro-RO"/>
              </w:rPr>
              <w:t>pct.2 se completează cu lit.(m) cu următorul text:</w:t>
            </w:r>
          </w:p>
          <w:p w:rsidR="00D00887" w:rsidRPr="00E009DC" w:rsidRDefault="00D00887" w:rsidP="00D00887">
            <w:pPr>
              <w:jc w:val="both"/>
              <w:rPr>
                <w:lang w:val="ro-RO"/>
              </w:rPr>
            </w:pPr>
            <w:r w:rsidRPr="00E009DC">
              <w:rPr>
                <w:lang w:val="ro-RO"/>
              </w:rPr>
              <w:t>„(m) o diferență între conținutul HPLC și conținutul teoretic de trigliceride cu ECN42 de maximum 0,2.”;</w:t>
            </w:r>
          </w:p>
          <w:p w:rsidR="00D00887" w:rsidRPr="00E009DC" w:rsidRDefault="00D00887" w:rsidP="00D00887">
            <w:pPr>
              <w:jc w:val="both"/>
              <w:rPr>
                <w:lang w:val="ro-RO"/>
              </w:rPr>
            </w:pPr>
            <w:r w:rsidRPr="00E009DC">
              <w:rPr>
                <w:lang w:val="ro-RO"/>
              </w:rPr>
              <w:t>Note complimentare pct.2. C. se completează cu lit.(h) cu următorul text:</w:t>
            </w:r>
          </w:p>
          <w:p w:rsidR="00D00887" w:rsidRPr="00E009DC" w:rsidRDefault="00D00887" w:rsidP="00D00887">
            <w:pPr>
              <w:jc w:val="both"/>
              <w:rPr>
                <w:lang w:val="ro-RO"/>
              </w:rPr>
            </w:pPr>
            <w:r w:rsidRPr="00E009DC">
              <w:rPr>
                <w:lang w:val="ro-RO"/>
              </w:rPr>
              <w:t>„(h) o diferență între conținutul HPLC și conținutul teoretic de trigliceride cu ECN42 de maximum 0,3.”;</w:t>
            </w:r>
          </w:p>
          <w:p w:rsidR="00D00887" w:rsidRPr="00E009DC" w:rsidRDefault="00D00887" w:rsidP="00D00887">
            <w:pPr>
              <w:jc w:val="both"/>
              <w:rPr>
                <w:lang w:val="ro-RO"/>
              </w:rPr>
            </w:pPr>
            <w:r w:rsidRPr="00E009DC">
              <w:rPr>
                <w:lang w:val="ro-RO"/>
              </w:rPr>
              <w:t>Note complimentare pct.2. D. se completează cu lit.(e) cu următorul text:</w:t>
            </w:r>
          </w:p>
          <w:p w:rsidR="00D00887" w:rsidRPr="00E009DC" w:rsidRDefault="00D00887" w:rsidP="00D00887">
            <w:pPr>
              <w:jc w:val="both"/>
              <w:rPr>
                <w:lang w:val="ro-RO"/>
              </w:rPr>
            </w:pPr>
            <w:r w:rsidRPr="00E009DC">
              <w:rPr>
                <w:lang w:val="ro-RO"/>
              </w:rPr>
              <w:t>„(e) o diferență între compoziția HPLC și conținutul teoretic de trigliceride cu ECN42 de maximum 0,6.”;</w:t>
            </w:r>
          </w:p>
          <w:p w:rsidR="00D00887" w:rsidRPr="00E009DC" w:rsidRDefault="00D00887" w:rsidP="00D00887">
            <w:pPr>
              <w:jc w:val="both"/>
              <w:rPr>
                <w:lang w:val="ro-RO"/>
              </w:rPr>
            </w:pPr>
            <w:r w:rsidRPr="00E009DC">
              <w:rPr>
                <w:lang w:val="ro-RO"/>
              </w:rPr>
              <w:t xml:space="preserve">Note complimentare pct.2. E, după textul „suma izomerilor translinoleici + translinolenici mai mică de 0,35%” se introduce textul „și diferența între compoziția HPLC și conținutul teoretic de trigliceride cu ECN42 de maximum 0,5.”; </w:t>
            </w:r>
          </w:p>
          <w:p w:rsidR="00D00887" w:rsidRPr="00E009DC" w:rsidRDefault="00D00887" w:rsidP="00D00887">
            <w:pPr>
              <w:jc w:val="both"/>
              <w:rPr>
                <w:lang w:val="ro-RO"/>
              </w:rPr>
            </w:pPr>
            <w:r w:rsidRPr="00E009DC">
              <w:rPr>
                <w:lang w:val="ro-RO"/>
              </w:rPr>
              <w:t>în denumirea subpoziţiei 150710, cuvintele „chiar rafinate” de exclus;</w:t>
            </w:r>
          </w:p>
          <w:p w:rsidR="00D00887" w:rsidRPr="00E009DC" w:rsidRDefault="00D00887" w:rsidP="00D00887">
            <w:pPr>
              <w:jc w:val="both"/>
              <w:rPr>
                <w:lang w:val="ro-RO"/>
              </w:rPr>
            </w:pPr>
            <w:r w:rsidRPr="00E009DC">
              <w:rPr>
                <w:lang w:val="ro-RO"/>
              </w:rPr>
              <w:t>7. La Secţiunea IV în denumire, după cuvintele „ŞI ÎNLOCUITORI DE TUTUN” se introduce cuvîntul: „PRELUCRAT”;</w:t>
            </w:r>
          </w:p>
          <w:p w:rsidR="00D00887" w:rsidRPr="00E009DC" w:rsidRDefault="00D00887" w:rsidP="00D00887">
            <w:pPr>
              <w:jc w:val="both"/>
              <w:rPr>
                <w:lang w:val="ro-RO"/>
              </w:rPr>
            </w:pPr>
            <w:r w:rsidRPr="00E009DC">
              <w:rPr>
                <w:lang w:val="ro-RO"/>
              </w:rPr>
              <w:tab/>
              <w:t>8. Capitolul 20:</w:t>
            </w:r>
          </w:p>
          <w:p w:rsidR="00D00887" w:rsidRPr="00E009DC" w:rsidRDefault="00D00887" w:rsidP="00D00887">
            <w:pPr>
              <w:jc w:val="both"/>
              <w:rPr>
                <w:lang w:val="ro-RO"/>
              </w:rPr>
            </w:pPr>
            <w:r w:rsidRPr="00E009DC">
              <w:rPr>
                <w:lang w:val="ro-RO"/>
              </w:rPr>
              <w:t>se propune revizuirea unității de măsură „kg/net eda” (greutatea netă a produsului scurs) cu o altă unitate de măsură caracteristică pentru următoarele subpoziții tarifare:</w:t>
            </w:r>
          </w:p>
          <w:p w:rsidR="00D00887" w:rsidRPr="00E009DC" w:rsidRDefault="00D00887" w:rsidP="00D00887">
            <w:pPr>
              <w:jc w:val="both"/>
              <w:rPr>
                <w:lang w:val="ro-RO"/>
              </w:rPr>
            </w:pPr>
            <w:r w:rsidRPr="00E009DC">
              <w:rPr>
                <w:lang w:val="ro-RO"/>
              </w:rPr>
              <w:t xml:space="preserve">040690500- Brânză din lapte de oaie sau de bivoliţă, în recipiente conţinând saramură, sau în burduf din piele de oaie sau de capră, </w:t>
            </w:r>
          </w:p>
          <w:p w:rsidR="00D00887" w:rsidRPr="00E009DC" w:rsidRDefault="00D00887" w:rsidP="00D00887">
            <w:pPr>
              <w:jc w:val="both"/>
              <w:rPr>
                <w:lang w:val="ro-RO"/>
              </w:rPr>
            </w:pPr>
            <w:r w:rsidRPr="00E009DC">
              <w:rPr>
                <w:lang w:val="ro-RO"/>
              </w:rPr>
              <w:t>200190500 - Ciuperci,</w:t>
            </w:r>
          </w:p>
          <w:p w:rsidR="00D00887" w:rsidRPr="00E009DC" w:rsidRDefault="00D00887" w:rsidP="00D00887">
            <w:pPr>
              <w:jc w:val="both"/>
              <w:rPr>
                <w:lang w:val="ro-RO"/>
              </w:rPr>
            </w:pPr>
            <w:r w:rsidRPr="00E009DC">
              <w:rPr>
                <w:lang w:val="ro-RO"/>
              </w:rPr>
              <w:t>200190650 - Măsline,</w:t>
            </w:r>
          </w:p>
          <w:p w:rsidR="00D00887" w:rsidRPr="00E009DC" w:rsidRDefault="00D00887" w:rsidP="00D00887">
            <w:pPr>
              <w:jc w:val="both"/>
              <w:rPr>
                <w:lang w:val="ro-RO"/>
              </w:rPr>
            </w:pPr>
            <w:r w:rsidRPr="00E009DC">
              <w:rPr>
                <w:lang w:val="ro-RO"/>
              </w:rPr>
              <w:t>200390100 - Trufe,</w:t>
            </w:r>
          </w:p>
          <w:p w:rsidR="00D00887" w:rsidRPr="00E009DC" w:rsidRDefault="00D00887" w:rsidP="00D00887">
            <w:pPr>
              <w:jc w:val="both"/>
              <w:rPr>
                <w:lang w:val="ro-RO"/>
              </w:rPr>
            </w:pPr>
            <w:r w:rsidRPr="00E009DC">
              <w:rPr>
                <w:lang w:val="ro-RO"/>
              </w:rPr>
              <w:t>200390900 – Altele;</w:t>
            </w:r>
          </w:p>
          <w:p w:rsidR="00D00887" w:rsidRPr="00E009DC" w:rsidRDefault="00D00887" w:rsidP="00D00887">
            <w:pPr>
              <w:jc w:val="both"/>
              <w:rPr>
                <w:lang w:val="ro-RO"/>
              </w:rPr>
            </w:pPr>
            <w:r w:rsidRPr="00E009DC">
              <w:rPr>
                <w:lang w:val="ro-RO"/>
              </w:rPr>
              <w:t>după subpoziţia 200979980, textul „- Suc de un singur, orice alt fruct sau legume” se înlocuiește cu textul „- Suc de orice alt fruct sau legume”;</w:t>
            </w:r>
          </w:p>
          <w:p w:rsidR="00D00887" w:rsidRPr="00E009DC" w:rsidRDefault="00D00887" w:rsidP="00D00887">
            <w:pPr>
              <w:jc w:val="both"/>
              <w:rPr>
                <w:lang w:val="ro-RO"/>
              </w:rPr>
            </w:pPr>
            <w:r w:rsidRPr="00E009DC">
              <w:rPr>
                <w:lang w:val="ro-RO"/>
              </w:rPr>
              <w:t>9. Capitolul 22:</w:t>
            </w:r>
          </w:p>
          <w:p w:rsidR="00D00887" w:rsidRPr="00E009DC" w:rsidRDefault="00D00887" w:rsidP="00D00887">
            <w:pPr>
              <w:jc w:val="both"/>
              <w:rPr>
                <w:lang w:val="ro-RO"/>
              </w:rPr>
            </w:pPr>
            <w:r w:rsidRPr="00E009DC">
              <w:rPr>
                <w:lang w:val="ro-RO"/>
              </w:rPr>
              <w:t xml:space="preserve">Note complimentare pct.6 se expune în următoarea redacție: </w:t>
            </w:r>
          </w:p>
          <w:p w:rsidR="00D00887" w:rsidRPr="00E009DC" w:rsidRDefault="00D00887" w:rsidP="00D00887">
            <w:pPr>
              <w:jc w:val="both"/>
              <w:rPr>
                <w:lang w:val="ro-RO"/>
              </w:rPr>
            </w:pPr>
            <w:r w:rsidRPr="00E009DC">
              <w:rPr>
                <w:lang w:val="ro-RO"/>
              </w:rPr>
              <w:t>„în sensul subpoziţiilor 220410, 220421 şi 220429:</w:t>
            </w:r>
          </w:p>
          <w:p w:rsidR="00D00887" w:rsidRPr="00E009DC" w:rsidRDefault="00D00887" w:rsidP="00D00887">
            <w:pPr>
              <w:jc w:val="both"/>
              <w:rPr>
                <w:lang w:val="ro-RO"/>
              </w:rPr>
            </w:pPr>
            <w:r w:rsidRPr="00E009DC">
              <w:rPr>
                <w:lang w:val="ro-RO"/>
              </w:rPr>
              <w:t>(a)  se consideră „vinuri cu denumire de origine protejată (DOP)” și „vinuri cu indicație geografică protejată (IGP)” vinurile care sunt definite în reglementările tehnice aprobate prin acte normative naționale;</w:t>
            </w:r>
          </w:p>
          <w:p w:rsidR="00D00887" w:rsidRPr="00E009DC" w:rsidRDefault="00D00887" w:rsidP="00D00887">
            <w:pPr>
              <w:jc w:val="both"/>
              <w:rPr>
                <w:lang w:val="ro-RO"/>
              </w:rPr>
            </w:pPr>
            <w:r w:rsidRPr="00E009DC">
              <w:rPr>
                <w:lang w:val="ro-RO"/>
              </w:rPr>
              <w:t>(b)  se consideră „vinuri din soiuri” vinuri definite în reglementările tehnice aprobate prin acte normative naționale;</w:t>
            </w:r>
          </w:p>
          <w:p w:rsidR="00D00887" w:rsidRPr="00E009DC" w:rsidRDefault="00D00887" w:rsidP="00D00887">
            <w:pPr>
              <w:jc w:val="both"/>
              <w:rPr>
                <w:lang w:val="ro-RO"/>
              </w:rPr>
            </w:pPr>
            <w:r w:rsidRPr="00E009DC">
              <w:rPr>
                <w:lang w:val="ro-RO"/>
              </w:rPr>
              <w:t>(c) se consideră „vinuri produse în Comunitate” vinurile produse în una din țările Uniunii Europene.”;</w:t>
            </w:r>
          </w:p>
          <w:p w:rsidR="00D00887" w:rsidRPr="00E009DC" w:rsidRDefault="00D00887" w:rsidP="00D00887">
            <w:pPr>
              <w:jc w:val="both"/>
              <w:rPr>
                <w:lang w:val="ro-RO"/>
              </w:rPr>
            </w:pPr>
            <w:r w:rsidRPr="00E009DC">
              <w:rPr>
                <w:lang w:val="ro-RO"/>
              </w:rPr>
              <w:t>în continuare punctele 6-12 devin punctele 7-13;</w:t>
            </w:r>
          </w:p>
          <w:p w:rsidR="00D00887" w:rsidRPr="00E009DC" w:rsidRDefault="00D00887" w:rsidP="00D00887">
            <w:pPr>
              <w:jc w:val="both"/>
              <w:rPr>
                <w:lang w:val="ro-RO"/>
              </w:rPr>
            </w:pPr>
            <w:r w:rsidRPr="00E009DC">
              <w:rPr>
                <w:lang w:val="ro-RO"/>
              </w:rPr>
              <w:t>subpoziţia „220291009 - - - Altele” se exclude, din motivul că detalizarea la nivelul acestei subpoziţii nu are sens.</w:t>
            </w:r>
          </w:p>
          <w:p w:rsidR="00D00887" w:rsidRPr="00E009DC" w:rsidRDefault="00D00887" w:rsidP="00D00887">
            <w:pPr>
              <w:jc w:val="both"/>
              <w:rPr>
                <w:lang w:val="ro-RO"/>
              </w:rPr>
            </w:pPr>
            <w:r w:rsidRPr="00E009DC">
              <w:rPr>
                <w:lang w:val="ro-RO"/>
              </w:rPr>
              <w:tab/>
              <w:t>10.Capitolul 25:</w:t>
            </w:r>
          </w:p>
          <w:p w:rsidR="00D00887" w:rsidRPr="00E009DC" w:rsidRDefault="00D00887" w:rsidP="00D00887">
            <w:pPr>
              <w:jc w:val="both"/>
              <w:rPr>
                <w:lang w:val="ro-RO"/>
              </w:rPr>
            </w:pPr>
            <w:r w:rsidRPr="00E009DC">
              <w:rPr>
                <w:lang w:val="ro-RO"/>
              </w:rPr>
              <w:t>la subpoziţia tarifară 25280000, textul „H3BO3” se înlocuiește cu textul „H</w:t>
            </w:r>
            <w:r w:rsidRPr="00E009DC">
              <w:rPr>
                <w:vertAlign w:val="subscript"/>
                <w:lang w:val="ro-RO"/>
              </w:rPr>
              <w:t>3</w:t>
            </w:r>
            <w:r w:rsidRPr="00E009DC">
              <w:rPr>
                <w:lang w:val="ro-RO"/>
              </w:rPr>
              <w:t>BO</w:t>
            </w:r>
            <w:r w:rsidRPr="00E009DC">
              <w:rPr>
                <w:vertAlign w:val="subscript"/>
                <w:lang w:val="ro-RO"/>
              </w:rPr>
              <w:t>3</w:t>
            </w:r>
            <w:r w:rsidRPr="00E009DC">
              <w:rPr>
                <w:lang w:val="ro-RO"/>
              </w:rPr>
              <w:t>”.</w:t>
            </w:r>
          </w:p>
          <w:p w:rsidR="00D00887" w:rsidRPr="00E009DC" w:rsidRDefault="00D00887" w:rsidP="00D00887">
            <w:pPr>
              <w:jc w:val="both"/>
              <w:rPr>
                <w:lang w:val="ro-RO"/>
              </w:rPr>
            </w:pPr>
            <w:r w:rsidRPr="00E009DC">
              <w:rPr>
                <w:lang w:val="ro-RO"/>
              </w:rPr>
              <w:t>11. Capitolul 29:</w:t>
            </w:r>
          </w:p>
          <w:p w:rsidR="00D00887" w:rsidRPr="00E009DC" w:rsidRDefault="00D00887" w:rsidP="00D00887">
            <w:pPr>
              <w:jc w:val="both"/>
              <w:rPr>
                <w:lang w:val="ro-RO"/>
              </w:rPr>
            </w:pPr>
            <w:r w:rsidRPr="00E009DC">
              <w:rPr>
                <w:lang w:val="ro-RO"/>
              </w:rPr>
              <w:t>la subpoziţia 291719200, textul „(161)” se exclude;</w:t>
            </w:r>
          </w:p>
          <w:p w:rsidR="00D00887" w:rsidRPr="00E009DC" w:rsidRDefault="00D00887" w:rsidP="00D00887">
            <w:pPr>
              <w:jc w:val="both"/>
              <w:rPr>
                <w:lang w:val="ro-RO"/>
              </w:rPr>
            </w:pPr>
            <w:r w:rsidRPr="00E009DC">
              <w:rPr>
                <w:lang w:val="ro-RO"/>
              </w:rPr>
              <w:t>la poziţia tarifară 2932 şi 2933, textul „(1)” se înlocuiește cu textul „(i)”.</w:t>
            </w:r>
          </w:p>
          <w:p w:rsidR="00D00887" w:rsidRPr="00E009DC" w:rsidRDefault="00D00887" w:rsidP="00D00887">
            <w:pPr>
              <w:jc w:val="both"/>
              <w:rPr>
                <w:lang w:val="ro-RO"/>
              </w:rPr>
            </w:pPr>
            <w:r w:rsidRPr="00E009DC">
              <w:rPr>
                <w:lang w:val="ro-RO"/>
              </w:rPr>
              <w:t>12. Capitolul 31</w:t>
            </w:r>
          </w:p>
          <w:p w:rsidR="00D00887" w:rsidRPr="00E009DC" w:rsidRDefault="00D00887" w:rsidP="00D00887">
            <w:pPr>
              <w:jc w:val="both"/>
              <w:rPr>
                <w:lang w:val="ro-RO"/>
              </w:rPr>
            </w:pPr>
            <w:r w:rsidRPr="00E009DC">
              <w:rPr>
                <w:lang w:val="ro-RO"/>
              </w:rPr>
              <w:t>La Note de capitol pct.2, cuvîntul „ambulate” se înlocuiește cu cuvîntul  „ambalate”.</w:t>
            </w:r>
          </w:p>
          <w:p w:rsidR="00D00887" w:rsidRPr="00E009DC" w:rsidRDefault="00D00887" w:rsidP="00D00887">
            <w:pPr>
              <w:jc w:val="both"/>
              <w:rPr>
                <w:lang w:val="ro-RO"/>
              </w:rPr>
            </w:pPr>
            <w:r w:rsidRPr="00E009DC">
              <w:rPr>
                <w:lang w:val="ro-RO"/>
              </w:rPr>
              <w:t>13. Secţiunea IX:</w:t>
            </w:r>
          </w:p>
          <w:p w:rsidR="00D00887" w:rsidRPr="00E009DC" w:rsidRDefault="00D00887" w:rsidP="00D00887">
            <w:pPr>
              <w:jc w:val="both"/>
              <w:rPr>
                <w:lang w:val="ro-RO"/>
              </w:rPr>
            </w:pPr>
            <w:r w:rsidRPr="00E009DC">
              <w:rPr>
                <w:lang w:val="ro-RO"/>
              </w:rPr>
              <w:t>în denumire cuvîntul „ALFĂ” se înlocuiește cu cuvintele „FIBRE VEGETALE”;</w:t>
            </w:r>
          </w:p>
          <w:p w:rsidR="00D00887" w:rsidRPr="00E009DC" w:rsidRDefault="00D00887" w:rsidP="00D00887">
            <w:pPr>
              <w:jc w:val="both"/>
              <w:rPr>
                <w:lang w:val="ro-RO"/>
              </w:rPr>
            </w:pPr>
            <w:r w:rsidRPr="00E009DC">
              <w:rPr>
                <w:lang w:val="ro-RO"/>
              </w:rPr>
              <w:lastRenderedPageBreak/>
              <w:t>14. la Capitolul 44:</w:t>
            </w:r>
          </w:p>
          <w:p w:rsidR="00D00887" w:rsidRPr="00E009DC" w:rsidRDefault="00D00887" w:rsidP="00D00887">
            <w:pPr>
              <w:jc w:val="both"/>
              <w:rPr>
                <w:lang w:val="ro-RO"/>
              </w:rPr>
            </w:pPr>
            <w:r w:rsidRPr="00E009DC">
              <w:rPr>
                <w:lang w:val="ro-RO"/>
              </w:rPr>
              <w:t>în denumirea sub</w:t>
            </w:r>
            <w:r w:rsidR="00E009DC" w:rsidRPr="00E009DC">
              <w:rPr>
                <w:lang w:val="ro-RO"/>
              </w:rPr>
              <w:t>-pozițiilor</w:t>
            </w:r>
            <w:r w:rsidRPr="00E009DC">
              <w:rPr>
                <w:lang w:val="ro-RO"/>
              </w:rPr>
              <w:t xml:space="preserve"> tarifare 440325, 440393000, 440395, textul „a cărei dimensiune maximă a secțiunii transversale este de cel puțin 15 cm” se înlocuiește cu textul „pentru care oricare dimensiune a secțiunii transversale este de cel puțin 15 cm”;</w:t>
            </w:r>
          </w:p>
          <w:p w:rsidR="00D00887" w:rsidRPr="00E009DC" w:rsidRDefault="00D00887" w:rsidP="00D00887">
            <w:pPr>
              <w:jc w:val="both"/>
              <w:rPr>
                <w:lang w:val="ro-RO"/>
              </w:rPr>
            </w:pPr>
            <w:r w:rsidRPr="00E009DC">
              <w:rPr>
                <w:lang w:val="ro-RO"/>
              </w:rPr>
              <w:t xml:space="preserve">15. În denumirea Capitolului 46, </w:t>
            </w:r>
            <w:r w:rsidR="00E009DC" w:rsidRPr="00E009DC">
              <w:rPr>
                <w:lang w:val="ro-RO"/>
              </w:rPr>
              <w:t>cuvântul</w:t>
            </w:r>
            <w:r w:rsidRPr="00E009DC">
              <w:rPr>
                <w:lang w:val="ro-RO"/>
              </w:rPr>
              <w:t xml:space="preserve"> „ALFĂ” se înlocuiește cu cuvintele „FIBRE VEGETALE”, iar în final se completează cu cuvintele „COŞURI ŞI ALTE ÎMPLETITURI”;</w:t>
            </w:r>
          </w:p>
          <w:p w:rsidR="00D00887" w:rsidRPr="00E009DC" w:rsidRDefault="00D00887" w:rsidP="00D00887">
            <w:pPr>
              <w:jc w:val="both"/>
              <w:rPr>
                <w:lang w:val="ro-RO"/>
              </w:rPr>
            </w:pPr>
            <w:r w:rsidRPr="00E009DC">
              <w:rPr>
                <w:lang w:val="ro-RO"/>
              </w:rPr>
              <w:t xml:space="preserve"> 16. La Capitolul 56, în denumirea sub</w:t>
            </w:r>
            <w:r w:rsidR="00E009DC" w:rsidRPr="00E009DC">
              <w:rPr>
                <w:lang w:val="ro-RO"/>
              </w:rPr>
              <w:t>-poziției</w:t>
            </w:r>
            <w:r w:rsidRPr="00E009DC">
              <w:rPr>
                <w:lang w:val="ro-RO"/>
              </w:rPr>
              <w:t xml:space="preserve"> 560490100 </w:t>
            </w:r>
            <w:r w:rsidR="00E009DC" w:rsidRPr="00E009DC">
              <w:rPr>
                <w:lang w:val="ro-RO"/>
              </w:rPr>
              <w:t>cuvântul</w:t>
            </w:r>
            <w:r w:rsidRPr="00E009DC">
              <w:rPr>
                <w:lang w:val="ro-RO"/>
              </w:rPr>
              <w:t xml:space="preserve"> „rezistenţă” se înlocuiește cu </w:t>
            </w:r>
            <w:r w:rsidR="00E009DC" w:rsidRPr="00E009DC">
              <w:rPr>
                <w:lang w:val="ro-RO"/>
              </w:rPr>
              <w:t>cuvântul</w:t>
            </w:r>
            <w:r w:rsidRPr="00E009DC">
              <w:rPr>
                <w:lang w:val="ro-RO"/>
              </w:rPr>
              <w:t xml:space="preserve"> „tenacitate”;</w:t>
            </w:r>
          </w:p>
          <w:p w:rsidR="00D00887" w:rsidRPr="00E009DC" w:rsidRDefault="00D00887" w:rsidP="00D00887">
            <w:pPr>
              <w:jc w:val="both"/>
              <w:rPr>
                <w:lang w:val="ro-RO"/>
              </w:rPr>
            </w:pPr>
            <w:r w:rsidRPr="00E009DC">
              <w:rPr>
                <w:lang w:val="ro-RO"/>
              </w:rPr>
              <w:t xml:space="preserve"> 17. La Capitolul 63, Note de capitol pct.3, lit.(a) a doua liniuță se completează în final cu cuvintele „de călătorie”;</w:t>
            </w:r>
          </w:p>
          <w:p w:rsidR="00D00887" w:rsidRPr="00E009DC" w:rsidRDefault="00D00887" w:rsidP="00D00887">
            <w:pPr>
              <w:jc w:val="both"/>
              <w:rPr>
                <w:lang w:val="ro-RO"/>
              </w:rPr>
            </w:pPr>
            <w:r w:rsidRPr="00E009DC">
              <w:rPr>
                <w:lang w:val="ro-RO"/>
              </w:rPr>
              <w:t xml:space="preserve"> 18. La Capitolul 69, în denumirea </w:t>
            </w:r>
            <w:r w:rsidR="00E009DC" w:rsidRPr="00E009DC">
              <w:rPr>
                <w:lang w:val="ro-RO"/>
              </w:rPr>
              <w:t>poziției</w:t>
            </w:r>
            <w:r w:rsidRPr="00E009DC">
              <w:rPr>
                <w:lang w:val="ro-RO"/>
              </w:rPr>
              <w:t xml:space="preserve"> tarifare 691200, </w:t>
            </w:r>
            <w:r w:rsidR="00E009DC" w:rsidRPr="00E009DC">
              <w:rPr>
                <w:lang w:val="ro-RO"/>
              </w:rPr>
              <w:t>cuvântul</w:t>
            </w:r>
            <w:r w:rsidRPr="00E009DC">
              <w:rPr>
                <w:lang w:val="ro-RO"/>
              </w:rPr>
              <w:t xml:space="preserve"> „sarvicii” se înlocuiește cu </w:t>
            </w:r>
            <w:r w:rsidR="00E009DC" w:rsidRPr="00E009DC">
              <w:rPr>
                <w:lang w:val="ro-RO"/>
              </w:rPr>
              <w:t>cuvântul</w:t>
            </w:r>
            <w:r w:rsidRPr="00E009DC">
              <w:rPr>
                <w:lang w:val="ro-RO"/>
              </w:rPr>
              <w:t xml:space="preserve"> „servicii”;</w:t>
            </w:r>
          </w:p>
          <w:p w:rsidR="00D00887" w:rsidRPr="00E009DC" w:rsidRDefault="00D00887" w:rsidP="00D00887">
            <w:pPr>
              <w:jc w:val="both"/>
              <w:rPr>
                <w:lang w:val="ro-RO"/>
              </w:rPr>
            </w:pPr>
            <w:r w:rsidRPr="00E009DC">
              <w:rPr>
                <w:lang w:val="ro-RO"/>
              </w:rPr>
              <w:t xml:space="preserve"> 19. Capitolul 84:</w:t>
            </w:r>
          </w:p>
          <w:p w:rsidR="00D00887" w:rsidRPr="00E009DC" w:rsidRDefault="00D00887" w:rsidP="00D00887">
            <w:pPr>
              <w:jc w:val="both"/>
              <w:rPr>
                <w:lang w:val="ro-RO"/>
              </w:rPr>
            </w:pPr>
            <w:r w:rsidRPr="00E009DC">
              <w:rPr>
                <w:lang w:val="ro-RO"/>
              </w:rPr>
              <w:t xml:space="preserve"> denumirea sub</w:t>
            </w:r>
            <w:r w:rsidR="00E009DC" w:rsidRPr="00E009DC">
              <w:rPr>
                <w:lang w:val="ro-RO"/>
              </w:rPr>
              <w:t>-poziției</w:t>
            </w:r>
            <w:r w:rsidRPr="00E009DC">
              <w:rPr>
                <w:lang w:val="ro-RO"/>
              </w:rPr>
              <w:t xml:space="preserve"> tarifare 842389800 va avea următorul cuprins: „- - - Altele”;</w:t>
            </w:r>
          </w:p>
          <w:p w:rsidR="00D00887" w:rsidRPr="00E009DC" w:rsidRDefault="00D00887" w:rsidP="00D00887">
            <w:pPr>
              <w:jc w:val="both"/>
              <w:rPr>
                <w:lang w:val="ro-RO"/>
              </w:rPr>
            </w:pPr>
            <w:r w:rsidRPr="00E009DC">
              <w:rPr>
                <w:lang w:val="ro-RO"/>
              </w:rPr>
              <w:t xml:space="preserve">denumirea poziției tarifare 8433 va avea următorul cuprins: „Mașini și utilaje pentru recoltat și treierat produse agricole, inclusiv prese de balotat paie sau furaje; mașini și utilaje pentru tuns gazon și pentru secerat; mașini pentru curățat, sortat sau triat ouă, fructe sau alte produse agricole, altele </w:t>
            </w:r>
            <w:r w:rsidR="00E009DC" w:rsidRPr="00E009DC">
              <w:rPr>
                <w:lang w:val="ro-RO"/>
              </w:rPr>
              <w:t>decât</w:t>
            </w:r>
            <w:r w:rsidRPr="00E009DC">
              <w:rPr>
                <w:lang w:val="ro-RO"/>
              </w:rPr>
              <w:t xml:space="preserve"> mașinile și aparatele de la poziția 8437”;</w:t>
            </w:r>
          </w:p>
          <w:p w:rsidR="00D00887" w:rsidRPr="00E009DC" w:rsidRDefault="00D00887" w:rsidP="00D00887">
            <w:pPr>
              <w:jc w:val="both"/>
              <w:rPr>
                <w:lang w:val="ro-RO"/>
              </w:rPr>
            </w:pPr>
            <w:r w:rsidRPr="00E009DC">
              <w:rPr>
                <w:lang w:val="ro-RO"/>
              </w:rPr>
              <w:t>20. Denumirea Secțiunii XIX va avea următorul cuprins: „ARME, MUNIŢIE, PĂRŢI ŞI ACCESORII ALE ACESTORA”;</w:t>
            </w:r>
          </w:p>
          <w:p w:rsidR="00D00887" w:rsidRPr="00E009DC" w:rsidRDefault="00D00887" w:rsidP="00D00887">
            <w:pPr>
              <w:jc w:val="both"/>
              <w:rPr>
                <w:lang w:val="ro-RO"/>
              </w:rPr>
            </w:pPr>
            <w:r w:rsidRPr="00E009DC">
              <w:rPr>
                <w:lang w:val="ro-RO"/>
              </w:rPr>
              <w:t xml:space="preserve"> 21. Pe parcursul întregului text al proiectului de modificare a legii, se propune ca denumirea poziției tarifare (la nivel de 4 cifre), cel al </w:t>
            </w:r>
            <w:r w:rsidR="00E009DC" w:rsidRPr="00E009DC">
              <w:rPr>
                <w:lang w:val="ro-RO"/>
              </w:rPr>
              <w:t>sub-pozițiilor</w:t>
            </w:r>
            <w:r w:rsidRPr="00E009DC">
              <w:rPr>
                <w:lang w:val="ro-RO"/>
              </w:rPr>
              <w:t xml:space="preserve"> la nivel de o liniuță și cel cu două liniuțe care nu se </w:t>
            </w:r>
            <w:r w:rsidR="00E009DC" w:rsidRPr="00E009DC">
              <w:rPr>
                <w:lang w:val="ro-RO"/>
              </w:rPr>
              <w:t>detailează</w:t>
            </w:r>
            <w:r w:rsidRPr="00E009DC">
              <w:rPr>
                <w:lang w:val="ro-RO"/>
              </w:rPr>
              <w:t xml:space="preserve"> în c</w:t>
            </w:r>
            <w:r w:rsidR="00E009DC" w:rsidRPr="00E009DC">
              <w:rPr>
                <w:lang w:val="ro-RO"/>
              </w:rPr>
              <w:t>ontinuare se fie scris cu „bold”</w:t>
            </w:r>
            <w:r w:rsidRPr="00E009DC">
              <w:rPr>
                <w:lang w:val="ro-RO"/>
              </w:rPr>
              <w:t>, pentru a asigura o vizibilitate mai bună și claritate.</w:t>
            </w:r>
          </w:p>
          <w:p w:rsidR="000A1C68" w:rsidRPr="00E009DC" w:rsidRDefault="000A1C68" w:rsidP="007E68F3">
            <w:pPr>
              <w:jc w:val="both"/>
              <w:rPr>
                <w:lang w:val="ro-RO"/>
              </w:rPr>
            </w:pPr>
          </w:p>
        </w:tc>
        <w:tc>
          <w:tcPr>
            <w:tcW w:w="4508" w:type="dxa"/>
            <w:shd w:val="clear" w:color="auto" w:fill="auto"/>
          </w:tcPr>
          <w:p w:rsidR="000A1C68" w:rsidRPr="00E009DC" w:rsidRDefault="000A1C68" w:rsidP="00022AA5">
            <w:pPr>
              <w:rPr>
                <w:lang w:val="ro-RO"/>
              </w:rPr>
            </w:pPr>
          </w:p>
          <w:p w:rsidR="00484EB9" w:rsidRPr="00E009DC" w:rsidRDefault="00484EB9" w:rsidP="00022AA5">
            <w:pPr>
              <w:rPr>
                <w:lang w:val="ro-RO"/>
              </w:rPr>
            </w:pPr>
          </w:p>
          <w:p w:rsidR="00484EB9" w:rsidRPr="00E009DC" w:rsidRDefault="00BC5F8C" w:rsidP="00BC5F8C">
            <w:pPr>
              <w:jc w:val="center"/>
              <w:rPr>
                <w:b/>
                <w:lang w:val="ro-RO"/>
              </w:rPr>
            </w:pPr>
            <w:r w:rsidRPr="00E009DC">
              <w:rPr>
                <w:b/>
                <w:lang w:val="ro-RO"/>
              </w:rPr>
              <w:t>Toate propunerile sunt acceptate.</w:t>
            </w:r>
          </w:p>
        </w:tc>
      </w:tr>
      <w:tr w:rsidR="00E618BF" w:rsidRPr="00E009DC" w:rsidTr="008A41E8">
        <w:trPr>
          <w:trHeight w:val="1526"/>
        </w:trPr>
        <w:tc>
          <w:tcPr>
            <w:tcW w:w="1873" w:type="dxa"/>
            <w:shd w:val="clear" w:color="auto" w:fill="auto"/>
          </w:tcPr>
          <w:p w:rsidR="00E618BF" w:rsidRPr="00E009DC" w:rsidRDefault="00E618BF" w:rsidP="00E618BF">
            <w:pPr>
              <w:pStyle w:val="BodyText"/>
              <w:tabs>
                <w:tab w:val="num" w:pos="825"/>
                <w:tab w:val="num" w:pos="1353"/>
              </w:tabs>
              <w:jc w:val="left"/>
              <w:rPr>
                <w:sz w:val="20"/>
              </w:rPr>
            </w:pPr>
            <w:r w:rsidRPr="00E009DC">
              <w:rPr>
                <w:sz w:val="20"/>
              </w:rPr>
              <w:lastRenderedPageBreak/>
              <w:t>Ministerul Finanțelor</w:t>
            </w:r>
          </w:p>
          <w:p w:rsidR="00E618BF" w:rsidRPr="00E009DC" w:rsidRDefault="00E618BF" w:rsidP="00E618BF">
            <w:pPr>
              <w:pStyle w:val="BodyText"/>
              <w:tabs>
                <w:tab w:val="num" w:pos="825"/>
                <w:tab w:val="num" w:pos="1353"/>
              </w:tabs>
              <w:jc w:val="left"/>
              <w:rPr>
                <w:i/>
                <w:sz w:val="20"/>
              </w:rPr>
            </w:pPr>
            <w:r w:rsidRPr="00E009DC">
              <w:rPr>
                <w:i/>
                <w:sz w:val="20"/>
              </w:rPr>
              <w:t>Nr.14/4-06/396 din 26.09.2017</w:t>
            </w:r>
          </w:p>
          <w:p w:rsidR="00E618BF" w:rsidRPr="00E009DC" w:rsidRDefault="00E618BF" w:rsidP="00576DC8">
            <w:pPr>
              <w:pStyle w:val="BodyText"/>
              <w:tabs>
                <w:tab w:val="num" w:pos="825"/>
                <w:tab w:val="num" w:pos="1353"/>
              </w:tabs>
              <w:jc w:val="left"/>
              <w:rPr>
                <w:sz w:val="20"/>
              </w:rPr>
            </w:pPr>
          </w:p>
        </w:tc>
        <w:tc>
          <w:tcPr>
            <w:tcW w:w="9213" w:type="dxa"/>
            <w:shd w:val="clear" w:color="auto" w:fill="auto"/>
          </w:tcPr>
          <w:p w:rsidR="00AF7AED" w:rsidRPr="00E009DC" w:rsidRDefault="00AF7AED" w:rsidP="00AF7AED">
            <w:pPr>
              <w:pStyle w:val="NormalWeb"/>
              <w:ind w:firstLine="42"/>
              <w:rPr>
                <w:sz w:val="20"/>
                <w:szCs w:val="20"/>
                <w:lang w:val="ro-RO"/>
              </w:rPr>
            </w:pPr>
            <w:r w:rsidRPr="00E009DC">
              <w:rPr>
                <w:sz w:val="20"/>
                <w:szCs w:val="20"/>
                <w:lang w:val="ro-RO"/>
              </w:rPr>
              <w:t>Ministerul Finanțelor, în vederea ajustării cadrului legal național la prevederile Regulamentului (CEE) nr.2658/87 al Consiliului din 23 iulie 1987 privind Nomenclatura tarifară și statistică și Tariful Vamal Comun și în contextul modificării Legii nr.172 din 25.07.2014 privind aprobarea Nomenclaturii combinată a mărfurilor,   suplimentar la scrisoarea nr.14/4-06/380 din 15.09.2017 propune următoarele.</w:t>
            </w:r>
          </w:p>
          <w:p w:rsidR="00AF7AED" w:rsidRPr="00E009DC" w:rsidRDefault="00AF7AED" w:rsidP="00AF7AED">
            <w:pPr>
              <w:pStyle w:val="NormalWeb"/>
              <w:ind w:firstLine="42"/>
              <w:rPr>
                <w:sz w:val="20"/>
                <w:szCs w:val="20"/>
                <w:lang w:val="ro-RO"/>
              </w:rPr>
            </w:pPr>
            <w:r w:rsidRPr="00E009DC">
              <w:rPr>
                <w:sz w:val="20"/>
                <w:szCs w:val="20"/>
                <w:lang w:val="ro-RO"/>
              </w:rPr>
              <w:t>Articolul I</w:t>
            </w:r>
            <w:r w:rsidRPr="00E009DC">
              <w:rPr>
                <w:sz w:val="20"/>
                <w:szCs w:val="20"/>
                <w:vertAlign w:val="superscript"/>
                <w:lang w:val="ro-RO"/>
              </w:rPr>
              <w:t xml:space="preserve">1 </w:t>
            </w:r>
            <w:r w:rsidRPr="00E009DC">
              <w:rPr>
                <w:sz w:val="20"/>
                <w:szCs w:val="20"/>
                <w:lang w:val="ro-RO"/>
              </w:rPr>
              <w:t>din</w:t>
            </w:r>
            <w:r w:rsidRPr="00E009DC">
              <w:rPr>
                <w:sz w:val="20"/>
                <w:szCs w:val="20"/>
                <w:vertAlign w:val="superscript"/>
                <w:lang w:val="ro-RO"/>
              </w:rPr>
              <w:t xml:space="preserve"> </w:t>
            </w:r>
            <w:r w:rsidRPr="00E009DC">
              <w:rPr>
                <w:sz w:val="20"/>
                <w:szCs w:val="20"/>
                <w:lang w:val="ro-RO"/>
              </w:rPr>
              <w:t>Legea menționată supra se modifică și se completează după cum urmează:</w:t>
            </w:r>
          </w:p>
          <w:p w:rsidR="00AF7AED" w:rsidRPr="00E009DC" w:rsidRDefault="00AF7AED" w:rsidP="00AF7AED">
            <w:pPr>
              <w:pStyle w:val="NormalWeb"/>
              <w:ind w:firstLine="42"/>
              <w:rPr>
                <w:sz w:val="20"/>
                <w:szCs w:val="20"/>
                <w:lang w:val="ro-RO"/>
              </w:rPr>
            </w:pPr>
            <w:r w:rsidRPr="00E009DC">
              <w:rPr>
                <w:sz w:val="20"/>
                <w:szCs w:val="20"/>
                <w:lang w:val="ro-RO"/>
              </w:rPr>
              <w:t>1. La alineatul (4), cuvintele „are caracter obligatoriu și” se exclud;</w:t>
            </w:r>
          </w:p>
          <w:p w:rsidR="00AF7AED" w:rsidRPr="00E009DC" w:rsidRDefault="00AF7AED" w:rsidP="00AF7AED">
            <w:pPr>
              <w:pStyle w:val="NormalWeb"/>
              <w:ind w:firstLine="42"/>
              <w:rPr>
                <w:sz w:val="20"/>
                <w:szCs w:val="20"/>
                <w:lang w:val="ro-RO"/>
              </w:rPr>
            </w:pPr>
            <w:r w:rsidRPr="00E009DC">
              <w:rPr>
                <w:sz w:val="20"/>
                <w:szCs w:val="20"/>
                <w:lang w:val="ro-RO"/>
              </w:rPr>
              <w:t>2. Se completează cu alineatul (7) cu următorul cuprins:</w:t>
            </w:r>
          </w:p>
          <w:p w:rsidR="00AF7AED" w:rsidRPr="00E009DC" w:rsidRDefault="00AF7AED" w:rsidP="00AF7AED">
            <w:pPr>
              <w:pStyle w:val="NormalWeb"/>
              <w:ind w:firstLine="42"/>
              <w:rPr>
                <w:sz w:val="20"/>
                <w:szCs w:val="20"/>
                <w:lang w:val="ro-RO"/>
              </w:rPr>
            </w:pPr>
            <w:r w:rsidRPr="00E009DC">
              <w:rPr>
                <w:sz w:val="20"/>
                <w:szCs w:val="20"/>
                <w:lang w:val="ro-RO"/>
              </w:rPr>
              <w:t>„(7) În cazul apariției unor divergențe dintre informația din TARIM și prevederile actelor legislative, se aplică cele din urmă”.</w:t>
            </w:r>
          </w:p>
          <w:p w:rsidR="00AF7AED" w:rsidRPr="00E009DC" w:rsidRDefault="00AF7AED" w:rsidP="00AF7AED">
            <w:pPr>
              <w:pStyle w:val="NormalWeb"/>
              <w:ind w:firstLine="42"/>
              <w:rPr>
                <w:sz w:val="20"/>
                <w:szCs w:val="20"/>
                <w:lang w:val="ro-RO"/>
              </w:rPr>
            </w:pPr>
            <w:r w:rsidRPr="00E009DC">
              <w:rPr>
                <w:sz w:val="20"/>
                <w:szCs w:val="20"/>
                <w:lang w:val="ro-RO"/>
              </w:rPr>
              <w:t xml:space="preserve">Modificările propuse au scopul de a introduce claritate în aprecierea caracterului informațiilor cu privire la măsurile tarifare și de politică economică aplicate la importul/exportul mărfurilor în/din Republica Moldova care se conțin în Tariful Vamal Integrat al Republicii Moldova (în continuare - </w:t>
            </w:r>
            <w:r w:rsidRPr="00E009DC">
              <w:rPr>
                <w:iCs/>
                <w:sz w:val="20"/>
                <w:szCs w:val="20"/>
                <w:lang w:val="ro-RO"/>
              </w:rPr>
              <w:t>TARIM</w:t>
            </w:r>
            <w:r w:rsidRPr="00E009DC">
              <w:rPr>
                <w:sz w:val="20"/>
                <w:szCs w:val="20"/>
                <w:lang w:val="ro-RO"/>
              </w:rPr>
              <w:t>), respectiv se propune excluderea sintagmei care indică despre caracterul obligatoriu al informațiilor.</w:t>
            </w:r>
          </w:p>
          <w:p w:rsidR="00AF7AED" w:rsidRPr="00E009DC" w:rsidRDefault="00AF7AED" w:rsidP="00AF7AED">
            <w:pPr>
              <w:pStyle w:val="NormalWeb"/>
              <w:ind w:firstLine="42"/>
              <w:rPr>
                <w:sz w:val="20"/>
                <w:szCs w:val="20"/>
                <w:lang w:val="ro-RO"/>
              </w:rPr>
            </w:pPr>
            <w:r w:rsidRPr="00E009DC">
              <w:rPr>
                <w:sz w:val="20"/>
                <w:szCs w:val="20"/>
                <w:lang w:val="ro-RO"/>
              </w:rPr>
              <w:t>La aceasta, excluderea sintagmei propuse va permite evitarea interpretărilor neuniforme, conform cărora informația din TARIM putea fi invocată și aplicată direct/prioritar celei care se conține în actele normative în vigoare.</w:t>
            </w:r>
          </w:p>
          <w:p w:rsidR="00AF7AED" w:rsidRPr="00E009DC" w:rsidRDefault="00AF7AED" w:rsidP="00AF7AED">
            <w:pPr>
              <w:pStyle w:val="NormalWeb"/>
              <w:ind w:firstLine="42"/>
              <w:rPr>
                <w:sz w:val="20"/>
                <w:szCs w:val="20"/>
                <w:lang w:val="ro-RO"/>
              </w:rPr>
            </w:pPr>
            <w:r w:rsidRPr="00E009DC">
              <w:rPr>
                <w:sz w:val="20"/>
                <w:szCs w:val="20"/>
                <w:lang w:val="ro-RO"/>
              </w:rPr>
              <w:t xml:space="preserve">Or, baza de date TARIM nu este un act juridic, iar informația ce se utilizează în procesul de vămuire a mărfurilor coroborată cu prevederile legale care reglementează domeniul respectiv nu prevalează asupra normelor actelor legislative publicate în Monitorul Oficial. </w:t>
            </w:r>
          </w:p>
          <w:p w:rsidR="00E618BF" w:rsidRPr="00E009DC" w:rsidRDefault="00E618BF" w:rsidP="00D00887">
            <w:pPr>
              <w:jc w:val="both"/>
              <w:rPr>
                <w:b/>
                <w:lang w:val="ro-RO"/>
              </w:rPr>
            </w:pPr>
          </w:p>
        </w:tc>
        <w:tc>
          <w:tcPr>
            <w:tcW w:w="4508" w:type="dxa"/>
            <w:shd w:val="clear" w:color="auto" w:fill="auto"/>
          </w:tcPr>
          <w:p w:rsidR="00E618BF" w:rsidRPr="00E009DC" w:rsidRDefault="00AF7AED" w:rsidP="00022AA5">
            <w:pPr>
              <w:rPr>
                <w:b/>
                <w:lang w:val="ro-RO"/>
              </w:rPr>
            </w:pPr>
            <w:r w:rsidRPr="00E009DC">
              <w:rPr>
                <w:b/>
                <w:lang w:val="ro-RO"/>
              </w:rPr>
              <w:t>Se acceptă.</w:t>
            </w:r>
          </w:p>
        </w:tc>
      </w:tr>
      <w:tr w:rsidR="00B817FF" w:rsidRPr="00E009DC" w:rsidTr="008A41E8">
        <w:trPr>
          <w:trHeight w:val="1526"/>
        </w:trPr>
        <w:tc>
          <w:tcPr>
            <w:tcW w:w="1873" w:type="dxa"/>
            <w:shd w:val="clear" w:color="auto" w:fill="auto"/>
          </w:tcPr>
          <w:p w:rsidR="00B817FF" w:rsidRPr="00E009DC" w:rsidRDefault="00B817FF" w:rsidP="00576DC8">
            <w:pPr>
              <w:pStyle w:val="BodyText"/>
              <w:tabs>
                <w:tab w:val="num" w:pos="825"/>
                <w:tab w:val="num" w:pos="1353"/>
              </w:tabs>
              <w:jc w:val="left"/>
              <w:rPr>
                <w:sz w:val="20"/>
              </w:rPr>
            </w:pPr>
            <w:r w:rsidRPr="00E009DC">
              <w:rPr>
                <w:sz w:val="20"/>
              </w:rPr>
              <w:lastRenderedPageBreak/>
              <w:t xml:space="preserve">Centrul Național Anticorupție </w:t>
            </w:r>
          </w:p>
          <w:p w:rsidR="00B817FF" w:rsidRPr="00E009DC" w:rsidRDefault="00E618BF" w:rsidP="00B817FF">
            <w:pPr>
              <w:pStyle w:val="BodyText"/>
              <w:tabs>
                <w:tab w:val="num" w:pos="825"/>
                <w:tab w:val="num" w:pos="1353"/>
              </w:tabs>
              <w:jc w:val="left"/>
              <w:rPr>
                <w:i/>
                <w:sz w:val="20"/>
              </w:rPr>
            </w:pPr>
            <w:r w:rsidRPr="00E009DC">
              <w:rPr>
                <w:i/>
                <w:sz w:val="20"/>
              </w:rPr>
              <w:t>N</w:t>
            </w:r>
            <w:r w:rsidR="00B817FF" w:rsidRPr="00E009DC">
              <w:rPr>
                <w:i/>
                <w:sz w:val="20"/>
              </w:rPr>
              <w:t>r. 06/2.6075 din 19.10.2017</w:t>
            </w:r>
          </w:p>
        </w:tc>
        <w:tc>
          <w:tcPr>
            <w:tcW w:w="9213" w:type="dxa"/>
            <w:shd w:val="clear" w:color="auto" w:fill="auto"/>
          </w:tcPr>
          <w:p w:rsidR="00B817FF" w:rsidRPr="00E009DC" w:rsidRDefault="00B817FF" w:rsidP="00D00887">
            <w:pPr>
              <w:jc w:val="both"/>
              <w:rPr>
                <w:b/>
                <w:lang w:val="ro-RO"/>
              </w:rPr>
            </w:pPr>
            <w:r w:rsidRPr="00E009DC">
              <w:rPr>
                <w:b/>
                <w:lang w:val="ro-RO"/>
              </w:rPr>
              <w:t>Concluzia expertizei Centrului Național Anticorupție:</w:t>
            </w:r>
          </w:p>
          <w:p w:rsidR="00B817FF" w:rsidRPr="00E009DC" w:rsidRDefault="00B817FF" w:rsidP="00D00887">
            <w:pPr>
              <w:jc w:val="both"/>
              <w:rPr>
                <w:lang w:val="ro-RO"/>
              </w:rPr>
            </w:pPr>
            <w:r w:rsidRPr="00E009DC">
              <w:rPr>
                <w:lang w:val="ro-RO"/>
              </w:rPr>
              <w:t>Proiectul de lege privind modificarea și completarea Legii privind aprobarea Nomenclaturii combinate a mărfurilor nr. 172 din 25 iulie 2014 a fost elaborat în scopul racordării Nomenclaturii combinate a mărfurilor la Sistemul armonizat de descriere și codificare a mărfurilor, aprobat de Organizația Mondială a Vămilor, versiunea anului 2017.</w:t>
            </w:r>
          </w:p>
          <w:p w:rsidR="00B817FF" w:rsidRPr="00E009DC" w:rsidRDefault="00B817FF" w:rsidP="00D00887">
            <w:pPr>
              <w:jc w:val="both"/>
              <w:rPr>
                <w:lang w:val="ro-RO"/>
              </w:rPr>
            </w:pPr>
            <w:r w:rsidRPr="00E009DC">
              <w:rPr>
                <w:lang w:val="ro-RO"/>
              </w:rPr>
              <w:t>Astfel, prin proiect de propune excluderea unor coduri tarifare a unor categorii de mărfuri, precum și adăugarea de noi coduri tarifare sau modificarea celor existente pentru unele categorii de mărfuri..</w:t>
            </w:r>
          </w:p>
          <w:p w:rsidR="00B817FF" w:rsidRPr="00E009DC" w:rsidRDefault="00B817FF" w:rsidP="00D00887">
            <w:pPr>
              <w:jc w:val="both"/>
              <w:rPr>
                <w:lang w:val="ro-RO"/>
              </w:rPr>
            </w:pPr>
            <w:r w:rsidRPr="00E009DC">
              <w:rPr>
                <w:lang w:val="ro-RO"/>
              </w:rPr>
              <w:t>Racordarea Nomenclaturii combinate a mărfurilor la Convenția internațională privind Sistemul armonizat de descriere și codificare a mărfurilor, la care Republica Moldova este parte, este în interes public.</w:t>
            </w:r>
          </w:p>
        </w:tc>
        <w:tc>
          <w:tcPr>
            <w:tcW w:w="4508" w:type="dxa"/>
            <w:shd w:val="clear" w:color="auto" w:fill="auto"/>
          </w:tcPr>
          <w:p w:rsidR="00B817FF" w:rsidRPr="00E009DC" w:rsidRDefault="002B6548" w:rsidP="002B6548">
            <w:pPr>
              <w:rPr>
                <w:b/>
                <w:lang w:val="ro-RO"/>
              </w:rPr>
            </w:pPr>
            <w:r w:rsidRPr="00E009DC">
              <w:rPr>
                <w:b/>
                <w:lang w:val="ro-RO"/>
              </w:rPr>
              <w:t>Se acceptă.</w:t>
            </w:r>
          </w:p>
        </w:tc>
      </w:tr>
      <w:tr w:rsidR="00A51935" w:rsidRPr="00E009DC" w:rsidTr="008A41E8">
        <w:trPr>
          <w:trHeight w:val="1526"/>
        </w:trPr>
        <w:tc>
          <w:tcPr>
            <w:tcW w:w="1873" w:type="dxa"/>
            <w:shd w:val="clear" w:color="auto" w:fill="auto"/>
          </w:tcPr>
          <w:p w:rsidR="00A51935" w:rsidRPr="00E009DC" w:rsidRDefault="00A51935" w:rsidP="00576DC8">
            <w:pPr>
              <w:pStyle w:val="BodyText"/>
              <w:tabs>
                <w:tab w:val="num" w:pos="825"/>
                <w:tab w:val="num" w:pos="1353"/>
              </w:tabs>
              <w:jc w:val="left"/>
              <w:rPr>
                <w:sz w:val="20"/>
              </w:rPr>
            </w:pPr>
            <w:r w:rsidRPr="00E009DC">
              <w:rPr>
                <w:sz w:val="20"/>
              </w:rPr>
              <w:t>Ministerul Justiției</w:t>
            </w:r>
          </w:p>
          <w:p w:rsidR="00A51935" w:rsidRPr="00E009DC" w:rsidRDefault="00A51935" w:rsidP="00576DC8">
            <w:pPr>
              <w:pStyle w:val="BodyText"/>
              <w:tabs>
                <w:tab w:val="num" w:pos="825"/>
                <w:tab w:val="num" w:pos="1353"/>
              </w:tabs>
              <w:jc w:val="left"/>
              <w:rPr>
                <w:i/>
                <w:sz w:val="20"/>
              </w:rPr>
            </w:pPr>
            <w:r w:rsidRPr="00E009DC">
              <w:rPr>
                <w:i/>
                <w:sz w:val="20"/>
              </w:rPr>
              <w:t xml:space="preserve">Nr. </w:t>
            </w:r>
            <w:r w:rsidR="009D35BC" w:rsidRPr="00E009DC">
              <w:rPr>
                <w:i/>
                <w:sz w:val="20"/>
              </w:rPr>
              <w:t>03/12394 din 06.11.2017</w:t>
            </w:r>
          </w:p>
        </w:tc>
        <w:tc>
          <w:tcPr>
            <w:tcW w:w="9213" w:type="dxa"/>
            <w:shd w:val="clear" w:color="auto" w:fill="auto"/>
          </w:tcPr>
          <w:p w:rsidR="00A51935" w:rsidRPr="00E009DC" w:rsidRDefault="00A51935" w:rsidP="00A51935">
            <w:pPr>
              <w:jc w:val="both"/>
              <w:rPr>
                <w:b/>
                <w:lang w:val="ro-RO"/>
              </w:rPr>
            </w:pPr>
            <w:r w:rsidRPr="00E009DC">
              <w:rPr>
                <w:b/>
                <w:lang w:val="ro-RO"/>
              </w:rPr>
              <w:t>La proiectul Hotărârii Guvernului:</w:t>
            </w:r>
          </w:p>
          <w:p w:rsidR="00A51935" w:rsidRPr="00E009DC" w:rsidRDefault="00A51935" w:rsidP="00A51935">
            <w:pPr>
              <w:jc w:val="both"/>
              <w:rPr>
                <w:lang w:val="ro-RO"/>
              </w:rPr>
            </w:pPr>
            <w:r w:rsidRPr="00E009DC">
              <w:rPr>
                <w:lang w:val="ro-RO"/>
              </w:rPr>
              <w:t xml:space="preserve">1. Lista miniștrilor contrasemnatari urmează a fi expusă </w:t>
            </w:r>
            <w:r w:rsidR="00E009DC" w:rsidRPr="00E009DC">
              <w:rPr>
                <w:lang w:val="ro-RO"/>
              </w:rPr>
              <w:t>ținând</w:t>
            </w:r>
            <w:r w:rsidRPr="00E009DC">
              <w:rPr>
                <w:lang w:val="ro-RO"/>
              </w:rPr>
              <w:t xml:space="preserve">-se cont de prevederile art. 102 alin. (4) din Constituția Republicii Moldova și art. 36 alin. (2) din Legea nr. 136 din 7 iulie 2017, potrivit cărora </w:t>
            </w:r>
            <w:r w:rsidR="00E009DC" w:rsidRPr="00E009DC">
              <w:rPr>
                <w:lang w:val="ro-RO"/>
              </w:rPr>
              <w:t>hotărârea</w:t>
            </w:r>
            <w:r w:rsidRPr="00E009DC">
              <w:rPr>
                <w:lang w:val="ro-RO"/>
              </w:rPr>
              <w:t xml:space="preserve"> adoptată de Guvern se semnează de Prim-ministru și se contrasemnează de miniștrii care au obligația punerii acesteia în aplicare și/sau care </w:t>
            </w:r>
            <w:r w:rsidR="00E009DC" w:rsidRPr="00E009DC">
              <w:rPr>
                <w:lang w:val="ro-RO"/>
              </w:rPr>
              <w:t>sunt</w:t>
            </w:r>
            <w:r w:rsidRPr="00E009DC">
              <w:rPr>
                <w:lang w:val="ro-RO"/>
              </w:rPr>
              <w:t xml:space="preserve"> responsabili de domeniile de activitate care intră parțial sau integral în obiectul de reglementare al actului contrasemnat. </w:t>
            </w:r>
          </w:p>
          <w:p w:rsidR="00A51935" w:rsidRPr="00E009DC" w:rsidRDefault="00A51935" w:rsidP="00A51935">
            <w:pPr>
              <w:jc w:val="both"/>
              <w:rPr>
                <w:lang w:val="ro-RO"/>
              </w:rPr>
            </w:pPr>
            <w:r w:rsidRPr="00E009DC">
              <w:rPr>
                <w:lang w:val="ro-RO"/>
              </w:rPr>
              <w:t xml:space="preserve">Viceprim-miniștrii reprezintă o funcție în Guvern, instituită pentru coordonarea anumitor domenii ale politicii Guvernului, coordonarea activității miniștrilor și a ministerelor, a altor autorități administrative centrale subordonate Guvernului în domeniile de activitate date în competență, în conformitate cu art. 25 alin. (2) din Legea nr. 136 din 7 iulie 2017, și care nu este instituită pentru conducerea unui minister concret. Astfel, în procedura de contrasemnare a </w:t>
            </w:r>
            <w:r w:rsidR="00E009DC" w:rsidRPr="00E009DC">
              <w:rPr>
                <w:lang w:val="ro-RO"/>
              </w:rPr>
              <w:t>hotărârilor</w:t>
            </w:r>
            <w:r w:rsidRPr="00E009DC">
              <w:rPr>
                <w:lang w:val="ro-RO"/>
              </w:rPr>
              <w:t xml:space="preserve"> Guvernului, în temeiul dispozițiilor legale menționate mai sus, miniștrii care potrivit structurii generale a Guvernului dețin concomitent și funcția de viceprim-ministru, contrasemnează </w:t>
            </w:r>
            <w:r w:rsidR="00E009DC" w:rsidRPr="00E009DC">
              <w:rPr>
                <w:lang w:val="ro-RO"/>
              </w:rPr>
              <w:t>hotărârile</w:t>
            </w:r>
            <w:r w:rsidRPr="00E009DC">
              <w:rPr>
                <w:lang w:val="ro-RO"/>
              </w:rPr>
              <w:t xml:space="preserve"> Guvernului în virtutea funcției de ministru.</w:t>
            </w:r>
          </w:p>
          <w:p w:rsidR="00A51935" w:rsidRPr="00E009DC" w:rsidRDefault="00A51935" w:rsidP="00A51935">
            <w:pPr>
              <w:jc w:val="both"/>
              <w:rPr>
                <w:lang w:val="ro-RO"/>
              </w:rPr>
            </w:pPr>
            <w:r w:rsidRPr="00E009DC">
              <w:rPr>
                <w:lang w:val="ro-RO"/>
              </w:rPr>
              <w:t xml:space="preserve">În acest context din proiectul </w:t>
            </w:r>
            <w:r w:rsidR="00E009DC" w:rsidRPr="00E009DC">
              <w:rPr>
                <w:lang w:val="ro-RO"/>
              </w:rPr>
              <w:t>hotărârii</w:t>
            </w:r>
            <w:r w:rsidRPr="00E009DC">
              <w:rPr>
                <w:lang w:val="ro-RO"/>
              </w:rPr>
              <w:t xml:space="preserve"> se va exclude referința la funcția de viceprim-ministru.</w:t>
            </w:r>
          </w:p>
          <w:p w:rsidR="00A51935" w:rsidRPr="00E009DC" w:rsidRDefault="00A51935" w:rsidP="00A51935">
            <w:pPr>
              <w:jc w:val="both"/>
              <w:rPr>
                <w:lang w:val="ro-RO"/>
              </w:rPr>
            </w:pPr>
            <w:r w:rsidRPr="00E009DC">
              <w:rPr>
                <w:lang w:val="ro-RO"/>
              </w:rPr>
              <w:t xml:space="preserve">2. Conform </w:t>
            </w:r>
            <w:r w:rsidR="00E009DC" w:rsidRPr="00E009DC">
              <w:rPr>
                <w:lang w:val="ro-RO"/>
              </w:rPr>
              <w:t>Hotărârii</w:t>
            </w:r>
            <w:r w:rsidRPr="00E009DC">
              <w:rPr>
                <w:lang w:val="ro-RO"/>
              </w:rPr>
              <w:t xml:space="preserve"> Parlamentului nr. 189 din 21 iulie 2017, Ministerul Economiei va prelua domeniile de activitate ale Ministerului Transportului și Infrastructurii Drumurilor și ale Ministerului Tehnologiei, Informației și Comunicațiilor, precum și domeniul construcții al Ministerului Dezvoltării Regionale și Construcțiilor, cu modificarea denumirii în Ministerul Economiei și Infrastructurii. În acest sens, urmează a fi ajustată formula de atestare a autenticității proiectului </w:t>
            </w:r>
            <w:r w:rsidR="00E009DC" w:rsidRPr="00E009DC">
              <w:rPr>
                <w:lang w:val="ro-RO"/>
              </w:rPr>
              <w:t>hotărârii</w:t>
            </w:r>
            <w:r w:rsidRPr="00E009DC">
              <w:rPr>
                <w:lang w:val="ro-RO"/>
              </w:rPr>
              <w:t xml:space="preserve"> Guvernului în cauză.</w:t>
            </w:r>
          </w:p>
          <w:p w:rsidR="00A51935" w:rsidRPr="00E009DC" w:rsidRDefault="00A51935" w:rsidP="00A51935">
            <w:pPr>
              <w:jc w:val="both"/>
              <w:rPr>
                <w:b/>
                <w:lang w:val="ro-RO"/>
              </w:rPr>
            </w:pPr>
            <w:r w:rsidRPr="00E009DC">
              <w:rPr>
                <w:lang w:val="ro-RO"/>
              </w:rPr>
              <w:t xml:space="preserve"> </w:t>
            </w:r>
            <w:r w:rsidRPr="00E009DC">
              <w:rPr>
                <w:b/>
                <w:lang w:val="ro-RO"/>
              </w:rPr>
              <w:t>La proiectul legii:</w:t>
            </w:r>
          </w:p>
          <w:p w:rsidR="00A51935" w:rsidRPr="00E009DC" w:rsidRDefault="00A51935" w:rsidP="00A51935">
            <w:pPr>
              <w:jc w:val="both"/>
              <w:rPr>
                <w:lang w:val="ro-RO"/>
              </w:rPr>
            </w:pPr>
            <w:r w:rsidRPr="00E009DC">
              <w:rPr>
                <w:lang w:val="ro-RO"/>
              </w:rPr>
              <w:t>Cu titlu de remarcă generală, semnalăm că, proiectul prezintă carențe grave de tehnică legislativă, ceea ce implică necesitatea revizuirii integrale a textului acestuia prin prisma cerințelor statuate în cadrul Legii nr.780-XV din 27 decembrie 2001 privind actele legislative.</w:t>
            </w:r>
          </w:p>
          <w:p w:rsidR="00A51935" w:rsidRPr="00E009DC" w:rsidRDefault="00A51935" w:rsidP="00A51935">
            <w:pPr>
              <w:jc w:val="both"/>
              <w:rPr>
                <w:lang w:val="ro-RO"/>
              </w:rPr>
            </w:pPr>
            <w:r w:rsidRPr="00E009DC">
              <w:rPr>
                <w:lang w:val="ro-RO"/>
              </w:rPr>
              <w:t>3. Pentru exprimarea intenției de adoptare a actului legislativ și a categoriei actului  legislativ, în proiectul legii, în partea introductivă, urmează să fie inclus textul „Parlamentul adoptă prezenta lege organică”.</w:t>
            </w:r>
          </w:p>
          <w:p w:rsidR="00A51935" w:rsidRPr="00E009DC" w:rsidRDefault="00A51935" w:rsidP="00A51935">
            <w:pPr>
              <w:jc w:val="both"/>
              <w:rPr>
                <w:lang w:val="ro-RO"/>
              </w:rPr>
            </w:pPr>
            <w:r w:rsidRPr="00E009DC">
              <w:rPr>
                <w:lang w:val="ro-RO"/>
              </w:rPr>
              <w:t xml:space="preserve">4. Preambulul urmează a fi exclus, deoarece reieșind din prevederile art. 26 alin. (2) din Legea nr.780-XV din 27 decembrie 2001 privind actele legislative, preambulul poate </w:t>
            </w:r>
            <w:r w:rsidR="00E009DC" w:rsidRPr="00E009DC">
              <w:rPr>
                <w:lang w:val="ro-RO"/>
              </w:rPr>
              <w:t>însoți</w:t>
            </w:r>
            <w:r w:rsidRPr="00E009DC">
              <w:rPr>
                <w:lang w:val="ro-RO"/>
              </w:rPr>
              <w:t xml:space="preserve"> doar actul legislativ de o </w:t>
            </w:r>
            <w:r w:rsidR="00E009DC" w:rsidRPr="00E009DC">
              <w:rPr>
                <w:lang w:val="ro-RO"/>
              </w:rPr>
              <w:t>importanță</w:t>
            </w:r>
            <w:r w:rsidRPr="00E009DC">
              <w:rPr>
                <w:lang w:val="ro-RO"/>
              </w:rPr>
              <w:t xml:space="preserve"> majoră. </w:t>
            </w:r>
          </w:p>
          <w:p w:rsidR="00A51935" w:rsidRPr="00E009DC" w:rsidRDefault="00A51935" w:rsidP="00A51935">
            <w:pPr>
              <w:jc w:val="both"/>
              <w:rPr>
                <w:lang w:val="ro-RO"/>
              </w:rPr>
            </w:pPr>
            <w:r w:rsidRPr="00E009DC">
              <w:rPr>
                <w:lang w:val="ro-RO"/>
              </w:rPr>
              <w:t>5. La art. I se va indica denumirea integrală a legii supusă amendamentelor, după cum urmează: Legea nr. 172 din 25 iulie 2014 privind aprobarea Nomenclaturii combinate a mărfurilor”. În acest sens, se va exclude textul „Legea menționată supra”.</w:t>
            </w:r>
          </w:p>
          <w:p w:rsidR="00A51935" w:rsidRPr="00E009DC" w:rsidRDefault="00A51935" w:rsidP="00A51935">
            <w:pPr>
              <w:jc w:val="both"/>
              <w:rPr>
                <w:lang w:val="ro-RO"/>
              </w:rPr>
            </w:pPr>
            <w:r w:rsidRPr="00E009DC">
              <w:rPr>
                <w:lang w:val="ro-RO"/>
              </w:rPr>
              <w:t>La art. II</w:t>
            </w:r>
          </w:p>
          <w:p w:rsidR="00A51935" w:rsidRPr="00E009DC" w:rsidRDefault="00A51935" w:rsidP="00A51935">
            <w:pPr>
              <w:jc w:val="both"/>
              <w:rPr>
                <w:lang w:val="ro-RO"/>
              </w:rPr>
            </w:pPr>
            <w:r w:rsidRPr="00E009DC">
              <w:rPr>
                <w:lang w:val="ro-RO"/>
              </w:rPr>
              <w:t>6. Textul „art. I” se va substitui cu textul „art. II”, deoarece se modifică anume articolul II. Cuvintele „se dispune aplicarea” se vor substitui cu cuvintele „se utilizează”.</w:t>
            </w:r>
          </w:p>
          <w:p w:rsidR="00A51935" w:rsidRPr="00E009DC" w:rsidRDefault="00A51935" w:rsidP="00A51935">
            <w:pPr>
              <w:jc w:val="both"/>
              <w:rPr>
                <w:lang w:val="ro-RO"/>
              </w:rPr>
            </w:pPr>
            <w:r w:rsidRPr="00E009DC">
              <w:rPr>
                <w:lang w:val="ro-RO"/>
              </w:rPr>
              <w:t xml:space="preserve">7. La alin. (2) </w:t>
            </w:r>
            <w:r w:rsidR="00E009DC" w:rsidRPr="00E009DC">
              <w:rPr>
                <w:lang w:val="ro-RO"/>
              </w:rPr>
              <w:t>cuvântul</w:t>
            </w:r>
            <w:r w:rsidRPr="00E009DC">
              <w:rPr>
                <w:lang w:val="ro-RO"/>
              </w:rPr>
              <w:t xml:space="preserve">  „legislativ” și semnul grafic „/”  urmează a fi excluse, or, noțiunea de cadru normativ este mai largă și cuprinde și cadrul legislativ. Cuvintele „se dispune” urmează a fi substituite cu cuvintele „se creează”.</w:t>
            </w:r>
          </w:p>
          <w:p w:rsidR="00A51935" w:rsidRPr="00E009DC" w:rsidRDefault="00A51935" w:rsidP="00A51935">
            <w:pPr>
              <w:jc w:val="both"/>
              <w:rPr>
                <w:lang w:val="ro-RO"/>
              </w:rPr>
            </w:pPr>
            <w:r w:rsidRPr="00E009DC">
              <w:rPr>
                <w:lang w:val="ro-RO"/>
              </w:rPr>
              <w:t>8. La art. IV alin. (2), alineatul al doilea, cuvintele „în vigoare” urmează a fi excluse ca fiind inutile (obiecție valabilă și la art. IV alin. (3)).</w:t>
            </w:r>
          </w:p>
          <w:p w:rsidR="00A51935" w:rsidRPr="00E009DC" w:rsidRDefault="00A51935" w:rsidP="00A51935">
            <w:pPr>
              <w:jc w:val="both"/>
              <w:rPr>
                <w:lang w:val="ro-RO"/>
              </w:rPr>
            </w:pPr>
            <w:r w:rsidRPr="00E009DC">
              <w:rPr>
                <w:lang w:val="ro-RO"/>
              </w:rPr>
              <w:lastRenderedPageBreak/>
              <w:t>9. Art. V din proiectul legii urmează a fi reformulat prin enunțarea: „Anexa la lege va avea următorul cuprins:”.</w:t>
            </w:r>
          </w:p>
          <w:p w:rsidR="00A51935" w:rsidRPr="00E009DC" w:rsidRDefault="00A51935" w:rsidP="00A51935">
            <w:pPr>
              <w:jc w:val="both"/>
              <w:rPr>
                <w:lang w:val="ro-RO"/>
              </w:rPr>
            </w:pPr>
            <w:r w:rsidRPr="00E009DC">
              <w:rPr>
                <w:lang w:val="ro-RO"/>
              </w:rPr>
              <w:t>10. La structurarea conținutului proiectului se vor respecta prevederile art. 32  alin. (4) al Legii nr. 780-XV din 27 decembrie 2001, potrivit căruia în cazul unei legi de modificare şi completare a mai multor acte legislative, fiecărui act i se consacră un articol, numerotat cu cifre romane.</w:t>
            </w:r>
          </w:p>
          <w:p w:rsidR="00A51935" w:rsidRPr="00E009DC" w:rsidRDefault="00A51935" w:rsidP="00A51935">
            <w:pPr>
              <w:jc w:val="both"/>
              <w:rPr>
                <w:lang w:val="ro-RO"/>
              </w:rPr>
            </w:pPr>
            <w:r w:rsidRPr="00E009DC">
              <w:rPr>
                <w:lang w:val="ro-RO"/>
              </w:rPr>
              <w:t xml:space="preserve">11. Mențiunea cu privire la modificarea denumirii capitolului 86 care este indicată în proiectul legii după cuvintele „Președintele Parlamentului” urmează a fi exclusă și inclusă în anexa la proiectul legii, într-un punct distinct care va fi numerotat. </w:t>
            </w:r>
          </w:p>
          <w:p w:rsidR="00A51935" w:rsidRPr="00E009DC" w:rsidRDefault="00A51935" w:rsidP="00A51935">
            <w:pPr>
              <w:jc w:val="both"/>
              <w:rPr>
                <w:lang w:val="ro-RO"/>
              </w:rPr>
            </w:pPr>
            <w:r w:rsidRPr="00E009DC">
              <w:rPr>
                <w:lang w:val="ro-RO"/>
              </w:rPr>
              <w:t>La Anexă</w:t>
            </w:r>
          </w:p>
          <w:p w:rsidR="00A51935" w:rsidRPr="00E009DC" w:rsidRDefault="00A51935" w:rsidP="00A51935">
            <w:pPr>
              <w:jc w:val="both"/>
              <w:rPr>
                <w:lang w:val="ro-RO"/>
              </w:rPr>
            </w:pPr>
            <w:r w:rsidRPr="00E009DC">
              <w:rPr>
                <w:lang w:val="ro-RO"/>
              </w:rPr>
              <w:t xml:space="preserve">12. </w:t>
            </w:r>
            <w:r w:rsidR="00690F89" w:rsidRPr="00E009DC">
              <w:rPr>
                <w:lang w:val="ro-RO"/>
              </w:rPr>
              <w:t>Cuvântul</w:t>
            </w:r>
            <w:r w:rsidRPr="00E009DC">
              <w:rPr>
                <w:lang w:val="ro-RO"/>
              </w:rPr>
              <w:t xml:space="preserve"> „Nota” se va exclude, deoarece nu constituie un element de structură caracteristic actelor normative.</w:t>
            </w:r>
          </w:p>
          <w:p w:rsidR="00A51935" w:rsidRPr="00E009DC" w:rsidRDefault="00A51935" w:rsidP="00A51935">
            <w:pPr>
              <w:jc w:val="both"/>
              <w:rPr>
                <w:lang w:val="ro-RO"/>
              </w:rPr>
            </w:pPr>
            <w:r w:rsidRPr="00E009DC">
              <w:rPr>
                <w:lang w:val="ro-RO"/>
              </w:rPr>
              <w:t xml:space="preserve">13. Cuprinsul anexei se va structura </w:t>
            </w:r>
            <w:r w:rsidR="00690F89" w:rsidRPr="00E009DC">
              <w:rPr>
                <w:lang w:val="ro-RO"/>
              </w:rPr>
              <w:t>ținând</w:t>
            </w:r>
            <w:r w:rsidRPr="00E009DC">
              <w:rPr>
                <w:lang w:val="ro-RO"/>
              </w:rPr>
              <w:t xml:space="preserve"> cont de prevederile art. 32 și 33 ale Legii nr. 780-XV din 27 decembrie 2001. Potrivit acestor norme articolul se numerotează  în continuare, cu cifre arabe, </w:t>
            </w:r>
            <w:r w:rsidR="00690F89" w:rsidRPr="00E009DC">
              <w:rPr>
                <w:lang w:val="ro-RO"/>
              </w:rPr>
              <w:t>începând</w:t>
            </w:r>
            <w:r w:rsidRPr="00E009DC">
              <w:rPr>
                <w:lang w:val="ro-RO"/>
              </w:rPr>
              <w:t xml:space="preserve"> cu primul și </w:t>
            </w:r>
            <w:r w:rsidR="00690F89" w:rsidRPr="00E009DC">
              <w:rPr>
                <w:lang w:val="ro-RO"/>
              </w:rPr>
              <w:t>terminând</w:t>
            </w:r>
            <w:r w:rsidRPr="00E009DC">
              <w:rPr>
                <w:lang w:val="ro-RO"/>
              </w:rPr>
              <w:t xml:space="preserve"> cu ultimul. Articolul poate fi compus din alineate numerotate cu cifre arabe, luate între paranteză. Alineatul poate avea diviziuni, însemnate, de regulă, cu litere latine mici și o paranteză. Conform art. 33 al legii prenotate, în cadrul acțiunii de sistematizare a conținutului actului legislativ, elementele textului se grupează în funcție de proporțiile actului. Articolele se pot grupa în secțiuni numerotate cu cifre arabe, secțiunile se pot grupa în capitole numerotate cu cifre romane. Prin urmare, conținutul din anexa la proiectul de lege urmează a fi grupat în articole, iar alineatele și diviziunile din cadrul articolului urmează a fi numerotate în forma enunțată. Totodată, secțiunile și capitolele urmează a fi numerotate conform prevederilor legale. Adițional, menționăm că, în anexa la proiectul legii, contrar prevederilor legale, capitolele se grupează în secțiuni. Prin urmare, textul din anexa la proiectul legii urmează a fi ajustat în baza normelor prenotate. </w:t>
            </w:r>
          </w:p>
          <w:p w:rsidR="00A51935" w:rsidRPr="00E009DC" w:rsidRDefault="00A51935" w:rsidP="00A51935">
            <w:pPr>
              <w:jc w:val="both"/>
              <w:rPr>
                <w:b/>
                <w:lang w:val="ro-RO"/>
              </w:rPr>
            </w:pPr>
            <w:r w:rsidRPr="00E009DC">
              <w:rPr>
                <w:lang w:val="ro-RO"/>
              </w:rPr>
              <w:t>14.Anexa la proiectul legii trebuie prezentată în formă ajustată. Astfel, textul din anexă nu trebuie să conțină pasaje marcate sau cuvinte pe care sunt trase linii, or, proiectul actului legislativ trebuie să fie întocmit cu respectarea normelor de tehnică legislativă.</w:t>
            </w:r>
            <w:r w:rsidRPr="00E009DC">
              <w:rPr>
                <w:b/>
                <w:lang w:val="ro-RO"/>
              </w:rPr>
              <w:t xml:space="preserve">  </w:t>
            </w:r>
          </w:p>
        </w:tc>
        <w:tc>
          <w:tcPr>
            <w:tcW w:w="4508" w:type="dxa"/>
            <w:shd w:val="clear" w:color="auto" w:fill="auto"/>
          </w:tcPr>
          <w:p w:rsidR="00A51935" w:rsidRPr="00E009DC" w:rsidRDefault="00A51935" w:rsidP="002B6548">
            <w:pPr>
              <w:rPr>
                <w:b/>
                <w:lang w:val="ro-RO"/>
              </w:rPr>
            </w:pPr>
            <w:r w:rsidRPr="00E009DC">
              <w:rPr>
                <w:b/>
                <w:lang w:val="ro-RO"/>
              </w:rPr>
              <w:lastRenderedPageBreak/>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r w:rsidRPr="00E009DC">
              <w:rPr>
                <w:b/>
                <w:lang w:val="ro-RO"/>
              </w:rPr>
              <w:lastRenderedPageBreak/>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p>
          <w:p w:rsidR="00636C42" w:rsidRPr="00E009DC" w:rsidRDefault="00636C42" w:rsidP="002B6548">
            <w:pPr>
              <w:rPr>
                <w:b/>
                <w:lang w:val="ro-RO"/>
              </w:rPr>
            </w:pPr>
            <w:r w:rsidRPr="00E009DC">
              <w:rPr>
                <w:b/>
                <w:lang w:val="ro-RO"/>
              </w:rPr>
              <w:t>Se acceptă.</w:t>
            </w:r>
          </w:p>
          <w:p w:rsidR="00636C42" w:rsidRPr="00E009DC" w:rsidRDefault="00636C42" w:rsidP="00636C42">
            <w:pPr>
              <w:rPr>
                <w:b/>
                <w:lang w:val="ro-RO"/>
              </w:rPr>
            </w:pPr>
          </w:p>
          <w:p w:rsidR="00636C42" w:rsidRPr="00E009DC" w:rsidRDefault="00636C42" w:rsidP="00636C42">
            <w:pPr>
              <w:rPr>
                <w:b/>
                <w:lang w:val="ro-RO"/>
              </w:rPr>
            </w:pPr>
            <w:r w:rsidRPr="00E009DC">
              <w:rPr>
                <w:b/>
                <w:lang w:val="ro-RO"/>
              </w:rPr>
              <w:t>Nu se acceptă. Structura și cuprinsul anexei corespunde cu Nomenclatura Combinată a UE, iar modificarea/sau referință la Legislația națională este secundară față de cea internațională.</w:t>
            </w: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p>
          <w:p w:rsidR="00636C42" w:rsidRPr="00E009DC" w:rsidRDefault="00636C42" w:rsidP="00636C42">
            <w:pPr>
              <w:rPr>
                <w:b/>
                <w:lang w:val="ro-RO"/>
              </w:rPr>
            </w:pPr>
            <w:r w:rsidRPr="00E009DC">
              <w:rPr>
                <w:b/>
                <w:lang w:val="ro-RO"/>
              </w:rPr>
              <w:t>Se acceptă.</w:t>
            </w:r>
          </w:p>
        </w:tc>
      </w:tr>
    </w:tbl>
    <w:p w:rsidR="003D4FB9" w:rsidRPr="008F57F1" w:rsidRDefault="003D4FB9" w:rsidP="003D4FB9">
      <w:pPr>
        <w:rPr>
          <w:lang w:val="ro-RO"/>
        </w:rPr>
      </w:pPr>
    </w:p>
    <w:p w:rsidR="006B35A3" w:rsidRPr="008F57F1" w:rsidRDefault="006B35A3">
      <w:pPr>
        <w:rPr>
          <w:i/>
          <w:sz w:val="18"/>
          <w:szCs w:val="18"/>
          <w:lang w:val="ro-RO"/>
        </w:rPr>
      </w:pPr>
    </w:p>
    <w:p w:rsidR="009E46F7" w:rsidRPr="00C06578" w:rsidRDefault="009E46F7" w:rsidP="009E46F7">
      <w:pPr>
        <w:rPr>
          <w:b/>
          <w:sz w:val="28"/>
          <w:szCs w:val="28"/>
          <w:lang w:val="ro-RO"/>
        </w:rPr>
      </w:pPr>
    </w:p>
    <w:p w:rsidR="00E009DC" w:rsidRDefault="009E46F7" w:rsidP="00E009DC">
      <w:pPr>
        <w:jc w:val="both"/>
        <w:rPr>
          <w:b/>
          <w:bCs/>
          <w:noProof/>
          <w:sz w:val="28"/>
          <w:szCs w:val="28"/>
          <w:lang w:val="ro-RO"/>
        </w:rPr>
      </w:pPr>
      <w:r w:rsidRPr="00C06578">
        <w:rPr>
          <w:b/>
          <w:bCs/>
          <w:noProof/>
          <w:sz w:val="28"/>
          <w:szCs w:val="28"/>
          <w:lang w:val="ro-RO"/>
        </w:rPr>
        <w:t xml:space="preserve">                 </w:t>
      </w:r>
      <w:bookmarkStart w:id="0" w:name="_GoBack"/>
      <w:bookmarkEnd w:id="0"/>
      <w:r w:rsidRPr="00C06578">
        <w:rPr>
          <w:b/>
          <w:bCs/>
          <w:noProof/>
          <w:sz w:val="28"/>
          <w:szCs w:val="28"/>
          <w:lang w:val="ro-RO"/>
        </w:rPr>
        <w:t xml:space="preserve">                          </w:t>
      </w:r>
    </w:p>
    <w:p w:rsidR="001E03F3" w:rsidRPr="00247FDA" w:rsidRDefault="001E03F3" w:rsidP="001E03F3">
      <w:pPr>
        <w:pStyle w:val="NoSpacing"/>
        <w:ind w:firstLine="708"/>
        <w:jc w:val="both"/>
        <w:rPr>
          <w:rFonts w:eastAsia="Times New Roman"/>
          <w:bCs/>
          <w:color w:val="000000"/>
          <w:sz w:val="28"/>
          <w:szCs w:val="28"/>
          <w:lang w:val="ro-RO"/>
        </w:rPr>
      </w:pPr>
    </w:p>
    <w:p w:rsidR="001E03F3" w:rsidRDefault="001E03F3" w:rsidP="001E03F3">
      <w:pPr>
        <w:ind w:left="708" w:firstLine="708"/>
        <w:rPr>
          <w:b/>
          <w:sz w:val="26"/>
          <w:szCs w:val="26"/>
          <w:lang w:val="ro-MD"/>
        </w:rPr>
      </w:pPr>
      <w:r>
        <w:rPr>
          <w:b/>
          <w:sz w:val="26"/>
          <w:szCs w:val="26"/>
          <w:lang w:val="ro-MD"/>
        </w:rPr>
        <w:t xml:space="preserve">Viceprim-ministru,                                           </w:t>
      </w:r>
      <w:r>
        <w:rPr>
          <w:b/>
          <w:sz w:val="26"/>
          <w:szCs w:val="26"/>
          <w:lang w:val="ro-MD"/>
        </w:rPr>
        <w:t xml:space="preserve">                                   </w:t>
      </w:r>
      <w:r>
        <w:rPr>
          <w:b/>
          <w:sz w:val="26"/>
          <w:szCs w:val="26"/>
          <w:lang w:val="ro-MD"/>
        </w:rPr>
        <w:t xml:space="preserve">          </w:t>
      </w:r>
      <w:r w:rsidRPr="00C93403">
        <w:rPr>
          <w:b/>
          <w:sz w:val="26"/>
          <w:szCs w:val="26"/>
          <w:lang w:val="ro-RO"/>
        </w:rPr>
        <w:t>Octavian CALMÎC</w:t>
      </w:r>
    </w:p>
    <w:p w:rsidR="001E03F3" w:rsidRDefault="001E03F3" w:rsidP="001E03F3">
      <w:pPr>
        <w:ind w:left="708" w:firstLine="708"/>
        <w:rPr>
          <w:b/>
          <w:sz w:val="26"/>
          <w:szCs w:val="26"/>
          <w:lang w:val="ro-MD"/>
        </w:rPr>
      </w:pPr>
      <w:r>
        <w:rPr>
          <w:b/>
          <w:sz w:val="26"/>
          <w:szCs w:val="26"/>
          <w:lang w:val="ro-MD"/>
        </w:rPr>
        <w:t>ministru</w:t>
      </w:r>
    </w:p>
    <w:p w:rsidR="00910557" w:rsidRDefault="00910557" w:rsidP="001E03F3">
      <w:pPr>
        <w:ind w:left="708"/>
        <w:rPr>
          <w:i/>
          <w:sz w:val="18"/>
          <w:szCs w:val="18"/>
          <w:lang w:val="ro-RO"/>
        </w:rPr>
      </w:pPr>
    </w:p>
    <w:p w:rsidR="00C06578" w:rsidRDefault="00C06578" w:rsidP="001E03F3">
      <w:pPr>
        <w:ind w:left="708"/>
        <w:rPr>
          <w:i/>
          <w:sz w:val="18"/>
          <w:szCs w:val="18"/>
          <w:lang w:val="ro-RO"/>
        </w:rPr>
      </w:pPr>
    </w:p>
    <w:p w:rsidR="00C06578" w:rsidRDefault="00C06578" w:rsidP="001E03F3">
      <w:pPr>
        <w:ind w:left="708"/>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Default="00C06578" w:rsidP="009E46F7">
      <w:pPr>
        <w:rPr>
          <w:i/>
          <w:sz w:val="18"/>
          <w:szCs w:val="18"/>
          <w:lang w:val="ro-RO"/>
        </w:rPr>
      </w:pPr>
    </w:p>
    <w:p w:rsidR="00C06578" w:rsidRPr="00C06578" w:rsidRDefault="00C06578" w:rsidP="009E46F7">
      <w:pPr>
        <w:rPr>
          <w:i/>
          <w:sz w:val="16"/>
          <w:szCs w:val="16"/>
          <w:lang w:val="ro-RO"/>
        </w:rPr>
      </w:pPr>
      <w:r w:rsidRPr="00C06578">
        <w:rPr>
          <w:i/>
          <w:sz w:val="16"/>
          <w:szCs w:val="16"/>
          <w:lang w:val="ro-RO"/>
        </w:rPr>
        <w:t>Ex: Anastasia Calin</w:t>
      </w:r>
    </w:p>
    <w:p w:rsidR="00C06578" w:rsidRPr="00C06578" w:rsidRDefault="00C06578" w:rsidP="009E46F7">
      <w:pPr>
        <w:rPr>
          <w:i/>
          <w:sz w:val="16"/>
          <w:szCs w:val="16"/>
          <w:lang w:val="ro-RO"/>
        </w:rPr>
      </w:pPr>
      <w:r w:rsidRPr="00C06578">
        <w:rPr>
          <w:i/>
          <w:sz w:val="16"/>
          <w:szCs w:val="16"/>
          <w:lang w:val="ro-RO"/>
        </w:rPr>
        <w:t>Tel: 0 22 250 647</w:t>
      </w:r>
    </w:p>
    <w:sectPr w:rsidR="00C06578" w:rsidRPr="00C06578" w:rsidSect="00BC24CE">
      <w:pgSz w:w="16838" w:h="11906" w:orient="landscape"/>
      <w:pgMar w:top="851" w:right="539" w:bottom="426" w:left="89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80A" w:rsidRDefault="00B1080A" w:rsidP="00856F54">
      <w:r>
        <w:separator/>
      </w:r>
    </w:p>
  </w:endnote>
  <w:endnote w:type="continuationSeparator" w:id="0">
    <w:p w:rsidR="00B1080A" w:rsidRDefault="00B1080A" w:rsidP="008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80A" w:rsidRDefault="00B1080A" w:rsidP="00856F54">
      <w:r>
        <w:separator/>
      </w:r>
    </w:p>
  </w:footnote>
  <w:footnote w:type="continuationSeparator" w:id="0">
    <w:p w:rsidR="00B1080A" w:rsidRDefault="00B1080A" w:rsidP="0085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52AA3"/>
    <w:multiLevelType w:val="hybridMultilevel"/>
    <w:tmpl w:val="60B42DA6"/>
    <w:lvl w:ilvl="0" w:tplc="6362FB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A2D9B"/>
    <w:multiLevelType w:val="hybridMultilevel"/>
    <w:tmpl w:val="4244A5EA"/>
    <w:lvl w:ilvl="0" w:tplc="4CB2B0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945914"/>
    <w:multiLevelType w:val="hybridMultilevel"/>
    <w:tmpl w:val="70947A42"/>
    <w:lvl w:ilvl="0" w:tplc="CD7A4FD0">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E15E01"/>
    <w:multiLevelType w:val="hybridMultilevel"/>
    <w:tmpl w:val="AD48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A63454"/>
    <w:multiLevelType w:val="hybridMultilevel"/>
    <w:tmpl w:val="DCB2440E"/>
    <w:lvl w:ilvl="0" w:tplc="D5F6D1A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076F8C"/>
    <w:multiLevelType w:val="hybridMultilevel"/>
    <w:tmpl w:val="DBC0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D4941"/>
    <w:multiLevelType w:val="hybridMultilevel"/>
    <w:tmpl w:val="258A6870"/>
    <w:lvl w:ilvl="0" w:tplc="4BC063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6F7485"/>
    <w:multiLevelType w:val="hybridMultilevel"/>
    <w:tmpl w:val="78E8FD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B9"/>
    <w:rsid w:val="00001C31"/>
    <w:rsid w:val="00022AA5"/>
    <w:rsid w:val="0003004A"/>
    <w:rsid w:val="00054B39"/>
    <w:rsid w:val="00054C3E"/>
    <w:rsid w:val="00055DBB"/>
    <w:rsid w:val="00067D8C"/>
    <w:rsid w:val="000711A6"/>
    <w:rsid w:val="00082D2F"/>
    <w:rsid w:val="00090FAE"/>
    <w:rsid w:val="00096775"/>
    <w:rsid w:val="000A0359"/>
    <w:rsid w:val="000A1C68"/>
    <w:rsid w:val="000A33BB"/>
    <w:rsid w:val="000C54A9"/>
    <w:rsid w:val="000D20B3"/>
    <w:rsid w:val="000D6140"/>
    <w:rsid w:val="000F09B7"/>
    <w:rsid w:val="000F7B7E"/>
    <w:rsid w:val="00107E0D"/>
    <w:rsid w:val="00113DA6"/>
    <w:rsid w:val="00126A83"/>
    <w:rsid w:val="00135093"/>
    <w:rsid w:val="0013569F"/>
    <w:rsid w:val="00151AE8"/>
    <w:rsid w:val="001836E3"/>
    <w:rsid w:val="001A0A78"/>
    <w:rsid w:val="001A14CE"/>
    <w:rsid w:val="001B7EB2"/>
    <w:rsid w:val="001C7C36"/>
    <w:rsid w:val="001D1CC0"/>
    <w:rsid w:val="001D276A"/>
    <w:rsid w:val="001E03F3"/>
    <w:rsid w:val="001F0EC8"/>
    <w:rsid w:val="00207922"/>
    <w:rsid w:val="00214067"/>
    <w:rsid w:val="00216408"/>
    <w:rsid w:val="00217D30"/>
    <w:rsid w:val="002326CA"/>
    <w:rsid w:val="00232F4B"/>
    <w:rsid w:val="00233139"/>
    <w:rsid w:val="00233FF4"/>
    <w:rsid w:val="0024440B"/>
    <w:rsid w:val="00266F53"/>
    <w:rsid w:val="00267EE6"/>
    <w:rsid w:val="00293CCD"/>
    <w:rsid w:val="00294056"/>
    <w:rsid w:val="002A3D38"/>
    <w:rsid w:val="002A50BD"/>
    <w:rsid w:val="002B6548"/>
    <w:rsid w:val="002C4C42"/>
    <w:rsid w:val="002F4F1C"/>
    <w:rsid w:val="003079AA"/>
    <w:rsid w:val="00310507"/>
    <w:rsid w:val="00310E64"/>
    <w:rsid w:val="003323E4"/>
    <w:rsid w:val="003413A8"/>
    <w:rsid w:val="00396928"/>
    <w:rsid w:val="003A453D"/>
    <w:rsid w:val="003D4FB9"/>
    <w:rsid w:val="003D792A"/>
    <w:rsid w:val="003E69CE"/>
    <w:rsid w:val="004029CB"/>
    <w:rsid w:val="00414C13"/>
    <w:rsid w:val="00456BBC"/>
    <w:rsid w:val="00466A45"/>
    <w:rsid w:val="00475FC6"/>
    <w:rsid w:val="00484EB9"/>
    <w:rsid w:val="00487A46"/>
    <w:rsid w:val="004B42B0"/>
    <w:rsid w:val="004C57EE"/>
    <w:rsid w:val="004F252F"/>
    <w:rsid w:val="004F3851"/>
    <w:rsid w:val="00500C23"/>
    <w:rsid w:val="005529D7"/>
    <w:rsid w:val="00561F55"/>
    <w:rsid w:val="00572781"/>
    <w:rsid w:val="00576DC8"/>
    <w:rsid w:val="005B14FC"/>
    <w:rsid w:val="005E0DB8"/>
    <w:rsid w:val="005E21BF"/>
    <w:rsid w:val="005E698F"/>
    <w:rsid w:val="005F4982"/>
    <w:rsid w:val="005F7769"/>
    <w:rsid w:val="006203D5"/>
    <w:rsid w:val="00621ACE"/>
    <w:rsid w:val="00636C42"/>
    <w:rsid w:val="00642A6F"/>
    <w:rsid w:val="006446AB"/>
    <w:rsid w:val="0065228A"/>
    <w:rsid w:val="00665943"/>
    <w:rsid w:val="0067427B"/>
    <w:rsid w:val="00680DFA"/>
    <w:rsid w:val="00685EC8"/>
    <w:rsid w:val="00690F89"/>
    <w:rsid w:val="006B350E"/>
    <w:rsid w:val="006B35A3"/>
    <w:rsid w:val="006C6D4E"/>
    <w:rsid w:val="006D2B99"/>
    <w:rsid w:val="006E2EE9"/>
    <w:rsid w:val="006E6098"/>
    <w:rsid w:val="0071126F"/>
    <w:rsid w:val="00717F0E"/>
    <w:rsid w:val="007207BF"/>
    <w:rsid w:val="00722056"/>
    <w:rsid w:val="00731EA5"/>
    <w:rsid w:val="0074258A"/>
    <w:rsid w:val="007456DB"/>
    <w:rsid w:val="007601A8"/>
    <w:rsid w:val="007A756E"/>
    <w:rsid w:val="007B46E6"/>
    <w:rsid w:val="007C6308"/>
    <w:rsid w:val="007E0D49"/>
    <w:rsid w:val="007E68F3"/>
    <w:rsid w:val="007F677C"/>
    <w:rsid w:val="00802630"/>
    <w:rsid w:val="008046C7"/>
    <w:rsid w:val="00811B1C"/>
    <w:rsid w:val="008120E6"/>
    <w:rsid w:val="00813459"/>
    <w:rsid w:val="00831963"/>
    <w:rsid w:val="008360FE"/>
    <w:rsid w:val="00841FFE"/>
    <w:rsid w:val="00856F54"/>
    <w:rsid w:val="00857E5E"/>
    <w:rsid w:val="008702CB"/>
    <w:rsid w:val="00870FB1"/>
    <w:rsid w:val="00883C66"/>
    <w:rsid w:val="00884CEF"/>
    <w:rsid w:val="008A41E8"/>
    <w:rsid w:val="008A7EE6"/>
    <w:rsid w:val="008B02EF"/>
    <w:rsid w:val="008B5C77"/>
    <w:rsid w:val="008B68FF"/>
    <w:rsid w:val="008C1E05"/>
    <w:rsid w:val="008C2571"/>
    <w:rsid w:val="008E6FA8"/>
    <w:rsid w:val="008F57F1"/>
    <w:rsid w:val="008F6B81"/>
    <w:rsid w:val="00910557"/>
    <w:rsid w:val="0092029A"/>
    <w:rsid w:val="00926AC0"/>
    <w:rsid w:val="00951350"/>
    <w:rsid w:val="0095493E"/>
    <w:rsid w:val="00957042"/>
    <w:rsid w:val="0096061C"/>
    <w:rsid w:val="00963280"/>
    <w:rsid w:val="00971E57"/>
    <w:rsid w:val="009749C9"/>
    <w:rsid w:val="009750D8"/>
    <w:rsid w:val="00980080"/>
    <w:rsid w:val="00983A42"/>
    <w:rsid w:val="00986483"/>
    <w:rsid w:val="00990678"/>
    <w:rsid w:val="00993D64"/>
    <w:rsid w:val="009A6AC7"/>
    <w:rsid w:val="009C7342"/>
    <w:rsid w:val="009C7743"/>
    <w:rsid w:val="009D35BC"/>
    <w:rsid w:val="009E33DC"/>
    <w:rsid w:val="009E46F7"/>
    <w:rsid w:val="009F5FCB"/>
    <w:rsid w:val="00A00FDF"/>
    <w:rsid w:val="00A10BE6"/>
    <w:rsid w:val="00A3259F"/>
    <w:rsid w:val="00A377BE"/>
    <w:rsid w:val="00A50911"/>
    <w:rsid w:val="00A51935"/>
    <w:rsid w:val="00AA5CD4"/>
    <w:rsid w:val="00AB2269"/>
    <w:rsid w:val="00AC18E8"/>
    <w:rsid w:val="00AD7FF9"/>
    <w:rsid w:val="00AF3AE5"/>
    <w:rsid w:val="00AF7AED"/>
    <w:rsid w:val="00B1080A"/>
    <w:rsid w:val="00B1586E"/>
    <w:rsid w:val="00B1749B"/>
    <w:rsid w:val="00B1758C"/>
    <w:rsid w:val="00B60B89"/>
    <w:rsid w:val="00B65AB9"/>
    <w:rsid w:val="00B80B02"/>
    <w:rsid w:val="00B817FF"/>
    <w:rsid w:val="00B91EB8"/>
    <w:rsid w:val="00BC24CE"/>
    <w:rsid w:val="00BC5F8C"/>
    <w:rsid w:val="00BD729B"/>
    <w:rsid w:val="00C06578"/>
    <w:rsid w:val="00C20E83"/>
    <w:rsid w:val="00C43158"/>
    <w:rsid w:val="00C63563"/>
    <w:rsid w:val="00C64BB4"/>
    <w:rsid w:val="00CC3487"/>
    <w:rsid w:val="00CD0587"/>
    <w:rsid w:val="00CD1180"/>
    <w:rsid w:val="00D00887"/>
    <w:rsid w:val="00D32207"/>
    <w:rsid w:val="00D62E5F"/>
    <w:rsid w:val="00D66F88"/>
    <w:rsid w:val="00D92CFD"/>
    <w:rsid w:val="00D963D9"/>
    <w:rsid w:val="00D96BB1"/>
    <w:rsid w:val="00DB3C27"/>
    <w:rsid w:val="00DB64D0"/>
    <w:rsid w:val="00DC1ED6"/>
    <w:rsid w:val="00DC4533"/>
    <w:rsid w:val="00DE03D0"/>
    <w:rsid w:val="00DF0839"/>
    <w:rsid w:val="00DF2D0B"/>
    <w:rsid w:val="00E009DC"/>
    <w:rsid w:val="00E01151"/>
    <w:rsid w:val="00E040F3"/>
    <w:rsid w:val="00E077EF"/>
    <w:rsid w:val="00E12CCB"/>
    <w:rsid w:val="00E41A30"/>
    <w:rsid w:val="00E618BF"/>
    <w:rsid w:val="00E659C1"/>
    <w:rsid w:val="00E66503"/>
    <w:rsid w:val="00E67F84"/>
    <w:rsid w:val="00E77878"/>
    <w:rsid w:val="00E803B3"/>
    <w:rsid w:val="00E944CC"/>
    <w:rsid w:val="00EB2463"/>
    <w:rsid w:val="00EC0887"/>
    <w:rsid w:val="00ED29D4"/>
    <w:rsid w:val="00ED3CE3"/>
    <w:rsid w:val="00ED6F06"/>
    <w:rsid w:val="00EE0EC6"/>
    <w:rsid w:val="00EE1364"/>
    <w:rsid w:val="00EE4C03"/>
    <w:rsid w:val="00F013EE"/>
    <w:rsid w:val="00F81765"/>
    <w:rsid w:val="00F906EF"/>
    <w:rsid w:val="00F9357F"/>
    <w:rsid w:val="00FA3743"/>
    <w:rsid w:val="00FA729C"/>
    <w:rsid w:val="00FC225C"/>
    <w:rsid w:val="00FD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70FAD-D0F0-42F5-887B-4945AC38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FB9"/>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4FB9"/>
    <w:pPr>
      <w:jc w:val="both"/>
    </w:pPr>
    <w:rPr>
      <w:sz w:val="28"/>
      <w:lang w:val="ro-RO"/>
    </w:rPr>
  </w:style>
  <w:style w:type="character" w:customStyle="1" w:styleId="BodyTextChar">
    <w:name w:val="Body Text Char"/>
    <w:basedOn w:val="DefaultParagraphFont"/>
    <w:link w:val="BodyText"/>
    <w:rsid w:val="003D4FB9"/>
    <w:rPr>
      <w:rFonts w:ascii="Times New Roman" w:eastAsia="Times New Roman" w:hAnsi="Times New Roman" w:cs="Times New Roman"/>
      <w:sz w:val="28"/>
      <w:szCs w:val="20"/>
      <w:lang w:val="ro-RO" w:eastAsia="ru-RU"/>
    </w:rPr>
  </w:style>
  <w:style w:type="paragraph" w:styleId="ListParagraph">
    <w:name w:val="List Paragraph"/>
    <w:basedOn w:val="Normal"/>
    <w:uiPriority w:val="34"/>
    <w:qFormat/>
    <w:rsid w:val="00F906EF"/>
    <w:pPr>
      <w:ind w:left="720"/>
      <w:contextualSpacing/>
    </w:pPr>
  </w:style>
  <w:style w:type="character" w:customStyle="1" w:styleId="apple-converted-space">
    <w:name w:val="apple-converted-space"/>
    <w:basedOn w:val="DefaultParagraphFont"/>
    <w:rsid w:val="00685EC8"/>
  </w:style>
  <w:style w:type="table" w:styleId="TableGrid">
    <w:name w:val="Table Grid"/>
    <w:basedOn w:val="TableNormal"/>
    <w:uiPriority w:val="39"/>
    <w:rsid w:val="006B3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5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B9"/>
    <w:rPr>
      <w:rFonts w:ascii="Segoe UI" w:eastAsia="Times New Roman" w:hAnsi="Segoe UI" w:cs="Segoe UI"/>
      <w:sz w:val="18"/>
      <w:szCs w:val="18"/>
      <w:lang w:val="ru-RU" w:eastAsia="ru-RU"/>
    </w:rPr>
  </w:style>
  <w:style w:type="paragraph" w:styleId="Header">
    <w:name w:val="header"/>
    <w:basedOn w:val="Normal"/>
    <w:link w:val="HeaderChar"/>
    <w:uiPriority w:val="99"/>
    <w:unhideWhenUsed/>
    <w:rsid w:val="00856F54"/>
    <w:pPr>
      <w:tabs>
        <w:tab w:val="center" w:pos="4677"/>
        <w:tab w:val="right" w:pos="9355"/>
      </w:tabs>
    </w:pPr>
  </w:style>
  <w:style w:type="character" w:customStyle="1" w:styleId="HeaderChar">
    <w:name w:val="Header Char"/>
    <w:basedOn w:val="DefaultParagraphFont"/>
    <w:link w:val="Header"/>
    <w:uiPriority w:val="99"/>
    <w:rsid w:val="00856F54"/>
    <w:rPr>
      <w:rFonts w:ascii="Times New Roman" w:eastAsia="Times New Roman" w:hAnsi="Times New Roman" w:cs="Times New Roman"/>
      <w:sz w:val="20"/>
      <w:szCs w:val="20"/>
      <w:lang w:val="ru-RU" w:eastAsia="ru-RU"/>
    </w:rPr>
  </w:style>
  <w:style w:type="paragraph" w:styleId="Footer">
    <w:name w:val="footer"/>
    <w:basedOn w:val="Normal"/>
    <w:link w:val="FooterChar"/>
    <w:uiPriority w:val="99"/>
    <w:unhideWhenUsed/>
    <w:rsid w:val="00856F54"/>
    <w:pPr>
      <w:tabs>
        <w:tab w:val="center" w:pos="4677"/>
        <w:tab w:val="right" w:pos="9355"/>
      </w:tabs>
    </w:pPr>
  </w:style>
  <w:style w:type="character" w:customStyle="1" w:styleId="FooterChar">
    <w:name w:val="Footer Char"/>
    <w:basedOn w:val="DefaultParagraphFont"/>
    <w:link w:val="Footer"/>
    <w:uiPriority w:val="99"/>
    <w:rsid w:val="00856F54"/>
    <w:rPr>
      <w:rFonts w:ascii="Times New Roman" w:eastAsia="Times New Roman" w:hAnsi="Times New Roman" w:cs="Times New Roman"/>
      <w:sz w:val="20"/>
      <w:szCs w:val="20"/>
      <w:lang w:val="ru-RU" w:eastAsia="ru-RU"/>
    </w:rPr>
  </w:style>
  <w:style w:type="paragraph" w:styleId="NormalWeb">
    <w:name w:val="Normal (Web)"/>
    <w:aliases w:val="Знак, Знак,webb"/>
    <w:basedOn w:val="Normal"/>
    <w:link w:val="NormalWebChar"/>
    <w:uiPriority w:val="99"/>
    <w:unhideWhenUsed/>
    <w:qFormat/>
    <w:rsid w:val="00AF7AED"/>
    <w:pPr>
      <w:ind w:firstLine="567"/>
      <w:jc w:val="both"/>
    </w:pPr>
    <w:rPr>
      <w:sz w:val="24"/>
      <w:szCs w:val="24"/>
    </w:rPr>
  </w:style>
  <w:style w:type="character" w:customStyle="1" w:styleId="NormalWebChar">
    <w:name w:val="Normal (Web) Char"/>
    <w:aliases w:val="Знак Char, Знак Char,webb Char"/>
    <w:basedOn w:val="DefaultParagraphFont"/>
    <w:link w:val="NormalWeb"/>
    <w:uiPriority w:val="99"/>
    <w:locked/>
    <w:rsid w:val="00AF7AED"/>
    <w:rPr>
      <w:rFonts w:ascii="Times New Roman" w:eastAsia="Times New Roman" w:hAnsi="Times New Roman" w:cs="Times New Roman"/>
      <w:sz w:val="24"/>
      <w:szCs w:val="24"/>
      <w:lang w:val="ru-RU" w:eastAsia="ru-RU"/>
    </w:rPr>
  </w:style>
  <w:style w:type="paragraph" w:styleId="NoSpacing">
    <w:name w:val="No Spacing"/>
    <w:link w:val="NoSpacingChar"/>
    <w:uiPriority w:val="1"/>
    <w:qFormat/>
    <w:rsid w:val="001E03F3"/>
    <w:pPr>
      <w:spacing w:after="0" w:line="240" w:lineRule="auto"/>
    </w:pPr>
    <w:rPr>
      <w:rFonts w:ascii="Times New Roman" w:eastAsia="Calibri" w:hAnsi="Times New Roman" w:cs="Times New Roman"/>
      <w:sz w:val="24"/>
      <w:szCs w:val="24"/>
      <w:lang w:val="ru-RU" w:eastAsia="ru-RU"/>
    </w:rPr>
  </w:style>
  <w:style w:type="character" w:customStyle="1" w:styleId="NoSpacingChar">
    <w:name w:val="No Spacing Char"/>
    <w:link w:val="NoSpacing"/>
    <w:uiPriority w:val="1"/>
    <w:locked/>
    <w:rsid w:val="001E03F3"/>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7136">
      <w:bodyDiv w:val="1"/>
      <w:marLeft w:val="0"/>
      <w:marRight w:val="0"/>
      <w:marTop w:val="0"/>
      <w:marBottom w:val="0"/>
      <w:divBdr>
        <w:top w:val="none" w:sz="0" w:space="0" w:color="auto"/>
        <w:left w:val="none" w:sz="0" w:space="0" w:color="auto"/>
        <w:bottom w:val="none" w:sz="0" w:space="0" w:color="auto"/>
        <w:right w:val="none" w:sz="0" w:space="0" w:color="auto"/>
      </w:divBdr>
    </w:div>
    <w:div w:id="18686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8</Pages>
  <Words>3875</Words>
  <Characters>22092</Characters>
  <Application>Microsoft Office Word</Application>
  <DocSecurity>0</DocSecurity>
  <Lines>184</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NoOnE</Company>
  <LinksUpToDate>false</LinksUpToDate>
  <CharactersWithSpaces>25916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ME-207</dc:creator>
  <cp:keywords/>
  <dc:description/>
  <cp:lastModifiedBy>Anastasia Calin</cp:lastModifiedBy>
  <cp:revision>38</cp:revision>
  <cp:lastPrinted>2017-11-16T07:55:00Z</cp:lastPrinted>
  <dcterms:created xsi:type="dcterms:W3CDTF">2016-04-22T13:04:00Z</dcterms:created>
  <dcterms:modified xsi:type="dcterms:W3CDTF">2017-11-16T08:06:00Z</dcterms:modified>
</cp:coreProperties>
</file>