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6F9" w:rsidRPr="001F7AFA" w:rsidRDefault="00FA46F9" w:rsidP="00FA46F9">
      <w:pPr>
        <w:tabs>
          <w:tab w:val="left" w:pos="2295"/>
        </w:tabs>
        <w:ind w:left="1418" w:right="566"/>
        <w:jc w:val="center"/>
        <w:rPr>
          <w:b/>
          <w:sz w:val="28"/>
          <w:szCs w:val="28"/>
          <w:lang w:val="ro-RO"/>
        </w:rPr>
      </w:pPr>
      <w:r w:rsidRPr="001F7AFA">
        <w:rPr>
          <w:b/>
          <w:sz w:val="28"/>
          <w:szCs w:val="28"/>
          <w:lang w:val="ro-RO"/>
        </w:rPr>
        <w:t>Tabel de divergențe</w:t>
      </w:r>
    </w:p>
    <w:p w:rsidR="00297091" w:rsidRPr="001F7AFA" w:rsidRDefault="00FA46F9" w:rsidP="00FA46F9">
      <w:pPr>
        <w:jc w:val="center"/>
        <w:rPr>
          <w:b/>
          <w:sz w:val="28"/>
          <w:szCs w:val="28"/>
          <w:lang w:val="ro-RO"/>
        </w:rPr>
      </w:pPr>
      <w:r w:rsidRPr="001F7AFA">
        <w:rPr>
          <w:b/>
          <w:sz w:val="28"/>
          <w:szCs w:val="28"/>
          <w:lang w:val="ro-RO"/>
        </w:rPr>
        <w:t>la proiectul Hotăr</w:t>
      </w:r>
      <w:r w:rsidR="004B26E6" w:rsidRPr="001F7AFA">
        <w:rPr>
          <w:b/>
          <w:sz w:val="28"/>
          <w:szCs w:val="28"/>
          <w:lang w:val="ro-RO"/>
        </w:rPr>
        <w:t>î</w:t>
      </w:r>
      <w:r w:rsidRPr="001F7AFA">
        <w:rPr>
          <w:b/>
          <w:sz w:val="28"/>
          <w:szCs w:val="28"/>
          <w:lang w:val="ro-RO"/>
        </w:rPr>
        <w:t>rii Guvernului Republicii Moldova</w:t>
      </w:r>
    </w:p>
    <w:p w:rsidR="00FA46F9" w:rsidRPr="001F7AFA" w:rsidRDefault="00FA46F9" w:rsidP="00FA46F9">
      <w:pPr>
        <w:jc w:val="center"/>
        <w:rPr>
          <w:sz w:val="28"/>
          <w:szCs w:val="28"/>
          <w:lang w:val="ro-RO"/>
        </w:rPr>
      </w:pPr>
      <w:r w:rsidRPr="001F7AFA">
        <w:rPr>
          <w:b/>
          <w:sz w:val="28"/>
          <w:szCs w:val="28"/>
          <w:lang w:val="ro-RO"/>
        </w:rPr>
        <w:t xml:space="preserve"> cu privire </w:t>
      </w:r>
      <w:r w:rsidR="00297091" w:rsidRPr="001F7AFA">
        <w:rPr>
          <w:b/>
          <w:sz w:val="28"/>
          <w:szCs w:val="28"/>
          <w:lang w:val="ro-RO"/>
        </w:rPr>
        <w:t xml:space="preserve">la transmiterea </w:t>
      </w:r>
      <w:r w:rsidR="009E106E" w:rsidRPr="001F7AFA">
        <w:rPr>
          <w:b/>
          <w:sz w:val="28"/>
          <w:szCs w:val="28"/>
          <w:lang w:val="ro-RO"/>
        </w:rPr>
        <w:t xml:space="preserve"> unor </w:t>
      </w:r>
      <w:r w:rsidR="00A13E6D" w:rsidRPr="001F7AFA">
        <w:rPr>
          <w:b/>
          <w:sz w:val="28"/>
          <w:szCs w:val="28"/>
          <w:lang w:val="ro-RO"/>
        </w:rPr>
        <w:t>bunuri</w:t>
      </w:r>
      <w:r w:rsidRPr="001F7AFA">
        <w:rPr>
          <w:b/>
          <w:sz w:val="28"/>
          <w:szCs w:val="28"/>
          <w:lang w:val="ro-RO"/>
        </w:rPr>
        <w:t xml:space="preserve"> imobil</w:t>
      </w:r>
      <w:r w:rsidR="00297091" w:rsidRPr="001F7AFA">
        <w:rPr>
          <w:b/>
          <w:sz w:val="28"/>
          <w:szCs w:val="28"/>
          <w:lang w:val="ro-RO"/>
        </w:rPr>
        <w:t>e</w:t>
      </w:r>
      <w:r w:rsidRPr="001F7AFA">
        <w:rPr>
          <w:b/>
          <w:sz w:val="28"/>
          <w:szCs w:val="28"/>
          <w:lang w:val="ro-RO"/>
        </w:rPr>
        <w:t xml:space="preserve"> </w:t>
      </w:r>
    </w:p>
    <w:p w:rsidR="00FA46F9" w:rsidRPr="001F7AFA" w:rsidRDefault="00FA46F9" w:rsidP="00FA46F9">
      <w:pPr>
        <w:ind w:firstLine="720"/>
        <w:jc w:val="both"/>
        <w:rPr>
          <w:sz w:val="28"/>
          <w:szCs w:val="28"/>
          <w:lang w:val="en-US"/>
        </w:rPr>
      </w:pPr>
    </w:p>
    <w:p w:rsidR="00FA46F9" w:rsidRPr="001F7AFA" w:rsidRDefault="00FA46F9" w:rsidP="00FA46F9">
      <w:pPr>
        <w:ind w:firstLine="720"/>
        <w:jc w:val="both"/>
        <w:rPr>
          <w:sz w:val="28"/>
          <w:szCs w:val="28"/>
          <w:lang w:val="en-US"/>
        </w:rPr>
      </w:pPr>
    </w:p>
    <w:tbl>
      <w:tblPr>
        <w:tblW w:w="106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530"/>
        <w:gridCol w:w="6480"/>
        <w:gridCol w:w="2070"/>
      </w:tblGrid>
      <w:tr w:rsidR="00FA46F9" w:rsidRPr="001F7AFA" w:rsidTr="00B81DE9">
        <w:tc>
          <w:tcPr>
            <w:tcW w:w="540" w:type="dxa"/>
            <w:shd w:val="clear" w:color="auto" w:fill="auto"/>
          </w:tcPr>
          <w:p w:rsidR="00FA46F9" w:rsidRPr="001F7AFA" w:rsidRDefault="00EC22F4" w:rsidP="00612DE0">
            <w:pPr>
              <w:jc w:val="center"/>
              <w:rPr>
                <w:b/>
                <w:sz w:val="28"/>
                <w:szCs w:val="28"/>
                <w:lang w:val="ro-RO"/>
              </w:rPr>
            </w:pPr>
            <w:r w:rsidRPr="001F7AFA">
              <w:rPr>
                <w:b/>
                <w:sz w:val="28"/>
                <w:szCs w:val="28"/>
                <w:lang w:val="ro-RO"/>
              </w:rPr>
              <w:t>Nr</w:t>
            </w:r>
            <w:r w:rsidR="00FA46F9" w:rsidRPr="001F7AFA">
              <w:rPr>
                <w:b/>
                <w:sz w:val="28"/>
                <w:szCs w:val="28"/>
                <w:lang w:val="ro-RO"/>
              </w:rPr>
              <w:t xml:space="preserve">   </w:t>
            </w:r>
            <w:r w:rsidRPr="001F7AFA">
              <w:rPr>
                <w:b/>
                <w:sz w:val="28"/>
                <w:szCs w:val="28"/>
                <w:lang w:val="ro-RO"/>
              </w:rPr>
              <w:t>crt</w:t>
            </w:r>
          </w:p>
        </w:tc>
        <w:tc>
          <w:tcPr>
            <w:tcW w:w="1530" w:type="dxa"/>
            <w:shd w:val="clear" w:color="auto" w:fill="auto"/>
          </w:tcPr>
          <w:p w:rsidR="00FA46F9" w:rsidRPr="001F7AFA" w:rsidRDefault="00FA46F9" w:rsidP="00112E15">
            <w:pPr>
              <w:jc w:val="center"/>
              <w:rPr>
                <w:b/>
                <w:sz w:val="28"/>
                <w:szCs w:val="28"/>
                <w:lang w:val="ro-RO"/>
              </w:rPr>
            </w:pPr>
            <w:r w:rsidRPr="001F7AFA">
              <w:rPr>
                <w:b/>
                <w:sz w:val="28"/>
                <w:szCs w:val="28"/>
                <w:lang w:val="ro-RO"/>
              </w:rPr>
              <w:t xml:space="preserve">Autoritățile </w:t>
            </w:r>
          </w:p>
        </w:tc>
        <w:tc>
          <w:tcPr>
            <w:tcW w:w="6480" w:type="dxa"/>
            <w:shd w:val="clear" w:color="auto" w:fill="auto"/>
          </w:tcPr>
          <w:p w:rsidR="00FA46F9" w:rsidRPr="001F7AFA" w:rsidRDefault="00FA46F9" w:rsidP="00112E15">
            <w:pPr>
              <w:jc w:val="center"/>
              <w:rPr>
                <w:b/>
                <w:sz w:val="28"/>
                <w:szCs w:val="28"/>
                <w:lang w:val="ro-RO"/>
              </w:rPr>
            </w:pPr>
            <w:r w:rsidRPr="001F7AFA">
              <w:rPr>
                <w:b/>
                <w:sz w:val="28"/>
                <w:szCs w:val="28"/>
                <w:lang w:val="ro-RO"/>
              </w:rPr>
              <w:t>Obiecţii /propuneri</w:t>
            </w:r>
          </w:p>
          <w:p w:rsidR="00FA46F9" w:rsidRPr="001F7AFA" w:rsidRDefault="00FA46F9" w:rsidP="00112E15">
            <w:pPr>
              <w:jc w:val="center"/>
              <w:rPr>
                <w:b/>
                <w:sz w:val="28"/>
                <w:szCs w:val="28"/>
                <w:lang w:val="ro-RO"/>
              </w:rPr>
            </w:pPr>
          </w:p>
        </w:tc>
        <w:tc>
          <w:tcPr>
            <w:tcW w:w="2070" w:type="dxa"/>
            <w:shd w:val="clear" w:color="auto" w:fill="auto"/>
          </w:tcPr>
          <w:p w:rsidR="00FA46F9" w:rsidRPr="001F7AFA" w:rsidRDefault="00FA46F9" w:rsidP="00112E15">
            <w:pPr>
              <w:jc w:val="center"/>
              <w:rPr>
                <w:b/>
                <w:sz w:val="28"/>
                <w:szCs w:val="28"/>
                <w:lang w:val="ro-RO"/>
              </w:rPr>
            </w:pPr>
            <w:r w:rsidRPr="001F7AFA">
              <w:rPr>
                <w:b/>
                <w:sz w:val="28"/>
                <w:szCs w:val="28"/>
                <w:lang w:val="ro-RO"/>
              </w:rPr>
              <w:t>Rezultatul examinării</w:t>
            </w:r>
          </w:p>
        </w:tc>
      </w:tr>
      <w:tr w:rsidR="004B26E6" w:rsidRPr="001F7AFA" w:rsidTr="00B81DE9">
        <w:tc>
          <w:tcPr>
            <w:tcW w:w="540" w:type="dxa"/>
            <w:vMerge w:val="restart"/>
            <w:shd w:val="clear" w:color="auto" w:fill="auto"/>
          </w:tcPr>
          <w:p w:rsidR="004B26E6" w:rsidRPr="001F7AFA" w:rsidRDefault="004B26E6" w:rsidP="00112E15">
            <w:pPr>
              <w:jc w:val="center"/>
              <w:rPr>
                <w:sz w:val="28"/>
                <w:szCs w:val="28"/>
                <w:lang w:val="ro-RO"/>
              </w:rPr>
            </w:pPr>
            <w:r w:rsidRPr="001F7AFA">
              <w:rPr>
                <w:sz w:val="28"/>
                <w:szCs w:val="28"/>
                <w:lang w:val="ro-RO"/>
              </w:rPr>
              <w:t>1</w:t>
            </w:r>
          </w:p>
        </w:tc>
        <w:tc>
          <w:tcPr>
            <w:tcW w:w="1530" w:type="dxa"/>
            <w:vMerge w:val="restart"/>
            <w:shd w:val="clear" w:color="auto" w:fill="auto"/>
          </w:tcPr>
          <w:p w:rsidR="004B26E6" w:rsidRPr="001F7AFA" w:rsidRDefault="004B26E6" w:rsidP="00112E15">
            <w:pPr>
              <w:jc w:val="both"/>
              <w:rPr>
                <w:sz w:val="28"/>
                <w:szCs w:val="28"/>
                <w:lang w:val="ro-RO"/>
              </w:rPr>
            </w:pPr>
            <w:r w:rsidRPr="001F7AFA">
              <w:rPr>
                <w:sz w:val="28"/>
                <w:szCs w:val="28"/>
                <w:lang w:val="ro-RO"/>
              </w:rPr>
              <w:t>Ministerul Finanţelor</w:t>
            </w:r>
          </w:p>
        </w:tc>
        <w:tc>
          <w:tcPr>
            <w:tcW w:w="6480" w:type="dxa"/>
            <w:shd w:val="clear" w:color="auto" w:fill="auto"/>
          </w:tcPr>
          <w:p w:rsidR="004B26E6" w:rsidRPr="001F7AFA" w:rsidRDefault="004B26E6" w:rsidP="0047250C">
            <w:pPr>
              <w:tabs>
                <w:tab w:val="left" w:pos="3425"/>
              </w:tabs>
              <w:ind w:right="-18"/>
              <w:jc w:val="both"/>
              <w:rPr>
                <w:sz w:val="28"/>
                <w:szCs w:val="28"/>
                <w:lang w:val="ro-RO"/>
              </w:rPr>
            </w:pPr>
            <w:r w:rsidRPr="001F7AFA">
              <w:rPr>
                <w:sz w:val="28"/>
                <w:szCs w:val="28"/>
                <w:lang w:val="ro-RO"/>
              </w:rPr>
              <w:t>În punctul 1 din proiect sintagma „a raionului Cantemir” se va substitui  cu sintagma „a unității administrativ-teritoriale Cantemir”</w:t>
            </w:r>
          </w:p>
        </w:tc>
        <w:tc>
          <w:tcPr>
            <w:tcW w:w="2070" w:type="dxa"/>
            <w:shd w:val="clear" w:color="auto" w:fill="auto"/>
          </w:tcPr>
          <w:p w:rsidR="004B26E6" w:rsidRPr="001F7AFA" w:rsidRDefault="004B26E6" w:rsidP="008E51A0">
            <w:pPr>
              <w:jc w:val="both"/>
              <w:rPr>
                <w:sz w:val="28"/>
                <w:szCs w:val="28"/>
                <w:lang w:val="ro-RO"/>
              </w:rPr>
            </w:pPr>
            <w:r w:rsidRPr="001F7AFA">
              <w:rPr>
                <w:sz w:val="28"/>
                <w:szCs w:val="28"/>
                <w:lang w:val="ro-RO"/>
              </w:rPr>
              <w:t>Se acceptă.</w:t>
            </w:r>
          </w:p>
        </w:tc>
      </w:tr>
      <w:tr w:rsidR="004B26E6" w:rsidRPr="001F7AFA" w:rsidTr="00B81DE9">
        <w:tc>
          <w:tcPr>
            <w:tcW w:w="540" w:type="dxa"/>
            <w:vMerge/>
            <w:shd w:val="clear" w:color="auto" w:fill="auto"/>
          </w:tcPr>
          <w:p w:rsidR="004B26E6" w:rsidRPr="001F7AFA" w:rsidRDefault="004B26E6" w:rsidP="00112E15">
            <w:pPr>
              <w:jc w:val="center"/>
              <w:rPr>
                <w:sz w:val="28"/>
                <w:szCs w:val="28"/>
                <w:lang w:val="ro-RO"/>
              </w:rPr>
            </w:pPr>
          </w:p>
        </w:tc>
        <w:tc>
          <w:tcPr>
            <w:tcW w:w="1530" w:type="dxa"/>
            <w:vMerge/>
            <w:shd w:val="clear" w:color="auto" w:fill="auto"/>
          </w:tcPr>
          <w:p w:rsidR="004B26E6" w:rsidRPr="001F7AFA" w:rsidRDefault="004B26E6" w:rsidP="00112E15">
            <w:pPr>
              <w:jc w:val="both"/>
              <w:rPr>
                <w:sz w:val="28"/>
                <w:szCs w:val="28"/>
                <w:lang w:val="ro-RO"/>
              </w:rPr>
            </w:pPr>
          </w:p>
        </w:tc>
        <w:tc>
          <w:tcPr>
            <w:tcW w:w="6480" w:type="dxa"/>
            <w:shd w:val="clear" w:color="auto" w:fill="auto"/>
          </w:tcPr>
          <w:p w:rsidR="004B26E6" w:rsidRPr="001F7AFA" w:rsidRDefault="004B26E6" w:rsidP="0047250C">
            <w:pPr>
              <w:tabs>
                <w:tab w:val="left" w:pos="3425"/>
              </w:tabs>
              <w:ind w:right="-18"/>
              <w:jc w:val="both"/>
              <w:rPr>
                <w:sz w:val="28"/>
                <w:szCs w:val="28"/>
                <w:lang w:val="ro-RO"/>
              </w:rPr>
            </w:pPr>
            <w:r w:rsidRPr="001F7AFA">
              <w:rPr>
                <w:sz w:val="28"/>
                <w:szCs w:val="28"/>
                <w:lang w:val="ro-RO"/>
              </w:rPr>
              <w:t>Se consideră necesară efectuarea modific</w:t>
            </w:r>
            <w:r w:rsidR="00852267" w:rsidRPr="001F7AFA">
              <w:rPr>
                <w:sz w:val="28"/>
                <w:szCs w:val="28"/>
                <w:lang w:val="ro-RO"/>
              </w:rPr>
              <w:t>ă</w:t>
            </w:r>
            <w:r w:rsidRPr="001F7AFA">
              <w:rPr>
                <w:sz w:val="28"/>
                <w:szCs w:val="28"/>
                <w:lang w:val="ro-RO"/>
              </w:rPr>
              <w:t>rilor de rigoare la anexa nr.22</w:t>
            </w:r>
            <w:r w:rsidRPr="001F7AFA">
              <w:rPr>
                <w:sz w:val="28"/>
                <w:szCs w:val="28"/>
                <w:vertAlign w:val="superscript"/>
                <w:lang w:val="ro-RO"/>
              </w:rPr>
              <w:t>12</w:t>
            </w:r>
            <w:r w:rsidRPr="001F7AFA">
              <w:rPr>
                <w:sz w:val="28"/>
                <w:szCs w:val="28"/>
                <w:lang w:val="ro-RO"/>
              </w:rPr>
              <w:t xml:space="preserve"> din Hotărîrea Guvernului nr.351 din 23 martie 2005 „cu privire la aprobarea listelor bunurilor imobile proprietate publică a statului și la transmiterea unor bunuri imobile” prin excluderea poziției 111.</w:t>
            </w:r>
          </w:p>
        </w:tc>
        <w:tc>
          <w:tcPr>
            <w:tcW w:w="2070" w:type="dxa"/>
            <w:shd w:val="clear" w:color="auto" w:fill="auto"/>
          </w:tcPr>
          <w:p w:rsidR="004B26E6" w:rsidRPr="001F7AFA" w:rsidRDefault="004B26E6" w:rsidP="008E51A0">
            <w:pPr>
              <w:jc w:val="both"/>
              <w:rPr>
                <w:sz w:val="28"/>
                <w:szCs w:val="28"/>
                <w:lang w:val="ro-RO"/>
              </w:rPr>
            </w:pPr>
            <w:r w:rsidRPr="001F7AFA">
              <w:rPr>
                <w:sz w:val="28"/>
                <w:szCs w:val="28"/>
                <w:lang w:val="ro-RO"/>
              </w:rPr>
              <w:t>Se acceptă.</w:t>
            </w:r>
          </w:p>
        </w:tc>
      </w:tr>
      <w:tr w:rsidR="00A13E6D" w:rsidRPr="001F7AFA" w:rsidTr="00B81DE9">
        <w:tc>
          <w:tcPr>
            <w:tcW w:w="540" w:type="dxa"/>
            <w:vMerge w:val="restart"/>
            <w:shd w:val="clear" w:color="auto" w:fill="auto"/>
          </w:tcPr>
          <w:p w:rsidR="00A13E6D" w:rsidRPr="001F7AFA" w:rsidRDefault="00A13E6D" w:rsidP="00112E15">
            <w:pPr>
              <w:jc w:val="center"/>
              <w:rPr>
                <w:sz w:val="28"/>
                <w:szCs w:val="28"/>
                <w:lang w:val="ro-RO"/>
              </w:rPr>
            </w:pPr>
            <w:r w:rsidRPr="001F7AFA">
              <w:rPr>
                <w:sz w:val="28"/>
                <w:szCs w:val="28"/>
                <w:lang w:val="ro-RO"/>
              </w:rPr>
              <w:t>2</w:t>
            </w:r>
          </w:p>
        </w:tc>
        <w:tc>
          <w:tcPr>
            <w:tcW w:w="1530" w:type="dxa"/>
            <w:vMerge w:val="restart"/>
            <w:shd w:val="clear" w:color="auto" w:fill="auto"/>
          </w:tcPr>
          <w:p w:rsidR="00A13E6D" w:rsidRPr="001F7AFA" w:rsidRDefault="00A13E6D" w:rsidP="00112E15">
            <w:pPr>
              <w:rPr>
                <w:sz w:val="28"/>
                <w:szCs w:val="28"/>
                <w:lang w:val="ro-RO"/>
              </w:rPr>
            </w:pPr>
            <w:r w:rsidRPr="001F7AFA">
              <w:rPr>
                <w:sz w:val="28"/>
                <w:szCs w:val="28"/>
                <w:lang w:val="ro-RO"/>
              </w:rPr>
              <w:t xml:space="preserve">Ministerul Economiei </w:t>
            </w:r>
          </w:p>
        </w:tc>
        <w:tc>
          <w:tcPr>
            <w:tcW w:w="6480" w:type="dxa"/>
            <w:shd w:val="clear" w:color="auto" w:fill="auto"/>
          </w:tcPr>
          <w:p w:rsidR="00A13E6D" w:rsidRPr="001F7AFA" w:rsidRDefault="00A13E6D" w:rsidP="009432EB">
            <w:pPr>
              <w:tabs>
                <w:tab w:val="left" w:pos="0"/>
              </w:tabs>
              <w:ind w:right="72"/>
              <w:jc w:val="both"/>
              <w:rPr>
                <w:sz w:val="28"/>
                <w:szCs w:val="28"/>
                <w:lang w:val="ro-RO"/>
              </w:rPr>
            </w:pPr>
            <w:r w:rsidRPr="001F7AFA">
              <w:rPr>
                <w:sz w:val="28"/>
                <w:szCs w:val="28"/>
                <w:lang w:val="ro-RO"/>
              </w:rPr>
              <w:t xml:space="preserve">Se propune modificarea </w:t>
            </w:r>
            <w:r w:rsidR="004B26E6" w:rsidRPr="001F7AFA">
              <w:rPr>
                <w:sz w:val="28"/>
                <w:szCs w:val="28"/>
                <w:lang w:val="ro-RO"/>
              </w:rPr>
              <w:t>și expunerea în următoarea redacție a pct.1 din proiect: „1. Se transmit, cu titlu gratuit, cu acordul Consiliului raional Cantemir, din proprietatea publică a statului (administrarea Ministerului Educaţiei</w:t>
            </w:r>
            <w:r w:rsidR="004639B1">
              <w:rPr>
                <w:sz w:val="28"/>
                <w:szCs w:val="28"/>
                <w:lang w:val="ro-RO"/>
              </w:rPr>
              <w:t>, Culturii și Cercetării</w:t>
            </w:r>
            <w:r w:rsidR="004B26E6" w:rsidRPr="001F7AFA">
              <w:rPr>
                <w:sz w:val="28"/>
                <w:szCs w:val="28"/>
                <w:lang w:val="ro-RO"/>
              </w:rPr>
              <w:t>) bunurile imobile din gestiunea Școlii Profesionale din or. Leova, str. Independenței 60, în proprietatea publică a unității administrativ-teritoriale Cantemir, în gestiunea Școlii Sportive a raionului Cantemir, după cum urmează:</w:t>
            </w:r>
            <w:r w:rsidR="009432EB" w:rsidRPr="001F7AFA">
              <w:rPr>
                <w:sz w:val="28"/>
                <w:szCs w:val="28"/>
                <w:lang w:val="ro-RO"/>
              </w:rPr>
              <w:t>”, în continuare, conform textului.</w:t>
            </w:r>
          </w:p>
        </w:tc>
        <w:tc>
          <w:tcPr>
            <w:tcW w:w="2070" w:type="dxa"/>
            <w:shd w:val="clear" w:color="auto" w:fill="auto"/>
          </w:tcPr>
          <w:p w:rsidR="00A13E6D" w:rsidRPr="001F7AFA" w:rsidRDefault="00A13E6D" w:rsidP="00A13E6D">
            <w:pPr>
              <w:jc w:val="both"/>
              <w:rPr>
                <w:sz w:val="28"/>
                <w:szCs w:val="28"/>
                <w:lang w:val="ro-RO"/>
              </w:rPr>
            </w:pPr>
            <w:r w:rsidRPr="001F7AFA">
              <w:rPr>
                <w:sz w:val="28"/>
                <w:szCs w:val="28"/>
                <w:lang w:val="ro-RO"/>
              </w:rPr>
              <w:t>Se acceptă.</w:t>
            </w:r>
          </w:p>
        </w:tc>
      </w:tr>
      <w:tr w:rsidR="00370F57" w:rsidRPr="001F7AFA" w:rsidTr="00B81DE9">
        <w:trPr>
          <w:trHeight w:val="3968"/>
        </w:trPr>
        <w:tc>
          <w:tcPr>
            <w:tcW w:w="540" w:type="dxa"/>
            <w:vMerge/>
            <w:shd w:val="clear" w:color="auto" w:fill="auto"/>
          </w:tcPr>
          <w:p w:rsidR="00370F57" w:rsidRPr="001F7AFA" w:rsidRDefault="00370F57" w:rsidP="00112E15">
            <w:pPr>
              <w:jc w:val="center"/>
              <w:rPr>
                <w:sz w:val="28"/>
                <w:szCs w:val="28"/>
                <w:lang w:val="ro-RO"/>
              </w:rPr>
            </w:pPr>
          </w:p>
        </w:tc>
        <w:tc>
          <w:tcPr>
            <w:tcW w:w="1530" w:type="dxa"/>
            <w:vMerge/>
            <w:shd w:val="clear" w:color="auto" w:fill="auto"/>
          </w:tcPr>
          <w:p w:rsidR="00370F57" w:rsidRPr="001F7AFA" w:rsidRDefault="00370F57" w:rsidP="00112E15">
            <w:pPr>
              <w:rPr>
                <w:sz w:val="28"/>
                <w:szCs w:val="28"/>
                <w:lang w:val="ro-RO"/>
              </w:rPr>
            </w:pPr>
          </w:p>
        </w:tc>
        <w:tc>
          <w:tcPr>
            <w:tcW w:w="6480" w:type="dxa"/>
            <w:shd w:val="clear" w:color="auto" w:fill="auto"/>
          </w:tcPr>
          <w:p w:rsidR="004639B1" w:rsidRPr="001F7AFA" w:rsidRDefault="0047250C" w:rsidP="003B7525">
            <w:pPr>
              <w:jc w:val="both"/>
              <w:rPr>
                <w:sz w:val="28"/>
                <w:szCs w:val="28"/>
                <w:lang w:val="ro-RO"/>
              </w:rPr>
            </w:pPr>
            <w:r w:rsidRPr="001F7AFA">
              <w:rPr>
                <w:sz w:val="28"/>
                <w:szCs w:val="28"/>
                <w:lang w:val="ro-RO"/>
              </w:rPr>
              <w:t xml:space="preserve">Se propune </w:t>
            </w:r>
            <w:r w:rsidR="00370F57" w:rsidRPr="001F7AFA">
              <w:rPr>
                <w:sz w:val="28"/>
                <w:szCs w:val="28"/>
                <w:lang w:val="ro-RO"/>
              </w:rPr>
              <w:t xml:space="preserve">excluderea Viceprim-ministrului, ministrului economiei, din formula de atestare a autenticității actului normativ, </w:t>
            </w:r>
            <w:r w:rsidRPr="001F7AFA">
              <w:rPr>
                <w:sz w:val="28"/>
                <w:szCs w:val="28"/>
                <w:lang w:val="ro-RO"/>
              </w:rPr>
              <w:t>deoarece</w:t>
            </w:r>
            <w:r w:rsidR="00370F57" w:rsidRPr="001F7AFA">
              <w:rPr>
                <w:sz w:val="28"/>
                <w:szCs w:val="28"/>
                <w:lang w:val="ro-RO"/>
              </w:rPr>
              <w:t xml:space="preserve"> aplicarea prevederilor hotărîrii în cauză nu ține de competența Ministerului Economiei și bazîndu-ne pe alin.(4) art. 102 al Constituției Republicii Moldova, art. 30 din Legea nr.64-XII din 31 mai 1990 „Cu privire la Guvern”, alin.(2) din art.</w:t>
            </w:r>
            <w:r w:rsidRPr="001F7AFA">
              <w:rPr>
                <w:sz w:val="28"/>
                <w:szCs w:val="28"/>
                <w:lang w:val="ro-RO"/>
              </w:rPr>
              <w:t xml:space="preserve"> </w:t>
            </w:r>
            <w:r w:rsidR="00370F57" w:rsidRPr="001F7AFA">
              <w:rPr>
                <w:sz w:val="28"/>
                <w:szCs w:val="28"/>
                <w:lang w:val="ro-RO"/>
              </w:rPr>
              <w:t>55 al Legii nr.</w:t>
            </w:r>
            <w:r w:rsidRPr="001F7AFA">
              <w:rPr>
                <w:sz w:val="28"/>
                <w:szCs w:val="28"/>
                <w:lang w:val="ro-RO"/>
              </w:rPr>
              <w:t xml:space="preserve"> </w:t>
            </w:r>
            <w:r w:rsidR="00370F57" w:rsidRPr="001F7AFA">
              <w:rPr>
                <w:sz w:val="28"/>
                <w:szCs w:val="28"/>
                <w:lang w:val="ro-RO"/>
              </w:rPr>
              <w:t>317-XV din 18 iulie 2003 „Privind actele normative ale Guvernului și ale altor autorități ale administrației publice centrale și locale” și subpct.3) din pct. 1 al Hotărîrii Guvernului nr.605 din 16 august 2013 „Cu privire la atribuțiile Prim-ministrului și ale viceprim-miniștrilor”.</w:t>
            </w:r>
          </w:p>
        </w:tc>
        <w:tc>
          <w:tcPr>
            <w:tcW w:w="2070" w:type="dxa"/>
            <w:shd w:val="clear" w:color="auto" w:fill="auto"/>
          </w:tcPr>
          <w:p w:rsidR="00370F57" w:rsidRPr="001F7AFA" w:rsidRDefault="00370F57" w:rsidP="001B4868">
            <w:pPr>
              <w:jc w:val="both"/>
              <w:rPr>
                <w:sz w:val="28"/>
                <w:szCs w:val="28"/>
                <w:lang w:val="ro-RO"/>
              </w:rPr>
            </w:pPr>
            <w:r w:rsidRPr="001F7AFA">
              <w:rPr>
                <w:sz w:val="28"/>
                <w:szCs w:val="28"/>
                <w:lang w:val="ro-RO"/>
              </w:rPr>
              <w:t>Se acceptă.</w:t>
            </w:r>
          </w:p>
        </w:tc>
      </w:tr>
      <w:tr w:rsidR="002F6049" w:rsidRPr="001F7AFA" w:rsidTr="00B81DE9">
        <w:tc>
          <w:tcPr>
            <w:tcW w:w="540" w:type="dxa"/>
            <w:shd w:val="clear" w:color="auto" w:fill="auto"/>
          </w:tcPr>
          <w:p w:rsidR="002F6049" w:rsidRPr="001F7AFA" w:rsidRDefault="002F6049" w:rsidP="00112E15">
            <w:pPr>
              <w:jc w:val="center"/>
              <w:rPr>
                <w:sz w:val="28"/>
                <w:szCs w:val="28"/>
                <w:lang w:val="ro-RO"/>
              </w:rPr>
            </w:pPr>
            <w:r w:rsidRPr="001F7AFA">
              <w:rPr>
                <w:sz w:val="28"/>
                <w:szCs w:val="28"/>
                <w:lang w:val="ro-RO"/>
              </w:rPr>
              <w:lastRenderedPageBreak/>
              <w:t>3</w:t>
            </w:r>
          </w:p>
        </w:tc>
        <w:tc>
          <w:tcPr>
            <w:tcW w:w="1530" w:type="dxa"/>
            <w:shd w:val="clear" w:color="auto" w:fill="auto"/>
          </w:tcPr>
          <w:p w:rsidR="002F6049" w:rsidRPr="001F7AFA" w:rsidRDefault="00370F57" w:rsidP="00112E15">
            <w:pPr>
              <w:rPr>
                <w:sz w:val="28"/>
                <w:szCs w:val="28"/>
                <w:lang w:val="ro-RO"/>
              </w:rPr>
            </w:pPr>
            <w:r w:rsidRPr="001F7AFA">
              <w:rPr>
                <w:sz w:val="28"/>
                <w:szCs w:val="28"/>
                <w:lang w:val="ro-RO"/>
              </w:rPr>
              <w:t>Agenția Relații Funciare și Cadastru</w:t>
            </w:r>
          </w:p>
        </w:tc>
        <w:tc>
          <w:tcPr>
            <w:tcW w:w="6480" w:type="dxa"/>
            <w:shd w:val="clear" w:color="auto" w:fill="auto"/>
          </w:tcPr>
          <w:p w:rsidR="002F6049" w:rsidRPr="001F7AFA" w:rsidRDefault="002F6049" w:rsidP="00F763ED">
            <w:pPr>
              <w:rPr>
                <w:sz w:val="28"/>
                <w:szCs w:val="28"/>
                <w:lang w:val="ro-RO"/>
              </w:rPr>
            </w:pPr>
            <w:r w:rsidRPr="001F7AFA">
              <w:rPr>
                <w:sz w:val="28"/>
                <w:szCs w:val="28"/>
                <w:lang w:val="ro-RO"/>
              </w:rPr>
              <w:t>Lipsa obiecțiilor și propunerilor.</w:t>
            </w:r>
          </w:p>
        </w:tc>
        <w:tc>
          <w:tcPr>
            <w:tcW w:w="2070" w:type="dxa"/>
            <w:shd w:val="clear" w:color="auto" w:fill="auto"/>
          </w:tcPr>
          <w:p w:rsidR="002F6049" w:rsidRPr="001F7AFA" w:rsidRDefault="002F6049" w:rsidP="00F763ED">
            <w:pPr>
              <w:jc w:val="both"/>
              <w:rPr>
                <w:sz w:val="28"/>
                <w:szCs w:val="28"/>
                <w:lang w:val="ro-RO"/>
              </w:rPr>
            </w:pPr>
            <w:r w:rsidRPr="001F7AFA">
              <w:rPr>
                <w:sz w:val="28"/>
                <w:szCs w:val="28"/>
                <w:lang w:val="ro-RO"/>
              </w:rPr>
              <w:t>Se ia act</w:t>
            </w:r>
          </w:p>
        </w:tc>
      </w:tr>
      <w:tr w:rsidR="001F7AFA" w:rsidRPr="001F7AFA" w:rsidTr="00B81DE9">
        <w:tc>
          <w:tcPr>
            <w:tcW w:w="540" w:type="dxa"/>
            <w:shd w:val="clear" w:color="auto" w:fill="auto"/>
          </w:tcPr>
          <w:p w:rsidR="001F7AFA" w:rsidRPr="001F7AFA" w:rsidRDefault="001F7AFA" w:rsidP="001F7AFA">
            <w:pPr>
              <w:jc w:val="center"/>
              <w:rPr>
                <w:sz w:val="28"/>
                <w:szCs w:val="28"/>
                <w:lang w:val="ro-RO"/>
              </w:rPr>
            </w:pPr>
            <w:r w:rsidRPr="001F7AFA">
              <w:rPr>
                <w:sz w:val="28"/>
                <w:szCs w:val="28"/>
                <w:lang w:val="ro-RO"/>
              </w:rPr>
              <w:t>4</w:t>
            </w:r>
          </w:p>
        </w:tc>
        <w:tc>
          <w:tcPr>
            <w:tcW w:w="1530" w:type="dxa"/>
            <w:shd w:val="clear" w:color="auto" w:fill="auto"/>
          </w:tcPr>
          <w:p w:rsidR="001F7AFA" w:rsidRPr="001F7AFA" w:rsidRDefault="001F7AFA" w:rsidP="001F7AFA">
            <w:pPr>
              <w:rPr>
                <w:sz w:val="28"/>
                <w:szCs w:val="28"/>
                <w:lang w:val="ro-RO"/>
              </w:rPr>
            </w:pPr>
            <w:r w:rsidRPr="001F7AFA">
              <w:rPr>
                <w:sz w:val="28"/>
                <w:szCs w:val="28"/>
                <w:lang w:val="ro-RO"/>
              </w:rPr>
              <w:t>Centrul Național Anticorupție</w:t>
            </w:r>
          </w:p>
        </w:tc>
        <w:tc>
          <w:tcPr>
            <w:tcW w:w="6480" w:type="dxa"/>
            <w:shd w:val="clear" w:color="auto" w:fill="auto"/>
          </w:tcPr>
          <w:p w:rsidR="001F7AFA" w:rsidRPr="001F7AFA" w:rsidRDefault="001F7AFA" w:rsidP="001F7AFA">
            <w:pPr>
              <w:rPr>
                <w:sz w:val="28"/>
                <w:szCs w:val="28"/>
                <w:lang w:val="ro-RO"/>
              </w:rPr>
            </w:pPr>
            <w:r w:rsidRPr="001F7AFA">
              <w:rPr>
                <w:sz w:val="28"/>
                <w:szCs w:val="28"/>
                <w:lang w:val="ro-RO"/>
              </w:rPr>
              <w:t>Proiectul a fost elaborat de către Ministerul Educației, Culturii și Cercetării și are drept scop transmiterea bunurilor imobile ale Școlii Profesionale</w:t>
            </w:r>
            <w:r>
              <w:rPr>
                <w:sz w:val="28"/>
                <w:szCs w:val="28"/>
                <w:lang w:val="ro-RO"/>
              </w:rPr>
              <w:t>, or. Leova</w:t>
            </w:r>
            <w:r w:rsidRPr="001F7AFA">
              <w:rPr>
                <w:sz w:val="28"/>
                <w:szCs w:val="28"/>
                <w:lang w:val="ro-RO"/>
              </w:rPr>
              <w:t xml:space="preserve">, amplasate în </w:t>
            </w:r>
            <w:r>
              <w:rPr>
                <w:sz w:val="28"/>
                <w:szCs w:val="28"/>
                <w:lang w:val="ro-RO"/>
              </w:rPr>
              <w:t>or. Cantemir</w:t>
            </w:r>
            <w:r w:rsidRPr="001F7AFA">
              <w:rPr>
                <w:sz w:val="28"/>
                <w:szCs w:val="28"/>
                <w:lang w:val="ro-RO"/>
              </w:rPr>
              <w:t xml:space="preserve">, din proprietatea publică a statului în proprietatea publică a </w:t>
            </w:r>
            <w:r>
              <w:rPr>
                <w:sz w:val="28"/>
                <w:szCs w:val="28"/>
                <w:lang w:val="ro-RO"/>
              </w:rPr>
              <w:t xml:space="preserve">raionului Cantemir, în gestiunea Școlii Sportive </w:t>
            </w:r>
            <w:r w:rsidRPr="001F7AFA">
              <w:rPr>
                <w:sz w:val="28"/>
                <w:szCs w:val="28"/>
                <w:lang w:val="ro-RO"/>
              </w:rPr>
              <w:t>.</w:t>
            </w:r>
          </w:p>
          <w:p w:rsidR="001F7AFA" w:rsidRPr="001F7AFA" w:rsidRDefault="001F7AFA" w:rsidP="001F7AFA">
            <w:pPr>
              <w:rPr>
                <w:sz w:val="28"/>
                <w:szCs w:val="28"/>
                <w:lang w:val="ro-RO"/>
              </w:rPr>
            </w:pPr>
            <w:r w:rsidRPr="001F7AFA">
              <w:rPr>
                <w:sz w:val="28"/>
                <w:szCs w:val="28"/>
                <w:lang w:val="ro-RO"/>
              </w:rPr>
              <w:t xml:space="preserve">Argumentele prezentate în nota informativă justifică soluțiile proiectului. </w:t>
            </w:r>
            <w:r w:rsidR="00F608A0">
              <w:rPr>
                <w:sz w:val="28"/>
                <w:szCs w:val="28"/>
                <w:lang w:val="ro-RO"/>
              </w:rPr>
              <w:t>Î</w:t>
            </w:r>
            <w:r w:rsidRPr="001F7AFA">
              <w:rPr>
                <w:sz w:val="28"/>
                <w:szCs w:val="28"/>
                <w:lang w:val="ro-RO"/>
              </w:rPr>
              <w:t>n cadrul procesului de elaborare nu au fost respectate rigorilor de transparență decizională.</w:t>
            </w:r>
          </w:p>
          <w:p w:rsidR="001F7AFA" w:rsidRPr="001F7AFA" w:rsidRDefault="00F608A0" w:rsidP="001F7AFA">
            <w:pPr>
              <w:rPr>
                <w:sz w:val="28"/>
                <w:szCs w:val="28"/>
                <w:lang w:val="ro-RO"/>
              </w:rPr>
            </w:pPr>
            <w:r>
              <w:rPr>
                <w:sz w:val="28"/>
                <w:szCs w:val="28"/>
                <w:lang w:val="ro-RO"/>
              </w:rPr>
              <w:t>Prevederile proiectului sunt conforme interesului public și respectă drepturile fundamentale ale omului</w:t>
            </w:r>
            <w:r w:rsidR="001F7AFA" w:rsidRPr="001F7AFA">
              <w:rPr>
                <w:sz w:val="28"/>
                <w:szCs w:val="28"/>
                <w:lang w:val="ro-RO"/>
              </w:rPr>
              <w:t>.</w:t>
            </w:r>
          </w:p>
        </w:tc>
        <w:tc>
          <w:tcPr>
            <w:tcW w:w="2070" w:type="dxa"/>
            <w:shd w:val="clear" w:color="auto" w:fill="auto"/>
          </w:tcPr>
          <w:p w:rsidR="001F7AFA" w:rsidRPr="001F7AFA" w:rsidRDefault="001F7AFA" w:rsidP="001F7AFA">
            <w:pPr>
              <w:jc w:val="both"/>
              <w:rPr>
                <w:sz w:val="28"/>
                <w:szCs w:val="28"/>
                <w:lang w:val="ro-RO"/>
              </w:rPr>
            </w:pPr>
          </w:p>
          <w:p w:rsidR="001F7AFA" w:rsidRPr="001F7AFA" w:rsidRDefault="001F7AFA" w:rsidP="001F7AFA">
            <w:pPr>
              <w:jc w:val="both"/>
              <w:rPr>
                <w:sz w:val="28"/>
                <w:szCs w:val="28"/>
                <w:lang w:val="ro-RO"/>
              </w:rPr>
            </w:pPr>
          </w:p>
          <w:p w:rsidR="001F7AFA" w:rsidRPr="001F7AFA" w:rsidRDefault="001F7AFA" w:rsidP="001F7AFA">
            <w:pPr>
              <w:jc w:val="both"/>
              <w:rPr>
                <w:sz w:val="28"/>
                <w:szCs w:val="28"/>
                <w:lang w:val="ro-RO"/>
              </w:rPr>
            </w:pPr>
          </w:p>
          <w:p w:rsidR="001F7AFA" w:rsidRPr="001F7AFA" w:rsidRDefault="001F7AFA" w:rsidP="001F7AFA">
            <w:pPr>
              <w:jc w:val="both"/>
              <w:rPr>
                <w:sz w:val="28"/>
                <w:szCs w:val="28"/>
                <w:lang w:val="ro-RO"/>
              </w:rPr>
            </w:pPr>
          </w:p>
          <w:p w:rsidR="001F7AFA" w:rsidRPr="001F7AFA" w:rsidRDefault="001F7AFA" w:rsidP="001F7AFA">
            <w:pPr>
              <w:jc w:val="both"/>
              <w:rPr>
                <w:sz w:val="28"/>
                <w:szCs w:val="28"/>
                <w:lang w:val="ro-RO"/>
              </w:rPr>
            </w:pPr>
          </w:p>
          <w:p w:rsidR="001F7AFA" w:rsidRPr="001F7AFA" w:rsidRDefault="001F7AFA" w:rsidP="001F7AFA">
            <w:pPr>
              <w:jc w:val="both"/>
              <w:rPr>
                <w:sz w:val="28"/>
                <w:szCs w:val="28"/>
                <w:lang w:val="ro-RO"/>
              </w:rPr>
            </w:pPr>
          </w:p>
          <w:p w:rsidR="001F7AFA" w:rsidRPr="001F7AFA" w:rsidRDefault="001F7AFA" w:rsidP="001F7AFA">
            <w:pPr>
              <w:jc w:val="both"/>
              <w:rPr>
                <w:sz w:val="28"/>
                <w:szCs w:val="28"/>
                <w:lang w:val="ro-RO"/>
              </w:rPr>
            </w:pPr>
          </w:p>
          <w:p w:rsidR="001F7AFA" w:rsidRPr="001F7AFA" w:rsidRDefault="001F7AFA" w:rsidP="001F7AFA">
            <w:pPr>
              <w:jc w:val="both"/>
              <w:rPr>
                <w:sz w:val="28"/>
                <w:szCs w:val="28"/>
                <w:lang w:val="ro-RO"/>
              </w:rPr>
            </w:pPr>
          </w:p>
          <w:p w:rsidR="001F7AFA" w:rsidRPr="001F7AFA" w:rsidRDefault="001F7AFA" w:rsidP="001F7AFA">
            <w:pPr>
              <w:jc w:val="both"/>
              <w:rPr>
                <w:sz w:val="28"/>
                <w:szCs w:val="28"/>
                <w:lang w:val="ro-RO"/>
              </w:rPr>
            </w:pPr>
            <w:r w:rsidRPr="001F7AFA">
              <w:rPr>
                <w:sz w:val="28"/>
                <w:szCs w:val="28"/>
                <w:lang w:val="ro-RO"/>
              </w:rPr>
              <w:t>Se acceptă.</w:t>
            </w:r>
          </w:p>
          <w:p w:rsidR="001F7AFA" w:rsidRPr="001F7AFA" w:rsidRDefault="001F7AFA" w:rsidP="001F7AFA">
            <w:pPr>
              <w:jc w:val="both"/>
              <w:rPr>
                <w:sz w:val="28"/>
                <w:szCs w:val="28"/>
                <w:lang w:val="ro-RO"/>
              </w:rPr>
            </w:pPr>
          </w:p>
        </w:tc>
      </w:tr>
      <w:tr w:rsidR="003B7525" w:rsidRPr="006C3640" w:rsidTr="00B81DE9">
        <w:tc>
          <w:tcPr>
            <w:tcW w:w="540" w:type="dxa"/>
            <w:vMerge w:val="restart"/>
            <w:shd w:val="clear" w:color="auto" w:fill="auto"/>
          </w:tcPr>
          <w:p w:rsidR="003B7525" w:rsidRPr="001F7AFA" w:rsidRDefault="003B7525" w:rsidP="001F7AFA">
            <w:pPr>
              <w:jc w:val="center"/>
              <w:rPr>
                <w:sz w:val="28"/>
                <w:szCs w:val="28"/>
                <w:lang w:val="ro-RO"/>
              </w:rPr>
            </w:pPr>
            <w:r>
              <w:rPr>
                <w:sz w:val="28"/>
                <w:szCs w:val="28"/>
                <w:lang w:val="ro-RO"/>
              </w:rPr>
              <w:t>5</w:t>
            </w:r>
          </w:p>
        </w:tc>
        <w:tc>
          <w:tcPr>
            <w:tcW w:w="1530" w:type="dxa"/>
            <w:vMerge w:val="restart"/>
            <w:shd w:val="clear" w:color="auto" w:fill="auto"/>
          </w:tcPr>
          <w:p w:rsidR="003B7525" w:rsidRPr="001F7AFA" w:rsidRDefault="003B7525" w:rsidP="001F7AFA">
            <w:pPr>
              <w:rPr>
                <w:sz w:val="28"/>
                <w:szCs w:val="28"/>
                <w:lang w:val="ro-RO"/>
              </w:rPr>
            </w:pPr>
            <w:r>
              <w:rPr>
                <w:sz w:val="28"/>
                <w:szCs w:val="28"/>
                <w:lang w:val="ro-RO"/>
              </w:rPr>
              <w:t>Ministerul Justiției</w:t>
            </w:r>
          </w:p>
        </w:tc>
        <w:tc>
          <w:tcPr>
            <w:tcW w:w="6480" w:type="dxa"/>
            <w:shd w:val="clear" w:color="auto" w:fill="auto"/>
          </w:tcPr>
          <w:p w:rsidR="003B7525" w:rsidRPr="006C3640" w:rsidRDefault="003B7525" w:rsidP="001F7AFA">
            <w:pPr>
              <w:rPr>
                <w:sz w:val="28"/>
                <w:szCs w:val="28"/>
                <w:lang w:val="ro-RO"/>
              </w:rPr>
            </w:pPr>
            <w:r>
              <w:rPr>
                <w:sz w:val="28"/>
                <w:szCs w:val="28"/>
                <w:lang w:val="ro-RO"/>
              </w:rPr>
              <w:t>La pct. 1 este indicat că, se transmit, cu titlu gratuit, cu acordul Consiliului raional Cantemir, din proprietatea publică a statului (administrarea Ministerului Educației, Culturii și Cercetării) bunurile imobile din gestiunea Școlii Profesionale din or. Leova, str. Independenței 60. În acest sens, menționăm că, terenul cu numărul cadastral 2101102.294 cu suprafața de 1,3 ha, de la pct. 1 sbp. 1) din proiectul hotărîrii Guvernului, nu este indicat la poziția 111, în Anexa nr. 22</w:t>
            </w:r>
            <w:r>
              <w:rPr>
                <w:sz w:val="28"/>
                <w:szCs w:val="28"/>
                <w:vertAlign w:val="superscript"/>
                <w:lang w:val="ro-RO"/>
              </w:rPr>
              <w:t>12</w:t>
            </w:r>
            <w:r>
              <w:rPr>
                <w:sz w:val="28"/>
                <w:szCs w:val="28"/>
                <w:lang w:val="ro-RO"/>
              </w:rPr>
              <w:t xml:space="preserve"> la Hotărîrea Guvernului nr. 351 din 23 martie 2005 cu privire la aprobarea listei bunurilor imobile proprietate publică a statului și la transmiterea unor bunuri imobile, ca bun imobil care este gestionat de Școala Profesională din or. Leova. În Decizia Consiliului raional Cantemir nr. 02/06-XXVI din 24 martie 2016 la pct. 2, este indicat că, se acceptă luarea bunurilor imobile și terenul aferent a Școlii Profesionale din or. Leova, la balanța Consiliului raional Cantemir, amplasat în or. Cantemir, str. Ștefan-Vodă nr.14, nr. cadastral 21010002.294. Prin urmare, propunem ca pct. 1 din proiectul hotărîrii Guvernului să fie revizuit în contextul Deciziei prenotate, astfel încît din conținutul acestuia să rezulte că, se transmite inclusiv terenul indicat la sbp.1).</w:t>
            </w:r>
          </w:p>
        </w:tc>
        <w:tc>
          <w:tcPr>
            <w:tcW w:w="2070" w:type="dxa"/>
            <w:shd w:val="clear" w:color="auto" w:fill="auto"/>
          </w:tcPr>
          <w:p w:rsidR="003B7525" w:rsidRPr="001F7AFA" w:rsidRDefault="003B7525" w:rsidP="00CE2D2B">
            <w:pPr>
              <w:jc w:val="both"/>
              <w:rPr>
                <w:sz w:val="28"/>
                <w:szCs w:val="28"/>
                <w:lang w:val="ro-RO"/>
              </w:rPr>
            </w:pPr>
            <w:r w:rsidRPr="001F7AFA">
              <w:rPr>
                <w:sz w:val="28"/>
                <w:szCs w:val="28"/>
                <w:lang w:val="ro-RO"/>
              </w:rPr>
              <w:t>Se acceptă.</w:t>
            </w:r>
          </w:p>
          <w:p w:rsidR="003B7525" w:rsidRPr="001F7AFA" w:rsidRDefault="003B7525" w:rsidP="001F7AFA">
            <w:pPr>
              <w:jc w:val="both"/>
              <w:rPr>
                <w:sz w:val="28"/>
                <w:szCs w:val="28"/>
                <w:lang w:val="ro-RO"/>
              </w:rPr>
            </w:pPr>
          </w:p>
        </w:tc>
      </w:tr>
      <w:tr w:rsidR="003B7525" w:rsidRPr="00E45C73" w:rsidTr="00B81DE9">
        <w:tc>
          <w:tcPr>
            <w:tcW w:w="540" w:type="dxa"/>
            <w:vMerge/>
            <w:shd w:val="clear" w:color="auto" w:fill="auto"/>
          </w:tcPr>
          <w:p w:rsidR="003B7525" w:rsidRDefault="003B7525" w:rsidP="001F7AFA">
            <w:pPr>
              <w:jc w:val="center"/>
              <w:rPr>
                <w:sz w:val="28"/>
                <w:szCs w:val="28"/>
                <w:lang w:val="ro-RO"/>
              </w:rPr>
            </w:pPr>
          </w:p>
        </w:tc>
        <w:tc>
          <w:tcPr>
            <w:tcW w:w="1530" w:type="dxa"/>
            <w:vMerge/>
            <w:shd w:val="clear" w:color="auto" w:fill="auto"/>
          </w:tcPr>
          <w:p w:rsidR="003B7525" w:rsidRDefault="003B7525" w:rsidP="001F7AFA">
            <w:pPr>
              <w:rPr>
                <w:sz w:val="28"/>
                <w:szCs w:val="28"/>
                <w:lang w:val="ro-RO"/>
              </w:rPr>
            </w:pPr>
          </w:p>
        </w:tc>
        <w:tc>
          <w:tcPr>
            <w:tcW w:w="6480" w:type="dxa"/>
            <w:shd w:val="clear" w:color="auto" w:fill="auto"/>
          </w:tcPr>
          <w:p w:rsidR="003B7525" w:rsidRPr="00CE2D2B" w:rsidRDefault="003B7525" w:rsidP="00CE2D2B">
            <w:pPr>
              <w:rPr>
                <w:sz w:val="28"/>
                <w:szCs w:val="28"/>
                <w:lang w:val="ro-RO"/>
              </w:rPr>
            </w:pPr>
            <w:r>
              <w:rPr>
                <w:sz w:val="28"/>
                <w:szCs w:val="28"/>
                <w:lang w:val="ro-RO"/>
              </w:rPr>
              <w:t xml:space="preserve">În proiectul hotărîrii Guvernului la pct. 1 sbp. 2) este indicat că, construcția cu numărul cadastral </w:t>
            </w:r>
            <w:r>
              <w:rPr>
                <w:sz w:val="28"/>
                <w:szCs w:val="28"/>
                <w:lang w:val="ro-RO"/>
              </w:rPr>
              <w:lastRenderedPageBreak/>
              <w:t>2101102.294.01 are suprafața de 1065,1 m</w:t>
            </w:r>
            <w:r>
              <w:rPr>
                <w:sz w:val="28"/>
                <w:szCs w:val="28"/>
                <w:vertAlign w:val="superscript"/>
                <w:lang w:val="ro-RO"/>
              </w:rPr>
              <w:t>2</w:t>
            </w:r>
            <w:r w:rsidR="00B81DE9">
              <w:rPr>
                <w:sz w:val="28"/>
                <w:szCs w:val="28"/>
                <w:lang w:val="ro-RO"/>
              </w:rPr>
              <w:t>. Menționă</w:t>
            </w:r>
            <w:r>
              <w:rPr>
                <w:sz w:val="28"/>
                <w:szCs w:val="28"/>
                <w:lang w:val="ro-RO"/>
              </w:rPr>
              <w:t>m că, la poziția 111, în Anexa nr. 22</w:t>
            </w:r>
            <w:r>
              <w:rPr>
                <w:sz w:val="28"/>
                <w:szCs w:val="28"/>
                <w:vertAlign w:val="superscript"/>
                <w:lang w:val="ro-RO"/>
              </w:rPr>
              <w:t>12</w:t>
            </w:r>
            <w:r>
              <w:rPr>
                <w:sz w:val="28"/>
                <w:szCs w:val="28"/>
                <w:lang w:val="ro-RO"/>
              </w:rPr>
              <w:t xml:space="preserve"> la Hotărîrea Guvernului nr. 351 din 23 martie 2005 suprafața încăperii este de 1065 m</w:t>
            </w:r>
            <w:r>
              <w:rPr>
                <w:sz w:val="28"/>
                <w:szCs w:val="28"/>
                <w:vertAlign w:val="superscript"/>
                <w:lang w:val="ro-RO"/>
              </w:rPr>
              <w:t>2</w:t>
            </w:r>
            <w:r>
              <w:rPr>
                <w:sz w:val="28"/>
                <w:szCs w:val="28"/>
                <w:lang w:val="ro-RO"/>
              </w:rPr>
              <w:t>. Prin urmare, propunem revizuirea sbp. 2) din proiectul hotărîri Guvernului în partea ce ține de suprafața construcției, potrivit înscrierilor din registrul bunurilor imobile.</w:t>
            </w:r>
          </w:p>
        </w:tc>
        <w:tc>
          <w:tcPr>
            <w:tcW w:w="2070" w:type="dxa"/>
            <w:shd w:val="clear" w:color="auto" w:fill="auto"/>
          </w:tcPr>
          <w:p w:rsidR="003B7525" w:rsidRPr="00CE2D2B" w:rsidRDefault="00811D79" w:rsidP="00E45C73">
            <w:pPr>
              <w:rPr>
                <w:sz w:val="28"/>
                <w:szCs w:val="28"/>
                <w:lang w:val="ro-RO"/>
              </w:rPr>
            </w:pPr>
            <w:r>
              <w:rPr>
                <w:sz w:val="28"/>
                <w:szCs w:val="28"/>
                <w:lang w:val="ro-RO"/>
              </w:rPr>
              <w:lastRenderedPageBreak/>
              <w:t xml:space="preserve">Avînd în vedere faptul, că la </w:t>
            </w:r>
            <w:r>
              <w:rPr>
                <w:sz w:val="28"/>
                <w:szCs w:val="28"/>
                <w:lang w:val="ro-RO"/>
              </w:rPr>
              <w:lastRenderedPageBreak/>
              <w:t>modificarea anexei 22</w:t>
            </w:r>
            <w:r>
              <w:rPr>
                <w:sz w:val="28"/>
                <w:szCs w:val="28"/>
                <w:vertAlign w:val="superscript"/>
                <w:lang w:val="ro-RO"/>
              </w:rPr>
              <w:t>12</w:t>
            </w:r>
            <w:r>
              <w:rPr>
                <w:sz w:val="28"/>
                <w:szCs w:val="28"/>
                <w:lang w:val="ro-RO"/>
              </w:rPr>
              <w:t xml:space="preserve"> la Hotărîrea Guvernului nr. 351 din 23 martie 2005 </w:t>
            </w:r>
            <w:r w:rsidR="00E45C73">
              <w:rPr>
                <w:sz w:val="28"/>
                <w:szCs w:val="28"/>
                <w:lang w:val="ro-RO"/>
              </w:rPr>
              <w:t>au fost comise</w:t>
            </w:r>
            <w:bookmarkStart w:id="0" w:name="_GoBack"/>
            <w:bookmarkEnd w:id="0"/>
            <w:r>
              <w:rPr>
                <w:sz w:val="28"/>
                <w:szCs w:val="28"/>
                <w:lang w:val="ro-RO"/>
              </w:rPr>
              <w:t xml:space="preserve"> unele erori tehnice, notăm că numărul indicat </w:t>
            </w:r>
            <w:r w:rsidR="00B81DE9">
              <w:rPr>
                <w:sz w:val="28"/>
                <w:szCs w:val="28"/>
                <w:lang w:val="ro-RO"/>
              </w:rPr>
              <w:t>conform</w:t>
            </w:r>
            <w:r>
              <w:rPr>
                <w:sz w:val="28"/>
                <w:szCs w:val="28"/>
                <w:lang w:val="ro-RO"/>
              </w:rPr>
              <w:t xml:space="preserve"> </w:t>
            </w:r>
            <w:r w:rsidR="003B7525">
              <w:rPr>
                <w:sz w:val="28"/>
                <w:szCs w:val="28"/>
                <w:lang w:val="ro-RO"/>
              </w:rPr>
              <w:t>registrul</w:t>
            </w:r>
            <w:r w:rsidR="00B81DE9">
              <w:rPr>
                <w:sz w:val="28"/>
                <w:szCs w:val="28"/>
                <w:lang w:val="ro-RO"/>
              </w:rPr>
              <w:t>ui</w:t>
            </w:r>
            <w:r w:rsidR="003B7525">
              <w:rPr>
                <w:sz w:val="28"/>
                <w:szCs w:val="28"/>
                <w:lang w:val="ro-RO"/>
              </w:rPr>
              <w:t xml:space="preserve"> bunurilor imobile, </w:t>
            </w:r>
            <w:r>
              <w:rPr>
                <w:sz w:val="28"/>
                <w:szCs w:val="28"/>
                <w:lang w:val="ro-RO"/>
              </w:rPr>
              <w:t>urmează a fi considerat unul corect</w:t>
            </w:r>
            <w:r w:rsidR="00B81DE9">
              <w:rPr>
                <w:sz w:val="28"/>
                <w:szCs w:val="28"/>
                <w:lang w:val="ro-RO"/>
              </w:rPr>
              <w:t xml:space="preserve"> 1065,1 m</w:t>
            </w:r>
            <w:r w:rsidR="00B81DE9">
              <w:rPr>
                <w:sz w:val="28"/>
                <w:szCs w:val="28"/>
                <w:vertAlign w:val="superscript"/>
                <w:lang w:val="ro-RO"/>
              </w:rPr>
              <w:t>2</w:t>
            </w:r>
            <w:r>
              <w:rPr>
                <w:sz w:val="28"/>
                <w:szCs w:val="28"/>
                <w:lang w:val="ro-RO"/>
              </w:rPr>
              <w:t>.</w:t>
            </w:r>
          </w:p>
        </w:tc>
      </w:tr>
      <w:tr w:rsidR="003B7525" w:rsidRPr="006C3640" w:rsidTr="00B81DE9">
        <w:tc>
          <w:tcPr>
            <w:tcW w:w="540" w:type="dxa"/>
            <w:vMerge/>
            <w:shd w:val="clear" w:color="auto" w:fill="auto"/>
          </w:tcPr>
          <w:p w:rsidR="003B7525" w:rsidRDefault="003B7525" w:rsidP="009C6E72">
            <w:pPr>
              <w:jc w:val="center"/>
              <w:rPr>
                <w:sz w:val="28"/>
                <w:szCs w:val="28"/>
                <w:lang w:val="ro-RO"/>
              </w:rPr>
            </w:pPr>
          </w:p>
        </w:tc>
        <w:tc>
          <w:tcPr>
            <w:tcW w:w="1530" w:type="dxa"/>
            <w:vMerge/>
            <w:shd w:val="clear" w:color="auto" w:fill="auto"/>
          </w:tcPr>
          <w:p w:rsidR="003B7525" w:rsidRDefault="003B7525" w:rsidP="009C6E72">
            <w:pPr>
              <w:rPr>
                <w:sz w:val="28"/>
                <w:szCs w:val="28"/>
                <w:lang w:val="ro-RO"/>
              </w:rPr>
            </w:pPr>
          </w:p>
        </w:tc>
        <w:tc>
          <w:tcPr>
            <w:tcW w:w="6480" w:type="dxa"/>
            <w:shd w:val="clear" w:color="auto" w:fill="auto"/>
          </w:tcPr>
          <w:p w:rsidR="003B7525" w:rsidRDefault="003B7525" w:rsidP="00F50D40">
            <w:pPr>
              <w:rPr>
                <w:sz w:val="28"/>
                <w:szCs w:val="28"/>
                <w:lang w:val="ro-RO"/>
              </w:rPr>
            </w:pPr>
            <w:r>
              <w:rPr>
                <w:sz w:val="28"/>
                <w:szCs w:val="28"/>
                <w:lang w:val="ro-RO"/>
              </w:rPr>
              <w:t xml:space="preserve">La pct. 3 referința la Agenția Relații Funciare și Cadasatru se va substitui cu referința la Agenția Servicii publice, care, potrivit pct. 7 sbp. 3) din Statutul său (Anexa nr.1 la Hotărîrea Guvernului nr. 314 din 22 mai 2017 privind constituirea Agenției Servicii Publice) are competență de creare și ținere a cadastrului bunurilor imobile, altor sisteme informaționale și registre de domeniu, executare a lucrărilor cadastrale și celor de evaluare a bunurilor imobile, administrare a băncii centrale de date a cadastrului bunurilor imobile, efectuate a înregistrărilor de stat ale bunurilor imobile și ale drepturilor asupra acestora. Totodată, cuvintele „în vigoare” de la pct. 3 urmează a fi expuse ca fiind </w:t>
            </w:r>
            <w:r w:rsidR="00F50D40">
              <w:rPr>
                <w:sz w:val="28"/>
                <w:szCs w:val="28"/>
                <w:lang w:val="ro-RO"/>
              </w:rPr>
              <w:t>i</w:t>
            </w:r>
            <w:r>
              <w:rPr>
                <w:sz w:val="28"/>
                <w:szCs w:val="28"/>
                <w:lang w:val="ro-RO"/>
              </w:rPr>
              <w:t>n</w:t>
            </w:r>
            <w:r w:rsidR="00F50D40">
              <w:rPr>
                <w:sz w:val="28"/>
                <w:szCs w:val="28"/>
                <w:lang w:val="ro-RO"/>
              </w:rPr>
              <w:t>u</w:t>
            </w:r>
            <w:r>
              <w:rPr>
                <w:sz w:val="28"/>
                <w:szCs w:val="28"/>
                <w:lang w:val="ro-RO"/>
              </w:rPr>
              <w:t xml:space="preserve">tile. </w:t>
            </w:r>
          </w:p>
        </w:tc>
        <w:tc>
          <w:tcPr>
            <w:tcW w:w="2070" w:type="dxa"/>
            <w:shd w:val="clear" w:color="auto" w:fill="auto"/>
          </w:tcPr>
          <w:p w:rsidR="003B7525" w:rsidRPr="001F7AFA" w:rsidRDefault="003B7525" w:rsidP="009C6E72">
            <w:pPr>
              <w:jc w:val="both"/>
              <w:rPr>
                <w:sz w:val="28"/>
                <w:szCs w:val="28"/>
                <w:lang w:val="ro-RO"/>
              </w:rPr>
            </w:pPr>
            <w:r w:rsidRPr="001F7AFA">
              <w:rPr>
                <w:sz w:val="28"/>
                <w:szCs w:val="28"/>
                <w:lang w:val="ro-RO"/>
              </w:rPr>
              <w:t>Se acceptă.</w:t>
            </w:r>
          </w:p>
          <w:p w:rsidR="003B7525" w:rsidRPr="001F7AFA" w:rsidRDefault="003B7525" w:rsidP="009C6E72">
            <w:pPr>
              <w:jc w:val="both"/>
              <w:rPr>
                <w:sz w:val="28"/>
                <w:szCs w:val="28"/>
                <w:lang w:val="ro-RO"/>
              </w:rPr>
            </w:pPr>
          </w:p>
        </w:tc>
      </w:tr>
    </w:tbl>
    <w:p w:rsidR="00FA46F9" w:rsidRPr="001F7AFA" w:rsidRDefault="00FA46F9" w:rsidP="00FA46F9">
      <w:pPr>
        <w:jc w:val="both"/>
        <w:rPr>
          <w:sz w:val="28"/>
          <w:szCs w:val="28"/>
          <w:lang w:val="ro-RO"/>
        </w:rPr>
      </w:pPr>
    </w:p>
    <w:p w:rsidR="00612DE0" w:rsidRPr="001F7AFA" w:rsidRDefault="00612DE0" w:rsidP="00FA46F9">
      <w:pPr>
        <w:jc w:val="both"/>
        <w:rPr>
          <w:b/>
          <w:sz w:val="28"/>
          <w:szCs w:val="28"/>
          <w:lang w:val="ro-RO"/>
        </w:rPr>
      </w:pPr>
    </w:p>
    <w:p w:rsidR="00845C0D" w:rsidRPr="001F7AFA" w:rsidRDefault="00612DE0" w:rsidP="00DB49EB">
      <w:pPr>
        <w:jc w:val="both"/>
        <w:rPr>
          <w:b/>
          <w:sz w:val="28"/>
          <w:szCs w:val="28"/>
          <w:lang w:val="ro-RO"/>
        </w:rPr>
      </w:pPr>
      <w:r w:rsidRPr="001F7AFA">
        <w:rPr>
          <w:b/>
          <w:sz w:val="28"/>
          <w:szCs w:val="28"/>
          <w:lang w:val="ro-RO"/>
        </w:rPr>
        <w:t xml:space="preserve">    </w:t>
      </w:r>
      <w:r w:rsidR="00FA46F9" w:rsidRPr="001F7AFA">
        <w:rPr>
          <w:b/>
          <w:sz w:val="28"/>
          <w:szCs w:val="28"/>
          <w:lang w:val="ro-RO"/>
        </w:rPr>
        <w:t xml:space="preserve">     </w:t>
      </w:r>
      <w:r w:rsidR="006018EC" w:rsidRPr="001F7AFA">
        <w:rPr>
          <w:b/>
          <w:sz w:val="28"/>
          <w:szCs w:val="28"/>
          <w:lang w:val="ro-RO"/>
        </w:rPr>
        <w:t xml:space="preserve">              </w:t>
      </w:r>
      <w:r w:rsidR="00FA46F9" w:rsidRPr="001F7AFA">
        <w:rPr>
          <w:b/>
          <w:sz w:val="28"/>
          <w:szCs w:val="28"/>
          <w:lang w:val="ro-RO"/>
        </w:rPr>
        <w:t xml:space="preserve">   </w:t>
      </w:r>
      <w:r w:rsidR="00845C0D" w:rsidRPr="001F7AFA">
        <w:rPr>
          <w:b/>
          <w:sz w:val="28"/>
          <w:szCs w:val="28"/>
          <w:lang w:val="ro-RO"/>
        </w:rPr>
        <w:t xml:space="preserve">                        </w:t>
      </w:r>
    </w:p>
    <w:p w:rsidR="00452F38" w:rsidRPr="001F7AFA" w:rsidRDefault="00845C0D" w:rsidP="00DB49EB">
      <w:pPr>
        <w:jc w:val="both"/>
        <w:rPr>
          <w:sz w:val="28"/>
          <w:szCs w:val="28"/>
        </w:rPr>
      </w:pPr>
      <w:r w:rsidRPr="001F7AFA">
        <w:rPr>
          <w:b/>
          <w:sz w:val="28"/>
          <w:szCs w:val="28"/>
          <w:lang w:val="ro-RO"/>
        </w:rPr>
        <w:t xml:space="preserve">                                 </w:t>
      </w:r>
      <w:r w:rsidR="00F608A0">
        <w:rPr>
          <w:b/>
          <w:sz w:val="28"/>
          <w:szCs w:val="28"/>
          <w:lang w:val="ro-RO"/>
        </w:rPr>
        <w:t>M</w:t>
      </w:r>
      <w:r w:rsidR="00FA46F9" w:rsidRPr="001F7AFA">
        <w:rPr>
          <w:b/>
          <w:sz w:val="28"/>
          <w:szCs w:val="28"/>
          <w:lang w:val="ro-RO"/>
        </w:rPr>
        <w:t xml:space="preserve">inistru                                                  </w:t>
      </w:r>
      <w:r w:rsidR="00F608A0">
        <w:rPr>
          <w:b/>
          <w:sz w:val="28"/>
          <w:szCs w:val="28"/>
          <w:lang w:val="ro-RO"/>
        </w:rPr>
        <w:t>Monica BABUC</w:t>
      </w:r>
    </w:p>
    <w:sectPr w:rsidR="00452F38" w:rsidRPr="001F7AFA" w:rsidSect="00B81DE9">
      <w:headerReference w:type="even" r:id="rId8"/>
      <w:headerReference w:type="default" r:id="rId9"/>
      <w:footerReference w:type="even" r:id="rId10"/>
      <w:footerReference w:type="default" r:id="rId11"/>
      <w:headerReference w:type="first" r:id="rId12"/>
      <w:footerReference w:type="first" r:id="rId13"/>
      <w:pgSz w:w="12240" w:h="15840"/>
      <w:pgMar w:top="360" w:right="1440" w:bottom="27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787" w:rsidRDefault="000B0787" w:rsidP="00A76ABF">
      <w:r>
        <w:separator/>
      </w:r>
    </w:p>
  </w:endnote>
  <w:endnote w:type="continuationSeparator" w:id="0">
    <w:p w:rsidR="000B0787" w:rsidRDefault="000B0787" w:rsidP="00A7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ABF" w:rsidRDefault="00A76AB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575186"/>
      <w:docPartObj>
        <w:docPartGallery w:val="Page Numbers (Bottom of Page)"/>
        <w:docPartUnique/>
      </w:docPartObj>
    </w:sdtPr>
    <w:sdtEndPr/>
    <w:sdtContent>
      <w:p w:rsidR="00A76ABF" w:rsidRDefault="00A76ABF">
        <w:pPr>
          <w:pStyle w:val="a7"/>
          <w:jc w:val="right"/>
        </w:pPr>
        <w:r>
          <w:fldChar w:fldCharType="begin"/>
        </w:r>
        <w:r>
          <w:instrText>PAGE   \* MERGEFORMAT</w:instrText>
        </w:r>
        <w:r>
          <w:fldChar w:fldCharType="separate"/>
        </w:r>
        <w:r w:rsidR="00656138">
          <w:rPr>
            <w:noProof/>
          </w:rPr>
          <w:t>2</w:t>
        </w:r>
        <w:r>
          <w:fldChar w:fldCharType="end"/>
        </w:r>
      </w:p>
    </w:sdtContent>
  </w:sdt>
  <w:p w:rsidR="00A76ABF" w:rsidRDefault="00A76AB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ABF" w:rsidRDefault="00A76AB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787" w:rsidRDefault="000B0787" w:rsidP="00A76ABF">
      <w:r>
        <w:separator/>
      </w:r>
    </w:p>
  </w:footnote>
  <w:footnote w:type="continuationSeparator" w:id="0">
    <w:p w:rsidR="000B0787" w:rsidRDefault="000B0787" w:rsidP="00A76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ABF" w:rsidRDefault="00A76AB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ABF" w:rsidRDefault="00A76AB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ABF" w:rsidRDefault="00A76AB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0A0897"/>
    <w:multiLevelType w:val="hybridMultilevel"/>
    <w:tmpl w:val="7C44C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F9"/>
    <w:rsid w:val="000B0787"/>
    <w:rsid w:val="0013792D"/>
    <w:rsid w:val="00160539"/>
    <w:rsid w:val="001B4868"/>
    <w:rsid w:val="001C1828"/>
    <w:rsid w:val="001D25DC"/>
    <w:rsid w:val="001F7AFA"/>
    <w:rsid w:val="002125C4"/>
    <w:rsid w:val="00290322"/>
    <w:rsid w:val="00297091"/>
    <w:rsid w:val="002F6049"/>
    <w:rsid w:val="003379E2"/>
    <w:rsid w:val="00370F57"/>
    <w:rsid w:val="003919B2"/>
    <w:rsid w:val="00397258"/>
    <w:rsid w:val="003B7525"/>
    <w:rsid w:val="003D34A9"/>
    <w:rsid w:val="00450520"/>
    <w:rsid w:val="004639B1"/>
    <w:rsid w:val="0047250C"/>
    <w:rsid w:val="00490827"/>
    <w:rsid w:val="004A293D"/>
    <w:rsid w:val="004B26E6"/>
    <w:rsid w:val="005B62B6"/>
    <w:rsid w:val="006018EC"/>
    <w:rsid w:val="00612DE0"/>
    <w:rsid w:val="00615525"/>
    <w:rsid w:val="00656138"/>
    <w:rsid w:val="00681405"/>
    <w:rsid w:val="006C3640"/>
    <w:rsid w:val="006D43F3"/>
    <w:rsid w:val="007B4E21"/>
    <w:rsid w:val="007E2C1A"/>
    <w:rsid w:val="00811D79"/>
    <w:rsid w:val="0084109A"/>
    <w:rsid w:val="00845C0D"/>
    <w:rsid w:val="00852267"/>
    <w:rsid w:val="00876ECC"/>
    <w:rsid w:val="008D13D5"/>
    <w:rsid w:val="008E51A0"/>
    <w:rsid w:val="008E5AFD"/>
    <w:rsid w:val="008F33B0"/>
    <w:rsid w:val="00940C37"/>
    <w:rsid w:val="009432EB"/>
    <w:rsid w:val="00947484"/>
    <w:rsid w:val="00963257"/>
    <w:rsid w:val="009B3234"/>
    <w:rsid w:val="009C6E72"/>
    <w:rsid w:val="009E106E"/>
    <w:rsid w:val="00A13E6D"/>
    <w:rsid w:val="00A76ABF"/>
    <w:rsid w:val="00AF243F"/>
    <w:rsid w:val="00B005A3"/>
    <w:rsid w:val="00B81DE9"/>
    <w:rsid w:val="00BF6C7D"/>
    <w:rsid w:val="00C1327C"/>
    <w:rsid w:val="00C37AD8"/>
    <w:rsid w:val="00C659B9"/>
    <w:rsid w:val="00C92904"/>
    <w:rsid w:val="00CE1989"/>
    <w:rsid w:val="00CE2D2B"/>
    <w:rsid w:val="00D81695"/>
    <w:rsid w:val="00DB49EB"/>
    <w:rsid w:val="00E1076F"/>
    <w:rsid w:val="00E300DE"/>
    <w:rsid w:val="00E40337"/>
    <w:rsid w:val="00E45C73"/>
    <w:rsid w:val="00E50941"/>
    <w:rsid w:val="00EC22F4"/>
    <w:rsid w:val="00F444ED"/>
    <w:rsid w:val="00F50D40"/>
    <w:rsid w:val="00F608A0"/>
    <w:rsid w:val="00FA4044"/>
    <w:rsid w:val="00FA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7D8293-C692-4896-BB0D-91CBF6E0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F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2B6"/>
    <w:rPr>
      <w:rFonts w:ascii="Segoe UI" w:hAnsi="Segoe UI" w:cs="Segoe UI"/>
      <w:sz w:val="18"/>
      <w:szCs w:val="18"/>
    </w:rPr>
  </w:style>
  <w:style w:type="character" w:customStyle="1" w:styleId="a4">
    <w:name w:val="Текст выноски Знак"/>
    <w:basedOn w:val="a0"/>
    <w:link w:val="a3"/>
    <w:uiPriority w:val="99"/>
    <w:semiHidden/>
    <w:rsid w:val="005B62B6"/>
    <w:rPr>
      <w:rFonts w:ascii="Segoe UI" w:eastAsia="Times New Roman" w:hAnsi="Segoe UI" w:cs="Segoe UI"/>
      <w:sz w:val="18"/>
      <w:szCs w:val="18"/>
      <w:lang w:val="ru-RU" w:eastAsia="ru-RU"/>
    </w:rPr>
  </w:style>
  <w:style w:type="paragraph" w:styleId="a5">
    <w:name w:val="header"/>
    <w:basedOn w:val="a"/>
    <w:link w:val="a6"/>
    <w:uiPriority w:val="99"/>
    <w:unhideWhenUsed/>
    <w:rsid w:val="00A76ABF"/>
    <w:pPr>
      <w:tabs>
        <w:tab w:val="center" w:pos="4677"/>
        <w:tab w:val="right" w:pos="9355"/>
      </w:tabs>
    </w:pPr>
  </w:style>
  <w:style w:type="character" w:customStyle="1" w:styleId="a6">
    <w:name w:val="Верхний колонтитул Знак"/>
    <w:basedOn w:val="a0"/>
    <w:link w:val="a5"/>
    <w:uiPriority w:val="99"/>
    <w:rsid w:val="00A76ABF"/>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A76ABF"/>
    <w:pPr>
      <w:tabs>
        <w:tab w:val="center" w:pos="4677"/>
        <w:tab w:val="right" w:pos="9355"/>
      </w:tabs>
    </w:pPr>
  </w:style>
  <w:style w:type="character" w:customStyle="1" w:styleId="a8">
    <w:name w:val="Нижний колонтитул Знак"/>
    <w:basedOn w:val="a0"/>
    <w:link w:val="a7"/>
    <w:uiPriority w:val="99"/>
    <w:rsid w:val="00A76ABF"/>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305ED-E328-4103-BA71-DE32DEA3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3</Pages>
  <Words>825</Words>
  <Characters>4707</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Stog</dc:creator>
  <cp:lastModifiedBy>Irina Stog</cp:lastModifiedBy>
  <cp:revision>35</cp:revision>
  <cp:lastPrinted>2017-10-09T11:30:00Z</cp:lastPrinted>
  <dcterms:created xsi:type="dcterms:W3CDTF">2016-02-19T13:37:00Z</dcterms:created>
  <dcterms:modified xsi:type="dcterms:W3CDTF">2017-10-09T12:05:00Z</dcterms:modified>
</cp:coreProperties>
</file>