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i/>
          <w:sz w:val="26"/>
          <w:szCs w:val="26"/>
          <w:lang w:val="ro-MO"/>
        </w:rPr>
        <w:t>la proiectul hotărârii Guvernului „Cu privire la aprobarea proiectului de lege pentru modificarea unor acte legislative”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E04F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E04FC4" w:rsidTr="002C3455">
        <w:tc>
          <w:tcPr>
            <w:tcW w:w="9360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etapa de reformare a administrației publice a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fost aprobarea de către Parlament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FF73E2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acest context, </w:t>
            </w:r>
            <w:r w:rsidR="00F746E1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potrivit pct.6 subpct.8) din Regulamentul cu privire la organizarea și funcționarea Ministerului Afaceri</w:t>
            </w:r>
            <w:r w:rsidR="00A55156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lor Interne, aprobat prin Hotărâ</w:t>
            </w:r>
            <w:r w:rsidR="00F746E1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rea Guvernului nr.693/2017, acest minister asigură realizarea politicii guvernamentale în domeniul rezervelor materiale de stat și de mobilizare.</w:t>
            </w:r>
          </w:p>
          <w:p w:rsidR="00E34950" w:rsidRDefault="00A65E11" w:rsidP="00F066F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Totodată, în contextul reformei, precum și pentru asigurarea unui nivel sporit de siguranță și protecție a populației pe întreg teritoriul Republicii Moldova, prin intermediul utilizării eficiente a capacităților infrastructurii moderne a comunicațiilor electronice și asigurarea serviciilor specializate de urgență cu informațiile necesare pentru reacția promptă și adecvată se </w:t>
            </w:r>
            <w:r w:rsidR="0056337A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propune </w:t>
            </w:r>
            <w:r w:rsidR="002D43A4" w:rsidRPr="00036DDF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modificarea </w:t>
            </w:r>
            <w:r w:rsidR="0056337A" w:rsidRPr="00036DDF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reglementă</w:t>
            </w:r>
            <w:r w:rsidR="002D43A4" w:rsidRPr="00036DDF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rilor legale ce țin de</w:t>
            </w:r>
            <w:r w:rsidR="002D43A4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organizarea şi funcționarea Serviciului național unic pentru apelurile de urgență 112.</w:t>
            </w:r>
          </w:p>
          <w:p w:rsidR="00F066F5" w:rsidRPr="00F066F5" w:rsidRDefault="00F066F5" w:rsidP="00F066F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E04F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E04FC4" w:rsidTr="002C3455">
        <w:tc>
          <w:tcPr>
            <w:tcW w:w="9360" w:type="dxa"/>
            <w:shd w:val="clear" w:color="auto" w:fill="auto"/>
          </w:tcPr>
          <w:p w:rsidR="00E34950" w:rsidRPr="00AA73C4" w:rsidRDefault="00E34950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Conform recentei restructurări a administrației publice centrale de specialitate, realizarea/elaborarea politicii de stat </w:t>
            </w: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în domeniul rezervelor materiale de stat și de mobilizare</w:t>
            </w: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și a politicii în domeniul gestionării crizelor și situațiilor de urgență intră în competența Ministerului Afacerilor Interne.  </w:t>
            </w:r>
          </w:p>
          <w:p w:rsidR="00FC56E5" w:rsidRPr="00AA73C4" w:rsidRDefault="00FC56E5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Astfel, modificările propuse în proiect vizează actele legislative care reglementează statutul juridic al Agenției Rezerve Materiale și al Serviciului 112 și au ca obiectiv crearea cadrul normativ necesar </w:t>
            </w:r>
            <w:r w:rsidR="006B333B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pentru </w:t>
            </w: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transferarea acestor entități în sfera de competență a Ministerului Afacerilor Interne.</w:t>
            </w:r>
            <w:r w:rsidR="00E34950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AA73C4" w:rsidRPr="00AA73C4" w:rsidRDefault="00251C46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Potrivit  Legii nr.98/2012 privind administrația publică centrală de specialitate, unul din principiile fundamentale de organizare și funcționare a administrației publice centrale de specialitate este </w:t>
            </w:r>
            <w:r w:rsidRPr="00AA73C4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delimitarea funcțiilor de elaborare și de promovarea a politicilor</w:t>
            </w: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</w:t>
            </w:r>
            <w:r w:rsidRPr="00AA73C4">
              <w:rPr>
                <w:rFonts w:ascii="Times New Roman" w:hAnsi="Times New Roman" w:cs="Times New Roman"/>
                <w:sz w:val="26"/>
                <w:szCs w:val="26"/>
                <w:u w:val="single"/>
                <w:lang w:val="ro-MO"/>
              </w:rPr>
              <w:t>funcțiile de implementare a politicilor</w:t>
            </w:r>
            <w:r w:rsidR="00AA73C4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AA73C4" w:rsidRDefault="00980FBE" w:rsidP="00A9028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980FB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Prin urmare, în domeniul rezervelor materiale de stat și de mobilizare, Ministerul Afacerilor Interne este organul central de specialitate abilitat cu funcția de elaborare și promovare a politicii, iar Agenția Rezerve Materiale ca autoritate administrativă în subordinea ministerului, va fi abilitată cu funcția de implementare acestor politici.</w:t>
            </w:r>
          </w:p>
          <w:p w:rsidR="00036DDF" w:rsidRDefault="00250952" w:rsidP="00250952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Prin modificările la Legea nr.589/1995 privind rezervele materiale de stat și de mobilizare, se propune util</w:t>
            </w:r>
            <w:r w:rsidR="00F066F5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izarea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noțiunii generice de </w:t>
            </w:r>
            <w:r w:rsidRPr="00992E4C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,,</w:t>
            </w:r>
            <w:r w:rsidRPr="00992E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autoritate responsabilă de implementarea politicilor în domeniul rezervelor materiale de stat</w:t>
            </w:r>
            <w:r w:rsidR="00E04F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și de mobilizare” și stabilirea</w:t>
            </w:r>
            <w:r w:rsidRPr="00992E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competenței Guvernului de a desemna această autoritate,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evitând indicarea</w:t>
            </w:r>
            <w:r w:rsidRPr="00992E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expres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ă</w:t>
            </w:r>
            <w:r w:rsidRPr="00992E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a denumirii autorității responsabile de implementare.</w:t>
            </w:r>
            <w:r w:rsidRPr="00992E4C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250952" w:rsidRPr="006B7E6B" w:rsidRDefault="00250952" w:rsidP="00250952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utilizarea noțiunii generice</w:t>
            </w:r>
            <w:r w:rsidR="005F263C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of</w:t>
            </w:r>
            <w:r w:rsidR="00A864D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eră dreptul Guvernului ca să decidă asupra modului organizare și funcționare a autorităților administrației publice</w:t>
            </w:r>
            <w:r w:rsidR="00E04F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A864D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asigurând realizarea programului de guvernare pentru care Parlamentul ia acordat vot de </w:t>
            </w:r>
            <w:r w:rsidR="00A864D1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lastRenderedPageBreak/>
              <w:t>încredere.</w:t>
            </w:r>
            <w:r w:rsid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Mai mult ca </w:t>
            </w:r>
            <w:proofErr w:type="spellStart"/>
            <w:r w:rsid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atît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 în conformitate cu art.7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lit.e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) din Legea cu privire la Guvern nr.136/2017, Guvernul este împuternicit să decidă </w:t>
            </w:r>
            <w:r w:rsidRPr="006B7E6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asupra constituirii, reorganizării şi dizolvării structurilor organizaţionale din sfera de competenţă a ministerelor şi altor autorităţi admini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strative subordonate Guvernului.</w:t>
            </w:r>
          </w:p>
          <w:p w:rsidR="00D042FE" w:rsidRPr="00D042FE" w:rsidRDefault="006A114D" w:rsidP="00D042FE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context, Guvernul va asigura reorganizarea prin transformare a Agenției Rezerve Materiale din autoritate administrativă centrală în su</w:t>
            </w:r>
            <w:r w:rsidR="005E412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bordinea acestuia în autoritate</w:t>
            </w:r>
            <w:r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administrativă în subordinea Ministerului Afacerilor Interne.</w:t>
            </w:r>
          </w:p>
          <w:p w:rsidR="005B6A94" w:rsidRDefault="006B7E6B" w:rsidP="004F409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Suplimentar, ț</w:t>
            </w:r>
            <w:r w:rsidR="00A55156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inâ</w:t>
            </w:r>
            <w:r w:rsidR="00B526EF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nd cont de statutul </w:t>
            </w:r>
            <w:r w:rsidR="002D43A4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propus </w:t>
            </w:r>
            <w:r w:rsidR="00B526EF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Agenției Rezerve Materiale de autoritate administrativă în subordinea ministerului, precum și </w:t>
            </w:r>
            <w:r w:rsidR="00E611FB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de prevederile art.15 alineatul (2) din Legea nr.98/2012 privind administrația publică centrală de specialitate, care expres statuează că: ,,a</w:t>
            </w:r>
            <w:r w:rsidR="00E611FB"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utoritatea administrativă din subordinea ministerului este condusă de către </w:t>
            </w:r>
            <w:r w:rsidR="00E611FB" w:rsidRPr="00AA73C4">
              <w:rPr>
                <w:rFonts w:ascii="Times New Roman" w:hAnsi="Times New Roman"/>
                <w:i/>
                <w:sz w:val="26"/>
                <w:szCs w:val="26"/>
                <w:u w:val="single"/>
                <w:lang w:val="ro-MO"/>
              </w:rPr>
              <w:t>director</w:t>
            </w:r>
            <w:r w:rsidR="00E611FB"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” sunt necesare de operat modificări la </w:t>
            </w:r>
            <w:r w:rsidR="00E611FB" w:rsidRPr="00AA73C4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articolul 418 alineatul (2) din Codul contravențional</w:t>
            </w:r>
            <w:r w:rsidR="004F4094" w:rsidRPr="00AA73C4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 și în anexa la Legea nr.245/2008 cu privire la secretul de stat.</w:t>
            </w:r>
            <w:r w:rsidR="001C721B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 În acest context, propunem utilizarea termenul</w:t>
            </w:r>
            <w:r w:rsidR="00E04FC4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ui generic de ,,conducător al” c</w:t>
            </w:r>
            <w:r w:rsidR="001C721B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u referire la directorul Agenției Rezerve Materiale.</w:t>
            </w:r>
          </w:p>
          <w:p w:rsidR="0063059D" w:rsidRPr="00A96FDA" w:rsidRDefault="0063059D" w:rsidP="00A96FD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</w:pPr>
            <w:r w:rsidRPr="00A96FDA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De asemenea, este necesar de modificat și </w:t>
            </w:r>
            <w:r w:rsidR="006526D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anexa la </w:t>
            </w:r>
            <w:r w:rsidRPr="00A96F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Legea contenciosului administrativ nr.793/2000</w:t>
            </w:r>
            <w:r w:rsidR="00A96FDA" w:rsidRPr="00A96F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care prevede </w:t>
            </w:r>
            <w:r w:rsidR="00A96FDA" w:rsidRPr="00A96FDA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LISTA persoanelor oficiale de stat, exponente ale unui interes politic sau public deosebit, care </w:t>
            </w:r>
            <w:proofErr w:type="spellStart"/>
            <w:r w:rsidR="00A96FDA" w:rsidRPr="00A96FDA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sînt</w:t>
            </w:r>
            <w:proofErr w:type="spellEnd"/>
            <w:r w:rsidR="00A96FDA" w:rsidRPr="00A96FDA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 exceptate de la adresarea în instanţa de contencios administrativ</w:t>
            </w:r>
            <w:r w:rsidRPr="00A96F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, prin excluderea de la pct.16 a referințelor la conducerea Agenției </w:t>
            </w:r>
            <w:r w:rsidR="00A96FDA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Rezerve Materiale.</w:t>
            </w:r>
            <w:r w:rsidRPr="00A96FDA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 </w:t>
            </w:r>
            <w:r w:rsidR="00E04FC4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Acest</w:t>
            </w:r>
            <w:r w:rsidR="00E04FC4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ă modificare este necesară în contextul în care prin reorganizarea Agenției în autoritate administrativă în subordinea ministerului, conducătorul și adjunctul </w:t>
            </w:r>
            <w:r w:rsidR="00F066F5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 xml:space="preserve">conducătorului </w:t>
            </w:r>
            <w:r w:rsidR="00F066F5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vor intra în categoria funcționarilor publici de conducere (conform art.9 alin.(1) </w:t>
            </w:r>
            <w:proofErr w:type="spellStart"/>
            <w:r w:rsidR="00F066F5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lit.a</w:t>
            </w:r>
            <w:proofErr w:type="spellEnd"/>
            <w:r w:rsidR="00F066F5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) din legea nr.158/2008 cu privire la funcția publică și statutul funcționarului public).</w:t>
            </w:r>
          </w:p>
          <w:p w:rsidR="004F4094" w:rsidRPr="00D042FE" w:rsidRDefault="00DD0923" w:rsidP="00A96FD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D042FE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>Ținem să evidențiem că modificările propuse la Legea nr.</w:t>
            </w:r>
            <w:r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nr.589/1995 se rezumă doar </w:t>
            </w:r>
            <w:r w:rsidR="000D118A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la intervenții legislative minime menite să asigure </w:t>
            </w:r>
            <w:r w:rsidR="00BC0A05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legalitatea </w:t>
            </w:r>
            <w:r w:rsidR="000D118A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func</w:t>
            </w:r>
            <w:r w:rsidR="00BC0A05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ționării acestei entități conform noului statut. În acest context, </w:t>
            </w:r>
            <w:r w:rsidR="008452C9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Guvernul în conformitate cu prevederile </w:t>
            </w:r>
            <w:proofErr w:type="spellStart"/>
            <w:r w:rsidR="008452C9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art.V</w:t>
            </w:r>
            <w:r w:rsidR="001C721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</w:t>
            </w:r>
            <w:proofErr w:type="spellEnd"/>
            <w:r w:rsidR="006526D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din</w:t>
            </w:r>
            <w:r w:rsidR="008452C9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proiect,</w:t>
            </w:r>
            <w:r w:rsidR="006526D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urmează să efectueze o analiză</w:t>
            </w:r>
            <w:bookmarkStart w:id="0" w:name="_GoBack"/>
            <w:bookmarkEnd w:id="0"/>
            <w:r w:rsidR="000D118A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8452C9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domeniului rezervelor de stat și de mobilizare și să înainteze Parlamentului propuneri</w:t>
            </w:r>
            <w:r w:rsidR="00E92F49" w:rsidRPr="00D042F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conceptuale de perfecționare a mecanismelor funcționale, organizaționale și instituționale în acest domeniu.</w:t>
            </w:r>
          </w:p>
          <w:p w:rsidR="00193943" w:rsidRPr="00AA73C4" w:rsidRDefault="00CA7FB5" w:rsidP="00193943">
            <w:pPr>
              <w:pStyle w:val="NoSpacing"/>
              <w:ind w:firstLine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 w:cs="Times New Roman"/>
                <w:bCs/>
                <w:sz w:val="26"/>
                <w:szCs w:val="26"/>
                <w:lang w:val="ro-MO"/>
              </w:rPr>
              <w:t xml:space="preserve">De asemenea, prin proiectul de lege se propune și modificarea Legii nr. 174/2014 </w:t>
            </w:r>
            <w:r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cu privire la organizarea şi funcționarea Serviciului național unic pentru apelurile de urgență 112</w:t>
            </w:r>
            <w:r w:rsidR="00193943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care abilitează Guvernul cu dreptul de desemnare a administratorului Serviciului 112, prin excluderea referinței exprese </w:t>
            </w:r>
            <w:r w:rsidR="00106395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lege </w:t>
            </w:r>
            <w:r w:rsidR="00193943" w:rsidRPr="00AA73C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la </w:t>
            </w:r>
            <w:r w:rsidR="00193943"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organul central de specialitate în </w:t>
            </w:r>
            <w:r w:rsidR="00193943" w:rsidRPr="00AA73C4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domeniul tehnologiei informaţiei şi comunicaţiilor electronice</w:t>
            </w:r>
            <w:r w:rsidR="00193943" w:rsidRPr="00AA73C4">
              <w:rPr>
                <w:rFonts w:ascii="Times New Roman" w:hAnsi="Times New Roman"/>
                <w:sz w:val="26"/>
                <w:szCs w:val="26"/>
                <w:lang w:val="ro-MO"/>
              </w:rPr>
              <w:t>.</w:t>
            </w:r>
          </w:p>
          <w:p w:rsidR="004F4094" w:rsidRPr="00F066F5" w:rsidRDefault="00106395" w:rsidP="00193943">
            <w:pPr>
              <w:pStyle w:val="NoSpacing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Acest fapt, va permite Guvernului, prin </w:t>
            </w:r>
            <w:proofErr w:type="spellStart"/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hotărîre</w:t>
            </w:r>
            <w:proofErr w:type="spellEnd"/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, să decidă asupra desemnării organului central de specialitate în subordinea</w:t>
            </w:r>
            <w:r w:rsidR="00AA35DC"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căruia va funcționa S</w:t>
            </w: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erviciul 112.</w:t>
            </w:r>
            <w:r w:rsidR="00193943" w:rsidRPr="00AA73C4">
              <w:rPr>
                <w:rFonts w:ascii="Tahoma" w:eastAsia="Times New Roman" w:hAnsi="Tahoma" w:cs="Tahoma"/>
                <w:sz w:val="18"/>
                <w:szCs w:val="18"/>
                <w:lang w:val="ro-MO" w:eastAsia="ru-RU"/>
              </w:rPr>
              <w:br/>
            </w:r>
          </w:p>
        </w:tc>
      </w:tr>
      <w:tr w:rsidR="005B6A94" w:rsidRPr="00E04F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E04FC4" w:rsidTr="002C3455">
        <w:tc>
          <w:tcPr>
            <w:tcW w:w="9360" w:type="dxa"/>
            <w:shd w:val="clear" w:color="auto" w:fill="auto"/>
          </w:tcPr>
          <w:p w:rsidR="005B6A94" w:rsidRPr="00AA73C4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E04FC4" w:rsidTr="002C3455">
        <w:tc>
          <w:tcPr>
            <w:tcW w:w="9360" w:type="dxa"/>
            <w:shd w:val="clear" w:color="auto" w:fill="auto"/>
          </w:tcPr>
          <w:p w:rsidR="005B6A94" w:rsidRPr="00AA73C4" w:rsidRDefault="005B6A94" w:rsidP="00A82402">
            <w:pPr>
              <w:spacing w:after="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Implementarea prevederilor proiectului nu necesită cheltuieli financiare suplimentare </w:t>
            </w:r>
            <w:r w:rsidR="00A82402" w:rsidRPr="00AA73C4">
              <w:rPr>
                <w:rFonts w:ascii="Times New Roman" w:hAnsi="Times New Roman"/>
                <w:sz w:val="26"/>
                <w:szCs w:val="26"/>
                <w:lang w:val="ro-MO"/>
              </w:rPr>
              <w:t>din bugetul de stat</w:t>
            </w: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. </w:t>
            </w:r>
          </w:p>
        </w:tc>
      </w:tr>
    </w:tbl>
    <w:p w:rsidR="005B6A94" w:rsidRPr="00AA73C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AA73C4" w:rsidRDefault="00CA4ECF" w:rsidP="00CA4ECF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  <w:t>Director                                                                                     Iurie CIOCAN</w:t>
      </w:r>
    </w:p>
    <w:p w:rsidR="00CA4ECF" w:rsidRPr="00AA73C4" w:rsidRDefault="00CA4ECF" w:rsidP="005B6A9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24362"/>
    <w:rsid w:val="00036C50"/>
    <w:rsid w:val="00036DDF"/>
    <w:rsid w:val="00040179"/>
    <w:rsid w:val="00092D5F"/>
    <w:rsid w:val="000D118A"/>
    <w:rsid w:val="000D2111"/>
    <w:rsid w:val="00106395"/>
    <w:rsid w:val="001111AC"/>
    <w:rsid w:val="00142304"/>
    <w:rsid w:val="00147B1C"/>
    <w:rsid w:val="00193943"/>
    <w:rsid w:val="001B2095"/>
    <w:rsid w:val="001C721B"/>
    <w:rsid w:val="001E362B"/>
    <w:rsid w:val="001E591D"/>
    <w:rsid w:val="0020762E"/>
    <w:rsid w:val="002230B2"/>
    <w:rsid w:val="00250952"/>
    <w:rsid w:val="00251C46"/>
    <w:rsid w:val="00281139"/>
    <w:rsid w:val="00281E75"/>
    <w:rsid w:val="002A7F68"/>
    <w:rsid w:val="002C0A44"/>
    <w:rsid w:val="002D43A4"/>
    <w:rsid w:val="00303830"/>
    <w:rsid w:val="00323427"/>
    <w:rsid w:val="00336086"/>
    <w:rsid w:val="00344BE2"/>
    <w:rsid w:val="0035504B"/>
    <w:rsid w:val="00363AB5"/>
    <w:rsid w:val="00366FD7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B3E21"/>
    <w:rsid w:val="004E68C5"/>
    <w:rsid w:val="004F4094"/>
    <w:rsid w:val="004F6607"/>
    <w:rsid w:val="005141E3"/>
    <w:rsid w:val="005247A9"/>
    <w:rsid w:val="005340F2"/>
    <w:rsid w:val="00537706"/>
    <w:rsid w:val="0056337A"/>
    <w:rsid w:val="0058409C"/>
    <w:rsid w:val="005862BC"/>
    <w:rsid w:val="005B6A94"/>
    <w:rsid w:val="005C1D73"/>
    <w:rsid w:val="005C7297"/>
    <w:rsid w:val="005E3BBB"/>
    <w:rsid w:val="005E4126"/>
    <w:rsid w:val="005F263C"/>
    <w:rsid w:val="005F2DD3"/>
    <w:rsid w:val="00617FC6"/>
    <w:rsid w:val="00624F20"/>
    <w:rsid w:val="0063059D"/>
    <w:rsid w:val="006355B3"/>
    <w:rsid w:val="006526D0"/>
    <w:rsid w:val="006527B3"/>
    <w:rsid w:val="006627C5"/>
    <w:rsid w:val="00680BB7"/>
    <w:rsid w:val="006A114D"/>
    <w:rsid w:val="006B333B"/>
    <w:rsid w:val="006B7E6B"/>
    <w:rsid w:val="006C27F1"/>
    <w:rsid w:val="006D7330"/>
    <w:rsid w:val="007206D3"/>
    <w:rsid w:val="00740FA3"/>
    <w:rsid w:val="007C242B"/>
    <w:rsid w:val="007E68AD"/>
    <w:rsid w:val="007E6ECD"/>
    <w:rsid w:val="00825A4F"/>
    <w:rsid w:val="008452C9"/>
    <w:rsid w:val="0085073D"/>
    <w:rsid w:val="008509BE"/>
    <w:rsid w:val="008A5565"/>
    <w:rsid w:val="008F5CC2"/>
    <w:rsid w:val="009219DD"/>
    <w:rsid w:val="00941E99"/>
    <w:rsid w:val="0096161A"/>
    <w:rsid w:val="009736C4"/>
    <w:rsid w:val="00980FBE"/>
    <w:rsid w:val="00986C63"/>
    <w:rsid w:val="00992E4C"/>
    <w:rsid w:val="00997AB6"/>
    <w:rsid w:val="009B72AA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35DC"/>
    <w:rsid w:val="00AA73C4"/>
    <w:rsid w:val="00AB2245"/>
    <w:rsid w:val="00AB71CA"/>
    <w:rsid w:val="00AD4C0B"/>
    <w:rsid w:val="00AD7FE1"/>
    <w:rsid w:val="00B101AA"/>
    <w:rsid w:val="00B1207E"/>
    <w:rsid w:val="00B21F76"/>
    <w:rsid w:val="00B526EF"/>
    <w:rsid w:val="00BC0A05"/>
    <w:rsid w:val="00C16CCB"/>
    <w:rsid w:val="00C20F99"/>
    <w:rsid w:val="00C215DD"/>
    <w:rsid w:val="00C315FE"/>
    <w:rsid w:val="00C85DF9"/>
    <w:rsid w:val="00CA47C0"/>
    <w:rsid w:val="00CA4ECF"/>
    <w:rsid w:val="00CA7FB5"/>
    <w:rsid w:val="00CB40AF"/>
    <w:rsid w:val="00CB5D92"/>
    <w:rsid w:val="00CC23EE"/>
    <w:rsid w:val="00D042FE"/>
    <w:rsid w:val="00D1315C"/>
    <w:rsid w:val="00D64413"/>
    <w:rsid w:val="00DA2FA2"/>
    <w:rsid w:val="00DB7216"/>
    <w:rsid w:val="00DD0923"/>
    <w:rsid w:val="00DE0DDE"/>
    <w:rsid w:val="00E04FC4"/>
    <w:rsid w:val="00E34950"/>
    <w:rsid w:val="00E611FB"/>
    <w:rsid w:val="00E92F49"/>
    <w:rsid w:val="00EB0FA6"/>
    <w:rsid w:val="00EC659B"/>
    <w:rsid w:val="00EC6CDD"/>
    <w:rsid w:val="00EE0A17"/>
    <w:rsid w:val="00F066F5"/>
    <w:rsid w:val="00F109A4"/>
    <w:rsid w:val="00F17D26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90806"/>
    <w:rsid w:val="00F92EF2"/>
    <w:rsid w:val="00FB7398"/>
    <w:rsid w:val="00FC56E5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32</cp:revision>
  <dcterms:created xsi:type="dcterms:W3CDTF">2017-09-27T05:06:00Z</dcterms:created>
  <dcterms:modified xsi:type="dcterms:W3CDTF">2017-10-09T05:43:00Z</dcterms:modified>
</cp:coreProperties>
</file>