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95A" w:rsidRPr="00BD6626" w:rsidRDefault="008C0351" w:rsidP="0004795A">
      <w:pPr>
        <w:jc w:val="center"/>
        <w:rPr>
          <w:b/>
          <w:lang w:val="en-US"/>
        </w:rPr>
      </w:pPr>
      <w:r w:rsidRPr="00BD6626">
        <w:rPr>
          <w:b/>
          <w:lang w:val="ro-RO"/>
        </w:rPr>
        <w:t>T</w:t>
      </w:r>
      <w:r w:rsidR="0004795A" w:rsidRPr="00BD6626">
        <w:rPr>
          <w:b/>
          <w:lang w:val="ro-RO"/>
        </w:rPr>
        <w:t>abelul divergen</w:t>
      </w:r>
      <w:r w:rsidRPr="00BD6626">
        <w:rPr>
          <w:b/>
          <w:lang w:val="ro-RO"/>
        </w:rPr>
        <w:t>t</w:t>
      </w:r>
      <w:r w:rsidR="0004795A" w:rsidRPr="00BD6626">
        <w:rPr>
          <w:b/>
          <w:lang w:val="ro-RO"/>
        </w:rPr>
        <w:t xml:space="preserve">elor </w:t>
      </w:r>
    </w:p>
    <w:p w:rsidR="001441B9" w:rsidRPr="001441B9" w:rsidRDefault="001441B9" w:rsidP="001441B9">
      <w:pPr>
        <w:jc w:val="center"/>
        <w:rPr>
          <w:b/>
          <w:color w:val="000000" w:themeColor="text1"/>
          <w:szCs w:val="28"/>
        </w:rPr>
      </w:pPr>
      <w:r w:rsidRPr="001441B9">
        <w:rPr>
          <w:rFonts w:eastAsia="Times New Roman"/>
          <w:b/>
          <w:bCs/>
          <w:color w:val="000000" w:themeColor="text1"/>
          <w:szCs w:val="28"/>
        </w:rPr>
        <w:t>pen</w:t>
      </w:r>
      <w:r w:rsidR="008C0351">
        <w:rPr>
          <w:rFonts w:eastAsia="Times New Roman"/>
          <w:b/>
          <w:bCs/>
          <w:color w:val="000000" w:themeColor="text1"/>
          <w:szCs w:val="28"/>
        </w:rPr>
        <w:t>t</w:t>
      </w:r>
      <w:r w:rsidRPr="001441B9">
        <w:rPr>
          <w:rFonts w:eastAsia="Times New Roman"/>
          <w:b/>
          <w:bCs/>
          <w:color w:val="000000" w:themeColor="text1"/>
          <w:szCs w:val="28"/>
        </w:rPr>
        <w:t>ru modificarea şi comple</w:t>
      </w:r>
      <w:r w:rsidR="008C0351">
        <w:rPr>
          <w:rFonts w:eastAsia="Times New Roman"/>
          <w:b/>
          <w:bCs/>
          <w:color w:val="000000" w:themeColor="text1"/>
          <w:szCs w:val="28"/>
        </w:rPr>
        <w:t>t</w:t>
      </w:r>
      <w:r w:rsidRPr="001441B9">
        <w:rPr>
          <w:rFonts w:eastAsia="Times New Roman"/>
          <w:b/>
          <w:bCs/>
          <w:color w:val="000000" w:themeColor="text1"/>
          <w:szCs w:val="28"/>
        </w:rPr>
        <w:t xml:space="preserve">area </w:t>
      </w:r>
      <w:r w:rsidRPr="001441B9">
        <w:rPr>
          <w:b/>
          <w:color w:val="000000" w:themeColor="text1"/>
          <w:szCs w:val="28"/>
        </w:rPr>
        <w:t>Ho</w:t>
      </w:r>
      <w:r w:rsidR="008C0351">
        <w:rPr>
          <w:b/>
          <w:color w:val="000000" w:themeColor="text1"/>
          <w:szCs w:val="28"/>
        </w:rPr>
        <w:t>t</w:t>
      </w:r>
      <w:r w:rsidRPr="001441B9">
        <w:rPr>
          <w:b/>
          <w:color w:val="000000" w:themeColor="text1"/>
          <w:szCs w:val="28"/>
        </w:rPr>
        <w:t xml:space="preserve">ărîrii de Guvern nr. </w:t>
      </w:r>
      <w:r w:rsidR="00DE716E">
        <w:rPr>
          <w:b/>
          <w:color w:val="000000" w:themeColor="text1"/>
          <w:szCs w:val="28"/>
        </w:rPr>
        <w:t>939</w:t>
      </w:r>
      <w:r w:rsidRPr="001441B9">
        <w:rPr>
          <w:b/>
          <w:color w:val="000000" w:themeColor="text1"/>
          <w:szCs w:val="28"/>
        </w:rPr>
        <w:t xml:space="preserve"> </w:t>
      </w:r>
      <w:r w:rsidR="00DD1536" w:rsidRPr="00DD1536">
        <w:rPr>
          <w:b/>
          <w:color w:val="000000" w:themeColor="text1"/>
          <w:szCs w:val="28"/>
        </w:rPr>
        <w:t>939 din 04 august 2008 ”Pentru aprobarea Normei sanitar veterinare privind măsurile  de supraveghere, control şi combatere a gripei aviare</w:t>
      </w:r>
      <w:r w:rsidRPr="001441B9">
        <w:rPr>
          <w:b/>
          <w:iCs/>
          <w:color w:val="000000" w:themeColor="text1"/>
          <w:szCs w:val="28"/>
          <w:lang w:eastAsia="ro-RO"/>
        </w:rPr>
        <w:t>”</w:t>
      </w:r>
      <w:r w:rsidR="00931158">
        <w:rPr>
          <w:b/>
          <w:iCs/>
          <w:color w:val="000000" w:themeColor="text1"/>
          <w:szCs w:val="28"/>
          <w:lang w:eastAsia="ro-RO"/>
        </w:rPr>
        <w:t>.</w:t>
      </w:r>
    </w:p>
    <w:p w:rsidR="001441B9" w:rsidRPr="001441B9" w:rsidRDefault="001441B9" w:rsidP="0004795A">
      <w:pPr>
        <w:tabs>
          <w:tab w:val="left" w:pos="3960"/>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40"/>
        <w:gridCol w:w="6609"/>
        <w:gridCol w:w="6"/>
        <w:gridCol w:w="4103"/>
      </w:tblGrid>
      <w:tr w:rsidR="0004795A" w:rsidRPr="00FD4796" w:rsidTr="00DE03EE">
        <w:trPr>
          <w:trHeight w:val="285"/>
        </w:trPr>
        <w:tc>
          <w:tcPr>
            <w:tcW w:w="828" w:type="dxa"/>
            <w:shd w:val="clear" w:color="auto" w:fill="auto"/>
          </w:tcPr>
          <w:p w:rsidR="0004795A" w:rsidRPr="000908C2" w:rsidRDefault="0004795A" w:rsidP="00354471">
            <w:pPr>
              <w:rPr>
                <w:rFonts w:cs="Calibri"/>
                <w:b/>
                <w:bCs/>
                <w:lang w:val="ro-RO"/>
              </w:rPr>
            </w:pPr>
            <w:r w:rsidRPr="000908C2">
              <w:rPr>
                <w:rFonts w:cs="Calibri"/>
                <w:b/>
                <w:bCs/>
                <w:lang w:val="ro-RO"/>
              </w:rPr>
              <w:t xml:space="preserve">Nr. </w:t>
            </w:r>
            <w:r w:rsidR="00DE03EE" w:rsidRPr="000908C2">
              <w:rPr>
                <w:rFonts w:cs="Calibri"/>
                <w:b/>
                <w:bCs/>
                <w:lang w:val="ro-RO"/>
              </w:rPr>
              <w:t>cr</w:t>
            </w:r>
            <w:r w:rsidR="00DE03EE">
              <w:rPr>
                <w:rFonts w:cs="Calibri"/>
                <w:b/>
                <w:bCs/>
                <w:lang w:val="ro-RO"/>
              </w:rPr>
              <w:t>t</w:t>
            </w:r>
            <w:r w:rsidR="00DE03EE" w:rsidRPr="000908C2">
              <w:rPr>
                <w:rFonts w:cs="Calibri"/>
                <w:b/>
                <w:bCs/>
                <w:lang w:val="ro-RO"/>
              </w:rPr>
              <w:t>.</w:t>
            </w:r>
          </w:p>
        </w:tc>
        <w:tc>
          <w:tcPr>
            <w:tcW w:w="3240" w:type="dxa"/>
            <w:shd w:val="clear" w:color="auto" w:fill="auto"/>
          </w:tcPr>
          <w:p w:rsidR="0004795A" w:rsidRPr="000908C2" w:rsidRDefault="0004795A" w:rsidP="00354471">
            <w:pPr>
              <w:jc w:val="center"/>
              <w:rPr>
                <w:rFonts w:cs="Calibri"/>
                <w:lang w:val="en-US"/>
              </w:rPr>
            </w:pPr>
            <w:r w:rsidRPr="000908C2">
              <w:rPr>
                <w:rFonts w:cs="Calibri"/>
                <w:b/>
                <w:bCs/>
                <w:lang w:val="ro-RO"/>
              </w:rPr>
              <w:t>Ins</w:t>
            </w:r>
            <w:r w:rsidR="008C0351">
              <w:rPr>
                <w:rFonts w:cs="Calibri"/>
                <w:b/>
                <w:bCs/>
                <w:lang w:val="ro-RO"/>
              </w:rPr>
              <w:t>t</w:t>
            </w:r>
            <w:r w:rsidRPr="000908C2">
              <w:rPr>
                <w:rFonts w:cs="Calibri"/>
                <w:b/>
                <w:bCs/>
                <w:lang w:val="ro-RO"/>
              </w:rPr>
              <w:t>i</w:t>
            </w:r>
            <w:r w:rsidR="008C0351">
              <w:rPr>
                <w:rFonts w:cs="Calibri"/>
                <w:b/>
                <w:bCs/>
                <w:lang w:val="ro-RO"/>
              </w:rPr>
              <w:t>t</w:t>
            </w:r>
            <w:r w:rsidRPr="000908C2">
              <w:rPr>
                <w:rFonts w:cs="Calibri"/>
                <w:b/>
                <w:bCs/>
                <w:lang w:val="ro-RO"/>
              </w:rPr>
              <w:t>u</w:t>
            </w:r>
            <w:r w:rsidR="008C0351">
              <w:rPr>
                <w:rFonts w:cs="Calibri"/>
                <w:b/>
                <w:bCs/>
                <w:lang w:val="ro-RO"/>
              </w:rPr>
              <w:t>t</w:t>
            </w:r>
            <w:r w:rsidRPr="000908C2">
              <w:rPr>
                <w:rFonts w:cs="Calibri"/>
                <w:b/>
                <w:bCs/>
                <w:lang w:val="ro-RO"/>
              </w:rPr>
              <w:t xml:space="preserve">ia, </w:t>
            </w:r>
            <w:r w:rsidR="00DE03EE" w:rsidRPr="000908C2">
              <w:rPr>
                <w:rFonts w:cs="Calibri"/>
                <w:b/>
                <w:bCs/>
                <w:lang w:val="ro-RO"/>
              </w:rPr>
              <w:t>avizul</w:t>
            </w:r>
          </w:p>
        </w:tc>
        <w:tc>
          <w:tcPr>
            <w:tcW w:w="6609" w:type="dxa"/>
            <w:shd w:val="clear" w:color="auto" w:fill="auto"/>
          </w:tcPr>
          <w:p w:rsidR="0004795A" w:rsidRPr="000908C2" w:rsidRDefault="0004795A" w:rsidP="00354471">
            <w:pPr>
              <w:jc w:val="center"/>
              <w:rPr>
                <w:rFonts w:cs="Calibri"/>
                <w:lang w:val="en-US"/>
              </w:rPr>
            </w:pPr>
            <w:r w:rsidRPr="000908C2">
              <w:rPr>
                <w:rFonts w:cs="Calibri"/>
                <w:b/>
                <w:bCs/>
                <w:lang w:val="ro-RO"/>
              </w:rPr>
              <w:t xml:space="preserve">Propuneri </w:t>
            </w:r>
            <w:r w:rsidR="00DE03EE" w:rsidRPr="000908C2">
              <w:rPr>
                <w:rFonts w:cs="Calibri"/>
                <w:b/>
                <w:bCs/>
                <w:lang w:val="ro-RO"/>
              </w:rPr>
              <w:t>şi obiec</w:t>
            </w:r>
            <w:r w:rsidR="00DE03EE">
              <w:rPr>
                <w:rFonts w:cs="Calibri"/>
                <w:b/>
                <w:bCs/>
                <w:lang w:val="ro-RO"/>
              </w:rPr>
              <w:t>t</w:t>
            </w:r>
            <w:r w:rsidR="00DE03EE" w:rsidRPr="000908C2">
              <w:rPr>
                <w:rFonts w:cs="Calibri"/>
                <w:b/>
                <w:bCs/>
                <w:lang w:val="ro-RO"/>
              </w:rPr>
              <w:t>ii</w:t>
            </w:r>
          </w:p>
        </w:tc>
        <w:tc>
          <w:tcPr>
            <w:tcW w:w="4109" w:type="dxa"/>
            <w:gridSpan w:val="2"/>
            <w:shd w:val="clear" w:color="auto" w:fill="auto"/>
          </w:tcPr>
          <w:p w:rsidR="0004795A" w:rsidRPr="000908C2" w:rsidRDefault="0004795A" w:rsidP="00354471">
            <w:pPr>
              <w:jc w:val="center"/>
              <w:rPr>
                <w:rFonts w:cs="Calibri"/>
                <w:b/>
                <w:bCs/>
                <w:lang w:val="ro-RO"/>
              </w:rPr>
            </w:pPr>
            <w:r w:rsidRPr="000908C2">
              <w:rPr>
                <w:rFonts w:cs="Calibri"/>
                <w:b/>
                <w:bCs/>
                <w:lang w:val="en-US"/>
              </w:rPr>
              <w:t>No</w:t>
            </w:r>
            <w:r w:rsidR="008C0351">
              <w:rPr>
                <w:rFonts w:cs="Calibri"/>
                <w:b/>
                <w:bCs/>
                <w:lang w:val="en-US"/>
              </w:rPr>
              <w:t>t</w:t>
            </w:r>
            <w:r w:rsidRPr="000908C2">
              <w:rPr>
                <w:rFonts w:cs="Calibri"/>
                <w:b/>
                <w:bCs/>
                <w:lang w:val="en-US"/>
              </w:rPr>
              <w:t>a</w:t>
            </w:r>
            <w:r w:rsidRPr="000908C2">
              <w:rPr>
                <w:rFonts w:cs="Calibri"/>
                <w:b/>
                <w:bCs/>
                <w:lang w:val="ro-RO"/>
              </w:rPr>
              <w:t xml:space="preserve"> au</w:t>
            </w:r>
            <w:r w:rsidR="008C0351">
              <w:rPr>
                <w:rFonts w:cs="Calibri"/>
                <w:b/>
                <w:bCs/>
                <w:lang w:val="ro-RO"/>
              </w:rPr>
              <w:t>t</w:t>
            </w:r>
            <w:r w:rsidRPr="000908C2">
              <w:rPr>
                <w:rFonts w:cs="Calibri"/>
                <w:b/>
                <w:bCs/>
                <w:lang w:val="ro-RO"/>
              </w:rPr>
              <w:t>orului</w:t>
            </w:r>
          </w:p>
        </w:tc>
      </w:tr>
      <w:tr w:rsidR="009476BE" w:rsidRPr="00FD4796" w:rsidTr="00DE03EE">
        <w:trPr>
          <w:trHeight w:val="285"/>
        </w:trPr>
        <w:tc>
          <w:tcPr>
            <w:tcW w:w="828" w:type="dxa"/>
            <w:shd w:val="clear" w:color="auto" w:fill="auto"/>
          </w:tcPr>
          <w:p w:rsidR="009476BE" w:rsidRPr="000908C2" w:rsidRDefault="005F039B" w:rsidP="00354471">
            <w:pPr>
              <w:rPr>
                <w:rFonts w:cs="Calibri"/>
                <w:b/>
                <w:bCs/>
                <w:lang w:val="ro-RO"/>
              </w:rPr>
            </w:pPr>
            <w:r>
              <w:rPr>
                <w:rFonts w:cs="Calibri"/>
                <w:b/>
                <w:bCs/>
                <w:lang w:val="ro-RO"/>
              </w:rPr>
              <w:t>I</w:t>
            </w:r>
          </w:p>
        </w:tc>
        <w:tc>
          <w:tcPr>
            <w:tcW w:w="3240" w:type="dxa"/>
            <w:shd w:val="clear" w:color="auto" w:fill="auto"/>
          </w:tcPr>
          <w:p w:rsidR="009476BE" w:rsidRPr="000908C2" w:rsidRDefault="009476BE" w:rsidP="009476BE">
            <w:pPr>
              <w:jc w:val="both"/>
              <w:rPr>
                <w:rFonts w:cs="Calibri"/>
                <w:b/>
                <w:bCs/>
                <w:lang w:val="ro-RO"/>
              </w:rPr>
            </w:pPr>
            <w:r>
              <w:rPr>
                <w:rFonts w:cs="Calibri"/>
                <w:b/>
                <w:bCs/>
                <w:lang w:val="ro-RO"/>
              </w:rPr>
              <w:t>Ministerul Economiei (04/1-</w:t>
            </w:r>
            <w:r w:rsidR="005F039B">
              <w:rPr>
                <w:rFonts w:cs="Calibri"/>
                <w:b/>
                <w:bCs/>
                <w:lang w:val="ro-RO"/>
              </w:rPr>
              <w:t>3999 din 17.07</w:t>
            </w:r>
            <w:r>
              <w:rPr>
                <w:rFonts w:cs="Calibri"/>
                <w:b/>
                <w:bCs/>
                <w:lang w:val="ro-RO"/>
              </w:rPr>
              <w:t>.2017)</w:t>
            </w:r>
          </w:p>
        </w:tc>
        <w:tc>
          <w:tcPr>
            <w:tcW w:w="6609" w:type="dxa"/>
            <w:shd w:val="clear" w:color="auto" w:fill="auto"/>
          </w:tcPr>
          <w:p w:rsidR="00AE79CE" w:rsidRPr="00AE79CE" w:rsidRDefault="00AE79CE" w:rsidP="00AE79CE">
            <w:pPr>
              <w:jc w:val="both"/>
              <w:rPr>
                <w:rFonts w:cs="Calibri"/>
                <w:bCs/>
              </w:rPr>
            </w:pPr>
            <w:r w:rsidRPr="00AE79CE">
              <w:rPr>
                <w:rFonts w:cs="Calibri"/>
                <w:bCs/>
              </w:rPr>
              <w:t>La pct.2.</w:t>
            </w:r>
          </w:p>
          <w:p w:rsidR="00AE79CE" w:rsidRPr="00AE79CE" w:rsidRDefault="00AE79CE" w:rsidP="00AE79CE">
            <w:pPr>
              <w:jc w:val="both"/>
              <w:rPr>
                <w:rFonts w:cs="Calibri"/>
                <w:bCs/>
              </w:rPr>
            </w:pPr>
            <w:r w:rsidRPr="00AE79CE">
              <w:rPr>
                <w:rFonts w:cs="Calibri"/>
                <w:bCs/>
              </w:rPr>
              <w:t>Subpct.4). Referitor la modificarea pct.3 lit.a) și a textului Normei sanitar veterinare, menționăm că o astfel de modificare a fost deja introdusă prin Hotărîrea Guvernului nr.513 din 02.07.2014 cu privire la aprobarea modificărilor și completărilor ce se operează în</w:t>
            </w:r>
            <w:r>
              <w:rPr>
                <w:rFonts w:cs="Calibri"/>
                <w:bCs/>
              </w:rPr>
              <w:t xml:space="preserve"> unele hotărîri ale Guvernului.</w:t>
            </w:r>
          </w:p>
          <w:p w:rsidR="00AE79CE" w:rsidRPr="00AE79CE" w:rsidRDefault="00AE79CE" w:rsidP="00AE79CE">
            <w:pPr>
              <w:jc w:val="both"/>
              <w:rPr>
                <w:rFonts w:cs="Calibri"/>
                <w:bCs/>
              </w:rPr>
            </w:pPr>
            <w:r w:rsidRPr="00AE79CE">
              <w:rPr>
                <w:rFonts w:cs="Calibri"/>
                <w:bCs/>
              </w:rPr>
              <w:t xml:space="preserve">Subpct.9): </w:t>
            </w:r>
          </w:p>
          <w:p w:rsidR="00AE79CE" w:rsidRPr="00AE79CE" w:rsidRDefault="00AE79CE" w:rsidP="00AE79CE">
            <w:pPr>
              <w:jc w:val="both"/>
              <w:rPr>
                <w:rFonts w:cs="Calibri"/>
                <w:bCs/>
              </w:rPr>
            </w:pPr>
            <w:r w:rsidRPr="00AE79CE">
              <w:rPr>
                <w:rFonts w:cs="Calibri"/>
                <w:bCs/>
              </w:rPr>
              <w:t xml:space="preserve">Completarea cu anexa nr.7. </w:t>
            </w:r>
          </w:p>
          <w:p w:rsidR="00AE79CE" w:rsidRPr="00AE79CE" w:rsidRDefault="00AE79CE" w:rsidP="00AE79CE">
            <w:pPr>
              <w:jc w:val="both"/>
              <w:rPr>
                <w:rFonts w:cs="Calibri"/>
                <w:bCs/>
              </w:rPr>
            </w:pPr>
            <w:r w:rsidRPr="00AE79CE">
              <w:rPr>
                <w:rFonts w:cs="Calibri"/>
                <w:bCs/>
              </w:rPr>
              <w:t xml:space="preserve">La pct.1 subpct.2) lit.e), se stabilesc „factorii de risc și posibilele căi de intrare și de răspândire a gripei aviare în interiorul compartimentului, în conformitate cu standardele și orientările Organizației Mondiale pentru Sănătatea Animală (OIE) la care Republica Moldova este parte”. Considerăm că, prevederile respective necesită a fi completate, fiind indicat actul normativ prin care au fost transpuse standardele și orientările OIE, inclusiv Monitorul Oficial în care este publicat documentul. </w:t>
            </w:r>
          </w:p>
          <w:p w:rsidR="00F2603B" w:rsidRDefault="00AE79CE" w:rsidP="00AE79CE">
            <w:pPr>
              <w:jc w:val="both"/>
              <w:rPr>
                <w:rFonts w:cs="Calibri"/>
                <w:bCs/>
              </w:rPr>
            </w:pPr>
            <w:r w:rsidRPr="00AE79CE">
              <w:rPr>
                <w:rFonts w:cs="Calibri"/>
                <w:bCs/>
              </w:rPr>
              <w:t>La pct.3 subpct.3), norma instituită prin sintagma „vizitatorii autorizați și neautorizați” poate fi interpretată în sensul generării necesității obținerii unui act permisiv. Astfel, sintagma respectivă necesită a fi substituită cu sintagma „personalul și alți vizitatori”.</w:t>
            </w:r>
          </w:p>
          <w:p w:rsidR="00AE79CE" w:rsidRPr="00AE79CE" w:rsidRDefault="00AE79CE" w:rsidP="00AE79CE">
            <w:pPr>
              <w:jc w:val="both"/>
              <w:rPr>
                <w:rFonts w:cs="Calibri"/>
                <w:bCs/>
              </w:rPr>
            </w:pPr>
            <w:r w:rsidRPr="00AE79CE">
              <w:rPr>
                <w:rFonts w:cs="Calibri"/>
                <w:bCs/>
              </w:rPr>
              <w:t xml:space="preserve">La pct.9 subpct.3) considerăm că, sintagma „fără a aduce atingere oricăror dispoziții specifice ale legislației” necesită a fi reformulată, fiind efectuate trimiteri la acte normative concrete, sau exclusă. </w:t>
            </w:r>
          </w:p>
          <w:p w:rsidR="00AE79CE" w:rsidRPr="00AE79CE" w:rsidRDefault="00AE79CE" w:rsidP="00AE79CE">
            <w:pPr>
              <w:jc w:val="both"/>
              <w:rPr>
                <w:rFonts w:cs="Calibri"/>
                <w:bCs/>
              </w:rPr>
            </w:pPr>
            <w:r w:rsidRPr="00AE79CE">
              <w:rPr>
                <w:rFonts w:cs="Calibri"/>
                <w:bCs/>
              </w:rPr>
              <w:t xml:space="preserve">Obiecția este valabilă și pentru sintagma „organismele naționale” din subpct.4) al pct.1 din anexa nr.8. </w:t>
            </w:r>
          </w:p>
          <w:p w:rsidR="00AE79CE" w:rsidRPr="00AE79CE" w:rsidRDefault="00AE79CE" w:rsidP="00AE79CE">
            <w:pPr>
              <w:jc w:val="both"/>
              <w:rPr>
                <w:rFonts w:cs="Calibri"/>
                <w:bCs/>
              </w:rPr>
            </w:pPr>
            <w:r w:rsidRPr="00AE79CE">
              <w:rPr>
                <w:rFonts w:cs="Calibri"/>
                <w:bCs/>
              </w:rPr>
              <w:t>Completarea cu anexa nr.8.</w:t>
            </w:r>
          </w:p>
          <w:p w:rsidR="00AE79CE" w:rsidRPr="00AE79CE" w:rsidRDefault="00AE79CE" w:rsidP="00AE79CE">
            <w:pPr>
              <w:jc w:val="both"/>
              <w:rPr>
                <w:rFonts w:cs="Calibri"/>
                <w:bCs/>
              </w:rPr>
            </w:pPr>
            <w:r w:rsidRPr="00AE79CE">
              <w:rPr>
                <w:rFonts w:cs="Calibri"/>
                <w:bCs/>
              </w:rPr>
              <w:t xml:space="preserve">La pct.6 subpct.5) lit.a), menționăm că sintagma „sau orice altă activitate autorizată de autoritatea competentă” necesită a fi concretizată sau exclusă deoarece nu este clar expusă. </w:t>
            </w:r>
          </w:p>
          <w:p w:rsidR="009476BE" w:rsidRPr="00AE79CE" w:rsidRDefault="00AE79CE" w:rsidP="00AE79CE">
            <w:pPr>
              <w:jc w:val="both"/>
              <w:rPr>
                <w:rFonts w:cs="Calibri"/>
                <w:bCs/>
              </w:rPr>
            </w:pPr>
            <w:r w:rsidRPr="00AE79CE">
              <w:rPr>
                <w:rFonts w:cs="Calibri"/>
                <w:bCs/>
              </w:rPr>
              <w:t xml:space="preserve">Consecutiv, reliefăm că proiectul conține prevederi de </w:t>
            </w:r>
            <w:r w:rsidRPr="00AE79CE">
              <w:rPr>
                <w:rFonts w:cs="Calibri"/>
                <w:bCs/>
              </w:rPr>
              <w:lastRenderedPageBreak/>
              <w:t>reglementare a activității de întreprinzător (noțiunile plan de biosecuritate, sistem comun de gestionare a biosecurității, gestionarul compartimentului, prevederile anexei nr.7 etc.). Astfel, urmează a fi elaborată Analiza Impactului de Reglementare potrivit art.13 din Legea nr.235-XVI din 20.07.2006 cu privire la principiile de bază de reglementare a activității de întreprinzător, precum și, art.37 lit.f1) din Legea nr.317-XV din 18.07.2003 privind actele normative ale Guvernului și ale altor autorități ale administrației publice centrale și locale. Concomitent, în temeiul pct.5 al Hotărîrii Guvernului nr.1030 din 03.10.2005 cu privire la Registrul actelor oficiale de reglementare a activității de întreprinzător, proiectul de hotărîre însoțit de Analiza Impactului de Reglementare, urmează a fi prezentate spre examinare Grupului de lucru al Comisiei de Stat pentru reglementarea activității de întreprinzător.</w:t>
            </w:r>
          </w:p>
        </w:tc>
        <w:tc>
          <w:tcPr>
            <w:tcW w:w="4109" w:type="dxa"/>
            <w:gridSpan w:val="2"/>
            <w:shd w:val="clear" w:color="auto" w:fill="auto"/>
          </w:tcPr>
          <w:p w:rsidR="00AE79CE" w:rsidRDefault="00AE79CE" w:rsidP="00457FBB">
            <w:pPr>
              <w:jc w:val="both"/>
              <w:rPr>
                <w:rFonts w:cs="Calibri"/>
                <w:b/>
                <w:bCs/>
                <w:lang w:val="ro-RO"/>
              </w:rPr>
            </w:pPr>
          </w:p>
          <w:p w:rsidR="009476BE" w:rsidRDefault="009306E4" w:rsidP="00457FBB">
            <w:pPr>
              <w:jc w:val="both"/>
              <w:rPr>
                <w:rFonts w:cs="Calibri"/>
                <w:bCs/>
                <w:lang w:val="ro-RO"/>
              </w:rPr>
            </w:pPr>
            <w:r w:rsidRPr="009306E4">
              <w:rPr>
                <w:rFonts w:cs="Calibri"/>
                <w:b/>
                <w:bCs/>
                <w:lang w:val="ro-RO"/>
              </w:rPr>
              <w:t xml:space="preserve">Se acceptă. </w:t>
            </w:r>
            <w:r w:rsidRPr="009306E4">
              <w:rPr>
                <w:rFonts w:cs="Calibri"/>
                <w:bCs/>
                <w:lang w:val="ro-RO"/>
              </w:rPr>
              <w:t>Însă</w:t>
            </w:r>
            <w:r w:rsidR="002968FC">
              <w:rPr>
                <w:rFonts w:cs="Calibri"/>
                <w:bCs/>
                <w:lang w:val="ro-RO"/>
              </w:rPr>
              <w:t>,</w:t>
            </w:r>
            <w:r w:rsidRPr="009306E4">
              <w:rPr>
                <w:rFonts w:cs="Calibri"/>
                <w:bCs/>
                <w:lang w:val="ro-RO"/>
              </w:rPr>
              <w:t xml:space="preserve"> în varianta cons</w:t>
            </w:r>
            <w:r>
              <w:rPr>
                <w:rFonts w:cs="Calibri"/>
                <w:bCs/>
                <w:lang w:val="ro-RO"/>
              </w:rPr>
              <w:t>olidată nu au fost operate toate modificările aprobate prin H.G. nr. 513 din 02.07.2014</w:t>
            </w:r>
          </w:p>
          <w:p w:rsidR="00AE79CE" w:rsidRDefault="00AE79CE" w:rsidP="00457FBB">
            <w:pPr>
              <w:jc w:val="both"/>
              <w:rPr>
                <w:rFonts w:cs="Calibri"/>
                <w:b/>
                <w:bCs/>
                <w:lang w:val="ro-RO"/>
              </w:rPr>
            </w:pPr>
          </w:p>
          <w:p w:rsidR="00AE79CE" w:rsidRDefault="00AE79CE" w:rsidP="00457FBB">
            <w:pPr>
              <w:jc w:val="both"/>
              <w:rPr>
                <w:rFonts w:cs="Calibri"/>
                <w:b/>
                <w:bCs/>
                <w:lang w:val="ro-RO"/>
              </w:rPr>
            </w:pPr>
          </w:p>
          <w:p w:rsidR="00AE79CE" w:rsidRDefault="00AE79CE" w:rsidP="00457FBB">
            <w:pPr>
              <w:jc w:val="both"/>
              <w:rPr>
                <w:rFonts w:cs="Calibri"/>
                <w:b/>
                <w:bCs/>
                <w:lang w:val="ro-RO"/>
              </w:rPr>
            </w:pPr>
          </w:p>
          <w:p w:rsidR="00AE79CE" w:rsidRPr="00F2603B" w:rsidRDefault="00AE79CE" w:rsidP="00AE79CE">
            <w:pPr>
              <w:jc w:val="both"/>
              <w:rPr>
                <w:rFonts w:cs="Calibri"/>
                <w:bCs/>
              </w:rPr>
            </w:pPr>
            <w:r w:rsidRPr="009306E4">
              <w:rPr>
                <w:rFonts w:cs="Calibri"/>
                <w:b/>
                <w:bCs/>
                <w:lang w:val="ro-RO"/>
              </w:rPr>
              <w:t>Se acceptă</w:t>
            </w:r>
            <w:r>
              <w:rPr>
                <w:rFonts w:cs="Calibri"/>
                <w:b/>
                <w:bCs/>
                <w:lang w:val="ro-RO"/>
              </w:rPr>
              <w:t xml:space="preserve">. </w:t>
            </w:r>
            <w:r w:rsidRPr="00AE79CE">
              <w:rPr>
                <w:rFonts w:cs="Calibri"/>
                <w:bCs/>
                <w:lang w:val="ro-RO"/>
              </w:rPr>
              <w:t>S-a indicat surs</w:t>
            </w:r>
            <w:r w:rsidR="00F2603B">
              <w:rPr>
                <w:rFonts w:cs="Calibri"/>
                <w:bCs/>
                <w:lang w:val="ro-RO"/>
              </w:rPr>
              <w:t xml:space="preserve">ele </w:t>
            </w:r>
            <w:r w:rsidRPr="00AE79CE">
              <w:rPr>
                <w:rFonts w:cs="Calibri"/>
                <w:bCs/>
                <w:lang w:val="ro-RO"/>
              </w:rPr>
              <w:t xml:space="preserve"> </w:t>
            </w:r>
            <w:r w:rsidR="00F2603B">
              <w:rPr>
                <w:rFonts w:cs="Calibri"/>
                <w:bCs/>
              </w:rPr>
              <w:t>şi unde pot</w:t>
            </w:r>
            <w:r w:rsidRPr="00AE79CE">
              <w:rPr>
                <w:rFonts w:cs="Calibri"/>
                <w:bCs/>
              </w:rPr>
              <w:t xml:space="preserve"> fi acce</w:t>
            </w:r>
            <w:r w:rsidR="00A442FE">
              <w:rPr>
                <w:rFonts w:cs="Calibri"/>
                <w:bCs/>
              </w:rPr>
              <w:t>s</w:t>
            </w:r>
            <w:r w:rsidR="00F2603B">
              <w:rPr>
                <w:rFonts w:cs="Calibri"/>
                <w:bCs/>
              </w:rPr>
              <w:t>ate</w:t>
            </w:r>
            <w:r w:rsidR="00AC14D7">
              <w:rPr>
                <w:rFonts w:cs="Calibri"/>
                <w:bCs/>
              </w:rPr>
              <w:t>, cunos</w:t>
            </w:r>
            <w:r w:rsidR="00F2603B">
              <w:rPr>
                <w:rFonts w:cs="Calibri"/>
                <w:bCs/>
              </w:rPr>
              <w:t>cute şi aplicate de specialişti.</w:t>
            </w:r>
          </w:p>
          <w:p w:rsidR="00AE79CE" w:rsidRDefault="00AE79CE" w:rsidP="00AE79CE">
            <w:pPr>
              <w:jc w:val="both"/>
              <w:rPr>
                <w:rFonts w:cs="Calibri"/>
                <w:b/>
                <w:bCs/>
                <w:lang w:val="ro-RO"/>
              </w:rPr>
            </w:pPr>
          </w:p>
          <w:p w:rsidR="00AE79CE" w:rsidRDefault="00AE79CE" w:rsidP="00AE79CE">
            <w:pPr>
              <w:jc w:val="both"/>
              <w:rPr>
                <w:rFonts w:cs="Calibri"/>
                <w:b/>
                <w:bCs/>
                <w:lang w:val="ro-RO"/>
              </w:rPr>
            </w:pPr>
          </w:p>
          <w:p w:rsidR="00AE79CE" w:rsidRDefault="00AE79CE" w:rsidP="00AE79CE">
            <w:pPr>
              <w:jc w:val="both"/>
              <w:rPr>
                <w:rFonts w:cs="Calibri"/>
                <w:b/>
                <w:bCs/>
                <w:lang w:val="ro-RO"/>
              </w:rPr>
            </w:pPr>
          </w:p>
          <w:p w:rsidR="00AE79CE" w:rsidRDefault="00AE79CE" w:rsidP="00AE79CE">
            <w:pPr>
              <w:jc w:val="both"/>
              <w:rPr>
                <w:rFonts w:cs="Calibri"/>
                <w:b/>
                <w:bCs/>
                <w:lang w:val="ro-RO"/>
              </w:rPr>
            </w:pPr>
          </w:p>
          <w:p w:rsidR="00AE79CE" w:rsidRDefault="00AE79CE" w:rsidP="00AE79CE">
            <w:pPr>
              <w:jc w:val="both"/>
              <w:rPr>
                <w:rFonts w:cs="Calibri"/>
                <w:b/>
                <w:bCs/>
                <w:lang w:val="ro-RO"/>
              </w:rPr>
            </w:pPr>
          </w:p>
          <w:p w:rsidR="00A442FE" w:rsidRPr="00877F6A" w:rsidRDefault="00AE79CE" w:rsidP="00AE79CE">
            <w:pPr>
              <w:jc w:val="both"/>
              <w:rPr>
                <w:rFonts w:cs="Calibri"/>
                <w:bCs/>
              </w:rPr>
            </w:pPr>
            <w:r w:rsidRPr="009306E4">
              <w:rPr>
                <w:rFonts w:cs="Calibri"/>
                <w:b/>
                <w:bCs/>
                <w:lang w:val="ro-RO"/>
              </w:rPr>
              <w:t>Se acceptă</w:t>
            </w:r>
            <w:r>
              <w:rPr>
                <w:rFonts w:cs="Calibri"/>
                <w:b/>
                <w:bCs/>
                <w:lang w:val="ro-RO"/>
              </w:rPr>
              <w:t xml:space="preserve">. </w:t>
            </w:r>
            <w:r w:rsidR="00582E81" w:rsidRPr="00582E81">
              <w:rPr>
                <w:rFonts w:cs="Calibri"/>
                <w:bCs/>
                <w:lang w:val="ro-RO"/>
              </w:rPr>
              <w:t xml:space="preserve">Pentru a </w:t>
            </w:r>
            <w:r w:rsidR="00582E81" w:rsidRPr="0054622A">
              <w:rPr>
                <w:rFonts w:cs="Calibri"/>
                <w:bCs/>
                <w:lang w:val="ro-RO"/>
              </w:rPr>
              <w:t>exclude o tratare neadecvată</w:t>
            </w:r>
            <w:r w:rsidR="0054622A">
              <w:rPr>
                <w:rFonts w:cs="Calibri"/>
                <w:bCs/>
                <w:lang w:val="ro-RO"/>
              </w:rPr>
              <w:t xml:space="preserve"> au fost cuvintele </w:t>
            </w:r>
            <w:r w:rsidR="0054622A" w:rsidRPr="00AE79CE">
              <w:rPr>
                <w:rFonts w:cs="Calibri"/>
                <w:bCs/>
              </w:rPr>
              <w:t>„autorizați și neautorizați”</w:t>
            </w:r>
            <w:r w:rsidR="0054622A">
              <w:rPr>
                <w:rFonts w:cs="Calibri"/>
                <w:bCs/>
              </w:rPr>
              <w:t xml:space="preserve"> au fost substituite cu</w:t>
            </w:r>
            <w:r w:rsidR="0054622A">
              <w:rPr>
                <w:rFonts w:cs="Calibri"/>
                <w:bCs/>
                <w:lang w:val="ro-RO"/>
              </w:rPr>
              <w:t xml:space="preserve"> cuvintele </w:t>
            </w:r>
            <w:r w:rsidR="0054622A" w:rsidRPr="00AE79CE">
              <w:rPr>
                <w:rFonts w:cs="Calibri"/>
                <w:bCs/>
              </w:rPr>
              <w:t>„</w:t>
            </w:r>
            <w:r w:rsidR="0041762F">
              <w:rPr>
                <w:rFonts w:cs="Calibri"/>
                <w:bCs/>
              </w:rPr>
              <w:t>î</w:t>
            </w:r>
            <w:r w:rsidR="00460909">
              <w:rPr>
                <w:rFonts w:cs="Calibri"/>
                <w:bCs/>
              </w:rPr>
              <w:t xml:space="preserve">n funcţie de </w:t>
            </w:r>
            <w:r w:rsidR="0041762F">
              <w:rPr>
                <w:rFonts w:cs="Calibri"/>
                <w:bCs/>
              </w:rPr>
              <w:t>scopul vi</w:t>
            </w:r>
            <w:r w:rsidR="0054622A">
              <w:rPr>
                <w:rFonts w:cs="Calibri"/>
                <w:bCs/>
              </w:rPr>
              <w:t xml:space="preserve">zitei </w:t>
            </w:r>
            <w:r w:rsidR="0054622A" w:rsidRPr="00AE79CE">
              <w:rPr>
                <w:rFonts w:cs="Calibri"/>
                <w:bCs/>
              </w:rPr>
              <w:t>”</w:t>
            </w:r>
          </w:p>
          <w:p w:rsidR="00AE79CE" w:rsidRPr="00383F01" w:rsidRDefault="00AE79CE" w:rsidP="00AE79CE">
            <w:pPr>
              <w:jc w:val="both"/>
              <w:rPr>
                <w:rFonts w:cs="Calibri"/>
                <w:bCs/>
                <w:lang w:val="ro-RO"/>
              </w:rPr>
            </w:pPr>
            <w:r w:rsidRPr="009306E4">
              <w:rPr>
                <w:rFonts w:cs="Calibri"/>
                <w:b/>
                <w:bCs/>
                <w:lang w:val="ro-RO"/>
              </w:rPr>
              <w:t>Se acceptă</w:t>
            </w:r>
            <w:r w:rsidR="00383F01">
              <w:rPr>
                <w:rFonts w:cs="Calibri"/>
                <w:b/>
                <w:bCs/>
                <w:lang w:val="ro-RO"/>
              </w:rPr>
              <w:t xml:space="preserve">. </w:t>
            </w:r>
            <w:r w:rsidR="00383F01" w:rsidRPr="00383F01">
              <w:rPr>
                <w:rFonts w:cs="Calibri"/>
                <w:bCs/>
                <w:lang w:val="ro-RO"/>
              </w:rPr>
              <w:t>Cuvintele respective au fost excluse</w:t>
            </w:r>
            <w:r w:rsidR="00383F01">
              <w:rPr>
                <w:rFonts w:cs="Calibri"/>
                <w:bCs/>
                <w:lang w:val="ro-RO"/>
              </w:rPr>
              <w:t>,deoarece prezenta Normă se referă doar la Gripa aviară.</w:t>
            </w:r>
          </w:p>
          <w:p w:rsidR="004165AB" w:rsidRDefault="004165AB" w:rsidP="00457FBB">
            <w:pPr>
              <w:jc w:val="both"/>
              <w:rPr>
                <w:rFonts w:cs="Calibri"/>
                <w:b/>
                <w:bCs/>
                <w:lang w:val="ro-RO"/>
              </w:rPr>
            </w:pPr>
          </w:p>
          <w:p w:rsidR="004165AB" w:rsidRDefault="007658BB" w:rsidP="00457FBB">
            <w:pPr>
              <w:jc w:val="both"/>
              <w:rPr>
                <w:rFonts w:cs="Calibri"/>
                <w:b/>
                <w:bCs/>
                <w:lang w:val="ro-RO"/>
              </w:rPr>
            </w:pPr>
            <w:r w:rsidRPr="009306E4">
              <w:rPr>
                <w:rFonts w:cs="Calibri"/>
                <w:b/>
                <w:bCs/>
                <w:lang w:val="ro-RO"/>
              </w:rPr>
              <w:t>Se acceptă</w:t>
            </w:r>
            <w:r>
              <w:rPr>
                <w:rFonts w:cs="Calibri"/>
                <w:b/>
                <w:bCs/>
                <w:lang w:val="ro-RO"/>
              </w:rPr>
              <w:t>.</w:t>
            </w:r>
          </w:p>
          <w:p w:rsidR="004165AB" w:rsidRDefault="004165AB" w:rsidP="00457FBB">
            <w:pPr>
              <w:jc w:val="both"/>
              <w:rPr>
                <w:rFonts w:cs="Calibri"/>
                <w:b/>
                <w:bCs/>
                <w:lang w:val="ro-RO"/>
              </w:rPr>
            </w:pPr>
          </w:p>
          <w:p w:rsidR="004165AB" w:rsidRDefault="004165AB" w:rsidP="00457FBB">
            <w:pPr>
              <w:jc w:val="both"/>
              <w:rPr>
                <w:rFonts w:cs="Calibri"/>
                <w:b/>
                <w:bCs/>
                <w:lang w:val="ro-RO"/>
              </w:rPr>
            </w:pPr>
          </w:p>
          <w:p w:rsidR="002160A3" w:rsidRDefault="009A602F" w:rsidP="00457FBB">
            <w:pPr>
              <w:jc w:val="both"/>
              <w:rPr>
                <w:rFonts w:cs="Calibri"/>
                <w:bCs/>
                <w:lang w:val="ro-RO"/>
              </w:rPr>
            </w:pPr>
            <w:r w:rsidRPr="009306E4">
              <w:rPr>
                <w:rFonts w:cs="Calibri"/>
                <w:b/>
                <w:bCs/>
                <w:lang w:val="ro-RO"/>
              </w:rPr>
              <w:t>Se acceptă.</w:t>
            </w:r>
            <w:r w:rsidRPr="009A602F">
              <w:rPr>
                <w:rFonts w:cs="Calibri"/>
                <w:bCs/>
                <w:lang w:val="ro-RO"/>
              </w:rPr>
              <w:t>Totodată,accentuăm că</w:t>
            </w:r>
          </w:p>
          <w:p w:rsidR="009A602F" w:rsidRPr="002160A3" w:rsidRDefault="002160A3" w:rsidP="004165AB">
            <w:pPr>
              <w:jc w:val="both"/>
              <w:rPr>
                <w:rFonts w:cs="Calibri"/>
                <w:bCs/>
                <w:lang w:val="ro-RO"/>
              </w:rPr>
            </w:pPr>
            <w:r w:rsidRPr="002160A3">
              <w:rPr>
                <w:rFonts w:cs="Calibri"/>
                <w:bCs/>
                <w:lang w:val="ro-RO"/>
              </w:rPr>
              <w:t>Asociaţia Republicană a Producătorilor Agricoli – UniAgroProtect</w:t>
            </w:r>
            <w:r w:rsidR="004165AB">
              <w:rPr>
                <w:rFonts w:cs="Calibri"/>
                <w:bCs/>
                <w:lang w:val="ro-RO"/>
              </w:rPr>
              <w:t xml:space="preserve"> are o viziune diametral opusă, fiindcă aceste </w:t>
            </w:r>
            <w:r w:rsidR="004165AB">
              <w:rPr>
                <w:rFonts w:cs="Calibri"/>
                <w:bCs/>
                <w:lang w:val="ro-RO"/>
              </w:rPr>
              <w:lastRenderedPageBreak/>
              <w:t xml:space="preserve">prevederi sunt, mai degrabă, un suport normativ, care le-ar permite evitarea infetării şi protecţia păsărilor şi, evident, a pagubelor economice pentru </w:t>
            </w:r>
            <w:r w:rsidR="0082003C">
              <w:rPr>
                <w:rFonts w:cs="Calibri"/>
                <w:bCs/>
                <w:lang w:val="ro-RO"/>
              </w:rPr>
              <w:t>c</w:t>
            </w:r>
            <w:r w:rsidR="004165AB">
              <w:rPr>
                <w:rFonts w:cs="Calibri"/>
                <w:bCs/>
                <w:lang w:val="ro-RO"/>
              </w:rPr>
              <w:t>a</w:t>
            </w:r>
            <w:r w:rsidR="0082003C">
              <w:rPr>
                <w:rFonts w:cs="Calibri"/>
                <w:bCs/>
                <w:lang w:val="ro-RO"/>
              </w:rPr>
              <w:t xml:space="preserve">re, prin lege, se prevăd despăgubiri din partea statului. </w:t>
            </w:r>
          </w:p>
        </w:tc>
      </w:tr>
      <w:tr w:rsidR="009476BE" w:rsidRPr="00FD4796" w:rsidTr="00DE03EE">
        <w:trPr>
          <w:trHeight w:val="285"/>
        </w:trPr>
        <w:tc>
          <w:tcPr>
            <w:tcW w:w="828" w:type="dxa"/>
            <w:shd w:val="clear" w:color="auto" w:fill="auto"/>
          </w:tcPr>
          <w:p w:rsidR="009476BE" w:rsidRPr="000908C2" w:rsidRDefault="009306E4" w:rsidP="00354471">
            <w:pPr>
              <w:rPr>
                <w:rFonts w:cs="Calibri"/>
                <w:b/>
                <w:bCs/>
                <w:lang w:val="ro-RO"/>
              </w:rPr>
            </w:pPr>
            <w:r>
              <w:rPr>
                <w:rFonts w:cs="Calibri"/>
                <w:b/>
                <w:bCs/>
                <w:lang w:val="ro-RO"/>
              </w:rPr>
              <w:lastRenderedPageBreak/>
              <w:t>II</w:t>
            </w:r>
          </w:p>
        </w:tc>
        <w:tc>
          <w:tcPr>
            <w:tcW w:w="3240" w:type="dxa"/>
            <w:shd w:val="clear" w:color="auto" w:fill="auto"/>
          </w:tcPr>
          <w:p w:rsidR="009476BE" w:rsidRDefault="009306E4" w:rsidP="009476BE">
            <w:pPr>
              <w:jc w:val="both"/>
              <w:rPr>
                <w:rFonts w:cs="Calibri"/>
                <w:b/>
                <w:bCs/>
                <w:lang w:val="ro-RO"/>
              </w:rPr>
            </w:pPr>
            <w:r>
              <w:rPr>
                <w:rFonts w:cs="Calibri"/>
                <w:b/>
                <w:bCs/>
                <w:lang w:val="ro-RO"/>
              </w:rPr>
              <w:t xml:space="preserve">Asociaţia Republicană a Producătorilor Agricoli – UniAgroProtect (nr. 16 din 21.07.2017) </w:t>
            </w:r>
          </w:p>
        </w:tc>
        <w:tc>
          <w:tcPr>
            <w:tcW w:w="6609" w:type="dxa"/>
            <w:shd w:val="clear" w:color="auto" w:fill="auto"/>
          </w:tcPr>
          <w:p w:rsidR="009476BE" w:rsidRDefault="002E6267" w:rsidP="002E6267">
            <w:pPr>
              <w:jc w:val="both"/>
              <w:rPr>
                <w:rFonts w:cs="Calibri"/>
                <w:b/>
                <w:bCs/>
                <w:lang w:val="ro-RO"/>
              </w:rPr>
            </w:pPr>
            <w:r>
              <w:rPr>
                <w:rFonts w:cs="Calibri"/>
                <w:b/>
                <w:bCs/>
                <w:lang w:val="ro-RO"/>
              </w:rPr>
              <w:t>Aviz pozitiv – susţine proiectul menţionat</w:t>
            </w:r>
          </w:p>
          <w:p w:rsidR="002E6267" w:rsidRPr="002E6267" w:rsidRDefault="002E6267" w:rsidP="002E6267">
            <w:pPr>
              <w:jc w:val="both"/>
              <w:rPr>
                <w:rFonts w:cs="Calibri"/>
                <w:bCs/>
                <w:lang w:val="ro-RO"/>
              </w:rPr>
            </w:pPr>
            <w:r w:rsidRPr="002E6267">
              <w:rPr>
                <w:rFonts w:cs="Calibri"/>
                <w:bCs/>
                <w:lang w:val="ro-RO"/>
              </w:rPr>
              <w:t xml:space="preserve">Totodată, </w:t>
            </w:r>
            <w:r w:rsidR="002968FC">
              <w:rPr>
                <w:rFonts w:cs="Calibri"/>
                <w:bCs/>
                <w:lang w:val="ro-RO"/>
              </w:rPr>
              <w:t xml:space="preserve">consideră că </w:t>
            </w:r>
            <w:r>
              <w:rPr>
                <w:rFonts w:cs="Calibri"/>
                <w:bCs/>
                <w:lang w:val="ro-RO"/>
              </w:rPr>
              <w:t>p</w:t>
            </w:r>
            <w:r w:rsidRPr="002E6267">
              <w:rPr>
                <w:rFonts w:cs="Calibri"/>
                <w:bCs/>
                <w:lang w:val="ro-RO"/>
              </w:rPr>
              <w:t>rezentul act normatv nu are  impact asupra activității de întreprinzător și nu necesită elaborarea Analizei impactului de reglementare.</w:t>
            </w:r>
          </w:p>
        </w:tc>
        <w:tc>
          <w:tcPr>
            <w:tcW w:w="4109" w:type="dxa"/>
            <w:gridSpan w:val="2"/>
            <w:shd w:val="clear" w:color="auto" w:fill="auto"/>
          </w:tcPr>
          <w:p w:rsidR="009476BE" w:rsidRDefault="002E6267" w:rsidP="00457FBB">
            <w:pPr>
              <w:jc w:val="both"/>
              <w:rPr>
                <w:rFonts w:cs="Calibri"/>
                <w:b/>
                <w:bCs/>
                <w:lang w:val="ro-RO"/>
              </w:rPr>
            </w:pPr>
            <w:r w:rsidRPr="009306E4">
              <w:rPr>
                <w:rFonts w:cs="Calibri"/>
                <w:b/>
                <w:bCs/>
                <w:lang w:val="ro-RO"/>
              </w:rPr>
              <w:t>Se acceptă.</w:t>
            </w:r>
          </w:p>
          <w:p w:rsidR="002E6267" w:rsidRPr="009306E4" w:rsidRDefault="002E6267" w:rsidP="00457FBB">
            <w:pPr>
              <w:jc w:val="both"/>
              <w:rPr>
                <w:rFonts w:cs="Calibri"/>
                <w:b/>
                <w:bCs/>
                <w:lang w:val="ro-RO"/>
              </w:rPr>
            </w:pPr>
            <w:r w:rsidRPr="009306E4">
              <w:rPr>
                <w:rFonts w:cs="Calibri"/>
                <w:b/>
                <w:bCs/>
                <w:lang w:val="ro-RO"/>
              </w:rPr>
              <w:t>Se acceptă.</w:t>
            </w:r>
            <w:r w:rsidRPr="002E6267">
              <w:rPr>
                <w:rFonts w:cs="Calibri"/>
                <w:bCs/>
                <w:lang w:val="ro-RO"/>
              </w:rPr>
              <w:t xml:space="preserve"> Totodată,</w:t>
            </w:r>
            <w:r>
              <w:rPr>
                <w:rFonts w:cs="Calibri"/>
                <w:bCs/>
                <w:lang w:val="ro-RO"/>
              </w:rPr>
              <w:t xml:space="preserve"> menţionăm că</w:t>
            </w:r>
            <w:r>
              <w:t xml:space="preserve"> </w:t>
            </w:r>
            <w:r w:rsidRPr="002E6267">
              <w:rPr>
                <w:rFonts w:cs="Calibri"/>
                <w:bCs/>
                <w:lang w:val="ro-RO"/>
              </w:rPr>
              <w:t>Ministerul Economiei</w:t>
            </w:r>
            <w:r>
              <w:rPr>
                <w:rFonts w:cs="Calibri"/>
                <w:bCs/>
                <w:lang w:val="ro-RO"/>
              </w:rPr>
              <w:t xml:space="preserve"> are o opinie diametral opusă. </w:t>
            </w:r>
          </w:p>
        </w:tc>
      </w:tr>
      <w:tr w:rsidR="009476BE" w:rsidRPr="00FD4796" w:rsidTr="00DE03EE">
        <w:trPr>
          <w:trHeight w:val="285"/>
        </w:trPr>
        <w:tc>
          <w:tcPr>
            <w:tcW w:w="828" w:type="dxa"/>
            <w:shd w:val="clear" w:color="auto" w:fill="auto"/>
          </w:tcPr>
          <w:p w:rsidR="009476BE" w:rsidRPr="000908C2" w:rsidRDefault="002968FC" w:rsidP="00354471">
            <w:pPr>
              <w:rPr>
                <w:rFonts w:cs="Calibri"/>
                <w:b/>
                <w:bCs/>
                <w:lang w:val="ro-RO"/>
              </w:rPr>
            </w:pPr>
            <w:r>
              <w:rPr>
                <w:rFonts w:cs="Calibri"/>
                <w:b/>
                <w:bCs/>
                <w:lang w:val="ro-RO"/>
              </w:rPr>
              <w:t>III</w:t>
            </w:r>
          </w:p>
        </w:tc>
        <w:tc>
          <w:tcPr>
            <w:tcW w:w="3240" w:type="dxa"/>
            <w:shd w:val="clear" w:color="auto" w:fill="auto"/>
          </w:tcPr>
          <w:p w:rsidR="009476BE" w:rsidRDefault="009476BE" w:rsidP="009476BE">
            <w:pPr>
              <w:jc w:val="both"/>
              <w:rPr>
                <w:rFonts w:cs="Calibri"/>
                <w:b/>
                <w:bCs/>
                <w:lang w:val="ro-RO"/>
              </w:rPr>
            </w:pPr>
            <w:r w:rsidRPr="00D61FE8">
              <w:rPr>
                <w:rFonts w:cs="Calibri"/>
                <w:b/>
                <w:bCs/>
                <w:lang w:val="ro-RO"/>
              </w:rPr>
              <w:t xml:space="preserve">MAEIE (DI/3/041.1 – </w:t>
            </w:r>
            <w:r w:rsidR="002968FC">
              <w:rPr>
                <w:rFonts w:cs="Calibri"/>
                <w:b/>
                <w:bCs/>
                <w:lang w:val="ro-RO"/>
              </w:rPr>
              <w:t>9360  din 24.07</w:t>
            </w:r>
            <w:r w:rsidRPr="00D61FE8">
              <w:rPr>
                <w:rFonts w:cs="Calibri"/>
                <w:b/>
                <w:bCs/>
                <w:lang w:val="ro-RO"/>
              </w:rPr>
              <w:t>.2017)</w:t>
            </w:r>
          </w:p>
        </w:tc>
        <w:tc>
          <w:tcPr>
            <w:tcW w:w="6609" w:type="dxa"/>
            <w:shd w:val="clear" w:color="auto" w:fill="auto"/>
          </w:tcPr>
          <w:p w:rsidR="002968FC" w:rsidRDefault="002968FC" w:rsidP="002968FC">
            <w:pPr>
              <w:jc w:val="both"/>
              <w:rPr>
                <w:rFonts w:cs="Calibri"/>
                <w:b/>
                <w:bCs/>
                <w:lang w:val="ro-RO"/>
              </w:rPr>
            </w:pPr>
            <w:r>
              <w:rPr>
                <w:rFonts w:cs="Calibri"/>
                <w:b/>
                <w:bCs/>
                <w:lang w:val="ro-RO"/>
              </w:rPr>
              <w:t>Aviz pozitiv – susţine proiectul menţionat</w:t>
            </w:r>
          </w:p>
          <w:p w:rsidR="009476BE" w:rsidRPr="000908C2" w:rsidRDefault="009476BE" w:rsidP="002968FC">
            <w:pPr>
              <w:jc w:val="both"/>
              <w:rPr>
                <w:rFonts w:cs="Calibri"/>
                <w:b/>
                <w:bCs/>
                <w:lang w:val="ro-RO"/>
              </w:rPr>
            </w:pPr>
          </w:p>
        </w:tc>
        <w:tc>
          <w:tcPr>
            <w:tcW w:w="4109" w:type="dxa"/>
            <w:gridSpan w:val="2"/>
            <w:shd w:val="clear" w:color="auto" w:fill="auto"/>
          </w:tcPr>
          <w:p w:rsidR="0000659A" w:rsidRDefault="0000659A" w:rsidP="0000659A">
            <w:pPr>
              <w:jc w:val="both"/>
              <w:rPr>
                <w:rFonts w:cs="Calibri"/>
                <w:b/>
                <w:bCs/>
                <w:lang w:val="ro-RO"/>
              </w:rPr>
            </w:pPr>
            <w:r w:rsidRPr="009306E4">
              <w:rPr>
                <w:rFonts w:cs="Calibri"/>
                <w:b/>
                <w:bCs/>
                <w:lang w:val="ro-RO"/>
              </w:rPr>
              <w:t>Se acceptă.</w:t>
            </w:r>
          </w:p>
          <w:p w:rsidR="009476BE" w:rsidRPr="009306E4" w:rsidRDefault="009476BE" w:rsidP="00457FBB">
            <w:pPr>
              <w:jc w:val="both"/>
              <w:rPr>
                <w:rFonts w:cs="Calibri"/>
                <w:b/>
                <w:bCs/>
                <w:lang w:val="ro-RO"/>
              </w:rPr>
            </w:pPr>
          </w:p>
        </w:tc>
      </w:tr>
      <w:tr w:rsidR="0004795A" w:rsidRPr="00361C16" w:rsidTr="00877F6A">
        <w:trPr>
          <w:trHeight w:val="547"/>
        </w:trPr>
        <w:tc>
          <w:tcPr>
            <w:tcW w:w="828" w:type="dxa"/>
            <w:shd w:val="clear" w:color="auto" w:fill="auto"/>
          </w:tcPr>
          <w:p w:rsidR="0004795A" w:rsidRPr="000908C2" w:rsidRDefault="002968FC" w:rsidP="00354471">
            <w:pPr>
              <w:snapToGrid w:val="0"/>
              <w:rPr>
                <w:rFonts w:cs="Calibri"/>
                <w:b/>
                <w:bCs/>
                <w:lang w:val="ro-RO"/>
              </w:rPr>
            </w:pPr>
            <w:r>
              <w:rPr>
                <w:rFonts w:cs="Calibri"/>
                <w:b/>
                <w:bCs/>
                <w:lang w:val="ro-RO"/>
              </w:rPr>
              <w:t>IV</w:t>
            </w:r>
          </w:p>
        </w:tc>
        <w:tc>
          <w:tcPr>
            <w:tcW w:w="3240" w:type="dxa"/>
            <w:shd w:val="clear" w:color="auto" w:fill="auto"/>
          </w:tcPr>
          <w:p w:rsidR="0004795A" w:rsidRPr="000908C2" w:rsidRDefault="00880B47" w:rsidP="0004795A">
            <w:pPr>
              <w:snapToGrid w:val="0"/>
              <w:jc w:val="both"/>
              <w:rPr>
                <w:rFonts w:cs="Calibri"/>
                <w:b/>
                <w:bCs/>
                <w:lang w:val="ro-RO"/>
              </w:rPr>
            </w:pPr>
            <w:r>
              <w:rPr>
                <w:rFonts w:cs="Calibri"/>
                <w:b/>
                <w:bCs/>
                <w:lang w:val="ro-RO"/>
              </w:rPr>
              <w:t>Ministerul Finanţelor(11/1-2-09/</w:t>
            </w:r>
            <w:r w:rsidR="00465C34">
              <w:rPr>
                <w:rFonts w:cs="Calibri"/>
                <w:b/>
                <w:bCs/>
                <w:lang w:val="ru-RU"/>
              </w:rPr>
              <w:t>717</w:t>
            </w:r>
            <w:r w:rsidR="00465C34">
              <w:rPr>
                <w:rFonts w:cs="Calibri"/>
                <w:b/>
                <w:bCs/>
                <w:lang w:val="ro-RO"/>
              </w:rPr>
              <w:t xml:space="preserve"> din 25.07</w:t>
            </w:r>
            <w:r>
              <w:rPr>
                <w:rFonts w:cs="Calibri"/>
                <w:b/>
                <w:bCs/>
                <w:lang w:val="ro-RO"/>
              </w:rPr>
              <w:t>.2017)</w:t>
            </w:r>
          </w:p>
        </w:tc>
        <w:tc>
          <w:tcPr>
            <w:tcW w:w="6615" w:type="dxa"/>
            <w:gridSpan w:val="2"/>
            <w:shd w:val="clear" w:color="auto" w:fill="auto"/>
          </w:tcPr>
          <w:p w:rsidR="0004795A" w:rsidRPr="003F0843" w:rsidRDefault="00B076B5" w:rsidP="00880B47">
            <w:pPr>
              <w:jc w:val="center"/>
              <w:rPr>
                <w:rFonts w:cs="Calibri"/>
                <w:lang w:val="ro-RO"/>
              </w:rPr>
            </w:pPr>
            <w:r>
              <w:rPr>
                <w:rFonts w:cs="Calibri"/>
                <w:b/>
                <w:bCs/>
                <w:lang w:val="ro-RO"/>
              </w:rPr>
              <w:t>Aviz pozitiv-lipsă obiecţii şi propuneri</w:t>
            </w:r>
          </w:p>
        </w:tc>
        <w:tc>
          <w:tcPr>
            <w:tcW w:w="4103" w:type="dxa"/>
            <w:shd w:val="clear" w:color="auto" w:fill="auto"/>
          </w:tcPr>
          <w:p w:rsidR="0000659A" w:rsidRDefault="0000659A" w:rsidP="0000659A">
            <w:pPr>
              <w:jc w:val="both"/>
              <w:rPr>
                <w:rFonts w:cs="Calibri"/>
                <w:b/>
                <w:bCs/>
                <w:lang w:val="ro-RO"/>
              </w:rPr>
            </w:pPr>
            <w:r w:rsidRPr="009306E4">
              <w:rPr>
                <w:rFonts w:cs="Calibri"/>
                <w:b/>
                <w:bCs/>
                <w:lang w:val="ro-RO"/>
              </w:rPr>
              <w:t>Se acceptă.</w:t>
            </w:r>
          </w:p>
          <w:p w:rsidR="0004795A" w:rsidRPr="000908C2" w:rsidRDefault="0004795A" w:rsidP="00354471">
            <w:pPr>
              <w:jc w:val="both"/>
              <w:rPr>
                <w:rFonts w:cs="Calibri"/>
                <w:b/>
                <w:bCs/>
                <w:lang w:val="en-US"/>
              </w:rPr>
            </w:pPr>
          </w:p>
        </w:tc>
      </w:tr>
      <w:tr w:rsidR="00073D4F" w:rsidRPr="00361C16" w:rsidTr="008D7D08">
        <w:trPr>
          <w:trHeight w:val="785"/>
        </w:trPr>
        <w:tc>
          <w:tcPr>
            <w:tcW w:w="828" w:type="dxa"/>
            <w:shd w:val="clear" w:color="auto" w:fill="auto"/>
          </w:tcPr>
          <w:p w:rsidR="00073D4F" w:rsidRDefault="00073D4F" w:rsidP="00354471">
            <w:pPr>
              <w:snapToGrid w:val="0"/>
              <w:rPr>
                <w:rFonts w:cs="Calibri"/>
                <w:b/>
                <w:bCs/>
                <w:lang w:val="ro-RO"/>
              </w:rPr>
            </w:pPr>
            <w:r>
              <w:rPr>
                <w:rFonts w:cs="Calibri"/>
                <w:b/>
                <w:bCs/>
                <w:lang w:val="ro-RO"/>
              </w:rPr>
              <w:t>V</w:t>
            </w:r>
          </w:p>
        </w:tc>
        <w:tc>
          <w:tcPr>
            <w:tcW w:w="3240" w:type="dxa"/>
            <w:shd w:val="clear" w:color="auto" w:fill="auto"/>
          </w:tcPr>
          <w:p w:rsidR="00073D4F" w:rsidRPr="000908C2" w:rsidRDefault="00FD1114" w:rsidP="0004795A">
            <w:pPr>
              <w:snapToGrid w:val="0"/>
              <w:jc w:val="both"/>
              <w:rPr>
                <w:rFonts w:cs="Calibri"/>
                <w:b/>
                <w:bCs/>
                <w:lang w:val="ro-RO"/>
              </w:rPr>
            </w:pPr>
            <w:r>
              <w:rPr>
                <w:rFonts w:cs="Calibri"/>
                <w:b/>
                <w:bCs/>
                <w:lang w:val="ro-RO"/>
              </w:rPr>
              <w:t>Ministerul Sănătăţii (01-9/566 din 13.04.2017)</w:t>
            </w:r>
          </w:p>
        </w:tc>
        <w:tc>
          <w:tcPr>
            <w:tcW w:w="6615" w:type="dxa"/>
            <w:gridSpan w:val="2"/>
            <w:shd w:val="clear" w:color="auto" w:fill="auto"/>
          </w:tcPr>
          <w:p w:rsidR="002160A3" w:rsidRDefault="00B076B5" w:rsidP="00FD1114">
            <w:pPr>
              <w:jc w:val="center"/>
              <w:rPr>
                <w:rFonts w:cs="Calibri"/>
                <w:b/>
                <w:bCs/>
                <w:lang w:val="ro-RO"/>
              </w:rPr>
            </w:pPr>
            <w:r>
              <w:rPr>
                <w:rFonts w:cs="Calibri"/>
                <w:b/>
                <w:bCs/>
                <w:lang w:val="ro-RO"/>
              </w:rPr>
              <w:t>Aviz pozitiv</w:t>
            </w:r>
          </w:p>
          <w:p w:rsidR="00073D4F" w:rsidRDefault="002160A3" w:rsidP="002160A3">
            <w:pPr>
              <w:jc w:val="both"/>
              <w:rPr>
                <w:rFonts w:cs="Calibri"/>
                <w:b/>
                <w:bCs/>
              </w:rPr>
            </w:pPr>
            <w:r>
              <w:rPr>
                <w:rFonts w:cs="Calibri"/>
                <w:b/>
                <w:bCs/>
                <w:lang w:val="en-US"/>
              </w:rPr>
              <w:t>O</w:t>
            </w:r>
            <w:r w:rsidR="00B076B5">
              <w:rPr>
                <w:rFonts w:cs="Calibri"/>
                <w:b/>
                <w:bCs/>
                <w:lang w:val="ro-RO"/>
              </w:rPr>
              <w:t>biecţii şi propuneri</w:t>
            </w:r>
            <w:r>
              <w:rPr>
                <w:rFonts w:cs="Calibri"/>
                <w:b/>
                <w:bCs/>
              </w:rPr>
              <w:t>:</w:t>
            </w:r>
          </w:p>
          <w:p w:rsidR="002160A3" w:rsidRDefault="006301A7" w:rsidP="002160A3">
            <w:pPr>
              <w:jc w:val="both"/>
              <w:rPr>
                <w:rFonts w:cs="Calibri"/>
              </w:rPr>
            </w:pPr>
            <w:r>
              <w:rPr>
                <w:rFonts w:cs="Calibri"/>
              </w:rPr>
              <w:t>La pct. 2 subpct. 8) în pct. 5</w:t>
            </w:r>
            <w:r>
              <w:rPr>
                <w:rFonts w:cs="Calibri"/>
                <w:vertAlign w:val="superscript"/>
              </w:rPr>
              <w:t>1</w:t>
            </w:r>
            <w:r>
              <w:rPr>
                <w:rFonts w:cs="Calibri"/>
              </w:rPr>
              <w:t xml:space="preserve"> subpct. 3) după cuvintele – „prelevarea de probe” de inclus </w:t>
            </w:r>
            <w:r w:rsidR="003102FD">
              <w:rPr>
                <w:rFonts w:cs="Calibri"/>
              </w:rPr>
              <w:t xml:space="preserve"> </w:t>
            </w:r>
            <w:r>
              <w:rPr>
                <w:rFonts w:cs="Calibri"/>
              </w:rPr>
              <w:t>” în termenii sstabiliţi, reeşind din situaţia</w:t>
            </w:r>
            <w:r w:rsidR="003102FD">
              <w:rPr>
                <w:rFonts w:cs="Calibri"/>
              </w:rPr>
              <w:t xml:space="preserve"> </w:t>
            </w:r>
            <w:r>
              <w:rPr>
                <w:rFonts w:cs="Calibri"/>
              </w:rPr>
              <w:t>epidemilogică”.</w:t>
            </w:r>
          </w:p>
          <w:p w:rsidR="006301A7" w:rsidRPr="006301A7" w:rsidRDefault="006301A7" w:rsidP="006301A7">
            <w:pPr>
              <w:rPr>
                <w:rFonts w:cs="Calibri"/>
              </w:rPr>
            </w:pPr>
            <w:r>
              <w:rPr>
                <w:rFonts w:cs="Calibri"/>
              </w:rPr>
              <w:t>La anexa nt. 7 sec. 3, pct. 10, lit. c) după sintagma „</w:t>
            </w:r>
            <w:r w:rsidR="0000659A">
              <w:rPr>
                <w:rFonts w:cs="Calibri"/>
              </w:rPr>
              <w:t>conţine o listă</w:t>
            </w:r>
            <w:r>
              <w:rPr>
                <w:rFonts w:cs="Calibri"/>
              </w:rPr>
              <w:t>”</w:t>
            </w:r>
            <w:r w:rsidR="0000659A">
              <w:rPr>
                <w:rFonts w:cs="Calibri"/>
              </w:rPr>
              <w:t xml:space="preserve"> de inclus „a autorităţilor şi…”</w:t>
            </w:r>
          </w:p>
        </w:tc>
        <w:tc>
          <w:tcPr>
            <w:tcW w:w="4103" w:type="dxa"/>
            <w:shd w:val="clear" w:color="auto" w:fill="auto"/>
          </w:tcPr>
          <w:p w:rsidR="00073D4F" w:rsidRDefault="00073D4F" w:rsidP="00354471">
            <w:pPr>
              <w:jc w:val="both"/>
              <w:rPr>
                <w:rFonts w:cs="Calibri"/>
                <w:b/>
                <w:bCs/>
                <w:lang w:val="en-US"/>
              </w:rPr>
            </w:pPr>
          </w:p>
          <w:p w:rsidR="0000659A" w:rsidRDefault="0000659A" w:rsidP="00354471">
            <w:pPr>
              <w:jc w:val="both"/>
              <w:rPr>
                <w:rFonts w:cs="Calibri"/>
                <w:b/>
                <w:bCs/>
                <w:lang w:val="en-US"/>
              </w:rPr>
            </w:pPr>
          </w:p>
          <w:p w:rsidR="0000659A" w:rsidRDefault="0000659A" w:rsidP="0000659A">
            <w:pPr>
              <w:jc w:val="both"/>
              <w:rPr>
                <w:rFonts w:cs="Calibri"/>
                <w:b/>
                <w:bCs/>
                <w:lang w:val="ro-RO"/>
              </w:rPr>
            </w:pPr>
            <w:r w:rsidRPr="009306E4">
              <w:rPr>
                <w:rFonts w:cs="Calibri"/>
                <w:b/>
                <w:bCs/>
                <w:lang w:val="ro-RO"/>
              </w:rPr>
              <w:t>Se acceptă.</w:t>
            </w:r>
          </w:p>
          <w:p w:rsidR="0000659A" w:rsidRDefault="0000659A" w:rsidP="00354471">
            <w:pPr>
              <w:jc w:val="both"/>
              <w:rPr>
                <w:rFonts w:cs="Calibri"/>
                <w:b/>
                <w:bCs/>
                <w:lang w:val="en-US"/>
              </w:rPr>
            </w:pPr>
          </w:p>
          <w:p w:rsidR="0000659A" w:rsidRDefault="0000659A" w:rsidP="00354471">
            <w:pPr>
              <w:jc w:val="both"/>
              <w:rPr>
                <w:rFonts w:cs="Calibri"/>
                <w:b/>
                <w:bCs/>
                <w:lang w:val="en-US"/>
              </w:rPr>
            </w:pPr>
          </w:p>
          <w:p w:rsidR="0000659A" w:rsidRDefault="0000659A" w:rsidP="0000659A">
            <w:pPr>
              <w:jc w:val="both"/>
              <w:rPr>
                <w:rFonts w:cs="Calibri"/>
                <w:b/>
                <w:bCs/>
                <w:lang w:val="ro-RO"/>
              </w:rPr>
            </w:pPr>
            <w:r w:rsidRPr="009306E4">
              <w:rPr>
                <w:rFonts w:cs="Calibri"/>
                <w:b/>
                <w:bCs/>
                <w:lang w:val="ro-RO"/>
              </w:rPr>
              <w:t>Se acceptă.</w:t>
            </w:r>
          </w:p>
          <w:p w:rsidR="0000659A" w:rsidRDefault="0000659A" w:rsidP="00354471">
            <w:pPr>
              <w:jc w:val="both"/>
              <w:rPr>
                <w:rFonts w:cs="Calibri"/>
                <w:b/>
                <w:bCs/>
                <w:lang w:val="en-US"/>
              </w:rPr>
            </w:pPr>
          </w:p>
        </w:tc>
      </w:tr>
      <w:tr w:rsidR="008B11D1" w:rsidRPr="00361C16" w:rsidTr="008D7D08">
        <w:trPr>
          <w:trHeight w:val="785"/>
        </w:trPr>
        <w:tc>
          <w:tcPr>
            <w:tcW w:w="828" w:type="dxa"/>
            <w:shd w:val="clear" w:color="auto" w:fill="auto"/>
          </w:tcPr>
          <w:p w:rsidR="008B11D1" w:rsidRPr="0000659A" w:rsidRDefault="008B11D1" w:rsidP="00354471">
            <w:pPr>
              <w:snapToGrid w:val="0"/>
              <w:rPr>
                <w:rFonts w:cs="Calibri"/>
                <w:b/>
                <w:bCs/>
              </w:rPr>
            </w:pPr>
            <w:r>
              <w:rPr>
                <w:rFonts w:cs="Calibri"/>
                <w:b/>
                <w:bCs/>
                <w:lang w:val="ro-RO"/>
              </w:rPr>
              <w:t>V</w:t>
            </w:r>
            <w:r w:rsidR="0000659A">
              <w:rPr>
                <w:rFonts w:cs="Calibri"/>
                <w:b/>
                <w:bCs/>
                <w:lang w:val="ro-RO"/>
              </w:rPr>
              <w:t>I</w:t>
            </w:r>
          </w:p>
        </w:tc>
        <w:tc>
          <w:tcPr>
            <w:tcW w:w="3240" w:type="dxa"/>
            <w:shd w:val="clear" w:color="auto" w:fill="auto"/>
          </w:tcPr>
          <w:p w:rsidR="008B11D1" w:rsidRDefault="008B11D1" w:rsidP="0004795A">
            <w:pPr>
              <w:snapToGrid w:val="0"/>
              <w:jc w:val="both"/>
              <w:rPr>
                <w:rFonts w:cs="Calibri"/>
                <w:b/>
                <w:bCs/>
                <w:lang w:val="ro-RO"/>
              </w:rPr>
            </w:pPr>
            <w:r>
              <w:rPr>
                <w:rFonts w:cs="Calibri"/>
                <w:b/>
                <w:bCs/>
                <w:lang w:val="ro-RO"/>
              </w:rPr>
              <w:t>Agenţia Naţională pentru Siguranţa Alimentelor (01-6/1489 din 10.07.2017)</w:t>
            </w:r>
          </w:p>
        </w:tc>
        <w:tc>
          <w:tcPr>
            <w:tcW w:w="6615" w:type="dxa"/>
            <w:gridSpan w:val="2"/>
            <w:shd w:val="clear" w:color="auto" w:fill="auto"/>
          </w:tcPr>
          <w:p w:rsidR="008B11D1" w:rsidRPr="008B11D1" w:rsidRDefault="008B11D1" w:rsidP="008B11D1">
            <w:pPr>
              <w:jc w:val="both"/>
              <w:rPr>
                <w:rFonts w:cs="Calibri"/>
                <w:bCs/>
                <w:lang w:val="ro-RO"/>
              </w:rPr>
            </w:pPr>
            <w:r>
              <w:rPr>
                <w:rFonts w:cs="Calibri"/>
                <w:bCs/>
                <w:lang w:val="ro-RO"/>
              </w:rPr>
              <w:t>P</w:t>
            </w:r>
            <w:r w:rsidRPr="008B11D1">
              <w:rPr>
                <w:rFonts w:cs="Calibri"/>
                <w:bCs/>
                <w:lang w:val="ro-RO"/>
              </w:rPr>
              <w:t>ropune următoarele modificări și completări:</w:t>
            </w:r>
          </w:p>
          <w:p w:rsidR="008B11D1" w:rsidRPr="008B11D1" w:rsidRDefault="008B11D1" w:rsidP="008B11D1">
            <w:pPr>
              <w:jc w:val="both"/>
              <w:rPr>
                <w:rFonts w:cs="Calibri"/>
                <w:bCs/>
                <w:lang w:val="ro-RO"/>
              </w:rPr>
            </w:pPr>
            <w:r w:rsidRPr="008B11D1">
              <w:rPr>
                <w:rFonts w:cs="Calibri"/>
                <w:bCs/>
                <w:lang w:val="ro-RO"/>
              </w:rPr>
              <w:t>1.</w:t>
            </w:r>
            <w:r w:rsidRPr="008B11D1">
              <w:rPr>
                <w:rFonts w:cs="Calibri"/>
                <w:bCs/>
                <w:lang w:val="ro-RO"/>
              </w:rPr>
              <w:tab/>
              <w:t>La punctul 4 în definiția:</w:t>
            </w:r>
          </w:p>
          <w:p w:rsidR="008B11D1" w:rsidRDefault="008B11D1" w:rsidP="008B11D1">
            <w:pPr>
              <w:jc w:val="both"/>
              <w:rPr>
                <w:rFonts w:cs="Calibri"/>
                <w:bCs/>
                <w:lang w:val="ro-RO"/>
              </w:rPr>
            </w:pPr>
            <w:r w:rsidRPr="008B11D1">
              <w:rPr>
                <w:rFonts w:cs="Calibri"/>
                <w:bCs/>
                <w:lang w:val="ro-RO"/>
              </w:rPr>
              <w:t>-</w:t>
            </w:r>
            <w:r w:rsidRPr="008B11D1">
              <w:rPr>
                <w:rFonts w:cs="Calibri"/>
                <w:bCs/>
                <w:lang w:val="ro-RO"/>
              </w:rPr>
              <w:tab/>
              <w:t xml:space="preserve">supervizare oficială – Agenţia Sanitar-veterinară şi Siguranţa Produselor de Origine Animală se substituie cu Agenția Națională pentru Siguranța Alimentelor; </w:t>
            </w:r>
          </w:p>
          <w:p w:rsidR="002F492F" w:rsidRDefault="002F492F" w:rsidP="008B11D1">
            <w:pPr>
              <w:jc w:val="both"/>
              <w:rPr>
                <w:rFonts w:cs="Calibri"/>
                <w:bCs/>
                <w:lang w:val="ro-RO"/>
              </w:rPr>
            </w:pPr>
          </w:p>
          <w:p w:rsidR="002F492F" w:rsidRDefault="002F492F" w:rsidP="008B11D1">
            <w:pPr>
              <w:jc w:val="both"/>
              <w:rPr>
                <w:rFonts w:cs="Calibri"/>
                <w:bCs/>
                <w:lang w:val="ro-RO"/>
              </w:rPr>
            </w:pPr>
          </w:p>
          <w:p w:rsidR="002F492F" w:rsidRPr="008B11D1" w:rsidRDefault="002F492F" w:rsidP="008B11D1">
            <w:pPr>
              <w:jc w:val="both"/>
              <w:rPr>
                <w:rFonts w:cs="Calibri"/>
                <w:bCs/>
                <w:lang w:val="ro-RO"/>
              </w:rPr>
            </w:pPr>
          </w:p>
          <w:p w:rsidR="002F492F" w:rsidRPr="008B11D1" w:rsidRDefault="008B11D1" w:rsidP="008B11D1">
            <w:pPr>
              <w:jc w:val="both"/>
              <w:rPr>
                <w:rFonts w:cs="Calibri"/>
                <w:bCs/>
                <w:lang w:val="ro-RO"/>
              </w:rPr>
            </w:pPr>
            <w:r w:rsidRPr="008B11D1">
              <w:rPr>
                <w:rFonts w:cs="Calibri"/>
                <w:bCs/>
                <w:lang w:val="ro-RO"/>
              </w:rPr>
              <w:t>2.</w:t>
            </w:r>
            <w:r w:rsidRPr="008B11D1">
              <w:rPr>
                <w:rFonts w:cs="Calibri"/>
                <w:bCs/>
                <w:lang w:val="ro-RO"/>
              </w:rPr>
              <w:tab/>
              <w:t>Cuvintele Centrul Republican de Diagnostic Veterinar se vor înlocui cu Instituția Publică Centrul Republican de Diagnostică Veterinară (ex. cap. II, cap. VIII, anexa nr. 5, etc.);</w:t>
            </w:r>
          </w:p>
          <w:p w:rsidR="008B11D1" w:rsidRPr="008B11D1" w:rsidRDefault="008B11D1" w:rsidP="008B11D1">
            <w:pPr>
              <w:jc w:val="both"/>
              <w:rPr>
                <w:rFonts w:cs="Calibri"/>
                <w:bCs/>
                <w:lang w:val="ro-RO"/>
              </w:rPr>
            </w:pPr>
            <w:r w:rsidRPr="008B11D1">
              <w:rPr>
                <w:rFonts w:cs="Calibri"/>
                <w:bCs/>
                <w:lang w:val="ro-RO"/>
              </w:rPr>
              <w:t>3.</w:t>
            </w:r>
            <w:r w:rsidRPr="008B11D1">
              <w:rPr>
                <w:rFonts w:cs="Calibri"/>
                <w:bCs/>
                <w:lang w:val="ro-RO"/>
              </w:rPr>
              <w:tab/>
              <w:t>În Hotărârea Guvernului nr. 939 din 04.08. 2008  sunt folosiți termenii GAÎP (gripa aviara de înaltă patogenitate, GAJP (gripa aviară de joasă patogenitate), iar în Proiect, la anexele 7 și 8 este folosit termenul HPIA (influența aviară hiper - patogenă), se propune pentru a modifica în HG nr. 938 cu termenii: HPIA (influența aviară hiper - patogenă) și LPIA (influența aviară latent – patogenă);</w:t>
            </w:r>
          </w:p>
          <w:p w:rsidR="008B11D1" w:rsidRPr="008B11D1" w:rsidRDefault="008B11D1" w:rsidP="008B11D1">
            <w:pPr>
              <w:jc w:val="both"/>
              <w:rPr>
                <w:rFonts w:cs="Calibri"/>
                <w:bCs/>
                <w:lang w:val="ro-RO"/>
              </w:rPr>
            </w:pPr>
            <w:r w:rsidRPr="008B11D1">
              <w:rPr>
                <w:rFonts w:cs="Calibri"/>
                <w:bCs/>
                <w:lang w:val="ro-RO"/>
              </w:rPr>
              <w:t>Se va respecta structura și conținutul actului normativ, conform LEGII nr. 317 - XV din 18.07.2003 „Privind actele normative ale Guvernului şi ale altor autorităţi ale administraţiei publice centrale şi locale</w:t>
            </w:r>
            <w:r>
              <w:rPr>
                <w:rFonts w:cs="Calibri"/>
                <w:bCs/>
                <w:lang w:val="ro-RO"/>
              </w:rPr>
              <w:t>” (vezi anexa 7, anexa 8, etc);</w:t>
            </w:r>
          </w:p>
          <w:p w:rsidR="008B11D1" w:rsidRDefault="008B11D1" w:rsidP="008B11D1">
            <w:pPr>
              <w:jc w:val="both"/>
              <w:rPr>
                <w:rFonts w:cs="Calibri"/>
                <w:b/>
                <w:bCs/>
                <w:lang w:val="ro-RO"/>
              </w:rPr>
            </w:pPr>
            <w:r w:rsidRPr="008B11D1">
              <w:rPr>
                <w:rFonts w:cs="Calibri"/>
                <w:bCs/>
                <w:lang w:val="ro-RO"/>
              </w:rPr>
              <w:t>Agenția Națională pentru Siguranța Alimentelor avizează pozitiv proiectul hotărîrii de Guvern pentru modificarea și completarea HG nr. 939 din 04.08. 2008 pentru aprobarea Normei sanitar - veterinare privind măsurile de supraveghere, control şi combatere a gripei aviare, luând în considerare obiecţiile expuse.</w:t>
            </w:r>
          </w:p>
        </w:tc>
        <w:tc>
          <w:tcPr>
            <w:tcW w:w="4103" w:type="dxa"/>
            <w:shd w:val="clear" w:color="auto" w:fill="auto"/>
          </w:tcPr>
          <w:p w:rsidR="008B11D1" w:rsidRDefault="008B11D1" w:rsidP="00354471">
            <w:pPr>
              <w:jc w:val="both"/>
              <w:rPr>
                <w:rFonts w:cs="Calibri"/>
                <w:b/>
                <w:bCs/>
                <w:lang w:val="en-US"/>
              </w:rPr>
            </w:pPr>
          </w:p>
          <w:p w:rsidR="008B11D1" w:rsidRDefault="008B11D1" w:rsidP="00354471">
            <w:pPr>
              <w:jc w:val="both"/>
              <w:rPr>
                <w:rFonts w:cs="Calibri"/>
                <w:b/>
                <w:bCs/>
                <w:lang w:val="en-US"/>
              </w:rPr>
            </w:pPr>
          </w:p>
          <w:p w:rsidR="002F492F" w:rsidRPr="00AE79CE" w:rsidRDefault="002F492F" w:rsidP="002F492F">
            <w:pPr>
              <w:jc w:val="both"/>
              <w:rPr>
                <w:rFonts w:cs="Calibri"/>
                <w:bCs/>
              </w:rPr>
            </w:pPr>
            <w:r>
              <w:rPr>
                <w:rFonts w:cs="Calibri"/>
                <w:b/>
                <w:bCs/>
                <w:lang w:val="ro-RO"/>
              </w:rPr>
              <w:t>Nu se acceptă, deoarece</w:t>
            </w:r>
            <w:r w:rsidRPr="00AE79CE">
              <w:rPr>
                <w:rFonts w:cs="Calibri"/>
                <w:bCs/>
              </w:rPr>
              <w:t xml:space="preserve"> </w:t>
            </w:r>
            <w:r>
              <w:rPr>
                <w:rFonts w:cs="Calibri"/>
                <w:bCs/>
              </w:rPr>
              <w:t>modificare</w:t>
            </w:r>
            <w:r w:rsidRPr="00AE79CE">
              <w:rPr>
                <w:rFonts w:cs="Calibri"/>
                <w:bCs/>
              </w:rPr>
              <w:t>a fost deja introdusă prin Hotărîrea Guvernului nr.513 din 02.07.2014 cu privire la aprobarea modificărilor și completărilor ce se operează în</w:t>
            </w:r>
            <w:r>
              <w:rPr>
                <w:rFonts w:cs="Calibri"/>
                <w:bCs/>
              </w:rPr>
              <w:t xml:space="preserve"> unele </w:t>
            </w:r>
            <w:r>
              <w:rPr>
                <w:rFonts w:cs="Calibri"/>
                <w:bCs/>
              </w:rPr>
              <w:lastRenderedPageBreak/>
              <w:t>hotărîri ale Guvernului.</w:t>
            </w:r>
          </w:p>
          <w:p w:rsidR="008B11D1" w:rsidRDefault="002F492F" w:rsidP="008B11D1">
            <w:pPr>
              <w:jc w:val="both"/>
              <w:rPr>
                <w:rFonts w:cs="Calibri"/>
                <w:b/>
                <w:bCs/>
                <w:lang w:val="ro-RO"/>
              </w:rPr>
            </w:pPr>
            <w:r>
              <w:rPr>
                <w:rFonts w:cs="Calibri"/>
                <w:b/>
                <w:bCs/>
                <w:lang w:val="ro-RO"/>
              </w:rPr>
              <w:t xml:space="preserve">Nu se acceptă, </w:t>
            </w:r>
            <w:r w:rsidRPr="002F492F">
              <w:rPr>
                <w:rFonts w:cs="Calibri"/>
                <w:bCs/>
                <w:lang w:val="ro-RO"/>
              </w:rPr>
              <w:t>deoarece în Legea nr.</w:t>
            </w:r>
            <w:r w:rsidR="006301A7">
              <w:rPr>
                <w:rFonts w:cs="Calibri"/>
                <w:bCs/>
                <w:lang w:val="ro-RO"/>
              </w:rPr>
              <w:t xml:space="preserve"> 221</w:t>
            </w:r>
            <w:r w:rsidRPr="002F492F">
              <w:rPr>
                <w:rFonts w:cs="Calibri"/>
                <w:bCs/>
                <w:lang w:val="ro-RO"/>
              </w:rPr>
              <w:t xml:space="preserve"> este specifcat expres</w:t>
            </w:r>
            <w:r w:rsidRPr="008B11D1">
              <w:rPr>
                <w:rFonts w:cs="Calibri"/>
                <w:bCs/>
                <w:lang w:val="ro-RO"/>
              </w:rPr>
              <w:t xml:space="preserve"> Centrul Republican de Diagnostic Veterinar</w:t>
            </w:r>
          </w:p>
          <w:p w:rsidR="008B11D1" w:rsidRDefault="008B11D1" w:rsidP="008B11D1">
            <w:pPr>
              <w:jc w:val="both"/>
              <w:rPr>
                <w:rFonts w:cs="Calibri"/>
                <w:b/>
                <w:bCs/>
                <w:lang w:val="ro-RO"/>
              </w:rPr>
            </w:pPr>
            <w:r w:rsidRPr="009306E4">
              <w:rPr>
                <w:rFonts w:cs="Calibri"/>
                <w:b/>
                <w:bCs/>
                <w:lang w:val="ro-RO"/>
              </w:rPr>
              <w:t>Se acceptă</w:t>
            </w:r>
            <w:r>
              <w:rPr>
                <w:rFonts w:cs="Calibri"/>
                <w:b/>
                <w:bCs/>
                <w:lang w:val="ro-RO"/>
              </w:rPr>
              <w:t xml:space="preserve"> </w:t>
            </w:r>
            <w:r w:rsidRPr="008B11D1">
              <w:rPr>
                <w:rFonts w:cs="Calibri"/>
                <w:bCs/>
                <w:lang w:val="ro-RO"/>
              </w:rPr>
              <w:t>varianta expusă în</w:t>
            </w:r>
            <w:r>
              <w:rPr>
                <w:rFonts w:cs="Calibri"/>
                <w:b/>
                <w:bCs/>
                <w:lang w:val="ro-RO"/>
              </w:rPr>
              <w:t xml:space="preserve"> </w:t>
            </w:r>
            <w:r w:rsidR="00606D5C">
              <w:rPr>
                <w:rFonts w:cs="Calibri"/>
                <w:bCs/>
                <w:lang w:val="ro-RO"/>
              </w:rPr>
              <w:t>Hotărî</w:t>
            </w:r>
            <w:r w:rsidRPr="008B11D1">
              <w:rPr>
                <w:rFonts w:cs="Calibri"/>
                <w:bCs/>
                <w:lang w:val="ro-RO"/>
              </w:rPr>
              <w:t>rea Guv</w:t>
            </w:r>
            <w:r>
              <w:rPr>
                <w:rFonts w:cs="Calibri"/>
                <w:bCs/>
                <w:lang w:val="ro-RO"/>
              </w:rPr>
              <w:t>ernului nr. 939 din 04.08. 2008</w:t>
            </w:r>
            <w:r w:rsidRPr="009306E4">
              <w:rPr>
                <w:rFonts w:cs="Calibri"/>
                <w:b/>
                <w:bCs/>
                <w:lang w:val="ro-RO"/>
              </w:rPr>
              <w:t>.</w:t>
            </w:r>
            <w:r w:rsidR="00A442FE">
              <w:rPr>
                <w:rFonts w:cs="Calibri"/>
                <w:b/>
                <w:bCs/>
                <w:lang w:val="ro-RO"/>
              </w:rPr>
              <w:t xml:space="preserve"> </w:t>
            </w:r>
            <w:r w:rsidR="00A442FE" w:rsidRPr="00A442FE">
              <w:rPr>
                <w:rFonts w:cs="Calibri"/>
                <w:bCs/>
                <w:lang w:val="ro-RO"/>
              </w:rPr>
              <w:t>Totodată</w:t>
            </w:r>
            <w:r w:rsidR="00877F6A">
              <w:rPr>
                <w:rFonts w:cs="Calibri"/>
                <w:bCs/>
                <w:lang w:val="ro-RO"/>
              </w:rPr>
              <w:t>,</w:t>
            </w:r>
            <w:r w:rsidR="00A442FE">
              <w:rPr>
                <w:rFonts w:cs="Calibri"/>
                <w:bCs/>
                <w:lang w:val="ro-RO"/>
              </w:rPr>
              <w:t xml:space="preserve"> accentuăm că aceste abrevieri, în limba engleză, </w:t>
            </w:r>
            <w:r w:rsidR="00D87477">
              <w:rPr>
                <w:rFonts w:cs="Calibri"/>
                <w:bCs/>
                <w:lang w:val="ro-RO"/>
              </w:rPr>
              <w:t>sunt frecvent folosite în liter</w:t>
            </w:r>
            <w:r w:rsidR="002F492F">
              <w:rPr>
                <w:rFonts w:cs="Calibri"/>
                <w:bCs/>
                <w:lang w:val="ro-RO"/>
              </w:rPr>
              <w:t>atu</w:t>
            </w:r>
            <w:r w:rsidR="00A442FE">
              <w:rPr>
                <w:rFonts w:cs="Calibri"/>
                <w:bCs/>
                <w:lang w:val="ro-RO"/>
              </w:rPr>
              <w:t>ra de specialitate.</w:t>
            </w:r>
          </w:p>
          <w:p w:rsidR="008B11D1" w:rsidRDefault="008B11D1" w:rsidP="008B11D1">
            <w:pPr>
              <w:jc w:val="both"/>
              <w:rPr>
                <w:rFonts w:cs="Calibri"/>
                <w:b/>
                <w:bCs/>
                <w:lang w:val="ro-RO"/>
              </w:rPr>
            </w:pPr>
          </w:p>
          <w:p w:rsidR="008B11D1" w:rsidRDefault="008B11D1" w:rsidP="008B11D1">
            <w:pPr>
              <w:jc w:val="both"/>
              <w:rPr>
                <w:rFonts w:cs="Calibri"/>
                <w:b/>
                <w:bCs/>
                <w:lang w:val="ro-RO"/>
              </w:rPr>
            </w:pPr>
            <w:r w:rsidRPr="009306E4">
              <w:rPr>
                <w:rFonts w:cs="Calibri"/>
                <w:b/>
                <w:bCs/>
                <w:lang w:val="ro-RO"/>
              </w:rPr>
              <w:t>Se acceptă.</w:t>
            </w:r>
          </w:p>
          <w:p w:rsidR="008B11D1" w:rsidRDefault="008B11D1" w:rsidP="008B11D1">
            <w:pPr>
              <w:jc w:val="both"/>
              <w:rPr>
                <w:rFonts w:cs="Calibri"/>
                <w:b/>
                <w:bCs/>
                <w:lang w:val="ro-RO"/>
              </w:rPr>
            </w:pPr>
          </w:p>
          <w:p w:rsidR="008B11D1" w:rsidRDefault="008B11D1" w:rsidP="008B11D1">
            <w:pPr>
              <w:jc w:val="both"/>
              <w:rPr>
                <w:rFonts w:cs="Calibri"/>
                <w:b/>
                <w:bCs/>
                <w:lang w:val="ro-RO"/>
              </w:rPr>
            </w:pPr>
          </w:p>
          <w:p w:rsidR="008B11D1" w:rsidRDefault="008B11D1" w:rsidP="008B11D1">
            <w:pPr>
              <w:jc w:val="both"/>
              <w:rPr>
                <w:rFonts w:cs="Calibri"/>
                <w:b/>
                <w:bCs/>
                <w:lang w:val="ro-RO"/>
              </w:rPr>
            </w:pPr>
          </w:p>
          <w:p w:rsidR="008B11D1" w:rsidRDefault="008B11D1" w:rsidP="008B11D1">
            <w:pPr>
              <w:jc w:val="both"/>
              <w:rPr>
                <w:rFonts w:cs="Calibri"/>
                <w:b/>
                <w:bCs/>
                <w:lang w:val="ro-RO"/>
              </w:rPr>
            </w:pPr>
            <w:r w:rsidRPr="009306E4">
              <w:rPr>
                <w:rFonts w:cs="Calibri"/>
                <w:b/>
                <w:bCs/>
                <w:lang w:val="ro-RO"/>
              </w:rPr>
              <w:t>Se acceptă.</w:t>
            </w:r>
          </w:p>
          <w:p w:rsidR="008B11D1" w:rsidRPr="008B11D1" w:rsidRDefault="008B11D1" w:rsidP="00354471">
            <w:pPr>
              <w:jc w:val="both"/>
              <w:rPr>
                <w:rFonts w:cs="Calibri"/>
                <w:b/>
                <w:bCs/>
                <w:lang w:val="ro-RO"/>
              </w:rPr>
            </w:pPr>
          </w:p>
        </w:tc>
      </w:tr>
      <w:tr w:rsidR="00CE7539" w:rsidRPr="00361C16" w:rsidTr="00073D4F">
        <w:trPr>
          <w:trHeight w:val="765"/>
        </w:trPr>
        <w:tc>
          <w:tcPr>
            <w:tcW w:w="828" w:type="dxa"/>
            <w:shd w:val="clear" w:color="auto" w:fill="auto"/>
          </w:tcPr>
          <w:p w:rsidR="00CE7539" w:rsidRPr="000908C2" w:rsidRDefault="00A442FE" w:rsidP="00CE7539">
            <w:pPr>
              <w:snapToGrid w:val="0"/>
              <w:rPr>
                <w:rFonts w:cs="Calibri"/>
                <w:b/>
                <w:bCs/>
                <w:lang w:val="ro-RO"/>
              </w:rPr>
            </w:pPr>
            <w:r>
              <w:rPr>
                <w:rFonts w:cs="Calibri"/>
                <w:b/>
                <w:bCs/>
                <w:lang w:val="ro-RO"/>
              </w:rPr>
              <w:lastRenderedPageBreak/>
              <w:t>VII</w:t>
            </w:r>
          </w:p>
        </w:tc>
        <w:tc>
          <w:tcPr>
            <w:tcW w:w="3240" w:type="dxa"/>
            <w:shd w:val="clear" w:color="auto" w:fill="auto"/>
          </w:tcPr>
          <w:p w:rsidR="00CE7539" w:rsidRPr="000908C2" w:rsidRDefault="00CE7539" w:rsidP="00CE7539">
            <w:pPr>
              <w:snapToGrid w:val="0"/>
              <w:rPr>
                <w:rFonts w:cs="Calibri"/>
                <w:b/>
                <w:bCs/>
                <w:lang w:val="ro-RO"/>
              </w:rPr>
            </w:pPr>
            <w:r>
              <w:rPr>
                <w:rFonts w:cs="Calibri"/>
                <w:b/>
                <w:bCs/>
                <w:lang w:val="ro-RO"/>
              </w:rPr>
              <w:t>Centrul de armonizare a Legislatiei (22/14 din 29.03.2017</w:t>
            </w:r>
          </w:p>
        </w:tc>
        <w:tc>
          <w:tcPr>
            <w:tcW w:w="6615" w:type="dxa"/>
            <w:gridSpan w:val="2"/>
            <w:shd w:val="clear" w:color="auto" w:fill="auto"/>
          </w:tcPr>
          <w:p w:rsidR="00D87477" w:rsidRPr="00D87477" w:rsidRDefault="00D87477" w:rsidP="00D87477">
            <w:pPr>
              <w:jc w:val="both"/>
              <w:rPr>
                <w:rFonts w:cs="Calibri"/>
                <w:lang w:val="ro-RO"/>
              </w:rPr>
            </w:pPr>
            <w:r w:rsidRPr="00D87477">
              <w:rPr>
                <w:rFonts w:cs="Calibri"/>
                <w:lang w:val="ro-RO"/>
              </w:rPr>
              <w:t xml:space="preserve">                         </w:t>
            </w:r>
            <w:r w:rsidR="000B3614">
              <w:rPr>
                <w:rFonts w:cs="Calibri"/>
                <w:lang w:val="ro-RO"/>
              </w:rPr>
              <w:t>DECLARAŢIE DE COMPATIBILITATE</w:t>
            </w:r>
          </w:p>
          <w:p w:rsidR="00D87477" w:rsidRPr="00D87477" w:rsidRDefault="00D87477" w:rsidP="00D87477">
            <w:pPr>
              <w:jc w:val="both"/>
              <w:rPr>
                <w:rFonts w:cs="Calibri"/>
                <w:lang w:val="ro-RO"/>
              </w:rPr>
            </w:pPr>
            <w:r w:rsidRPr="00D87477">
              <w:rPr>
                <w:rFonts w:cs="Calibri"/>
                <w:lang w:val="ro-RO"/>
              </w:rPr>
              <w:t>În ceea ce privește transpunerea sa, menționăm cu titlu general că, prezentul proiect urmărește o transpunere fidelă a prevederilor Deciziei (UE) nr. 2017/263, completînd cadrul juridic în domeniul sanitar-veterinar privind măsurile de supraveghere, control și combatere a gripei aviare.</w:t>
            </w:r>
          </w:p>
          <w:p w:rsidR="00D87477" w:rsidRPr="00D87477" w:rsidRDefault="00D87477" w:rsidP="00D87477">
            <w:pPr>
              <w:jc w:val="both"/>
              <w:rPr>
                <w:rFonts w:cs="Calibri"/>
                <w:lang w:val="ro-RO"/>
              </w:rPr>
            </w:pPr>
            <w:r w:rsidRPr="00D87477">
              <w:rPr>
                <w:rFonts w:cs="Calibri"/>
                <w:lang w:val="ro-RO"/>
              </w:rPr>
              <w:t>Regulamentul (CE) nr. 616/2009 nu a constituit anterior obiect al transpunerii în legislația națională, prezentul proiect fiind exercițiul primar de transpunere a acestuia.</w:t>
            </w:r>
          </w:p>
          <w:p w:rsidR="00585A50" w:rsidRDefault="00D87477" w:rsidP="00D87477">
            <w:pPr>
              <w:jc w:val="both"/>
              <w:rPr>
                <w:rFonts w:cs="Calibri"/>
                <w:lang w:val="ro-RO"/>
              </w:rPr>
            </w:pPr>
            <w:r w:rsidRPr="00D87477">
              <w:rPr>
                <w:rFonts w:cs="Calibri"/>
                <w:lang w:val="ro-RO"/>
              </w:rPr>
              <w:t>În ceea ce privește transpunerea sa, menționăm că, astfel după cum a fost menționat la pct. I din prezenta Declarație de compatibilitate, prezentul proiect asigură o transpunere parțială a prevederilor Re</w:t>
            </w:r>
            <w:r w:rsidR="00585A50">
              <w:rPr>
                <w:rFonts w:cs="Calibri"/>
                <w:lang w:val="ro-RO"/>
              </w:rPr>
              <w:t xml:space="preserve">gulamentului (CE) nr. 616/2009. </w:t>
            </w:r>
          </w:p>
          <w:p w:rsidR="00D87477" w:rsidRPr="00D87477" w:rsidRDefault="00D87477" w:rsidP="00D87477">
            <w:pPr>
              <w:jc w:val="both"/>
              <w:rPr>
                <w:rFonts w:cs="Calibri"/>
                <w:lang w:val="ro-RO"/>
              </w:rPr>
            </w:pPr>
            <w:r w:rsidRPr="00D87477">
              <w:rPr>
                <w:rFonts w:cs="Calibri"/>
                <w:lang w:val="ro-RO"/>
              </w:rPr>
              <w:t xml:space="preserve">În același timp, nu au fost preluate mai multe prevederi fundamentale din actul UE menționat, referitoare la acordarea aprobării compartimentelor de creștere de păsări de curte și a compartimentelor de creștere de alte păsări captive în privința </w:t>
            </w:r>
            <w:r w:rsidRPr="00D87477">
              <w:rPr>
                <w:rFonts w:cs="Calibri"/>
                <w:lang w:val="ro-RO"/>
              </w:rPr>
              <w:lastRenderedPageBreak/>
              <w:t>gripei aviare, responsabilitățile și obligațiile gestionarului compartimentului, precum și ale autorității competente, cazurile de suspendare sau retragere a aprobării compartimentelor, obligația creării și stabilirii conținutului paginii de internet cu informația despre compartimente. În privința reglementărilor nepreluate, remarcăm că Tabelul de concordanță al proiectului național nu indică, dacă aceste dispoziții au fost deja transpuse și se regăsesc în alte acte ale legislației naționale de prfil în vigoare sau, după caz, motivele acestor omisiuni, precum și nici actele normative viitoare prin care vor fi implem</w:t>
            </w:r>
            <w:r w:rsidR="00585A50">
              <w:rPr>
                <w:rFonts w:cs="Calibri"/>
                <w:lang w:val="ro-RO"/>
              </w:rPr>
              <w:t>entate dispozițiile nepreluate</w:t>
            </w:r>
          </w:p>
          <w:p w:rsidR="00D87477" w:rsidRPr="00D87477" w:rsidRDefault="00D87477" w:rsidP="00D87477">
            <w:pPr>
              <w:jc w:val="both"/>
              <w:rPr>
                <w:rFonts w:cs="Calibri"/>
                <w:lang w:val="ro-RO"/>
              </w:rPr>
            </w:pPr>
            <w:r w:rsidRPr="00D87477">
              <w:rPr>
                <w:rFonts w:cs="Calibri"/>
                <w:lang w:val="ro-RO"/>
              </w:rPr>
              <w:t xml:space="preserve">Observații privind compatibilitatea proiectului național cu actele </w:t>
            </w:r>
            <w:r w:rsidR="00585A50">
              <w:rPr>
                <w:rFonts w:cs="Calibri"/>
                <w:lang w:val="ro-RO"/>
              </w:rPr>
              <w:t>Regulamentul (CE) nr. 616/2009:</w:t>
            </w:r>
          </w:p>
          <w:p w:rsidR="00D87477" w:rsidRPr="00D87477" w:rsidRDefault="00D87477" w:rsidP="00D87477">
            <w:pPr>
              <w:jc w:val="both"/>
              <w:rPr>
                <w:rFonts w:cs="Calibri"/>
                <w:lang w:val="ro-RO"/>
              </w:rPr>
            </w:pPr>
            <w:r w:rsidRPr="00D87477">
              <w:rPr>
                <w:rFonts w:cs="Calibri"/>
                <w:lang w:val="ro-RO"/>
              </w:rPr>
              <w:t>Proiectul național nu a asigurat transpunerea mai multor reglementări fundamentale din Regulamentul (C</w:t>
            </w:r>
            <w:r w:rsidR="00585A50">
              <w:rPr>
                <w:rFonts w:cs="Calibri"/>
                <w:lang w:val="ro-RO"/>
              </w:rPr>
              <w:t xml:space="preserve">E) 616/2009, după cum urmează: </w:t>
            </w:r>
          </w:p>
          <w:p w:rsidR="00D87477" w:rsidRPr="00D87477" w:rsidRDefault="00D87477" w:rsidP="00D87477">
            <w:pPr>
              <w:jc w:val="both"/>
              <w:rPr>
                <w:rFonts w:cs="Calibri"/>
                <w:lang w:val="ro-RO"/>
              </w:rPr>
            </w:pPr>
            <w:r w:rsidRPr="00D87477">
              <w:rPr>
                <w:rFonts w:cs="Calibri"/>
                <w:lang w:val="ro-RO"/>
              </w:rPr>
              <w:t xml:space="preserve">1. Dispozițiile art. 4 privind acordarea aprobării compartimentelor de creștere de păsări de curte și a compartimentelor de creștere de alte păsări captive în privința gripei aviare, care se acordă doar de autoritatea competentă pentru compartimentele situate pe teritoriul sau pe o parte din teritoriul statului, în care nu se aplică restricții în privința gripei aviare și doar în cazul în care există un program național aprobat de supraveghere realizat în vederea </w:t>
            </w:r>
            <w:r w:rsidR="003102FD" w:rsidRPr="00D87477">
              <w:rPr>
                <w:rFonts w:cs="Calibri"/>
                <w:lang w:val="ro-RO"/>
              </w:rPr>
              <w:t>depistării, la diferite specii de păsări de curte, a prevalenței de infecții cu subtipurile H5 și H7 ale virusului gripei aviare</w:t>
            </w:r>
            <w:r w:rsidRPr="00D87477">
              <w:rPr>
                <w:rFonts w:cs="Calibri"/>
                <w:lang w:val="ro-RO"/>
              </w:rPr>
              <w:t xml:space="preserve">; </w:t>
            </w:r>
          </w:p>
          <w:p w:rsidR="00D87477" w:rsidRPr="00D87477" w:rsidRDefault="00D87477" w:rsidP="00D87477">
            <w:pPr>
              <w:jc w:val="both"/>
              <w:rPr>
                <w:rFonts w:cs="Calibri"/>
                <w:lang w:val="ro-RO"/>
              </w:rPr>
            </w:pPr>
            <w:r w:rsidRPr="00D87477">
              <w:rPr>
                <w:rFonts w:cs="Calibri"/>
                <w:lang w:val="ro-RO"/>
              </w:rPr>
              <w:t xml:space="preserve">2. Dispozițiile art. 5 privind responsabilitățile și obligațiile gestionarului compartimentului: supravegherea și monitorizarea compartimentului, asigurarea faptului că, activitățile de supraveghere a bolilor, în special a gripei aviare, se desfășoară în conformitate cu sistemul comun de gestionare a biosecurității și cu fiecare plan de biosecuritate al exploatațiilor compartimentului </w:t>
            </w:r>
            <w:r w:rsidR="00A978CE">
              <w:rPr>
                <w:rFonts w:cs="Calibri"/>
                <w:lang w:val="ro-RO"/>
              </w:rPr>
              <w:t xml:space="preserve">etc.; </w:t>
            </w:r>
          </w:p>
          <w:p w:rsidR="00D87477" w:rsidRPr="00D87477" w:rsidRDefault="00D87477" w:rsidP="00D87477">
            <w:pPr>
              <w:jc w:val="both"/>
              <w:rPr>
                <w:rFonts w:cs="Calibri"/>
                <w:lang w:val="ro-RO"/>
              </w:rPr>
            </w:pPr>
            <w:r w:rsidRPr="00D87477">
              <w:rPr>
                <w:rFonts w:cs="Calibri"/>
                <w:lang w:val="ro-RO"/>
              </w:rPr>
              <w:t xml:space="preserve">3. Prevederile art. 6 privind responsabilitățile și obligațiile autorității competente care se referă la efectuarea controalelor oficiale la fața locului bazate pe riscuri, pentru a verifica dacă acestea corespund în continuare informațiilor cerute, precum și certificarea care atestă faptul că produsele provin </w:t>
            </w:r>
            <w:r w:rsidR="00A978CE">
              <w:rPr>
                <w:rFonts w:cs="Calibri"/>
                <w:lang w:val="ro-RO"/>
              </w:rPr>
              <w:t xml:space="preserve">dintr-un </w:t>
            </w:r>
            <w:r w:rsidR="00A978CE">
              <w:rPr>
                <w:rFonts w:cs="Calibri"/>
                <w:lang w:val="ro-RO"/>
              </w:rPr>
              <w:lastRenderedPageBreak/>
              <w:t xml:space="preserve">compartiment aprobat; </w:t>
            </w:r>
          </w:p>
          <w:p w:rsidR="00D87477" w:rsidRPr="00D87477" w:rsidRDefault="00D87477" w:rsidP="00D87477">
            <w:pPr>
              <w:jc w:val="both"/>
              <w:rPr>
                <w:rFonts w:cs="Calibri"/>
                <w:lang w:val="ro-RO"/>
              </w:rPr>
            </w:pPr>
            <w:r w:rsidRPr="00D87477">
              <w:rPr>
                <w:rFonts w:cs="Calibri"/>
                <w:lang w:val="ro-RO"/>
              </w:rPr>
              <w:t>4. Reglementările art. 7 privind suspendarea aprobării compartimentelor în cazul în care un control sau informațiile epidemiologice referitoare la compartiment arată că acesta nu mai corespunde informațiilor sau criteriilor și cerințelor prevăzute și obligația gestionarului compartimentului să asigure luarea unor măsuri imediate pentru core</w:t>
            </w:r>
            <w:r w:rsidR="00A978CE">
              <w:rPr>
                <w:rFonts w:cs="Calibri"/>
                <w:lang w:val="ro-RO"/>
              </w:rPr>
              <w:t xml:space="preserve">ctarea acestei neconformități; </w:t>
            </w:r>
          </w:p>
          <w:p w:rsidR="00D87477" w:rsidRPr="00D87477" w:rsidRDefault="00D87477" w:rsidP="00D87477">
            <w:pPr>
              <w:jc w:val="both"/>
              <w:rPr>
                <w:rFonts w:cs="Calibri"/>
                <w:lang w:val="ro-RO"/>
              </w:rPr>
            </w:pPr>
            <w:r w:rsidRPr="00D87477">
              <w:rPr>
                <w:rFonts w:cs="Calibri"/>
                <w:lang w:val="ro-RO"/>
              </w:rPr>
              <w:t>5. Prevederile art. 8 cu privire la retragerea aprobării compartimentelor  de către autoritate, în cazul în care, în urma suspendării compartimentului controlul ulterior demonstrează că: compartimentul continuă să nu corespundă informațiilor, criteriilor și cerințelor prevăzute sau un focar de gripă av</w:t>
            </w:r>
            <w:r w:rsidR="00A978CE">
              <w:rPr>
                <w:rFonts w:cs="Calibri"/>
                <w:lang w:val="ro-RO"/>
              </w:rPr>
              <w:t xml:space="preserve">iară a apărut în compartiment; </w:t>
            </w:r>
          </w:p>
          <w:p w:rsidR="00D87477" w:rsidRPr="00D87477" w:rsidRDefault="00D87477" w:rsidP="00D87477">
            <w:pPr>
              <w:jc w:val="both"/>
              <w:rPr>
                <w:rFonts w:cs="Calibri"/>
                <w:lang w:val="ro-RO"/>
              </w:rPr>
            </w:pPr>
            <w:r w:rsidRPr="00D87477">
              <w:rPr>
                <w:rFonts w:cs="Calibri"/>
                <w:lang w:val="ro-RO"/>
              </w:rPr>
              <w:t>6. Dispozițiile art. 9 cu privire la pagina de internet informativă care va conține lista compartimentelor aprobate care poate fi accesată pe cale electronică și anumite informații adiționale, precum și compartimentele aprobarea cărora</w:t>
            </w:r>
            <w:r w:rsidR="00A978CE">
              <w:rPr>
                <w:rFonts w:cs="Calibri"/>
                <w:lang w:val="ro-RO"/>
              </w:rPr>
              <w:t xml:space="preserve"> a fost suspendată sau retrasă.</w:t>
            </w:r>
          </w:p>
          <w:p w:rsidR="00D87477" w:rsidRPr="00D87477" w:rsidRDefault="00D87477" w:rsidP="00D87477">
            <w:pPr>
              <w:jc w:val="both"/>
              <w:rPr>
                <w:rFonts w:cs="Calibri"/>
                <w:lang w:val="ro-RO"/>
              </w:rPr>
            </w:pPr>
            <w:r w:rsidRPr="00D87477">
              <w:rPr>
                <w:rFonts w:cs="Calibri"/>
                <w:lang w:val="ro-RO"/>
              </w:rPr>
              <w:t>Transpunerea și implementarea acestor reglementări fundamentale este obligatorie pentru atingerea obiectivelor urmărite prin Regulamentul (CE) nr. 616/2009, respectiv, pentru instituirea și funcționarea eficientă a compartimentelor de creștere de păsări de curte și a compartimentelor de creștere de alte păsări captive în privința gripei aviare, precum și pentru implementarea corespunzătoare a măsurilor suplimentare de biosecuritate preventivă în aceste compartimente, pentru a le acorda un statut sanitar distinct în privința gripei aviare.</w:t>
            </w:r>
            <w:r w:rsidR="00A978CE">
              <w:rPr>
                <w:rFonts w:cs="Calibri"/>
                <w:lang w:val="ro-RO"/>
              </w:rPr>
              <w:t xml:space="preserve">  </w:t>
            </w:r>
          </w:p>
          <w:p w:rsidR="00D87477" w:rsidRPr="00D87477" w:rsidRDefault="00D87477" w:rsidP="00D87477">
            <w:pPr>
              <w:jc w:val="both"/>
              <w:rPr>
                <w:rFonts w:cs="Calibri"/>
                <w:lang w:val="ro-RO"/>
              </w:rPr>
            </w:pPr>
            <w:r w:rsidRPr="00D87477">
              <w:rPr>
                <w:rFonts w:cs="Calibri"/>
                <w:lang w:val="ro-RO"/>
              </w:rPr>
              <w:t xml:space="preserve">În urma realizării expertizei proiectului național, precum și a analizei detaliate a prevederilor Deciziei 2006/563/CE în raport cu normele proiectului și a Hotărîrii Guvernului 939/2008, constatăm că aceasta nu asigură transpunerea actului UE, deși acesta este indicat în clauza de armonizare a proiectului național, Nota informativă și în rubricile 1 și 4 din Tabelul de concordanță. Astfel, pct. 2, supct. 1) din proiectul național, modifică pct. 1 din Hotărîrea Guvernului 939/2008, prin extinderea măsurilor prevăzute de aceasta și la păsările sălbatice, acestă normă fiind considerată de autorul proiectului ca fiind suficientă pentru </w:t>
            </w:r>
            <w:r w:rsidRPr="00D87477">
              <w:rPr>
                <w:rFonts w:cs="Calibri"/>
                <w:lang w:val="ro-RO"/>
              </w:rPr>
              <w:lastRenderedPageBreak/>
              <w:t xml:space="preserve">asigurarea transpunerii prevederilor Deciziei 2006/563/CE, ceea ce reprezintă o abordare greșită, rezultată din interpretarea eronată a obiectivului și prevederilor acestui act european. </w:t>
            </w:r>
          </w:p>
          <w:p w:rsidR="00D87477" w:rsidRPr="00D87477" w:rsidRDefault="00D87477" w:rsidP="00D87477">
            <w:pPr>
              <w:jc w:val="both"/>
              <w:rPr>
                <w:rFonts w:cs="Calibri"/>
                <w:lang w:val="ro-RO"/>
              </w:rPr>
            </w:pPr>
          </w:p>
          <w:p w:rsidR="00D87477" w:rsidRPr="00D87477" w:rsidRDefault="00D87477" w:rsidP="00D87477">
            <w:pPr>
              <w:jc w:val="both"/>
              <w:rPr>
                <w:rFonts w:cs="Calibri"/>
                <w:lang w:val="ro-RO"/>
              </w:rPr>
            </w:pPr>
            <w:r w:rsidRPr="00D87477">
              <w:rPr>
                <w:rFonts w:cs="Calibri"/>
                <w:lang w:val="ro-RO"/>
              </w:rPr>
              <w:t xml:space="preserve">În acest context, subliniem că scopul Deciziei 2006/563/CE constă în: stabilirea anumitor măsuri de protecție care trebuie puse în aplicare atunci când virusul A aparținînd subtipului H5 al influenței aviare produse de tulpini înalt patogene („HPAI”), despre care se suspectează sau se confirmă că tipul de neuraminidază este N1, se izolează la păsări sălbatice pe teritoriul unui stat membru, în vederea prevenirii transmiterii influenței aviare de la păsările sălbatice la păsările de curte sau la alte păsări ținute în captivitate, precum și a contaminării produselor acestora. De asemenea, aceasta instituie norme detaliate privind stabilirea zonelor de control și de monitorizare, măsurile și interdicțiile în zona de control și zona de monitorizare, condițiile aplicabile circulației, durata măsurilor în zona de control și zona de monitorizare, obligațiile de informare precum și o serie de deorgări de la regulile generale privind stabilirea zonelor de control și monitorizare și derogări pe categorii de produse de origine animală. Astfel, scopul urmărit prin Decizia 2006/563/CE este unul îngust și specific și vizează, în special, păsările sălbatice, iar măsurile de protecție prevăzute de aceasta sunt diferite de măsurile de protecție prevăzute în proiectul național și </w:t>
            </w:r>
            <w:r w:rsidR="00A978CE">
              <w:rPr>
                <w:rFonts w:cs="Calibri"/>
                <w:lang w:val="ro-RO"/>
              </w:rPr>
              <w:t xml:space="preserve">Hotărîrea Guvernului 939/2008. </w:t>
            </w:r>
          </w:p>
          <w:p w:rsidR="00D87477" w:rsidRPr="00D87477" w:rsidRDefault="00D87477" w:rsidP="00D87477">
            <w:pPr>
              <w:jc w:val="both"/>
              <w:rPr>
                <w:rFonts w:cs="Calibri"/>
                <w:lang w:val="ro-RO"/>
              </w:rPr>
            </w:pPr>
            <w:r w:rsidRPr="00D87477">
              <w:rPr>
                <w:rFonts w:cs="Calibri"/>
                <w:lang w:val="ro-RO"/>
              </w:rPr>
              <w:t>Prin urmare, avînd în vedere cele menționate supra, apreciem că prezentul proiect nu asigură atingerea obiectivelor Deciziei 2006/563/CE de stabilire a măsurilor de protecție care trebuie puse în aplicare atunci când virusul A aparținînd subtipului H5 al influenței aviare produse de tulpini înalt patogene („HPAI”), despre care se suspectează sau se confirmă că tipul de neuraminidază este N1, se izolează la păsări sălbatice pentru a preveni transmiterea influenței aviare de la păsările sălbatice la păsările de curte sau la alte păsări ținute în captivitate, precum și con</w:t>
            </w:r>
            <w:r w:rsidR="00A978CE">
              <w:rPr>
                <w:rFonts w:cs="Calibri"/>
                <w:lang w:val="ro-RO"/>
              </w:rPr>
              <w:t xml:space="preserve">taminarea produselor acestora. </w:t>
            </w:r>
          </w:p>
          <w:p w:rsidR="00D87477" w:rsidRPr="00D87477" w:rsidRDefault="00D87477" w:rsidP="00D87477">
            <w:pPr>
              <w:jc w:val="both"/>
              <w:rPr>
                <w:rFonts w:cs="Calibri"/>
                <w:lang w:val="ro-RO"/>
              </w:rPr>
            </w:pPr>
            <w:r w:rsidRPr="00D87477">
              <w:rPr>
                <w:rFonts w:cs="Calibri"/>
                <w:lang w:val="ro-RO"/>
              </w:rPr>
              <w:t xml:space="preserve">Așadar, în vederea asigurării conformității legislației naționale cu prevederile Deciziei 2006/563/CE, se consideră necesară, fie </w:t>
            </w:r>
            <w:r w:rsidRPr="00D87477">
              <w:rPr>
                <w:rFonts w:cs="Calibri"/>
                <w:lang w:val="ro-RO"/>
              </w:rPr>
              <w:lastRenderedPageBreak/>
              <w:t>revizuirea integrală a proiectului național și transpunerea prevederilor actului UE în cauză într-un compartiment separat al proiectului, fie inițierea elaborării unui proiect de act normativ nou, care ar asigura transpunerea actului UE în cauză. În acest sens, recomandăm consultarea bunelor pratici ale statelor membre UE referitoare la implementarea cerințelor Deciziei 2006/563/CE, în speță, exemplul României, care a asigurat realizarea obiectivelor actului UE prin Norma sanitară veterinară privind anumite măsuri de protecție referitoare la influența aviară cu subtipul H5N1, tipul înalt patogen, la păsările sălbatice din Comunitatea Europeană din 20 februarie 2007.</w:t>
            </w:r>
            <w:r w:rsidR="00E566BE">
              <w:rPr>
                <w:rFonts w:cs="Calibri"/>
                <w:lang w:val="ro-RO"/>
              </w:rPr>
              <w:t xml:space="preserve"> </w:t>
            </w:r>
          </w:p>
          <w:p w:rsidR="00D87477" w:rsidRPr="00D87477" w:rsidRDefault="00D87477" w:rsidP="00D87477">
            <w:pPr>
              <w:jc w:val="both"/>
              <w:rPr>
                <w:rFonts w:cs="Calibri"/>
                <w:lang w:val="ro-RO"/>
              </w:rPr>
            </w:pPr>
            <w:r w:rsidRPr="00D87477">
              <w:rPr>
                <w:rFonts w:cs="Calibri"/>
                <w:lang w:val="ro-RO"/>
              </w:rPr>
              <w:t>Observaț</w:t>
            </w:r>
            <w:r w:rsidR="00A978CE">
              <w:rPr>
                <w:rFonts w:cs="Calibri"/>
                <w:lang w:val="ro-RO"/>
              </w:rPr>
              <w:t>ii privind clauza de armonizare</w:t>
            </w:r>
          </w:p>
          <w:p w:rsidR="00D87477" w:rsidRPr="00D87477" w:rsidRDefault="00D87477" w:rsidP="00D87477">
            <w:pPr>
              <w:jc w:val="both"/>
              <w:rPr>
                <w:rFonts w:cs="Calibri"/>
                <w:lang w:val="ro-RO"/>
              </w:rPr>
            </w:pPr>
            <w:r w:rsidRPr="00D87477">
              <w:rPr>
                <w:rFonts w:cs="Calibri"/>
                <w:lang w:val="ro-RO"/>
              </w:rPr>
              <w:t xml:space="preserve">Potrivit cerințelor impuse de Regulamentul privind mecanismul de armonizare a legislaţiei Republicii Moldova, aprobat prin Hotărîrea Guvernului nr. 1345 din 24 noiembrie 2006, toate proiectele de acte normative cu relevanță UE urmează să conțină clauza de armonizare care va fi inserată în partea introductivă a acestora și va indica actele UE și gradul de transpunere a acestora, or proiectul național prezentat nu conține clauza de armonizare care ar indica expres actele UE preluate. Prin urmare, în măsura în care va asigurată transpunerea prevederilor omise din Regulamentul (CE) 616/2009, precum și a Deciziei 2006/563/CE în prezentul proiect de modificare și completare a Hotărîrii Guvernului 939/2008, clauza de armonizare va fi expusă în următoarea redacție: ”Prezenta Hotărîre de Guvern transpune Decizia de punere în aplicare (UE) 2017/263 a Comisiei din 14 februarie 2017 privind măsurile de diminuare a riscurilor, măsurile consolidate de biosecuritate și sistemele de depistare timpurie în legătură cu riscurile pe care le prezintă păsările sălbatice de transmitere a virușilor gripei aviare înalt patogene la păsările de curte, publicată în Jurnalul Oficial al Uniunii Europene L 39 din 16 februarie 2017, Regulamentul (CE) nr. 616/2009 al Comisiei din 13 iulie 2009 de punere în aplicare a Directivei 2005/94/CE a Consiliului în ceea ce privește aprobarea compartimentelor de creștere a păsărilor de curte și a compartimentelor de creștere a altor păsări captive în privința gripei aviare, precum și a unor măsuri suplimentare de </w:t>
            </w:r>
            <w:r w:rsidRPr="00D87477">
              <w:rPr>
                <w:rFonts w:cs="Calibri"/>
                <w:lang w:val="ro-RO"/>
              </w:rPr>
              <w:lastRenderedPageBreak/>
              <w:t xml:space="preserve">biosecuritate preventivă în aceste compartimente, publicat în Jurnalul Oficial al Uniunii Europene L 181 din 14 iulie 2017, precum și Decizia Comisiei din 11 august 2006 privind anumite măsuri de protecție în legătură cu prezența influenței aviare produse de tulpini înalt patogene de subtip H5N1 la păsările sălbatice din Comunitate și de abrogare a Deciziei 2006/115/CE, publicată în Jurnalul Oficial al Uniunii Europene L 222 din 15 </w:t>
            </w:r>
            <w:r w:rsidR="00A978CE">
              <w:rPr>
                <w:rFonts w:cs="Calibri"/>
                <w:lang w:val="ro-RO"/>
              </w:rPr>
              <w:t>august 2006”.</w:t>
            </w:r>
          </w:p>
          <w:p w:rsidR="00D87477" w:rsidRPr="00D87477" w:rsidRDefault="00D87477" w:rsidP="00D87477">
            <w:pPr>
              <w:jc w:val="both"/>
              <w:rPr>
                <w:rFonts w:cs="Calibri"/>
                <w:lang w:val="ro-RO"/>
              </w:rPr>
            </w:pPr>
            <w:r w:rsidRPr="00D87477">
              <w:rPr>
                <w:rFonts w:cs="Calibri"/>
                <w:lang w:val="ro-RO"/>
              </w:rPr>
              <w:t>Observații privind compl</w:t>
            </w:r>
            <w:r w:rsidR="00A978CE">
              <w:rPr>
                <w:rFonts w:cs="Calibri"/>
                <w:lang w:val="ro-RO"/>
              </w:rPr>
              <w:t>etarea Tabelului de concordanță</w:t>
            </w:r>
          </w:p>
          <w:p w:rsidR="00D87477" w:rsidRPr="00D87477" w:rsidRDefault="00D87477" w:rsidP="00D87477">
            <w:pPr>
              <w:jc w:val="both"/>
              <w:rPr>
                <w:rFonts w:cs="Calibri"/>
                <w:lang w:val="ro-RO"/>
              </w:rPr>
            </w:pPr>
            <w:r w:rsidRPr="00D87477">
              <w:rPr>
                <w:rFonts w:cs="Calibri"/>
                <w:lang w:val="ro-RO"/>
              </w:rPr>
              <w:t>Tabelul de concordanță urmează a fi supus unor modificări pentru a corespunde cerințelor stabilite de Regulamentul privind mecanismul de armonizare a legislației Republicii Moldova, în speță, este necesară inserarea integrală în rubrica 4 a prevederilor Deciziei 2006/563/CE și respectiv, în rubrica 5 a reglementărilor corespondente din proiectul</w:t>
            </w:r>
            <w:r w:rsidR="00A978CE">
              <w:rPr>
                <w:rFonts w:cs="Calibri"/>
                <w:lang w:val="ro-RO"/>
              </w:rPr>
              <w:t xml:space="preserve"> național articol per articol. </w:t>
            </w:r>
          </w:p>
          <w:p w:rsidR="00D87477" w:rsidRPr="00D87477" w:rsidRDefault="00A978CE" w:rsidP="00D87477">
            <w:pPr>
              <w:jc w:val="both"/>
              <w:rPr>
                <w:rFonts w:cs="Calibri"/>
                <w:lang w:val="ro-RO"/>
              </w:rPr>
            </w:pPr>
            <w:r>
              <w:rPr>
                <w:rFonts w:cs="Calibri"/>
                <w:lang w:val="ro-RO"/>
              </w:rPr>
              <w:t>III. Concluzii</w:t>
            </w:r>
          </w:p>
          <w:p w:rsidR="00D87477" w:rsidRPr="00D87477" w:rsidRDefault="00D87477" w:rsidP="00D87477">
            <w:pPr>
              <w:jc w:val="both"/>
              <w:rPr>
                <w:rFonts w:cs="Calibri"/>
                <w:lang w:val="ro-RO"/>
              </w:rPr>
            </w:pPr>
            <w:r w:rsidRPr="00D87477">
              <w:rPr>
                <w:rFonts w:cs="Calibri"/>
                <w:lang w:val="ro-RO"/>
              </w:rPr>
              <w:t>Avînd în vedere cele menționate, apreciem că în urma evaluării realizate, proiectul național și-a atins parțial finalitatea propusă, fiind admise anumite omisiuni de transpunere în textul propunerii normative, precum și transpunerea greșită a unor reglementări UE, după cum este indicat la p</w:t>
            </w:r>
            <w:r w:rsidR="00A978CE">
              <w:rPr>
                <w:rFonts w:cs="Calibri"/>
                <w:lang w:val="ro-RO"/>
              </w:rPr>
              <w:t>ct. II din prezenta Declarație.</w:t>
            </w:r>
          </w:p>
          <w:p w:rsidR="00CE7539" w:rsidRPr="005A4A05" w:rsidRDefault="00D87477" w:rsidP="00D87477">
            <w:pPr>
              <w:jc w:val="both"/>
              <w:rPr>
                <w:rFonts w:cs="Calibri"/>
                <w:lang w:val="ro-RO"/>
              </w:rPr>
            </w:pPr>
            <w:r w:rsidRPr="00D87477">
              <w:rPr>
                <w:rFonts w:cs="Calibri"/>
                <w:lang w:val="ro-RO"/>
              </w:rPr>
              <w:t>Facem mențiunea că analiza Centrului de Armonizare a Legislației nu are în vedere elementele de oportunitate ale soluțiilor juridice incluse în proiectul de act normativ, ci se referă strict la conformitatea acestora cu Dreptul UE aplicabil.</w:t>
            </w:r>
          </w:p>
        </w:tc>
        <w:tc>
          <w:tcPr>
            <w:tcW w:w="4103" w:type="dxa"/>
            <w:shd w:val="clear" w:color="auto" w:fill="auto"/>
          </w:tcPr>
          <w:p w:rsidR="00CE7539" w:rsidRDefault="00CE7539" w:rsidP="00CE7539">
            <w:pPr>
              <w:jc w:val="both"/>
              <w:rPr>
                <w:rFonts w:cs="Calibri"/>
              </w:rPr>
            </w:pPr>
          </w:p>
          <w:p w:rsidR="00585A50" w:rsidRDefault="00585A50" w:rsidP="00585A50">
            <w:pPr>
              <w:jc w:val="both"/>
              <w:rPr>
                <w:rFonts w:cs="Calibri"/>
                <w:b/>
                <w:bCs/>
                <w:lang w:val="ro-RO"/>
              </w:rPr>
            </w:pPr>
            <w:r w:rsidRPr="009306E4">
              <w:rPr>
                <w:rFonts w:cs="Calibri"/>
                <w:b/>
                <w:bCs/>
                <w:lang w:val="ro-RO"/>
              </w:rPr>
              <w:t>Se acceptă.</w:t>
            </w:r>
          </w:p>
          <w:p w:rsidR="00CE7539" w:rsidRDefault="00CE7539" w:rsidP="00CE7539">
            <w:pPr>
              <w:jc w:val="both"/>
              <w:rPr>
                <w:rFonts w:cs="Calibri"/>
                <w:b/>
              </w:rPr>
            </w:pPr>
          </w:p>
          <w:p w:rsidR="00CE7539" w:rsidRDefault="00CE7539" w:rsidP="00CE7539">
            <w:pPr>
              <w:jc w:val="both"/>
              <w:rPr>
                <w:rFonts w:cs="Calibri"/>
                <w:b/>
              </w:rPr>
            </w:pPr>
          </w:p>
          <w:p w:rsidR="00585A50" w:rsidRDefault="00585A50" w:rsidP="00CE7539">
            <w:pPr>
              <w:jc w:val="both"/>
              <w:rPr>
                <w:rFonts w:cs="Calibri"/>
                <w:b/>
              </w:rPr>
            </w:pPr>
          </w:p>
          <w:p w:rsidR="00585A50" w:rsidRDefault="00585A50" w:rsidP="00CE7539">
            <w:pPr>
              <w:jc w:val="both"/>
              <w:rPr>
                <w:rFonts w:cs="Calibri"/>
                <w:b/>
              </w:rPr>
            </w:pPr>
          </w:p>
          <w:p w:rsidR="00585A50" w:rsidRDefault="00585A50" w:rsidP="00585A50">
            <w:pPr>
              <w:jc w:val="both"/>
              <w:rPr>
                <w:rFonts w:cs="Calibri"/>
                <w:b/>
                <w:bCs/>
                <w:lang w:val="ro-RO"/>
              </w:rPr>
            </w:pPr>
            <w:r w:rsidRPr="009306E4">
              <w:rPr>
                <w:rFonts w:cs="Calibri"/>
                <w:b/>
                <w:bCs/>
                <w:lang w:val="ro-RO"/>
              </w:rPr>
              <w:t>Se acceptă.</w:t>
            </w:r>
          </w:p>
          <w:p w:rsidR="00585A50" w:rsidRDefault="00585A50" w:rsidP="00CE7539">
            <w:pPr>
              <w:jc w:val="both"/>
            </w:pPr>
          </w:p>
          <w:p w:rsidR="00585A50" w:rsidRDefault="00585A50" w:rsidP="00CE7539">
            <w:pPr>
              <w:jc w:val="both"/>
            </w:pPr>
          </w:p>
          <w:p w:rsidR="00585A50" w:rsidRDefault="00585A50" w:rsidP="00585A50">
            <w:pPr>
              <w:jc w:val="both"/>
              <w:rPr>
                <w:rFonts w:cs="Calibri"/>
                <w:bCs/>
                <w:lang w:val="ro-RO"/>
              </w:rPr>
            </w:pPr>
            <w:r w:rsidRPr="009306E4">
              <w:rPr>
                <w:rFonts w:cs="Calibri"/>
                <w:b/>
                <w:bCs/>
                <w:lang w:val="ro-RO"/>
              </w:rPr>
              <w:t>Se acceptă.</w:t>
            </w:r>
            <w:r>
              <w:rPr>
                <w:rFonts w:cs="Calibri"/>
                <w:b/>
                <w:bCs/>
                <w:lang w:val="ro-RO"/>
              </w:rPr>
              <w:t xml:space="preserve"> </w:t>
            </w:r>
            <w:r w:rsidRPr="00585A50">
              <w:rPr>
                <w:rFonts w:cs="Calibri"/>
                <w:bCs/>
                <w:lang w:val="ro-RO"/>
              </w:rPr>
              <w:t>Transpunerea parţială este determinată</w:t>
            </w:r>
            <w:r>
              <w:rPr>
                <w:rFonts w:cs="Calibri"/>
                <w:bCs/>
                <w:lang w:val="ro-RO"/>
              </w:rPr>
              <w:t xml:space="preserve"> de particularităţile cadrului legal - normativ şi instituţional al R</w:t>
            </w:r>
            <w:r w:rsidR="00A978CE">
              <w:rPr>
                <w:rFonts w:cs="Calibri"/>
                <w:bCs/>
                <w:lang w:val="ro-RO"/>
              </w:rPr>
              <w:t>epublicii</w:t>
            </w:r>
            <w:r w:rsidR="00FF4CFE" w:rsidRPr="00FF4CFE">
              <w:rPr>
                <w:rFonts w:cs="Calibri"/>
                <w:bCs/>
                <w:lang w:val="en-US"/>
              </w:rPr>
              <w:t xml:space="preserve"> </w:t>
            </w:r>
            <w:r>
              <w:rPr>
                <w:rFonts w:cs="Calibri"/>
                <w:bCs/>
                <w:lang w:val="ro-RO"/>
              </w:rPr>
              <w:t>M</w:t>
            </w:r>
            <w:r w:rsidR="00A978CE">
              <w:rPr>
                <w:rFonts w:cs="Calibri"/>
                <w:bCs/>
                <w:lang w:val="ro-RO"/>
              </w:rPr>
              <w:t>oldova</w:t>
            </w:r>
            <w:r>
              <w:rPr>
                <w:rFonts w:cs="Calibri"/>
                <w:bCs/>
                <w:lang w:val="ro-RO"/>
              </w:rPr>
              <w:t>.</w:t>
            </w:r>
          </w:p>
          <w:p w:rsidR="00A978CE" w:rsidRDefault="00A978CE" w:rsidP="00585A50">
            <w:pPr>
              <w:jc w:val="both"/>
              <w:rPr>
                <w:rFonts w:cs="Calibri"/>
                <w:lang w:val="ro-RO"/>
              </w:rPr>
            </w:pPr>
            <w:r>
              <w:rPr>
                <w:rFonts w:cs="Calibri"/>
                <w:bCs/>
                <w:lang w:val="ro-RO"/>
              </w:rPr>
              <w:t>Într</w:t>
            </w:r>
            <w:r w:rsidR="00FF4CFE">
              <w:rPr>
                <w:rFonts w:cs="Calibri"/>
                <w:bCs/>
                <w:lang w:val="en-US"/>
              </w:rPr>
              <w:t>a</w:t>
            </w:r>
            <w:r>
              <w:rPr>
                <w:rFonts w:cs="Calibri"/>
                <w:bCs/>
                <w:lang w:val="ro-RO"/>
              </w:rPr>
              <w:t>devăr</w:t>
            </w:r>
            <w:r w:rsidR="003102FD">
              <w:rPr>
                <w:rFonts w:cs="Calibri"/>
                <w:bCs/>
                <w:lang w:val="ro-RO"/>
              </w:rPr>
              <w:t>,</w:t>
            </w:r>
            <w:r w:rsidR="001F2771">
              <w:rPr>
                <w:rFonts w:cs="Calibri"/>
                <w:bCs/>
                <w:lang w:val="ro-RO"/>
              </w:rPr>
              <w:t xml:space="preserve"> unele </w:t>
            </w:r>
            <w:r w:rsidR="001F2771" w:rsidRPr="00D87477">
              <w:rPr>
                <w:rFonts w:cs="Calibri"/>
                <w:lang w:val="ro-RO"/>
              </w:rPr>
              <w:t xml:space="preserve">prevederi fundamentale din actul UE menționat, referitoare la acordarea aprobării compartimentelor de creștere de păsări </w:t>
            </w:r>
            <w:r w:rsidR="001F2771" w:rsidRPr="00D87477">
              <w:rPr>
                <w:rFonts w:cs="Calibri"/>
                <w:lang w:val="ro-RO"/>
              </w:rPr>
              <w:lastRenderedPageBreak/>
              <w:t>de curte și a compartimentelor de creștere de alte păsări captive în privința gripei aviare, responsabilitățile și obligațiile gestionarului compartimentului, precum și ale autorității competente, cazurile de suspendare sau retragere a aprobării compartimentelor, obligația creării și stabilirii conținutului paginii de internet cu informația despre compartiment</w:t>
            </w:r>
            <w:r w:rsidR="001F2771">
              <w:rPr>
                <w:rFonts w:cs="Calibri"/>
                <w:lang w:val="ro-RO"/>
              </w:rPr>
              <w:t xml:space="preserve"> nu au fost preluate, deoarece aces</w:t>
            </w:r>
            <w:r w:rsidR="00FF4CFE">
              <w:rPr>
                <w:rFonts w:cs="Calibri"/>
                <w:lang w:val="ro-RO"/>
              </w:rPr>
              <w:t>tea sunt expres specificate în</w:t>
            </w:r>
            <w:r w:rsidR="001F2771">
              <w:rPr>
                <w:rFonts w:cs="Calibri"/>
                <w:lang w:val="ro-RO"/>
              </w:rPr>
              <w:t xml:space="preserve"> Legea nr. 221 din 19 octombrie 2007 privind activitatea sanitar veterinară prin autorizare, dar nu aprobare, precum şi prin Legea nr. 160 din 22 iulie 2011 privind reglementarea prin autorizare</w:t>
            </w:r>
            <w:r w:rsidR="003102FD">
              <w:rPr>
                <w:rFonts w:cs="Calibri"/>
                <w:lang w:val="ro-RO"/>
              </w:rPr>
              <w:t xml:space="preserve"> a activităţii de </w:t>
            </w:r>
            <w:r w:rsidR="00FF4CFE">
              <w:rPr>
                <w:rFonts w:cs="Calibri"/>
                <w:lang w:val="ro-RO"/>
              </w:rPr>
              <w:t>întreprizător, în care sunt men</w:t>
            </w:r>
            <w:r w:rsidR="00FF4CFE">
              <w:rPr>
                <w:rFonts w:cs="Calibri"/>
              </w:rPr>
              <w:t>ţ</w:t>
            </w:r>
            <w:r w:rsidR="003102FD">
              <w:rPr>
                <w:rFonts w:cs="Calibri"/>
                <w:lang w:val="ro-RO"/>
              </w:rPr>
              <w:t>ionate actele permisive.</w:t>
            </w:r>
          </w:p>
          <w:p w:rsidR="001F2771" w:rsidRDefault="00582452" w:rsidP="00585A50">
            <w:pPr>
              <w:jc w:val="both"/>
              <w:rPr>
                <w:rFonts w:cs="Calibri"/>
                <w:lang w:val="ro-RO"/>
              </w:rPr>
            </w:pPr>
            <w:r>
              <w:rPr>
                <w:rFonts w:cs="Calibri"/>
                <w:lang w:val="ro-RO"/>
              </w:rPr>
              <w:t>Anual, conform legii menţionate, ANSA elaborează şi implementează</w:t>
            </w:r>
            <w:r w:rsidR="001F2771">
              <w:rPr>
                <w:rFonts w:cs="Calibri"/>
                <w:lang w:val="ro-RO"/>
              </w:rPr>
              <w:t xml:space="preserve"> </w:t>
            </w:r>
            <w:r w:rsidRPr="00D87477">
              <w:rPr>
                <w:rFonts w:cs="Calibri"/>
                <w:lang w:val="ro-RO"/>
              </w:rPr>
              <w:t>un program național aprobat de supraveghere</w:t>
            </w:r>
            <w:r w:rsidR="003102FD">
              <w:rPr>
                <w:rFonts w:cs="Calibri"/>
                <w:lang w:val="ro-RO"/>
              </w:rPr>
              <w:t>,</w:t>
            </w:r>
            <w:r w:rsidRPr="00D87477">
              <w:rPr>
                <w:rFonts w:cs="Calibri"/>
                <w:lang w:val="ro-RO"/>
              </w:rPr>
              <w:t xml:space="preserve"> realizat în vederea depistării, la diferite specii de păsări, a prevalenței de infecții cu subtipurile H5 și H7 ale virusului gripei aviare</w:t>
            </w:r>
            <w:r>
              <w:rPr>
                <w:rFonts w:cs="Calibri"/>
                <w:lang w:val="ro-RO"/>
              </w:rPr>
              <w:t>, finanţat din bugetul d stat.</w:t>
            </w:r>
          </w:p>
          <w:p w:rsidR="003102FD" w:rsidRPr="00585A50" w:rsidRDefault="003102FD" w:rsidP="00585A50">
            <w:pPr>
              <w:jc w:val="both"/>
              <w:rPr>
                <w:rFonts w:cs="Calibri"/>
                <w:bCs/>
                <w:lang w:val="ro-RO"/>
              </w:rPr>
            </w:pPr>
            <w:r>
              <w:rPr>
                <w:rFonts w:cs="Calibri"/>
                <w:lang w:val="ro-RO"/>
              </w:rPr>
              <w:t xml:space="preserve">Analiza dărilor de seamă </w:t>
            </w:r>
            <w:r w:rsidR="000C1019">
              <w:rPr>
                <w:rFonts w:cs="Calibri"/>
                <w:lang w:val="ro-RO"/>
              </w:rPr>
              <w:t xml:space="preserve">a </w:t>
            </w:r>
            <w:r>
              <w:rPr>
                <w:rFonts w:cs="Calibri"/>
                <w:lang w:val="ro-RO"/>
              </w:rPr>
              <w:t>Centrul</w:t>
            </w:r>
            <w:r w:rsidR="000C1019">
              <w:rPr>
                <w:rFonts w:cs="Calibri"/>
                <w:lang w:val="ro-RO"/>
              </w:rPr>
              <w:t>ui</w:t>
            </w:r>
            <w:r>
              <w:rPr>
                <w:rFonts w:cs="Calibri"/>
                <w:lang w:val="ro-RO"/>
              </w:rPr>
              <w:t xml:space="preserve"> Republican de Diagnostic Veterinar </w:t>
            </w:r>
            <w:r w:rsidR="000C1019">
              <w:rPr>
                <w:rFonts w:cs="Calibri"/>
                <w:lang w:val="ro-RO"/>
              </w:rPr>
              <w:t xml:space="preserve">denotă că cercetările de laborator efectuate </w:t>
            </w:r>
            <w:r>
              <w:rPr>
                <w:rFonts w:cs="Calibri"/>
                <w:lang w:val="ro-RO"/>
              </w:rPr>
              <w:t xml:space="preserve">în scopul monitorizării </w:t>
            </w:r>
            <w:r w:rsidR="000C1019">
              <w:rPr>
                <w:rFonts w:cs="Calibri"/>
                <w:lang w:val="ro-RO"/>
              </w:rPr>
              <w:t>situaţiei epidemiologice s-au efectuat şi la cadavrele de lebede, ceea ce demonstrează că ANSA şi CRDV respectă prevederile legii, iar vidul cadrului normativ  necesită a fi completat.</w:t>
            </w:r>
          </w:p>
          <w:p w:rsidR="00585A50" w:rsidRDefault="0026060F" w:rsidP="00CE7539">
            <w:pPr>
              <w:jc w:val="both"/>
              <w:rPr>
                <w:color w:val="000000"/>
              </w:rPr>
            </w:pPr>
            <w:r>
              <w:lastRenderedPageBreak/>
              <w:t>Conform prevederilor art. 1 din Legea nr. 221,</w:t>
            </w:r>
            <w:r>
              <w:rPr>
                <w:color w:val="000000"/>
              </w:rPr>
              <w:t xml:space="preserve"> drepturile şi obligaţiile statului, ale persoanelor fizice şi juridice </w:t>
            </w:r>
            <w:r w:rsidR="004A094B">
              <w:rPr>
                <w:color w:val="000000"/>
              </w:rPr>
              <w:t xml:space="preserve"> constă în respectarea principalelor</w:t>
            </w:r>
            <w:r>
              <w:rPr>
                <w:color w:val="000000"/>
              </w:rPr>
              <w:t xml:space="preserve"> norm</w:t>
            </w:r>
            <w:r w:rsidR="004A094B">
              <w:rPr>
                <w:color w:val="000000"/>
              </w:rPr>
              <w:t xml:space="preserve">e şi cerinţe sanitar-veterinare, </w:t>
            </w:r>
            <w:r>
              <w:rPr>
                <w:color w:val="000000"/>
              </w:rPr>
              <w:t>asigurarea sănătăţii animalelor, prevenirea transmiterii de boli de la animale la om, realizarea siguranţei produselor de origine animală destinate consumului uman, salubritatea şi calitatea furajelor, testarea şi autorizarea a substanţelor utilizate în activităţile de diagnostic veterinar, protecţia teritoriului ţării faţă d</w:t>
            </w:r>
            <w:r w:rsidR="004A094B">
              <w:rPr>
                <w:color w:val="000000"/>
              </w:rPr>
              <w:t>e bolile infecţioase, prevederi specificate în pct. 5</w:t>
            </w:r>
            <w:r w:rsidR="004A094B">
              <w:rPr>
                <w:color w:val="000000"/>
                <w:vertAlign w:val="superscript"/>
              </w:rPr>
              <w:t>1</w:t>
            </w:r>
            <w:r w:rsidR="00FF4CFE">
              <w:rPr>
                <w:color w:val="000000"/>
              </w:rPr>
              <w:t xml:space="preserve"> ş</w:t>
            </w:r>
            <w:r w:rsidR="004A094B">
              <w:rPr>
                <w:color w:val="000000"/>
              </w:rPr>
              <w:t>i anexele nr.7 şi 8 la prezentul proiect.</w:t>
            </w:r>
          </w:p>
          <w:p w:rsidR="004A094B" w:rsidRDefault="00885158" w:rsidP="00CE7539">
            <w:pPr>
              <w:jc w:val="both"/>
            </w:pPr>
            <w:r>
              <w:t>Aceste prevederi se regăsesc în Legea nr. 22</w:t>
            </w:r>
            <w:r w:rsidR="00FF4CFE">
              <w:t xml:space="preserve">1 din 19.10.2007 , precum şi </w:t>
            </w:r>
            <w:r w:rsidRPr="00885158">
              <w:t>în Codul Contravenţional al Republicii Moldova</w:t>
            </w:r>
            <w:r>
              <w:t>, deoarece totul ce ţi</w:t>
            </w:r>
            <w:r w:rsidR="00FF4CFE">
              <w:t>n</w:t>
            </w:r>
            <w:r>
              <w:t xml:space="preserve">e de reglementarea activităţii de întreprinzăror ce prevăd </w:t>
            </w:r>
            <w:r w:rsidR="00FF4CFE">
              <w:t xml:space="preserve">astfel de măsuri </w:t>
            </w:r>
            <w:r>
              <w:t>se ridică la nivel</w:t>
            </w:r>
            <w:r w:rsidR="00FF4CFE">
              <w:t xml:space="preserve"> de lege, ceea ce este specificat </w:t>
            </w:r>
            <w:r>
              <w:t>în pct. 5</w:t>
            </w:r>
            <w:r w:rsidR="00670AA3">
              <w:rPr>
                <w:vertAlign w:val="superscript"/>
              </w:rPr>
              <w:t>1</w:t>
            </w:r>
            <w:r w:rsidR="00FF4CFE">
              <w:t>. d</w:t>
            </w:r>
            <w:r w:rsidR="00670AA3">
              <w:t>in prezentul proiect.</w:t>
            </w:r>
          </w:p>
          <w:p w:rsidR="00095093" w:rsidRDefault="00670AA3" w:rsidP="00095093">
            <w:pPr>
              <w:jc w:val="both"/>
              <w:rPr>
                <w:rFonts w:cs="Calibri"/>
                <w:lang w:val="ro-RO"/>
              </w:rPr>
            </w:pPr>
            <w:r>
              <w:t>Aceste prevederi sunt implementate întru executarea</w:t>
            </w:r>
            <w:r w:rsidR="00095093">
              <w:t xml:space="preserve"> </w:t>
            </w:r>
            <w:r>
              <w:t>prevederilor Hotărîrii Guvernului nr. 51 din 16 ianuarie 2013</w:t>
            </w:r>
            <w:r w:rsidR="00095093">
              <w:t xml:space="preserve"> privind asigurarea trasabilităţii, autorizarea şi</w:t>
            </w:r>
            <w:r w:rsidR="00095093" w:rsidRPr="00D87477">
              <w:rPr>
                <w:rFonts w:cs="Calibri"/>
                <w:lang w:val="ro-RO"/>
              </w:rPr>
              <w:t xml:space="preserve"> acorda</w:t>
            </w:r>
            <w:r w:rsidR="00095093">
              <w:rPr>
                <w:rFonts w:cs="Calibri"/>
                <w:lang w:val="ro-RO"/>
              </w:rPr>
              <w:t>rea</w:t>
            </w:r>
            <w:r w:rsidR="00095093" w:rsidRPr="00D87477">
              <w:rPr>
                <w:rFonts w:cs="Calibri"/>
                <w:lang w:val="ro-RO"/>
              </w:rPr>
              <w:t xml:space="preserve"> un</w:t>
            </w:r>
            <w:r w:rsidR="00095093">
              <w:rPr>
                <w:rFonts w:cs="Calibri"/>
                <w:lang w:val="ro-RO"/>
              </w:rPr>
              <w:t>ui</w:t>
            </w:r>
            <w:r w:rsidR="00095093" w:rsidRPr="00D87477">
              <w:rPr>
                <w:rFonts w:cs="Calibri"/>
                <w:lang w:val="ro-RO"/>
              </w:rPr>
              <w:t xml:space="preserve"> statut sanitar distinct în privința gripei aviare.</w:t>
            </w:r>
            <w:r w:rsidR="00095093">
              <w:rPr>
                <w:rFonts w:cs="Calibri"/>
                <w:lang w:val="ro-RO"/>
              </w:rPr>
              <w:t xml:space="preserve"> Celelalte sunt stipulate în prezentul proiec</w:t>
            </w:r>
            <w:r w:rsidR="009800CD">
              <w:rPr>
                <w:rFonts w:cs="Calibri"/>
                <w:lang w:val="ro-RO"/>
              </w:rPr>
              <w:t>t, în care se prevede</w:t>
            </w:r>
            <w:r w:rsidR="009800CD" w:rsidRPr="009800CD">
              <w:rPr>
                <w:rFonts w:cs="Calibri"/>
                <w:lang w:val="ro-RO"/>
              </w:rPr>
              <w:t xml:space="preserve"> </w:t>
            </w:r>
            <w:r w:rsidR="009800CD">
              <w:rPr>
                <w:rFonts w:cs="Calibri"/>
                <w:lang w:val="ro-RO"/>
              </w:rPr>
              <w:t>„</w:t>
            </w:r>
            <w:r w:rsidR="009800CD" w:rsidRPr="009800CD">
              <w:rPr>
                <w:rFonts w:cs="Calibri"/>
                <w:lang w:val="ro-RO"/>
              </w:rPr>
              <w:t xml:space="preserve">complexul de măsuri de biosecuritate, aplicat la nivel de exploatație, parte componentă a sistemului comun de gestionare a biosecurității în cadrul unui </w:t>
            </w:r>
            <w:r w:rsidR="009800CD" w:rsidRPr="009800CD">
              <w:rPr>
                <w:rFonts w:cs="Calibri"/>
                <w:lang w:val="ro-RO"/>
              </w:rPr>
              <w:lastRenderedPageBreak/>
              <w:t>compartiment, gestionat de o persoană responsabilă, desemnată oficial de asigurarea biosecurității, în colab</w:t>
            </w:r>
            <w:r w:rsidR="009800CD">
              <w:rPr>
                <w:rFonts w:cs="Calibri"/>
                <w:lang w:val="ro-RO"/>
              </w:rPr>
              <w:t>orare cu autoritatea competentă”.</w:t>
            </w:r>
          </w:p>
          <w:p w:rsidR="00883489" w:rsidRDefault="00883489" w:rsidP="00883489">
            <w:pPr>
              <w:jc w:val="both"/>
              <w:rPr>
                <w:rFonts w:cs="Calibri"/>
                <w:lang w:val="ro-RO"/>
              </w:rPr>
            </w:pPr>
            <w:r>
              <w:rPr>
                <w:rFonts w:cs="Calibri"/>
                <w:lang w:val="ro-RO"/>
              </w:rPr>
              <w:t xml:space="preserve">În activităţile sale autorităţile competente se conduc şi respectă prevederile </w:t>
            </w:r>
            <w:r w:rsidRPr="00883489">
              <w:rPr>
                <w:rFonts w:cs="Calibri"/>
                <w:lang w:val="ro-RO"/>
              </w:rPr>
              <w:t>stipulate în Codul Sănătăţii Animalelor Terestre, Codul Sanitar al Animalelor Terestre, Manualul Diagnostic, Reducerea riscurilor biologice, actualizate şe plas</w:t>
            </w:r>
            <w:r>
              <w:rPr>
                <w:rFonts w:cs="Calibri"/>
                <w:lang w:val="ro-RO"/>
              </w:rPr>
              <w:t>ate pe pagina oficială web a</w:t>
            </w:r>
            <w:r w:rsidRPr="00883489">
              <w:rPr>
                <w:rFonts w:cs="Calibri"/>
                <w:lang w:val="ro-RO"/>
              </w:rPr>
              <w:t xml:space="preserve"> Organizației Mondiale pentru Sănătatea Animală (OIE) la care Republica Moldova este parte,</w:t>
            </w:r>
            <w:r>
              <w:rPr>
                <w:rFonts w:cs="Calibri"/>
                <w:lang w:val="ro-RO"/>
              </w:rPr>
              <w:t xml:space="preserve"> precum ş</w:t>
            </w:r>
            <w:r w:rsidR="00E566BE">
              <w:rPr>
                <w:rFonts w:cs="Calibri"/>
                <w:lang w:val="ro-RO"/>
              </w:rPr>
              <w:t>i actele normative naţionale cum</w:t>
            </w:r>
            <w:r>
              <w:rPr>
                <w:rFonts w:cs="Calibri"/>
                <w:lang w:val="ro-RO"/>
              </w:rPr>
              <w:t xml:space="preserve"> sînt Planul de cotingenţă, Manualul de dagnostic şi Procedurile specifice privind diagnosticul de laborator  a </w:t>
            </w:r>
            <w:r w:rsidRPr="00D87477">
              <w:rPr>
                <w:rFonts w:cs="Calibri"/>
                <w:lang w:val="ro-RO"/>
              </w:rPr>
              <w:t>influenței aviare produse de tulpini înalt patogene („HPAI”), despre care se suspectează sau se confirmă că tipul de neuraminidază este N1, se izolează la păsări sălbatice pentru a preveni transmiterea influenței aviare de la păsările sălbatice la păsările de curte sau la alte păsări ținute în captivitate, precum și con</w:t>
            </w:r>
            <w:r>
              <w:rPr>
                <w:rFonts w:cs="Calibri"/>
                <w:lang w:val="ro-RO"/>
              </w:rPr>
              <w:t>taminarea produselor acestora</w:t>
            </w:r>
            <w:r w:rsidR="00E566BE">
              <w:rPr>
                <w:rFonts w:cs="Calibri"/>
                <w:lang w:val="ro-RO"/>
              </w:rPr>
              <w:t>.</w:t>
            </w:r>
          </w:p>
          <w:p w:rsidR="00E566BE" w:rsidRDefault="00E566BE" w:rsidP="00883489">
            <w:pPr>
              <w:jc w:val="both"/>
              <w:rPr>
                <w:rFonts w:cs="Calibri"/>
                <w:lang w:val="ro-RO"/>
              </w:rPr>
            </w:pPr>
            <w:r>
              <w:rPr>
                <w:rFonts w:cs="Calibri"/>
                <w:lang w:val="ro-RO"/>
              </w:rPr>
              <w:t xml:space="preserve">În actele normative naţionale sunt strict reglementate activităţile diagnosticului de laborator care urmăresc respectarea instrucţiunilor privind utilizarea seturilor concrete de diagnostic a influenţei aviare, care vor permite obţinerea unor rezultate corecte şi stabilirea unui diagnostic cert. </w:t>
            </w:r>
          </w:p>
          <w:p w:rsidR="00A05C2F" w:rsidRDefault="00E566BE" w:rsidP="00883489">
            <w:pPr>
              <w:jc w:val="both"/>
              <w:rPr>
                <w:rFonts w:cs="Calibri"/>
                <w:lang w:val="ro-RO"/>
              </w:rPr>
            </w:pPr>
            <w:r>
              <w:rPr>
                <w:rFonts w:cs="Calibri"/>
                <w:lang w:val="ro-RO"/>
              </w:rPr>
              <w:t>Nu este cazul ca</w:t>
            </w:r>
            <w:r w:rsidRPr="00D87477">
              <w:rPr>
                <w:rFonts w:cs="Calibri"/>
                <w:lang w:val="ro-RO"/>
              </w:rPr>
              <w:t xml:space="preserve"> exemplul României, </w:t>
            </w:r>
            <w:r w:rsidRPr="00D87477">
              <w:rPr>
                <w:rFonts w:cs="Calibri"/>
                <w:lang w:val="ro-RO"/>
              </w:rPr>
              <w:lastRenderedPageBreak/>
              <w:t>care a asigurat realizarea obiectivelor actului UE prin Norma sanitară veterinară privind anumite măsuri de protecție referitoare la influența aviară cu subtipul H5N1, tipul înalt patogen, la păsările sălbatice din Comunitatea Europeană din 20 februarie 2007</w:t>
            </w:r>
            <w:r w:rsidR="00A05C2F">
              <w:rPr>
                <w:rFonts w:cs="Calibri"/>
                <w:lang w:val="ro-RO"/>
              </w:rPr>
              <w:t>, deoarece la momentul adoptării actului comunitar</w:t>
            </w:r>
            <w:r w:rsidR="00A05C2F" w:rsidRPr="00D87477">
              <w:rPr>
                <w:rFonts w:cs="Calibri"/>
                <w:lang w:val="ro-RO"/>
              </w:rPr>
              <w:t xml:space="preserve"> </w:t>
            </w:r>
            <w:r w:rsidR="00A05C2F">
              <w:rPr>
                <w:rFonts w:cs="Calibri"/>
                <w:lang w:val="ro-RO"/>
              </w:rPr>
              <w:t>România era stat-membru al UE şi cerințele</w:t>
            </w:r>
            <w:r w:rsidR="00A05C2F" w:rsidRPr="00D87477">
              <w:rPr>
                <w:rFonts w:cs="Calibri"/>
                <w:lang w:val="ro-RO"/>
              </w:rPr>
              <w:t xml:space="preserve"> Deciziei</w:t>
            </w:r>
            <w:r>
              <w:rPr>
                <w:rFonts w:cs="Calibri"/>
                <w:lang w:val="ro-RO"/>
              </w:rPr>
              <w:t xml:space="preserve"> </w:t>
            </w:r>
            <w:r w:rsidR="00A05C2F">
              <w:rPr>
                <w:rFonts w:cs="Calibri"/>
                <w:lang w:val="ro-RO"/>
              </w:rPr>
              <w:t>respective au fost transpuse mot-a-mot, inclusiv referirile la alte acte comunitare ce reglementază domeniul respectiv.</w:t>
            </w:r>
          </w:p>
          <w:p w:rsidR="00E566BE" w:rsidRPr="00883489" w:rsidRDefault="000D7E68" w:rsidP="00883489">
            <w:pPr>
              <w:jc w:val="both"/>
              <w:rPr>
                <w:rFonts w:cs="Calibri"/>
                <w:lang w:val="ro-RO"/>
              </w:rPr>
            </w:pPr>
            <w:r>
              <w:rPr>
                <w:rFonts w:cs="Calibri"/>
                <w:lang w:val="ro-RO"/>
              </w:rPr>
              <w:t>Luînd în consideraţie că în HG. nr. 939</w:t>
            </w:r>
            <w:r w:rsidR="00E566BE">
              <w:rPr>
                <w:rFonts w:cs="Calibri"/>
                <w:lang w:val="ro-RO"/>
              </w:rPr>
              <w:t xml:space="preserve"> </w:t>
            </w:r>
            <w:r>
              <w:rPr>
                <w:rFonts w:cs="Calibri"/>
                <w:lang w:val="ro-RO"/>
              </w:rPr>
              <w:t>elementele informative au fost incluse ca puncte separate în Normă, întru respectarea tehnicii legislative, acestea au fost modificate sau excluse prin completrea HG cu un preambul, lucru acceptat şi practicat de mult timp.</w:t>
            </w:r>
          </w:p>
          <w:p w:rsidR="00095093" w:rsidRDefault="00095093" w:rsidP="00095093">
            <w:pPr>
              <w:jc w:val="both"/>
              <w:rPr>
                <w:rFonts w:cs="Calibri"/>
                <w:lang w:val="ro-RO"/>
              </w:rPr>
            </w:pPr>
          </w:p>
          <w:p w:rsidR="00095093" w:rsidRDefault="00095093" w:rsidP="00095093">
            <w:pPr>
              <w:jc w:val="both"/>
              <w:rPr>
                <w:rFonts w:cs="Calibri"/>
                <w:lang w:val="ro-RO"/>
              </w:rPr>
            </w:pPr>
          </w:p>
          <w:p w:rsidR="00095093" w:rsidRDefault="00095093" w:rsidP="00095093">
            <w:pPr>
              <w:jc w:val="both"/>
              <w:rPr>
                <w:rFonts w:cs="Calibri"/>
                <w:lang w:val="ro-RO"/>
              </w:rPr>
            </w:pPr>
          </w:p>
          <w:p w:rsidR="00095093" w:rsidRDefault="00095093" w:rsidP="00095093">
            <w:pPr>
              <w:jc w:val="both"/>
              <w:rPr>
                <w:rFonts w:cs="Calibri"/>
                <w:lang w:val="ro-RO"/>
              </w:rPr>
            </w:pPr>
          </w:p>
          <w:p w:rsidR="00095093" w:rsidRDefault="00095093" w:rsidP="00095093">
            <w:pPr>
              <w:jc w:val="both"/>
              <w:rPr>
                <w:rFonts w:cs="Calibri"/>
                <w:lang w:val="ro-RO"/>
              </w:rPr>
            </w:pPr>
          </w:p>
          <w:p w:rsidR="00095093" w:rsidRPr="00D87477" w:rsidRDefault="00095093" w:rsidP="00095093">
            <w:pPr>
              <w:jc w:val="both"/>
              <w:rPr>
                <w:rFonts w:cs="Calibri"/>
                <w:lang w:val="ro-RO"/>
              </w:rPr>
            </w:pPr>
            <w:r>
              <w:rPr>
                <w:rFonts w:cs="Calibri"/>
                <w:lang w:val="ro-RO"/>
              </w:rPr>
              <w:t xml:space="preserve"> </w:t>
            </w:r>
          </w:p>
          <w:p w:rsidR="00670AA3" w:rsidRPr="00670AA3" w:rsidRDefault="00670AA3" w:rsidP="00CE7539">
            <w:pPr>
              <w:jc w:val="both"/>
            </w:pPr>
            <w:r>
              <w:t>.</w:t>
            </w: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F1C8A" w:rsidRDefault="000F1C8A" w:rsidP="00CE7539">
            <w:pPr>
              <w:jc w:val="both"/>
            </w:pPr>
          </w:p>
          <w:p w:rsidR="000D7E68" w:rsidRDefault="000D7E68" w:rsidP="00CE7539">
            <w:pPr>
              <w:jc w:val="both"/>
            </w:pPr>
          </w:p>
          <w:p w:rsidR="000D7E68" w:rsidRDefault="000D7E68" w:rsidP="00CE7539">
            <w:pPr>
              <w:jc w:val="both"/>
            </w:pPr>
          </w:p>
          <w:p w:rsidR="000D7E68" w:rsidRDefault="000D7E68" w:rsidP="00CE7539">
            <w:pPr>
              <w:jc w:val="both"/>
            </w:pPr>
          </w:p>
          <w:p w:rsidR="000D7E68" w:rsidRDefault="000D7E68" w:rsidP="00CE7539">
            <w:pPr>
              <w:jc w:val="both"/>
            </w:pPr>
          </w:p>
          <w:p w:rsidR="000D7E68" w:rsidRDefault="000D7E68" w:rsidP="00CE7539">
            <w:pPr>
              <w:jc w:val="both"/>
            </w:pPr>
          </w:p>
          <w:p w:rsidR="000D7E68" w:rsidRDefault="000D7E68" w:rsidP="00CE7539">
            <w:pPr>
              <w:jc w:val="both"/>
            </w:pPr>
          </w:p>
          <w:p w:rsidR="000D7E68" w:rsidRDefault="000D7E68" w:rsidP="00CE7539">
            <w:pPr>
              <w:jc w:val="both"/>
            </w:pPr>
          </w:p>
          <w:p w:rsidR="000D7E68" w:rsidRDefault="000D7E68" w:rsidP="00445AF6">
            <w:pPr>
              <w:jc w:val="both"/>
              <w:rPr>
                <w:rFonts w:cs="Calibri"/>
                <w:lang w:val="ro-RO"/>
              </w:rPr>
            </w:pPr>
            <w:r w:rsidRPr="000D7E68">
              <w:rPr>
                <w:b/>
              </w:rPr>
              <w:t>Se acceptă parţial</w:t>
            </w:r>
            <w:r>
              <w:rPr>
                <w:b/>
              </w:rPr>
              <w:t xml:space="preserve">, </w:t>
            </w:r>
            <w:r>
              <w:t>deoarece</w:t>
            </w:r>
            <w:r w:rsidR="00FB2143" w:rsidRPr="00D87477">
              <w:rPr>
                <w:rFonts w:cs="Calibri"/>
                <w:lang w:val="ro-RO"/>
              </w:rPr>
              <w:t xml:space="preserve"> inserarea integrală</w:t>
            </w:r>
            <w:r w:rsidR="00FB2143">
              <w:rPr>
                <w:rFonts w:cs="Calibri"/>
                <w:lang w:val="ro-RO"/>
              </w:rPr>
              <w:t xml:space="preserve">, articol per articol, </w:t>
            </w:r>
            <w:r w:rsidR="00FB2143" w:rsidRPr="00D87477">
              <w:rPr>
                <w:rFonts w:cs="Calibri"/>
                <w:lang w:val="ro-RO"/>
              </w:rPr>
              <w:t xml:space="preserve"> în rubrica 4 a prevederilor Deciziei 2006/563/CE</w:t>
            </w:r>
            <w:r w:rsidR="00FB2143">
              <w:rPr>
                <w:rFonts w:cs="Calibri"/>
                <w:lang w:val="ro-RO"/>
              </w:rPr>
              <w:t xml:space="preserve">, </w:t>
            </w:r>
            <w:r w:rsidR="00445AF6">
              <w:rPr>
                <w:rFonts w:cs="Calibri"/>
                <w:lang w:val="ro-RO"/>
              </w:rPr>
              <w:t>este lipsită de logică şi nu înbunătăţeşte calitatea şi conţinutul actului normativ naţional</w:t>
            </w:r>
            <w:r w:rsidR="00445AF6" w:rsidRPr="00445AF6">
              <w:rPr>
                <w:rFonts w:cs="Calibri"/>
              </w:rPr>
              <w:t>,</w:t>
            </w:r>
            <w:r w:rsidR="00FB2143">
              <w:rPr>
                <w:rFonts w:cs="Calibri"/>
                <w:lang w:val="ro-RO"/>
              </w:rPr>
              <w:t xml:space="preserve"> nu se referă la Republica Moldova.</w:t>
            </w:r>
          </w:p>
          <w:p w:rsidR="00445AF6" w:rsidRPr="000D7E68" w:rsidRDefault="00445AF6" w:rsidP="0078191E">
            <w:pPr>
              <w:jc w:val="both"/>
            </w:pPr>
            <w:r w:rsidRPr="000D7E68">
              <w:rPr>
                <w:b/>
              </w:rPr>
              <w:t>Se acceptă</w:t>
            </w:r>
            <w:r>
              <w:rPr>
                <w:b/>
              </w:rPr>
              <w:t xml:space="preserve"> parţial. </w:t>
            </w:r>
            <w:r w:rsidRPr="00445AF6">
              <w:t xml:space="preserve">Omiterea </w:t>
            </w:r>
            <w:r>
              <w:t xml:space="preserve">unor prevederi din actul comunitar este argumentată prin necesitatea respectării </w:t>
            </w:r>
            <w:r w:rsidR="0078191E">
              <w:rPr>
                <w:rFonts w:cs="Calibri"/>
                <w:bCs/>
                <w:lang w:val="ro-RO"/>
              </w:rPr>
              <w:t>particularităţilor</w:t>
            </w:r>
            <w:r w:rsidR="0078191E">
              <w:rPr>
                <w:rFonts w:cs="Calibri"/>
                <w:bCs/>
                <w:lang w:val="ro-RO"/>
              </w:rPr>
              <w:t xml:space="preserve"> cadrului legal - normativ şi instituţional al Republicii</w:t>
            </w:r>
            <w:r w:rsidR="0078191E" w:rsidRPr="00FF4CFE">
              <w:rPr>
                <w:rFonts w:cs="Calibri"/>
                <w:bCs/>
                <w:lang w:val="en-US"/>
              </w:rPr>
              <w:t xml:space="preserve"> </w:t>
            </w:r>
            <w:r w:rsidR="0078191E">
              <w:rPr>
                <w:rFonts w:cs="Calibri"/>
                <w:bCs/>
                <w:lang w:val="ro-RO"/>
              </w:rPr>
              <w:t>Moldova</w:t>
            </w:r>
            <w:r w:rsidR="0078191E">
              <w:t>, dar nu şi</w:t>
            </w:r>
            <w:r w:rsidR="0078191E" w:rsidRPr="00D87477">
              <w:rPr>
                <w:rFonts w:cs="Calibri"/>
                <w:lang w:val="ro-RO"/>
              </w:rPr>
              <w:t xml:space="preserve"> la conformitatea </w:t>
            </w:r>
            <w:r w:rsidR="0078191E">
              <w:rPr>
                <w:rFonts w:cs="Calibri"/>
                <w:lang w:val="ro-RO"/>
              </w:rPr>
              <w:t xml:space="preserve">strictă a </w:t>
            </w:r>
            <w:r w:rsidR="0078191E" w:rsidRPr="00D87477">
              <w:rPr>
                <w:rFonts w:cs="Calibri"/>
                <w:lang w:val="ro-RO"/>
              </w:rPr>
              <w:t>acestora cu Dreptul UE aplicabil</w:t>
            </w:r>
            <w:r w:rsidR="0078191E">
              <w:rPr>
                <w:rFonts w:cs="Calibri"/>
                <w:lang w:val="ro-RO"/>
              </w:rPr>
              <w:t xml:space="preserve">, la care </w:t>
            </w:r>
            <w:r w:rsidR="0078191E">
              <w:rPr>
                <w:rFonts w:cs="Calibri"/>
                <w:bCs/>
                <w:lang w:val="ro-RO"/>
              </w:rPr>
              <w:t>R</w:t>
            </w:r>
            <w:r w:rsidR="0078191E">
              <w:rPr>
                <w:rFonts w:cs="Calibri"/>
                <w:bCs/>
                <w:lang w:val="ro-RO"/>
              </w:rPr>
              <w:t>epublica</w:t>
            </w:r>
            <w:r w:rsidR="0078191E" w:rsidRPr="00FF4CFE">
              <w:rPr>
                <w:rFonts w:cs="Calibri"/>
                <w:bCs/>
                <w:lang w:val="en-US"/>
              </w:rPr>
              <w:t xml:space="preserve"> </w:t>
            </w:r>
            <w:r w:rsidR="0078191E">
              <w:rPr>
                <w:rFonts w:cs="Calibri"/>
                <w:bCs/>
                <w:lang w:val="ro-RO"/>
              </w:rPr>
              <w:t>Moldova</w:t>
            </w:r>
            <w:r w:rsidR="0078191E">
              <w:rPr>
                <w:rFonts w:cs="Calibri"/>
                <w:bCs/>
                <w:lang w:val="ro-RO"/>
              </w:rPr>
              <w:t>, la moment, nu este parte.</w:t>
            </w:r>
            <w:bookmarkStart w:id="0" w:name="_GoBack"/>
            <w:bookmarkEnd w:id="0"/>
          </w:p>
        </w:tc>
      </w:tr>
    </w:tbl>
    <w:p w:rsidR="00FA292B" w:rsidRPr="003635A8" w:rsidRDefault="00FA292B" w:rsidP="00EB15ED">
      <w:pPr>
        <w:ind w:firstLine="720"/>
        <w:rPr>
          <w:rStyle w:val="a7"/>
          <w:sz w:val="28"/>
          <w:szCs w:val="28"/>
        </w:rPr>
      </w:pPr>
    </w:p>
    <w:p w:rsidR="00EB15ED" w:rsidRDefault="00824227" w:rsidP="00824227">
      <w:pPr>
        <w:ind w:left="2832" w:firstLine="720"/>
        <w:rPr>
          <w:rStyle w:val="a7"/>
          <w:sz w:val="28"/>
          <w:szCs w:val="28"/>
        </w:rPr>
      </w:pPr>
      <w:r>
        <w:rPr>
          <w:rStyle w:val="a7"/>
          <w:sz w:val="28"/>
          <w:szCs w:val="28"/>
        </w:rPr>
        <w:t>M</w:t>
      </w:r>
      <w:r w:rsidR="00EB15ED" w:rsidRPr="002E34CC">
        <w:rPr>
          <w:rStyle w:val="a7"/>
          <w:sz w:val="28"/>
          <w:szCs w:val="28"/>
        </w:rPr>
        <w:t>inist</w:t>
      </w:r>
      <w:r>
        <w:rPr>
          <w:rStyle w:val="a7"/>
          <w:sz w:val="28"/>
          <w:szCs w:val="28"/>
        </w:rPr>
        <w:t>ru</w:t>
      </w:r>
      <w:r>
        <w:rPr>
          <w:rStyle w:val="a7"/>
          <w:sz w:val="28"/>
          <w:szCs w:val="28"/>
        </w:rPr>
        <w:tab/>
      </w:r>
      <w:r>
        <w:rPr>
          <w:rStyle w:val="a7"/>
          <w:sz w:val="28"/>
          <w:szCs w:val="28"/>
        </w:rPr>
        <w:tab/>
      </w:r>
      <w:r>
        <w:rPr>
          <w:rStyle w:val="a7"/>
          <w:sz w:val="28"/>
          <w:szCs w:val="28"/>
        </w:rPr>
        <w:tab/>
      </w:r>
      <w:r>
        <w:rPr>
          <w:rStyle w:val="a7"/>
          <w:sz w:val="28"/>
          <w:szCs w:val="28"/>
        </w:rPr>
        <w:tab/>
      </w:r>
      <w:r>
        <w:rPr>
          <w:rStyle w:val="a7"/>
          <w:sz w:val="28"/>
          <w:szCs w:val="28"/>
        </w:rPr>
        <w:tab/>
      </w:r>
      <w:r>
        <w:rPr>
          <w:rStyle w:val="a7"/>
          <w:sz w:val="28"/>
          <w:szCs w:val="28"/>
        </w:rPr>
        <w:tab/>
        <w:t>Vasile BÎTCĂ</w:t>
      </w:r>
      <w:r w:rsidR="00EB15ED" w:rsidRPr="002E34CC">
        <w:rPr>
          <w:rStyle w:val="a7"/>
          <w:sz w:val="28"/>
          <w:szCs w:val="28"/>
        </w:rPr>
        <w:t xml:space="preserve"> </w:t>
      </w:r>
    </w:p>
    <w:p w:rsidR="005E6B5C" w:rsidRPr="003635A8" w:rsidRDefault="005E6B5C" w:rsidP="003635A8">
      <w:pPr>
        <w:ind w:firstLine="720"/>
        <w:rPr>
          <w:rStyle w:val="do1"/>
          <w:sz w:val="28"/>
          <w:szCs w:val="28"/>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824227" w:rsidRDefault="00824227" w:rsidP="00EB15ED">
      <w:pPr>
        <w:ind w:firstLine="993"/>
        <w:rPr>
          <w:rStyle w:val="do1"/>
          <w:b w:val="0"/>
          <w:sz w:val="16"/>
          <w:szCs w:val="16"/>
        </w:rPr>
      </w:pPr>
    </w:p>
    <w:p w:rsidR="00EB15ED" w:rsidRPr="000F2608" w:rsidRDefault="000F2608" w:rsidP="00EB15ED">
      <w:pPr>
        <w:ind w:firstLine="993"/>
        <w:rPr>
          <w:rStyle w:val="do1"/>
          <w:b w:val="0"/>
          <w:bCs w:val="0"/>
          <w:sz w:val="16"/>
          <w:szCs w:val="16"/>
        </w:rPr>
      </w:pPr>
      <w:r>
        <w:rPr>
          <w:rStyle w:val="do1"/>
          <w:b w:val="0"/>
          <w:sz w:val="16"/>
          <w:szCs w:val="16"/>
        </w:rPr>
        <w:t xml:space="preserve">Ex.: Nartea Victor </w:t>
      </w:r>
      <w:r w:rsidR="00EB15ED" w:rsidRPr="000F2608">
        <w:rPr>
          <w:rStyle w:val="do1"/>
          <w:b w:val="0"/>
          <w:sz w:val="16"/>
          <w:szCs w:val="16"/>
        </w:rPr>
        <w:t xml:space="preserve"> </w:t>
      </w:r>
    </w:p>
    <w:p w:rsidR="00354471" w:rsidRPr="000F2608" w:rsidRDefault="000176D0" w:rsidP="00672FA2">
      <w:pPr>
        <w:tabs>
          <w:tab w:val="left" w:pos="3870"/>
        </w:tabs>
        <w:ind w:left="-13" w:firstLine="993"/>
        <w:jc w:val="both"/>
        <w:rPr>
          <w:b/>
          <w:sz w:val="16"/>
          <w:szCs w:val="16"/>
        </w:rPr>
      </w:pPr>
      <w:r w:rsidRPr="000F2608">
        <w:rPr>
          <w:rStyle w:val="do1"/>
          <w:b w:val="0"/>
          <w:sz w:val="16"/>
          <w:szCs w:val="16"/>
        </w:rPr>
        <w:t>Tel. 022 210</w:t>
      </w:r>
      <w:r w:rsidR="008C7A4D" w:rsidRPr="000F2608">
        <w:rPr>
          <w:rStyle w:val="do1"/>
          <w:b w:val="0"/>
          <w:sz w:val="16"/>
          <w:szCs w:val="16"/>
        </w:rPr>
        <w:t xml:space="preserve"> </w:t>
      </w:r>
      <w:r w:rsidR="00EB15ED" w:rsidRPr="000F2608">
        <w:rPr>
          <w:rStyle w:val="do1"/>
          <w:b w:val="0"/>
          <w:sz w:val="16"/>
          <w:szCs w:val="16"/>
        </w:rPr>
        <w:t>724</w:t>
      </w:r>
    </w:p>
    <w:sectPr w:rsidR="00354471" w:rsidRPr="000F2608" w:rsidSect="00B673C8">
      <w:footerReference w:type="default" r:id="rId8"/>
      <w:pgSz w:w="16838" w:h="11906" w:orient="landscape"/>
      <w:pgMar w:top="567" w:right="1134" w:bottom="850"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C07" w:rsidRDefault="00326C07" w:rsidP="009F4339">
      <w:r>
        <w:separator/>
      </w:r>
    </w:p>
  </w:endnote>
  <w:endnote w:type="continuationSeparator" w:id="0">
    <w:p w:rsidR="00326C07" w:rsidRDefault="00326C07" w:rsidP="009F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752027"/>
      <w:docPartObj>
        <w:docPartGallery w:val="Page Numbers (Bottom of Page)"/>
        <w:docPartUnique/>
      </w:docPartObj>
    </w:sdtPr>
    <w:sdtEndPr/>
    <w:sdtContent>
      <w:p w:rsidR="00EC40A3" w:rsidRDefault="00EC40A3">
        <w:pPr>
          <w:pStyle w:val="a5"/>
          <w:jc w:val="right"/>
        </w:pPr>
        <w:r>
          <w:fldChar w:fldCharType="begin"/>
        </w:r>
        <w:r>
          <w:instrText>PAGE   \* MERGEFORMAT</w:instrText>
        </w:r>
        <w:r>
          <w:fldChar w:fldCharType="separate"/>
        </w:r>
        <w:r w:rsidR="0078191E" w:rsidRPr="0078191E">
          <w:rPr>
            <w:lang w:val="ru-RU"/>
          </w:rPr>
          <w:t>7</w:t>
        </w:r>
        <w:r>
          <w:fldChar w:fldCharType="end"/>
        </w:r>
      </w:p>
    </w:sdtContent>
  </w:sdt>
  <w:p w:rsidR="00EC40A3" w:rsidRDefault="00EC40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C07" w:rsidRDefault="00326C07" w:rsidP="009F4339">
      <w:r>
        <w:separator/>
      </w:r>
    </w:p>
  </w:footnote>
  <w:footnote w:type="continuationSeparator" w:id="0">
    <w:p w:rsidR="00326C07" w:rsidRDefault="00326C07" w:rsidP="009F4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85B"/>
    <w:multiLevelType w:val="hybridMultilevel"/>
    <w:tmpl w:val="582C2596"/>
    <w:lvl w:ilvl="0" w:tplc="B1661C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3F1A1E"/>
    <w:multiLevelType w:val="hybridMultilevel"/>
    <w:tmpl w:val="069CDFF8"/>
    <w:lvl w:ilvl="0" w:tplc="7E7E4E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C11E2C"/>
    <w:multiLevelType w:val="hybridMultilevel"/>
    <w:tmpl w:val="C48485F6"/>
    <w:lvl w:ilvl="0" w:tplc="9D00B282">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370D1C48"/>
    <w:multiLevelType w:val="hybridMultilevel"/>
    <w:tmpl w:val="E620E8EC"/>
    <w:lvl w:ilvl="0" w:tplc="F118E2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A36F14"/>
    <w:multiLevelType w:val="hybridMultilevel"/>
    <w:tmpl w:val="CDB8B422"/>
    <w:lvl w:ilvl="0" w:tplc="7058607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6D"/>
    <w:rsid w:val="0000659A"/>
    <w:rsid w:val="000075E3"/>
    <w:rsid w:val="000108D1"/>
    <w:rsid w:val="00011EB3"/>
    <w:rsid w:val="000129A9"/>
    <w:rsid w:val="00013BEC"/>
    <w:rsid w:val="00013C5F"/>
    <w:rsid w:val="00014243"/>
    <w:rsid w:val="00015EB9"/>
    <w:rsid w:val="0001611B"/>
    <w:rsid w:val="000161EF"/>
    <w:rsid w:val="000176D0"/>
    <w:rsid w:val="00017B11"/>
    <w:rsid w:val="00022564"/>
    <w:rsid w:val="0003046E"/>
    <w:rsid w:val="00030608"/>
    <w:rsid w:val="00031411"/>
    <w:rsid w:val="000325DD"/>
    <w:rsid w:val="00035E96"/>
    <w:rsid w:val="000370E4"/>
    <w:rsid w:val="00040363"/>
    <w:rsid w:val="00042480"/>
    <w:rsid w:val="0004795A"/>
    <w:rsid w:val="00050395"/>
    <w:rsid w:val="000512C9"/>
    <w:rsid w:val="0005290A"/>
    <w:rsid w:val="000546F2"/>
    <w:rsid w:val="00054863"/>
    <w:rsid w:val="00060C0E"/>
    <w:rsid w:val="000713DE"/>
    <w:rsid w:val="00073D4F"/>
    <w:rsid w:val="00073EA9"/>
    <w:rsid w:val="0007658B"/>
    <w:rsid w:val="0008186B"/>
    <w:rsid w:val="00081D3E"/>
    <w:rsid w:val="0009075D"/>
    <w:rsid w:val="00092BBC"/>
    <w:rsid w:val="00095093"/>
    <w:rsid w:val="000969D4"/>
    <w:rsid w:val="000977EF"/>
    <w:rsid w:val="000A486B"/>
    <w:rsid w:val="000A575A"/>
    <w:rsid w:val="000B24C7"/>
    <w:rsid w:val="000B2782"/>
    <w:rsid w:val="000B280C"/>
    <w:rsid w:val="000B3614"/>
    <w:rsid w:val="000B3FDE"/>
    <w:rsid w:val="000B6005"/>
    <w:rsid w:val="000B6033"/>
    <w:rsid w:val="000C09F8"/>
    <w:rsid w:val="000C0F42"/>
    <w:rsid w:val="000C1019"/>
    <w:rsid w:val="000C12AF"/>
    <w:rsid w:val="000C2724"/>
    <w:rsid w:val="000C2D6B"/>
    <w:rsid w:val="000C331C"/>
    <w:rsid w:val="000C44AE"/>
    <w:rsid w:val="000C7058"/>
    <w:rsid w:val="000C7EBE"/>
    <w:rsid w:val="000C7FB4"/>
    <w:rsid w:val="000D0B80"/>
    <w:rsid w:val="000D37C2"/>
    <w:rsid w:val="000D4F93"/>
    <w:rsid w:val="000D60C3"/>
    <w:rsid w:val="000D7E68"/>
    <w:rsid w:val="000E25A1"/>
    <w:rsid w:val="000E478C"/>
    <w:rsid w:val="000E671C"/>
    <w:rsid w:val="000F0230"/>
    <w:rsid w:val="000F1C8A"/>
    <w:rsid w:val="000F2608"/>
    <w:rsid w:val="000F2845"/>
    <w:rsid w:val="000F33CF"/>
    <w:rsid w:val="00104B6B"/>
    <w:rsid w:val="0010598E"/>
    <w:rsid w:val="001060C6"/>
    <w:rsid w:val="0011101C"/>
    <w:rsid w:val="00117973"/>
    <w:rsid w:val="00117B71"/>
    <w:rsid w:val="00121C03"/>
    <w:rsid w:val="00125A36"/>
    <w:rsid w:val="0012767C"/>
    <w:rsid w:val="00127BD9"/>
    <w:rsid w:val="00131B5B"/>
    <w:rsid w:val="00133EAA"/>
    <w:rsid w:val="00135A3F"/>
    <w:rsid w:val="0013774F"/>
    <w:rsid w:val="001419B1"/>
    <w:rsid w:val="00141D3D"/>
    <w:rsid w:val="001434EF"/>
    <w:rsid w:val="001441B9"/>
    <w:rsid w:val="001474F5"/>
    <w:rsid w:val="001511FE"/>
    <w:rsid w:val="00151333"/>
    <w:rsid w:val="00151B93"/>
    <w:rsid w:val="00154C34"/>
    <w:rsid w:val="00156E61"/>
    <w:rsid w:val="00162C9E"/>
    <w:rsid w:val="00165BEA"/>
    <w:rsid w:val="001665CE"/>
    <w:rsid w:val="00176C1F"/>
    <w:rsid w:val="00180318"/>
    <w:rsid w:val="0018594B"/>
    <w:rsid w:val="00192D0C"/>
    <w:rsid w:val="0019409E"/>
    <w:rsid w:val="001940DE"/>
    <w:rsid w:val="001947F9"/>
    <w:rsid w:val="00195B57"/>
    <w:rsid w:val="001A0EA5"/>
    <w:rsid w:val="001A784B"/>
    <w:rsid w:val="001B0FD9"/>
    <w:rsid w:val="001C5532"/>
    <w:rsid w:val="001C59B2"/>
    <w:rsid w:val="001C6442"/>
    <w:rsid w:val="001D25F3"/>
    <w:rsid w:val="001D699E"/>
    <w:rsid w:val="001D7BDF"/>
    <w:rsid w:val="001E31C7"/>
    <w:rsid w:val="001E5895"/>
    <w:rsid w:val="001E6BA7"/>
    <w:rsid w:val="001F140C"/>
    <w:rsid w:val="001F1E81"/>
    <w:rsid w:val="001F2771"/>
    <w:rsid w:val="00200F27"/>
    <w:rsid w:val="002019CC"/>
    <w:rsid w:val="00203BAC"/>
    <w:rsid w:val="002160A3"/>
    <w:rsid w:val="00222D17"/>
    <w:rsid w:val="00222DCF"/>
    <w:rsid w:val="00226124"/>
    <w:rsid w:val="00227EA4"/>
    <w:rsid w:val="00230A70"/>
    <w:rsid w:val="0023140C"/>
    <w:rsid w:val="00232A0B"/>
    <w:rsid w:val="00232CBF"/>
    <w:rsid w:val="002336C9"/>
    <w:rsid w:val="00233A5C"/>
    <w:rsid w:val="00237F6B"/>
    <w:rsid w:val="0024032A"/>
    <w:rsid w:val="00243E55"/>
    <w:rsid w:val="00243FBB"/>
    <w:rsid w:val="00245EA3"/>
    <w:rsid w:val="00247379"/>
    <w:rsid w:val="00252D51"/>
    <w:rsid w:val="00253808"/>
    <w:rsid w:val="00254496"/>
    <w:rsid w:val="00254DB9"/>
    <w:rsid w:val="0025627E"/>
    <w:rsid w:val="00256B2D"/>
    <w:rsid w:val="0026060F"/>
    <w:rsid w:val="002719E5"/>
    <w:rsid w:val="00271BA6"/>
    <w:rsid w:val="00272737"/>
    <w:rsid w:val="00272EEB"/>
    <w:rsid w:val="00273378"/>
    <w:rsid w:val="0027339E"/>
    <w:rsid w:val="00274F72"/>
    <w:rsid w:val="0027679D"/>
    <w:rsid w:val="002767A2"/>
    <w:rsid w:val="0027730B"/>
    <w:rsid w:val="00277B9F"/>
    <w:rsid w:val="002836C9"/>
    <w:rsid w:val="002844BD"/>
    <w:rsid w:val="002864D2"/>
    <w:rsid w:val="002877A2"/>
    <w:rsid w:val="00291AE3"/>
    <w:rsid w:val="00294786"/>
    <w:rsid w:val="002968FC"/>
    <w:rsid w:val="002971D1"/>
    <w:rsid w:val="002A2412"/>
    <w:rsid w:val="002A31DB"/>
    <w:rsid w:val="002A4039"/>
    <w:rsid w:val="002B0482"/>
    <w:rsid w:val="002B2B9F"/>
    <w:rsid w:val="002B5765"/>
    <w:rsid w:val="002C00F7"/>
    <w:rsid w:val="002C11DA"/>
    <w:rsid w:val="002C34DE"/>
    <w:rsid w:val="002C63FB"/>
    <w:rsid w:val="002C7AAC"/>
    <w:rsid w:val="002D13CA"/>
    <w:rsid w:val="002D2139"/>
    <w:rsid w:val="002D2639"/>
    <w:rsid w:val="002D2E48"/>
    <w:rsid w:val="002D390B"/>
    <w:rsid w:val="002D6EAC"/>
    <w:rsid w:val="002D7487"/>
    <w:rsid w:val="002E02EE"/>
    <w:rsid w:val="002E13EB"/>
    <w:rsid w:val="002E34CC"/>
    <w:rsid w:val="002E3812"/>
    <w:rsid w:val="002E40F3"/>
    <w:rsid w:val="002E5EFC"/>
    <w:rsid w:val="002E6267"/>
    <w:rsid w:val="002F01BF"/>
    <w:rsid w:val="002F1177"/>
    <w:rsid w:val="002F36A9"/>
    <w:rsid w:val="002F3E65"/>
    <w:rsid w:val="002F492F"/>
    <w:rsid w:val="002F6EFB"/>
    <w:rsid w:val="002F7742"/>
    <w:rsid w:val="003000CD"/>
    <w:rsid w:val="00302E05"/>
    <w:rsid w:val="00303363"/>
    <w:rsid w:val="00304D95"/>
    <w:rsid w:val="00306632"/>
    <w:rsid w:val="003078A7"/>
    <w:rsid w:val="003102FD"/>
    <w:rsid w:val="00315577"/>
    <w:rsid w:val="003210E1"/>
    <w:rsid w:val="003244BF"/>
    <w:rsid w:val="00326C07"/>
    <w:rsid w:val="00326C69"/>
    <w:rsid w:val="00332566"/>
    <w:rsid w:val="00333502"/>
    <w:rsid w:val="00334B78"/>
    <w:rsid w:val="003355DE"/>
    <w:rsid w:val="003359F7"/>
    <w:rsid w:val="003411B6"/>
    <w:rsid w:val="00342378"/>
    <w:rsid w:val="00344ABE"/>
    <w:rsid w:val="0034667A"/>
    <w:rsid w:val="00346898"/>
    <w:rsid w:val="00346B31"/>
    <w:rsid w:val="00347DC9"/>
    <w:rsid w:val="00347EDC"/>
    <w:rsid w:val="00351D47"/>
    <w:rsid w:val="00354471"/>
    <w:rsid w:val="003635A8"/>
    <w:rsid w:val="00363693"/>
    <w:rsid w:val="00367EC2"/>
    <w:rsid w:val="0037087D"/>
    <w:rsid w:val="00371BE7"/>
    <w:rsid w:val="00374A93"/>
    <w:rsid w:val="003750B4"/>
    <w:rsid w:val="00380D4E"/>
    <w:rsid w:val="00383F01"/>
    <w:rsid w:val="00383F05"/>
    <w:rsid w:val="0038545A"/>
    <w:rsid w:val="00393B03"/>
    <w:rsid w:val="00394396"/>
    <w:rsid w:val="003949B7"/>
    <w:rsid w:val="00394B7A"/>
    <w:rsid w:val="003A01BC"/>
    <w:rsid w:val="003A40BE"/>
    <w:rsid w:val="003A4A39"/>
    <w:rsid w:val="003A5019"/>
    <w:rsid w:val="003A55DD"/>
    <w:rsid w:val="003A5831"/>
    <w:rsid w:val="003A5EA0"/>
    <w:rsid w:val="003A65BF"/>
    <w:rsid w:val="003A6F1C"/>
    <w:rsid w:val="003B1EDC"/>
    <w:rsid w:val="003B6735"/>
    <w:rsid w:val="003C1E6C"/>
    <w:rsid w:val="003C2412"/>
    <w:rsid w:val="003C33DA"/>
    <w:rsid w:val="003C348E"/>
    <w:rsid w:val="003C4907"/>
    <w:rsid w:val="003C65F8"/>
    <w:rsid w:val="003D129D"/>
    <w:rsid w:val="003D4A8D"/>
    <w:rsid w:val="003E0254"/>
    <w:rsid w:val="003E26ED"/>
    <w:rsid w:val="003E4DA0"/>
    <w:rsid w:val="003F1735"/>
    <w:rsid w:val="003F384D"/>
    <w:rsid w:val="0040019F"/>
    <w:rsid w:val="00400296"/>
    <w:rsid w:val="00404020"/>
    <w:rsid w:val="00405882"/>
    <w:rsid w:val="00406B47"/>
    <w:rsid w:val="0041127C"/>
    <w:rsid w:val="0041214D"/>
    <w:rsid w:val="00415749"/>
    <w:rsid w:val="004165AB"/>
    <w:rsid w:val="004170FE"/>
    <w:rsid w:val="0041762F"/>
    <w:rsid w:val="00421E21"/>
    <w:rsid w:val="00426BB1"/>
    <w:rsid w:val="00430A1D"/>
    <w:rsid w:val="0043604F"/>
    <w:rsid w:val="00437851"/>
    <w:rsid w:val="00444709"/>
    <w:rsid w:val="00444943"/>
    <w:rsid w:val="00445AF6"/>
    <w:rsid w:val="00450A5B"/>
    <w:rsid w:val="004521AD"/>
    <w:rsid w:val="00454309"/>
    <w:rsid w:val="004552D0"/>
    <w:rsid w:val="00457E23"/>
    <w:rsid w:val="00457FBB"/>
    <w:rsid w:val="004602DD"/>
    <w:rsid w:val="00460909"/>
    <w:rsid w:val="00464153"/>
    <w:rsid w:val="00465C34"/>
    <w:rsid w:val="004735D7"/>
    <w:rsid w:val="004748B9"/>
    <w:rsid w:val="00480FAC"/>
    <w:rsid w:val="00483CA8"/>
    <w:rsid w:val="00490B99"/>
    <w:rsid w:val="00492E84"/>
    <w:rsid w:val="00496062"/>
    <w:rsid w:val="00497136"/>
    <w:rsid w:val="004A094B"/>
    <w:rsid w:val="004A0CD3"/>
    <w:rsid w:val="004A1271"/>
    <w:rsid w:val="004A1469"/>
    <w:rsid w:val="004A15C7"/>
    <w:rsid w:val="004A4133"/>
    <w:rsid w:val="004A4957"/>
    <w:rsid w:val="004A5482"/>
    <w:rsid w:val="004A7554"/>
    <w:rsid w:val="004B36EF"/>
    <w:rsid w:val="004B3CCB"/>
    <w:rsid w:val="004B5891"/>
    <w:rsid w:val="004B6848"/>
    <w:rsid w:val="004B7A1D"/>
    <w:rsid w:val="004B7E8C"/>
    <w:rsid w:val="004C1C16"/>
    <w:rsid w:val="004C5051"/>
    <w:rsid w:val="004C78CE"/>
    <w:rsid w:val="004D596B"/>
    <w:rsid w:val="004D5EC6"/>
    <w:rsid w:val="004D6DAD"/>
    <w:rsid w:val="004E500C"/>
    <w:rsid w:val="004E66FB"/>
    <w:rsid w:val="004E6E48"/>
    <w:rsid w:val="004F1FF6"/>
    <w:rsid w:val="004F5190"/>
    <w:rsid w:val="00500243"/>
    <w:rsid w:val="00500DFA"/>
    <w:rsid w:val="00510AFC"/>
    <w:rsid w:val="00512C52"/>
    <w:rsid w:val="00516D9E"/>
    <w:rsid w:val="00517AA6"/>
    <w:rsid w:val="005209BE"/>
    <w:rsid w:val="0052424A"/>
    <w:rsid w:val="00525B24"/>
    <w:rsid w:val="00527B95"/>
    <w:rsid w:val="0053066E"/>
    <w:rsid w:val="0054102E"/>
    <w:rsid w:val="00544E50"/>
    <w:rsid w:val="005459AF"/>
    <w:rsid w:val="0054622A"/>
    <w:rsid w:val="005617ED"/>
    <w:rsid w:val="0056298F"/>
    <w:rsid w:val="00566323"/>
    <w:rsid w:val="00570AEF"/>
    <w:rsid w:val="00573384"/>
    <w:rsid w:val="00576329"/>
    <w:rsid w:val="00580042"/>
    <w:rsid w:val="005819C2"/>
    <w:rsid w:val="00582452"/>
    <w:rsid w:val="00582E81"/>
    <w:rsid w:val="00585A50"/>
    <w:rsid w:val="00590398"/>
    <w:rsid w:val="005908EA"/>
    <w:rsid w:val="005916FA"/>
    <w:rsid w:val="00593751"/>
    <w:rsid w:val="0059433F"/>
    <w:rsid w:val="00595D00"/>
    <w:rsid w:val="005A16E9"/>
    <w:rsid w:val="005A4A05"/>
    <w:rsid w:val="005A4D3E"/>
    <w:rsid w:val="005A63A6"/>
    <w:rsid w:val="005B3FDB"/>
    <w:rsid w:val="005C3CCD"/>
    <w:rsid w:val="005C5609"/>
    <w:rsid w:val="005C6814"/>
    <w:rsid w:val="005C769E"/>
    <w:rsid w:val="005D1A4F"/>
    <w:rsid w:val="005D2801"/>
    <w:rsid w:val="005D5AA6"/>
    <w:rsid w:val="005D7459"/>
    <w:rsid w:val="005D7CDC"/>
    <w:rsid w:val="005E0AB4"/>
    <w:rsid w:val="005E2B44"/>
    <w:rsid w:val="005E4345"/>
    <w:rsid w:val="005E44F6"/>
    <w:rsid w:val="005E44FA"/>
    <w:rsid w:val="005E6B5C"/>
    <w:rsid w:val="005F039B"/>
    <w:rsid w:val="005F1175"/>
    <w:rsid w:val="005F268B"/>
    <w:rsid w:val="005F6F8F"/>
    <w:rsid w:val="006001F5"/>
    <w:rsid w:val="00602355"/>
    <w:rsid w:val="00602428"/>
    <w:rsid w:val="0060306D"/>
    <w:rsid w:val="0060539D"/>
    <w:rsid w:val="00606D5C"/>
    <w:rsid w:val="0060758D"/>
    <w:rsid w:val="00611529"/>
    <w:rsid w:val="00616B3C"/>
    <w:rsid w:val="00617390"/>
    <w:rsid w:val="0062478F"/>
    <w:rsid w:val="00624F97"/>
    <w:rsid w:val="00625CC9"/>
    <w:rsid w:val="00627159"/>
    <w:rsid w:val="0063016B"/>
    <w:rsid w:val="006301A7"/>
    <w:rsid w:val="00633568"/>
    <w:rsid w:val="00642A96"/>
    <w:rsid w:val="006457F7"/>
    <w:rsid w:val="00647ADB"/>
    <w:rsid w:val="0065024E"/>
    <w:rsid w:val="006573F1"/>
    <w:rsid w:val="00657E2A"/>
    <w:rsid w:val="00660EAC"/>
    <w:rsid w:val="0066460C"/>
    <w:rsid w:val="0066617F"/>
    <w:rsid w:val="00666FD3"/>
    <w:rsid w:val="00667471"/>
    <w:rsid w:val="00670AA3"/>
    <w:rsid w:val="006719A4"/>
    <w:rsid w:val="00672FA2"/>
    <w:rsid w:val="00674E0C"/>
    <w:rsid w:val="00681DCA"/>
    <w:rsid w:val="006825B0"/>
    <w:rsid w:val="0068297F"/>
    <w:rsid w:val="006839C6"/>
    <w:rsid w:val="00685374"/>
    <w:rsid w:val="0069301E"/>
    <w:rsid w:val="006943A0"/>
    <w:rsid w:val="0069471D"/>
    <w:rsid w:val="00695B2F"/>
    <w:rsid w:val="006962D9"/>
    <w:rsid w:val="00696E01"/>
    <w:rsid w:val="00697BD5"/>
    <w:rsid w:val="006A4093"/>
    <w:rsid w:val="006A5BB4"/>
    <w:rsid w:val="006B1C38"/>
    <w:rsid w:val="006B38AE"/>
    <w:rsid w:val="006B47AC"/>
    <w:rsid w:val="006B5557"/>
    <w:rsid w:val="006B5D45"/>
    <w:rsid w:val="006C42C6"/>
    <w:rsid w:val="006C5BB9"/>
    <w:rsid w:val="006C65FC"/>
    <w:rsid w:val="006C71C7"/>
    <w:rsid w:val="006D194D"/>
    <w:rsid w:val="006D262C"/>
    <w:rsid w:val="006D5684"/>
    <w:rsid w:val="006E168F"/>
    <w:rsid w:val="006E19B8"/>
    <w:rsid w:val="006E19F3"/>
    <w:rsid w:val="006E1E8E"/>
    <w:rsid w:val="006E240A"/>
    <w:rsid w:val="006E3BF6"/>
    <w:rsid w:val="006E5051"/>
    <w:rsid w:val="006E5764"/>
    <w:rsid w:val="006E6EF9"/>
    <w:rsid w:val="006F33B9"/>
    <w:rsid w:val="006F4F81"/>
    <w:rsid w:val="006F66A4"/>
    <w:rsid w:val="006F7020"/>
    <w:rsid w:val="006F751B"/>
    <w:rsid w:val="006F76C9"/>
    <w:rsid w:val="00702FC6"/>
    <w:rsid w:val="00706F10"/>
    <w:rsid w:val="00710D40"/>
    <w:rsid w:val="00710FAD"/>
    <w:rsid w:val="0071442F"/>
    <w:rsid w:val="00714BD8"/>
    <w:rsid w:val="00714DF4"/>
    <w:rsid w:val="00724B23"/>
    <w:rsid w:val="007265D5"/>
    <w:rsid w:val="00730650"/>
    <w:rsid w:val="00730B1E"/>
    <w:rsid w:val="00731A1D"/>
    <w:rsid w:val="007332CF"/>
    <w:rsid w:val="00734210"/>
    <w:rsid w:val="0073456F"/>
    <w:rsid w:val="00737673"/>
    <w:rsid w:val="00742FAD"/>
    <w:rsid w:val="00743C13"/>
    <w:rsid w:val="00750039"/>
    <w:rsid w:val="007521F3"/>
    <w:rsid w:val="0075281A"/>
    <w:rsid w:val="007539A4"/>
    <w:rsid w:val="00753B25"/>
    <w:rsid w:val="00755862"/>
    <w:rsid w:val="0075652E"/>
    <w:rsid w:val="007658BB"/>
    <w:rsid w:val="0076595C"/>
    <w:rsid w:val="00766522"/>
    <w:rsid w:val="007720F2"/>
    <w:rsid w:val="00772E5A"/>
    <w:rsid w:val="00773D53"/>
    <w:rsid w:val="00777122"/>
    <w:rsid w:val="0078191E"/>
    <w:rsid w:val="00783AB4"/>
    <w:rsid w:val="00783E4E"/>
    <w:rsid w:val="00784184"/>
    <w:rsid w:val="00787D24"/>
    <w:rsid w:val="007962C8"/>
    <w:rsid w:val="007A01E5"/>
    <w:rsid w:val="007A7834"/>
    <w:rsid w:val="007B00F8"/>
    <w:rsid w:val="007B4AD3"/>
    <w:rsid w:val="007B604A"/>
    <w:rsid w:val="007B796B"/>
    <w:rsid w:val="007B7B1E"/>
    <w:rsid w:val="007C1742"/>
    <w:rsid w:val="007C2C3E"/>
    <w:rsid w:val="007C429D"/>
    <w:rsid w:val="007D6B8C"/>
    <w:rsid w:val="007E3F89"/>
    <w:rsid w:val="007F285C"/>
    <w:rsid w:val="007F2C51"/>
    <w:rsid w:val="00800F85"/>
    <w:rsid w:val="00803B51"/>
    <w:rsid w:val="00803F46"/>
    <w:rsid w:val="0082003C"/>
    <w:rsid w:val="00820DF7"/>
    <w:rsid w:val="00824227"/>
    <w:rsid w:val="00824B5D"/>
    <w:rsid w:val="00825770"/>
    <w:rsid w:val="00833203"/>
    <w:rsid w:val="00836026"/>
    <w:rsid w:val="008437DD"/>
    <w:rsid w:val="008460B4"/>
    <w:rsid w:val="00855130"/>
    <w:rsid w:val="0086086C"/>
    <w:rsid w:val="00860CEB"/>
    <w:rsid w:val="008631AA"/>
    <w:rsid w:val="00863F65"/>
    <w:rsid w:val="00872220"/>
    <w:rsid w:val="00875C14"/>
    <w:rsid w:val="008762D2"/>
    <w:rsid w:val="00876780"/>
    <w:rsid w:val="00877B58"/>
    <w:rsid w:val="00877F6A"/>
    <w:rsid w:val="00880B47"/>
    <w:rsid w:val="00882AFB"/>
    <w:rsid w:val="00882E85"/>
    <w:rsid w:val="00883489"/>
    <w:rsid w:val="00885158"/>
    <w:rsid w:val="0088570C"/>
    <w:rsid w:val="0089210A"/>
    <w:rsid w:val="00892BCC"/>
    <w:rsid w:val="00892E3D"/>
    <w:rsid w:val="00894A41"/>
    <w:rsid w:val="008A2328"/>
    <w:rsid w:val="008A3BBB"/>
    <w:rsid w:val="008A5E4D"/>
    <w:rsid w:val="008A7BB3"/>
    <w:rsid w:val="008B0E71"/>
    <w:rsid w:val="008B11D1"/>
    <w:rsid w:val="008B35B2"/>
    <w:rsid w:val="008B524F"/>
    <w:rsid w:val="008B7CD0"/>
    <w:rsid w:val="008C0351"/>
    <w:rsid w:val="008C24FD"/>
    <w:rsid w:val="008C59C8"/>
    <w:rsid w:val="008C670D"/>
    <w:rsid w:val="008C6A0E"/>
    <w:rsid w:val="008C6D72"/>
    <w:rsid w:val="008C7A4D"/>
    <w:rsid w:val="008D0369"/>
    <w:rsid w:val="008D0DEC"/>
    <w:rsid w:val="008D7BF7"/>
    <w:rsid w:val="008D7D08"/>
    <w:rsid w:val="008E7A9A"/>
    <w:rsid w:val="008F2634"/>
    <w:rsid w:val="00901435"/>
    <w:rsid w:val="00904DD4"/>
    <w:rsid w:val="00905E33"/>
    <w:rsid w:val="00906718"/>
    <w:rsid w:val="00907AA6"/>
    <w:rsid w:val="00911CAD"/>
    <w:rsid w:val="00914445"/>
    <w:rsid w:val="00916AEB"/>
    <w:rsid w:val="00917804"/>
    <w:rsid w:val="00920BAE"/>
    <w:rsid w:val="00920E34"/>
    <w:rsid w:val="00922819"/>
    <w:rsid w:val="00922AE7"/>
    <w:rsid w:val="009276AD"/>
    <w:rsid w:val="009306E4"/>
    <w:rsid w:val="00931158"/>
    <w:rsid w:val="00932925"/>
    <w:rsid w:val="00933B78"/>
    <w:rsid w:val="009469DA"/>
    <w:rsid w:val="00947375"/>
    <w:rsid w:val="009476BE"/>
    <w:rsid w:val="00951BFB"/>
    <w:rsid w:val="009523C3"/>
    <w:rsid w:val="009631C2"/>
    <w:rsid w:val="00965C38"/>
    <w:rsid w:val="009725FE"/>
    <w:rsid w:val="009759B8"/>
    <w:rsid w:val="009800CD"/>
    <w:rsid w:val="00981A80"/>
    <w:rsid w:val="009824A9"/>
    <w:rsid w:val="009836D0"/>
    <w:rsid w:val="0098500D"/>
    <w:rsid w:val="00986E22"/>
    <w:rsid w:val="00990740"/>
    <w:rsid w:val="00991D55"/>
    <w:rsid w:val="00994236"/>
    <w:rsid w:val="00996210"/>
    <w:rsid w:val="009967C6"/>
    <w:rsid w:val="00996866"/>
    <w:rsid w:val="00996ADA"/>
    <w:rsid w:val="009A38B5"/>
    <w:rsid w:val="009A602F"/>
    <w:rsid w:val="009B0708"/>
    <w:rsid w:val="009B1C42"/>
    <w:rsid w:val="009C0BC4"/>
    <w:rsid w:val="009C1528"/>
    <w:rsid w:val="009C2C90"/>
    <w:rsid w:val="009C3703"/>
    <w:rsid w:val="009C48DA"/>
    <w:rsid w:val="009C51FD"/>
    <w:rsid w:val="009D4AD4"/>
    <w:rsid w:val="009E0236"/>
    <w:rsid w:val="009E077C"/>
    <w:rsid w:val="009E245B"/>
    <w:rsid w:val="009E67E4"/>
    <w:rsid w:val="009E6CFC"/>
    <w:rsid w:val="009E78D2"/>
    <w:rsid w:val="009E7DFF"/>
    <w:rsid w:val="009F00F1"/>
    <w:rsid w:val="009F1655"/>
    <w:rsid w:val="009F4339"/>
    <w:rsid w:val="009F62B7"/>
    <w:rsid w:val="00A030CC"/>
    <w:rsid w:val="00A031BE"/>
    <w:rsid w:val="00A05A87"/>
    <w:rsid w:val="00A05C2F"/>
    <w:rsid w:val="00A10744"/>
    <w:rsid w:val="00A12A60"/>
    <w:rsid w:val="00A16CC5"/>
    <w:rsid w:val="00A22D3D"/>
    <w:rsid w:val="00A30146"/>
    <w:rsid w:val="00A3309A"/>
    <w:rsid w:val="00A33B96"/>
    <w:rsid w:val="00A347BC"/>
    <w:rsid w:val="00A34C2D"/>
    <w:rsid w:val="00A35CA1"/>
    <w:rsid w:val="00A42BBA"/>
    <w:rsid w:val="00A4406D"/>
    <w:rsid w:val="00A442FE"/>
    <w:rsid w:val="00A44B26"/>
    <w:rsid w:val="00A5311B"/>
    <w:rsid w:val="00A56CF4"/>
    <w:rsid w:val="00A63743"/>
    <w:rsid w:val="00A64A97"/>
    <w:rsid w:val="00A67415"/>
    <w:rsid w:val="00A67B22"/>
    <w:rsid w:val="00A70B28"/>
    <w:rsid w:val="00A728E1"/>
    <w:rsid w:val="00A75741"/>
    <w:rsid w:val="00A75D44"/>
    <w:rsid w:val="00A81553"/>
    <w:rsid w:val="00A81C05"/>
    <w:rsid w:val="00A824D6"/>
    <w:rsid w:val="00A82E2E"/>
    <w:rsid w:val="00A854C9"/>
    <w:rsid w:val="00A951C7"/>
    <w:rsid w:val="00A97895"/>
    <w:rsid w:val="00A978CE"/>
    <w:rsid w:val="00AA2076"/>
    <w:rsid w:val="00AA2529"/>
    <w:rsid w:val="00AA445B"/>
    <w:rsid w:val="00AA62CE"/>
    <w:rsid w:val="00AA652D"/>
    <w:rsid w:val="00AA7AFE"/>
    <w:rsid w:val="00AC14D7"/>
    <w:rsid w:val="00AC4BD7"/>
    <w:rsid w:val="00AC74CB"/>
    <w:rsid w:val="00AE0AD5"/>
    <w:rsid w:val="00AE2F7D"/>
    <w:rsid w:val="00AE49DC"/>
    <w:rsid w:val="00AE4F37"/>
    <w:rsid w:val="00AE79CE"/>
    <w:rsid w:val="00AF34D5"/>
    <w:rsid w:val="00AF4237"/>
    <w:rsid w:val="00AF437C"/>
    <w:rsid w:val="00AF4691"/>
    <w:rsid w:val="00AF4879"/>
    <w:rsid w:val="00AF57AC"/>
    <w:rsid w:val="00AF6FB9"/>
    <w:rsid w:val="00B01BC6"/>
    <w:rsid w:val="00B03F20"/>
    <w:rsid w:val="00B04660"/>
    <w:rsid w:val="00B06145"/>
    <w:rsid w:val="00B076B5"/>
    <w:rsid w:val="00B120F4"/>
    <w:rsid w:val="00B1376E"/>
    <w:rsid w:val="00B1378B"/>
    <w:rsid w:val="00B17D18"/>
    <w:rsid w:val="00B201B4"/>
    <w:rsid w:val="00B228A6"/>
    <w:rsid w:val="00B24282"/>
    <w:rsid w:val="00B3176B"/>
    <w:rsid w:val="00B34520"/>
    <w:rsid w:val="00B36864"/>
    <w:rsid w:val="00B440DC"/>
    <w:rsid w:val="00B44ADE"/>
    <w:rsid w:val="00B46FF8"/>
    <w:rsid w:val="00B51196"/>
    <w:rsid w:val="00B54242"/>
    <w:rsid w:val="00B56470"/>
    <w:rsid w:val="00B60BF8"/>
    <w:rsid w:val="00B627BF"/>
    <w:rsid w:val="00B62D7E"/>
    <w:rsid w:val="00B64FC1"/>
    <w:rsid w:val="00B65C91"/>
    <w:rsid w:val="00B673C8"/>
    <w:rsid w:val="00B71C54"/>
    <w:rsid w:val="00B71CF2"/>
    <w:rsid w:val="00B77471"/>
    <w:rsid w:val="00B8005A"/>
    <w:rsid w:val="00B80111"/>
    <w:rsid w:val="00B831A3"/>
    <w:rsid w:val="00B9025F"/>
    <w:rsid w:val="00B9311D"/>
    <w:rsid w:val="00B95DA0"/>
    <w:rsid w:val="00B96648"/>
    <w:rsid w:val="00BB1C9E"/>
    <w:rsid w:val="00BB4B19"/>
    <w:rsid w:val="00BC3D64"/>
    <w:rsid w:val="00BC43D2"/>
    <w:rsid w:val="00BC45C0"/>
    <w:rsid w:val="00BD0A0B"/>
    <w:rsid w:val="00BD22FF"/>
    <w:rsid w:val="00BD40AA"/>
    <w:rsid w:val="00BD4B3A"/>
    <w:rsid w:val="00BD5F1A"/>
    <w:rsid w:val="00BD6626"/>
    <w:rsid w:val="00BE128F"/>
    <w:rsid w:val="00BE3AE8"/>
    <w:rsid w:val="00BE5147"/>
    <w:rsid w:val="00C041A4"/>
    <w:rsid w:val="00C1084E"/>
    <w:rsid w:val="00C12A7C"/>
    <w:rsid w:val="00C1453B"/>
    <w:rsid w:val="00C14F1E"/>
    <w:rsid w:val="00C15241"/>
    <w:rsid w:val="00C258E6"/>
    <w:rsid w:val="00C308E5"/>
    <w:rsid w:val="00C30E94"/>
    <w:rsid w:val="00C34500"/>
    <w:rsid w:val="00C3794E"/>
    <w:rsid w:val="00C37C37"/>
    <w:rsid w:val="00C42E4F"/>
    <w:rsid w:val="00C463F1"/>
    <w:rsid w:val="00C515B4"/>
    <w:rsid w:val="00C53C79"/>
    <w:rsid w:val="00C738C1"/>
    <w:rsid w:val="00C86796"/>
    <w:rsid w:val="00C9048D"/>
    <w:rsid w:val="00C90582"/>
    <w:rsid w:val="00C94712"/>
    <w:rsid w:val="00C975C9"/>
    <w:rsid w:val="00CA043E"/>
    <w:rsid w:val="00CA0B95"/>
    <w:rsid w:val="00CA2EF7"/>
    <w:rsid w:val="00CA337B"/>
    <w:rsid w:val="00CB2B01"/>
    <w:rsid w:val="00CB7266"/>
    <w:rsid w:val="00CC1415"/>
    <w:rsid w:val="00CC63B3"/>
    <w:rsid w:val="00CE1FDD"/>
    <w:rsid w:val="00CE49F0"/>
    <w:rsid w:val="00CE746A"/>
    <w:rsid w:val="00CE7539"/>
    <w:rsid w:val="00CF0B34"/>
    <w:rsid w:val="00CF0F68"/>
    <w:rsid w:val="00CF3B69"/>
    <w:rsid w:val="00D01A0B"/>
    <w:rsid w:val="00D01EB4"/>
    <w:rsid w:val="00D061D6"/>
    <w:rsid w:val="00D12A4E"/>
    <w:rsid w:val="00D16EEE"/>
    <w:rsid w:val="00D17823"/>
    <w:rsid w:val="00D21609"/>
    <w:rsid w:val="00D2298B"/>
    <w:rsid w:val="00D22F48"/>
    <w:rsid w:val="00D2331C"/>
    <w:rsid w:val="00D246D8"/>
    <w:rsid w:val="00D271C2"/>
    <w:rsid w:val="00D302D4"/>
    <w:rsid w:val="00D3074F"/>
    <w:rsid w:val="00D31D7C"/>
    <w:rsid w:val="00D444CD"/>
    <w:rsid w:val="00D449FC"/>
    <w:rsid w:val="00D502A8"/>
    <w:rsid w:val="00D51631"/>
    <w:rsid w:val="00D5439D"/>
    <w:rsid w:val="00D54710"/>
    <w:rsid w:val="00D6114F"/>
    <w:rsid w:val="00D61FE8"/>
    <w:rsid w:val="00D653FB"/>
    <w:rsid w:val="00D67138"/>
    <w:rsid w:val="00D721D6"/>
    <w:rsid w:val="00D73605"/>
    <w:rsid w:val="00D7571A"/>
    <w:rsid w:val="00D829FA"/>
    <w:rsid w:val="00D835FE"/>
    <w:rsid w:val="00D84903"/>
    <w:rsid w:val="00D86D28"/>
    <w:rsid w:val="00D87477"/>
    <w:rsid w:val="00D87FB1"/>
    <w:rsid w:val="00D90C7C"/>
    <w:rsid w:val="00DA2A26"/>
    <w:rsid w:val="00DA4305"/>
    <w:rsid w:val="00DB5B86"/>
    <w:rsid w:val="00DB6365"/>
    <w:rsid w:val="00DB6F88"/>
    <w:rsid w:val="00DD0B1A"/>
    <w:rsid w:val="00DD0E68"/>
    <w:rsid w:val="00DD112B"/>
    <w:rsid w:val="00DD1536"/>
    <w:rsid w:val="00DD270D"/>
    <w:rsid w:val="00DD43E8"/>
    <w:rsid w:val="00DD610E"/>
    <w:rsid w:val="00DD6A75"/>
    <w:rsid w:val="00DE03EE"/>
    <w:rsid w:val="00DE2BBB"/>
    <w:rsid w:val="00DE4BD7"/>
    <w:rsid w:val="00DE5DA7"/>
    <w:rsid w:val="00DE716E"/>
    <w:rsid w:val="00DE7DC3"/>
    <w:rsid w:val="00DF0234"/>
    <w:rsid w:val="00DF17BD"/>
    <w:rsid w:val="00DF196E"/>
    <w:rsid w:val="00E03C80"/>
    <w:rsid w:val="00E04D5F"/>
    <w:rsid w:val="00E05157"/>
    <w:rsid w:val="00E0554C"/>
    <w:rsid w:val="00E10C79"/>
    <w:rsid w:val="00E1146A"/>
    <w:rsid w:val="00E12151"/>
    <w:rsid w:val="00E12AC1"/>
    <w:rsid w:val="00E171AF"/>
    <w:rsid w:val="00E20674"/>
    <w:rsid w:val="00E26122"/>
    <w:rsid w:val="00E33B65"/>
    <w:rsid w:val="00E347CC"/>
    <w:rsid w:val="00E36044"/>
    <w:rsid w:val="00E377E4"/>
    <w:rsid w:val="00E37E07"/>
    <w:rsid w:val="00E37F7A"/>
    <w:rsid w:val="00E40B00"/>
    <w:rsid w:val="00E40E52"/>
    <w:rsid w:val="00E42D88"/>
    <w:rsid w:val="00E459DB"/>
    <w:rsid w:val="00E5106D"/>
    <w:rsid w:val="00E537A1"/>
    <w:rsid w:val="00E55524"/>
    <w:rsid w:val="00E55D87"/>
    <w:rsid w:val="00E566BE"/>
    <w:rsid w:val="00E56C4A"/>
    <w:rsid w:val="00E57838"/>
    <w:rsid w:val="00E60C05"/>
    <w:rsid w:val="00E614D9"/>
    <w:rsid w:val="00E63881"/>
    <w:rsid w:val="00E63D3F"/>
    <w:rsid w:val="00E66550"/>
    <w:rsid w:val="00E73AD8"/>
    <w:rsid w:val="00E75138"/>
    <w:rsid w:val="00E75F27"/>
    <w:rsid w:val="00E82BC2"/>
    <w:rsid w:val="00E844B2"/>
    <w:rsid w:val="00E878E7"/>
    <w:rsid w:val="00E879A9"/>
    <w:rsid w:val="00E9000D"/>
    <w:rsid w:val="00E9045A"/>
    <w:rsid w:val="00E926D5"/>
    <w:rsid w:val="00E9389F"/>
    <w:rsid w:val="00E9689F"/>
    <w:rsid w:val="00E96FDC"/>
    <w:rsid w:val="00E97122"/>
    <w:rsid w:val="00EA4827"/>
    <w:rsid w:val="00EB13EF"/>
    <w:rsid w:val="00EB15ED"/>
    <w:rsid w:val="00EB1CB0"/>
    <w:rsid w:val="00EB456D"/>
    <w:rsid w:val="00EB5571"/>
    <w:rsid w:val="00EC399A"/>
    <w:rsid w:val="00EC40A3"/>
    <w:rsid w:val="00EC47B7"/>
    <w:rsid w:val="00EC490B"/>
    <w:rsid w:val="00EC4C4F"/>
    <w:rsid w:val="00EC4EC0"/>
    <w:rsid w:val="00ED228D"/>
    <w:rsid w:val="00ED2ADB"/>
    <w:rsid w:val="00ED43EA"/>
    <w:rsid w:val="00ED5580"/>
    <w:rsid w:val="00ED596C"/>
    <w:rsid w:val="00EE0FA2"/>
    <w:rsid w:val="00EE1042"/>
    <w:rsid w:val="00EE12E8"/>
    <w:rsid w:val="00EE1807"/>
    <w:rsid w:val="00EE6E0E"/>
    <w:rsid w:val="00EE6E8F"/>
    <w:rsid w:val="00EF2061"/>
    <w:rsid w:val="00EF3504"/>
    <w:rsid w:val="00EF4806"/>
    <w:rsid w:val="00F01770"/>
    <w:rsid w:val="00F01F5A"/>
    <w:rsid w:val="00F03674"/>
    <w:rsid w:val="00F03675"/>
    <w:rsid w:val="00F0475E"/>
    <w:rsid w:val="00F0612E"/>
    <w:rsid w:val="00F06FCF"/>
    <w:rsid w:val="00F12AED"/>
    <w:rsid w:val="00F136B9"/>
    <w:rsid w:val="00F1499E"/>
    <w:rsid w:val="00F171BA"/>
    <w:rsid w:val="00F20A84"/>
    <w:rsid w:val="00F218CC"/>
    <w:rsid w:val="00F21F37"/>
    <w:rsid w:val="00F25E87"/>
    <w:rsid w:val="00F2603B"/>
    <w:rsid w:val="00F318F3"/>
    <w:rsid w:val="00F35636"/>
    <w:rsid w:val="00F47DFF"/>
    <w:rsid w:val="00F50CA4"/>
    <w:rsid w:val="00F55C3E"/>
    <w:rsid w:val="00F560C8"/>
    <w:rsid w:val="00F61FAD"/>
    <w:rsid w:val="00F638DB"/>
    <w:rsid w:val="00F64A0D"/>
    <w:rsid w:val="00F73527"/>
    <w:rsid w:val="00F7498D"/>
    <w:rsid w:val="00F75023"/>
    <w:rsid w:val="00F803B4"/>
    <w:rsid w:val="00F839C7"/>
    <w:rsid w:val="00F8538C"/>
    <w:rsid w:val="00F8561B"/>
    <w:rsid w:val="00F87970"/>
    <w:rsid w:val="00F87F34"/>
    <w:rsid w:val="00F92F27"/>
    <w:rsid w:val="00FA07F5"/>
    <w:rsid w:val="00FA292B"/>
    <w:rsid w:val="00FB2143"/>
    <w:rsid w:val="00FB227E"/>
    <w:rsid w:val="00FB24DA"/>
    <w:rsid w:val="00FB2F91"/>
    <w:rsid w:val="00FB3FC9"/>
    <w:rsid w:val="00FB6FE0"/>
    <w:rsid w:val="00FB7ACB"/>
    <w:rsid w:val="00FC4497"/>
    <w:rsid w:val="00FC47FC"/>
    <w:rsid w:val="00FC7BEE"/>
    <w:rsid w:val="00FD00D4"/>
    <w:rsid w:val="00FD1114"/>
    <w:rsid w:val="00FD4555"/>
    <w:rsid w:val="00FE0DDF"/>
    <w:rsid w:val="00FE4895"/>
    <w:rsid w:val="00FE68D7"/>
    <w:rsid w:val="00FF146F"/>
    <w:rsid w:val="00FF2AC2"/>
    <w:rsid w:val="00FF3DCC"/>
    <w:rsid w:val="00FF4CFE"/>
    <w:rsid w:val="00FF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146D8-0572-4B65-8AD3-45D2BED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95A"/>
    <w:pPr>
      <w:spacing w:after="0" w:line="240" w:lineRule="auto"/>
    </w:pPr>
    <w:rPr>
      <w:rFonts w:ascii="Times New Roman" w:eastAsia="Calibri" w:hAnsi="Times New Roman" w:cs="Times New Roman"/>
      <w:noProof/>
      <w:sz w:val="24"/>
      <w:szCs w:val="24"/>
      <w:lang w:val="ro-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339"/>
    <w:pPr>
      <w:tabs>
        <w:tab w:val="center" w:pos="4677"/>
        <w:tab w:val="right" w:pos="9355"/>
      </w:tabs>
    </w:pPr>
  </w:style>
  <w:style w:type="character" w:customStyle="1" w:styleId="a4">
    <w:name w:val="Верхний колонтитул Знак"/>
    <w:basedOn w:val="a0"/>
    <w:link w:val="a3"/>
    <w:uiPriority w:val="99"/>
    <w:rsid w:val="009F4339"/>
    <w:rPr>
      <w:rFonts w:ascii="Times New Roman" w:eastAsia="Calibri" w:hAnsi="Times New Roman" w:cs="Times New Roman"/>
      <w:noProof/>
      <w:sz w:val="24"/>
      <w:szCs w:val="24"/>
      <w:lang w:val="ro-MD" w:eastAsia="ru-RU"/>
    </w:rPr>
  </w:style>
  <w:style w:type="paragraph" w:styleId="a5">
    <w:name w:val="footer"/>
    <w:basedOn w:val="a"/>
    <w:link w:val="a6"/>
    <w:uiPriority w:val="99"/>
    <w:unhideWhenUsed/>
    <w:rsid w:val="009F4339"/>
    <w:pPr>
      <w:tabs>
        <w:tab w:val="center" w:pos="4677"/>
        <w:tab w:val="right" w:pos="9355"/>
      </w:tabs>
    </w:pPr>
  </w:style>
  <w:style w:type="character" w:customStyle="1" w:styleId="a6">
    <w:name w:val="Нижний колонтитул Знак"/>
    <w:basedOn w:val="a0"/>
    <w:link w:val="a5"/>
    <w:uiPriority w:val="99"/>
    <w:rsid w:val="009F4339"/>
    <w:rPr>
      <w:rFonts w:ascii="Times New Roman" w:eastAsia="Calibri" w:hAnsi="Times New Roman" w:cs="Times New Roman"/>
      <w:noProof/>
      <w:sz w:val="24"/>
      <w:szCs w:val="24"/>
      <w:lang w:val="ro-MD" w:eastAsia="ru-RU"/>
    </w:rPr>
  </w:style>
  <w:style w:type="character" w:customStyle="1" w:styleId="do1">
    <w:name w:val="do1"/>
    <w:basedOn w:val="a0"/>
    <w:rsid w:val="00EB15ED"/>
    <w:rPr>
      <w:b/>
      <w:bCs/>
      <w:sz w:val="26"/>
      <w:szCs w:val="26"/>
    </w:rPr>
  </w:style>
  <w:style w:type="character" w:styleId="a7">
    <w:name w:val="Strong"/>
    <w:basedOn w:val="a0"/>
    <w:qFormat/>
    <w:rsid w:val="00EB15ED"/>
    <w:rPr>
      <w:b/>
      <w:bCs/>
    </w:rPr>
  </w:style>
  <w:style w:type="paragraph" w:styleId="a8">
    <w:name w:val="List Paragraph"/>
    <w:basedOn w:val="a"/>
    <w:uiPriority w:val="34"/>
    <w:qFormat/>
    <w:rsid w:val="00F73527"/>
    <w:pPr>
      <w:ind w:left="720"/>
      <w:contextualSpacing/>
    </w:pPr>
  </w:style>
  <w:style w:type="paragraph" w:styleId="a9">
    <w:name w:val="Balloon Text"/>
    <w:basedOn w:val="a"/>
    <w:link w:val="aa"/>
    <w:uiPriority w:val="99"/>
    <w:semiHidden/>
    <w:unhideWhenUsed/>
    <w:rsid w:val="00245EA3"/>
    <w:rPr>
      <w:rFonts w:ascii="Tahoma" w:hAnsi="Tahoma" w:cs="Tahoma"/>
      <w:sz w:val="16"/>
      <w:szCs w:val="16"/>
    </w:rPr>
  </w:style>
  <w:style w:type="character" w:customStyle="1" w:styleId="aa">
    <w:name w:val="Текст выноски Знак"/>
    <w:basedOn w:val="a0"/>
    <w:link w:val="a9"/>
    <w:uiPriority w:val="99"/>
    <w:semiHidden/>
    <w:rsid w:val="00245EA3"/>
    <w:rPr>
      <w:rFonts w:ascii="Tahoma" w:eastAsia="Calibri" w:hAnsi="Tahoma" w:cs="Tahoma"/>
      <w:noProof/>
      <w:sz w:val="16"/>
      <w:szCs w:val="16"/>
      <w:lang w:val="ro-MD" w:eastAsia="ru-RU"/>
    </w:rPr>
  </w:style>
  <w:style w:type="character" w:customStyle="1" w:styleId="apple-converted-space">
    <w:name w:val="apple-converted-space"/>
    <w:basedOn w:val="a0"/>
    <w:rsid w:val="00A10744"/>
  </w:style>
  <w:style w:type="character" w:customStyle="1" w:styleId="object">
    <w:name w:val="object"/>
    <w:basedOn w:val="a0"/>
    <w:rsid w:val="00A10744"/>
  </w:style>
  <w:style w:type="paragraph" w:customStyle="1" w:styleId="ab">
    <w:name w:val="Стиль"/>
    <w:rsid w:val="00A10744"/>
    <w:pPr>
      <w:spacing w:after="0" w:line="240" w:lineRule="auto"/>
    </w:pPr>
    <w:rPr>
      <w:rFonts w:ascii="Times New Roman" w:eastAsia="Times New Roman" w:hAnsi="Times New Roman" w:cs="Times New Roman"/>
      <w:sz w:val="20"/>
      <w:szCs w:val="20"/>
      <w:lang w:eastAsia="ru-RU"/>
    </w:rPr>
  </w:style>
  <w:style w:type="paragraph" w:styleId="ac">
    <w:name w:val="Normal (Web)"/>
    <w:basedOn w:val="a"/>
    <w:rsid w:val="00135A3F"/>
    <w:pPr>
      <w:ind w:firstLine="567"/>
      <w:jc w:val="both"/>
    </w:pPr>
    <w:rPr>
      <w:rFonts w:eastAsia="Times New Roman"/>
      <w:noProof w:val="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F01AF-AFA8-4DC4-B22D-C1961F64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8</Pages>
  <Words>3579</Words>
  <Characters>20403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23935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dc:creator>
  <cp:keywords/>
  <dc:description/>
  <cp:lastModifiedBy>admin</cp:lastModifiedBy>
  <cp:revision>2365</cp:revision>
  <cp:lastPrinted>2017-06-29T13:26:00Z</cp:lastPrinted>
  <dcterms:created xsi:type="dcterms:W3CDTF">2017-06-12T07:55:00Z</dcterms:created>
  <dcterms:modified xsi:type="dcterms:W3CDTF">2017-08-23T06:32:00Z</dcterms:modified>
</cp:coreProperties>
</file>