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762" w:rsidRPr="00C302EF" w:rsidRDefault="00406762" w:rsidP="00406762">
      <w:pPr>
        <w:pStyle w:val="af"/>
        <w:rPr>
          <w:rFonts w:ascii="Times New Roman" w:hAnsi="Times New Roman" w:cs="Times New Roman"/>
          <w:b/>
          <w:sz w:val="24"/>
          <w:szCs w:val="24"/>
        </w:rPr>
      </w:pPr>
      <w:r w:rsidRPr="00C302EF">
        <w:rPr>
          <w:rFonts w:ascii="Times New Roman" w:hAnsi="Times New Roman" w:cs="Times New Roman"/>
          <w:b/>
          <w:sz w:val="24"/>
          <w:szCs w:val="24"/>
        </w:rPr>
        <w:t xml:space="preserve">Cu privire la aprobarea Metodologiei de calculare </w:t>
      </w:r>
    </w:p>
    <w:p w:rsidR="00406762" w:rsidRPr="00C302EF" w:rsidRDefault="00406762" w:rsidP="00406762">
      <w:pPr>
        <w:pStyle w:val="af"/>
        <w:rPr>
          <w:rFonts w:ascii="Times New Roman" w:hAnsi="Times New Roman" w:cs="Times New Roman"/>
          <w:b/>
          <w:sz w:val="24"/>
          <w:szCs w:val="24"/>
        </w:rPr>
      </w:pPr>
      <w:r w:rsidRPr="00C302EF">
        <w:rPr>
          <w:rFonts w:ascii="Times New Roman" w:hAnsi="Times New Roman" w:cs="Times New Roman"/>
          <w:b/>
          <w:sz w:val="24"/>
          <w:szCs w:val="24"/>
        </w:rPr>
        <w:t xml:space="preserve">a pierderilor tehnologice la manipularea si </w:t>
      </w:r>
    </w:p>
    <w:p w:rsidR="00406762" w:rsidRPr="00C302EF" w:rsidRDefault="00406762" w:rsidP="00406762">
      <w:pPr>
        <w:pStyle w:val="af"/>
        <w:rPr>
          <w:rFonts w:ascii="Times New Roman" w:hAnsi="Times New Roman" w:cs="Times New Roman"/>
          <w:b/>
          <w:sz w:val="24"/>
          <w:szCs w:val="24"/>
        </w:rPr>
      </w:pPr>
      <w:r w:rsidRPr="00C302EF">
        <w:rPr>
          <w:rFonts w:ascii="Times New Roman" w:hAnsi="Times New Roman" w:cs="Times New Roman"/>
          <w:b/>
          <w:sz w:val="24"/>
          <w:szCs w:val="24"/>
        </w:rPr>
        <w:t xml:space="preserve">depozitarea  produselor petroliere </w:t>
      </w:r>
    </w:p>
    <w:p w:rsidR="00406762" w:rsidRPr="00C302EF" w:rsidRDefault="00406762" w:rsidP="00406762">
      <w:pPr>
        <w:pStyle w:val="af"/>
        <w:rPr>
          <w:rFonts w:ascii="Times New Roman" w:hAnsi="Times New Roman" w:cs="Times New Roman"/>
          <w:b/>
          <w:sz w:val="24"/>
          <w:szCs w:val="24"/>
        </w:rPr>
      </w:pPr>
      <w:r w:rsidRPr="00C302EF">
        <w:rPr>
          <w:rFonts w:ascii="Times New Roman" w:hAnsi="Times New Roman" w:cs="Times New Roman"/>
          <w:b/>
          <w:sz w:val="24"/>
          <w:szCs w:val="24"/>
        </w:rPr>
        <w:t>în/din portul Giurgiulești</w:t>
      </w:r>
    </w:p>
    <w:p w:rsidR="00406762" w:rsidRPr="00406762" w:rsidRDefault="00406762" w:rsidP="00406762">
      <w:pPr>
        <w:pStyle w:val="af"/>
        <w:rPr>
          <w:rFonts w:ascii="Times New Roman" w:hAnsi="Times New Roman" w:cs="Times New Roman"/>
          <w:sz w:val="28"/>
          <w:szCs w:val="28"/>
        </w:rPr>
      </w:pPr>
    </w:p>
    <w:p w:rsid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Întru executarea prevederilor art. 128, alin. (1), lit. i) ale Codului vamal al Republicii Moldova, nr. 1149-XIV din 20.07.2000 (Republicat: Monitorul Oficial al Republicii Moldova, ediție specială din 01.01.2007, pag. 103) </w:t>
      </w:r>
    </w:p>
    <w:p w:rsidR="00F07C7A" w:rsidRPr="00406762" w:rsidRDefault="00F07C7A" w:rsidP="00406762">
      <w:pPr>
        <w:pStyle w:val="af"/>
        <w:jc w:val="both"/>
        <w:rPr>
          <w:rFonts w:ascii="Times New Roman" w:hAnsi="Times New Roman" w:cs="Times New Roman"/>
          <w:sz w:val="28"/>
          <w:szCs w:val="28"/>
        </w:rPr>
      </w:pPr>
    </w:p>
    <w:p w:rsidR="00406762" w:rsidRPr="00281C5E" w:rsidRDefault="00406762" w:rsidP="00281C5E">
      <w:pPr>
        <w:pStyle w:val="af"/>
        <w:jc w:val="center"/>
        <w:rPr>
          <w:rFonts w:ascii="Times New Roman" w:hAnsi="Times New Roman" w:cs="Times New Roman"/>
          <w:b/>
          <w:sz w:val="28"/>
          <w:szCs w:val="28"/>
        </w:rPr>
      </w:pPr>
      <w:r w:rsidRPr="00281C5E">
        <w:rPr>
          <w:rFonts w:ascii="Times New Roman" w:hAnsi="Times New Roman" w:cs="Times New Roman"/>
          <w:b/>
          <w:sz w:val="28"/>
          <w:szCs w:val="28"/>
        </w:rPr>
        <w:t>O R D O N:</w:t>
      </w:r>
    </w:p>
    <w:p w:rsidR="00F07C7A" w:rsidRPr="00406762" w:rsidRDefault="00F07C7A" w:rsidP="00406762">
      <w:pPr>
        <w:pStyle w:val="af"/>
        <w:jc w:val="both"/>
        <w:rPr>
          <w:rFonts w:ascii="Times New Roman" w:hAnsi="Times New Roman" w:cs="Times New Roman"/>
          <w:sz w:val="28"/>
          <w:szCs w:val="28"/>
        </w:rPr>
      </w:pPr>
    </w:p>
    <w:p w:rsid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1. Se aprobă Metodologia de calculare a pierderilor tehnologice la manipularea si depozitarea produselor petroliere în/din portul Giurgiulești, conform anexei.</w:t>
      </w:r>
    </w:p>
    <w:p w:rsidR="00406762" w:rsidRPr="00406762" w:rsidRDefault="00406762" w:rsidP="00406762">
      <w:pPr>
        <w:pStyle w:val="af"/>
        <w:jc w:val="both"/>
        <w:rPr>
          <w:rFonts w:ascii="Times New Roman" w:hAnsi="Times New Roman" w:cs="Times New Roman"/>
          <w:sz w:val="28"/>
          <w:szCs w:val="28"/>
        </w:rPr>
      </w:pPr>
    </w:p>
    <w:p w:rsid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2. Metodologia de calculare a pierderilor tehnologice la manipularea si depozitarea produselor petroliere în/din portul Giurgiulești </w:t>
      </w:r>
      <w:r w:rsidR="00281C5E">
        <w:rPr>
          <w:rFonts w:ascii="Times New Roman" w:hAnsi="Times New Roman" w:cs="Times New Roman"/>
          <w:sz w:val="28"/>
          <w:szCs w:val="28"/>
        </w:rPr>
        <w:t>se publică</w:t>
      </w:r>
      <w:r w:rsidRPr="00406762">
        <w:rPr>
          <w:rFonts w:ascii="Times New Roman" w:hAnsi="Times New Roman" w:cs="Times New Roman"/>
          <w:sz w:val="28"/>
          <w:szCs w:val="28"/>
        </w:rPr>
        <w:t xml:space="preserve"> în Monitorul Oficial al Republicii Moldova.</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3. Metodologia de calculare a pierderilor tehnologice la manipularea si depozitarea produselor petroliere în/din portul Giurgiulești </w:t>
      </w:r>
      <w:r w:rsidR="00281C5E">
        <w:rPr>
          <w:rFonts w:ascii="Times New Roman" w:hAnsi="Times New Roman" w:cs="Times New Roman"/>
          <w:sz w:val="28"/>
          <w:szCs w:val="28"/>
        </w:rPr>
        <w:t>intră</w:t>
      </w:r>
      <w:r w:rsidRPr="00406762">
        <w:rPr>
          <w:rFonts w:ascii="Times New Roman" w:hAnsi="Times New Roman" w:cs="Times New Roman"/>
          <w:sz w:val="28"/>
          <w:szCs w:val="28"/>
        </w:rPr>
        <w:t xml:space="preserve"> în vigoare din data publicării.</w:t>
      </w:r>
    </w:p>
    <w:p w:rsidR="00406762" w:rsidRDefault="00406762" w:rsidP="00406762">
      <w:pPr>
        <w:ind w:left="-142" w:firstLine="142"/>
        <w:jc w:val="both"/>
        <w:rPr>
          <w:sz w:val="26"/>
          <w:szCs w:val="26"/>
        </w:rPr>
      </w:pPr>
      <w:r w:rsidRPr="00BA12EC">
        <w:rPr>
          <w:sz w:val="26"/>
          <w:szCs w:val="26"/>
        </w:rPr>
        <w:t xml:space="preserve">     </w:t>
      </w:r>
      <w:r>
        <w:rPr>
          <w:sz w:val="26"/>
          <w:szCs w:val="26"/>
        </w:rPr>
        <w:t xml:space="preserve"> </w:t>
      </w:r>
    </w:p>
    <w:p w:rsidR="00406762" w:rsidRPr="00BA12EC" w:rsidRDefault="00406762" w:rsidP="00406762">
      <w:pPr>
        <w:ind w:left="-142" w:firstLine="142"/>
        <w:jc w:val="both"/>
        <w:rPr>
          <w:sz w:val="26"/>
          <w:szCs w:val="26"/>
        </w:rPr>
      </w:pPr>
      <w:r w:rsidRPr="00BA12EC">
        <w:rPr>
          <w:sz w:val="26"/>
          <w:szCs w:val="26"/>
        </w:rPr>
        <w:t xml:space="preserve">     </w:t>
      </w:r>
    </w:p>
    <w:p w:rsidR="00406762" w:rsidRPr="00406762" w:rsidRDefault="00406762" w:rsidP="00406762">
      <w:pPr>
        <w:pStyle w:val="af"/>
        <w:jc w:val="both"/>
        <w:rPr>
          <w:rFonts w:ascii="Times New Roman" w:hAnsi="Times New Roman" w:cs="Times New Roman"/>
          <w:b/>
          <w:sz w:val="28"/>
          <w:szCs w:val="28"/>
          <w:lang w:val="ro-RO"/>
        </w:rPr>
      </w:pPr>
      <w:r w:rsidRPr="00406762">
        <w:rPr>
          <w:rFonts w:ascii="Times New Roman" w:hAnsi="Times New Roman" w:cs="Times New Roman"/>
          <w:b/>
          <w:sz w:val="28"/>
          <w:szCs w:val="28"/>
          <w:lang w:val="ro-RO"/>
        </w:rPr>
        <w:t xml:space="preserve">Viceprim-ministru,                                           </w:t>
      </w:r>
      <w:r>
        <w:rPr>
          <w:rFonts w:ascii="Times New Roman" w:hAnsi="Times New Roman" w:cs="Times New Roman"/>
          <w:b/>
          <w:sz w:val="28"/>
          <w:szCs w:val="28"/>
          <w:lang w:val="ro-RO"/>
        </w:rPr>
        <w:t xml:space="preserve">  </w:t>
      </w:r>
      <w:r w:rsidRPr="00406762">
        <w:rPr>
          <w:rFonts w:ascii="Times New Roman" w:hAnsi="Times New Roman" w:cs="Times New Roman"/>
          <w:b/>
          <w:sz w:val="28"/>
          <w:szCs w:val="28"/>
          <w:lang w:val="ro-RO"/>
        </w:rPr>
        <w:t xml:space="preserve">                    Octavian CALMÎC</w:t>
      </w:r>
    </w:p>
    <w:p w:rsidR="00406762" w:rsidRPr="00BA12EC" w:rsidRDefault="00406762" w:rsidP="00406762">
      <w:pPr>
        <w:pStyle w:val="af"/>
        <w:jc w:val="both"/>
        <w:rPr>
          <w:sz w:val="26"/>
          <w:szCs w:val="26"/>
          <w:lang w:val="ro-RO"/>
        </w:rPr>
      </w:pPr>
      <w:r w:rsidRPr="00406762">
        <w:rPr>
          <w:rFonts w:ascii="Times New Roman" w:hAnsi="Times New Roman" w:cs="Times New Roman"/>
          <w:b/>
          <w:sz w:val="28"/>
          <w:szCs w:val="28"/>
          <w:lang w:val="ro-RO"/>
        </w:rPr>
        <w:t>ministru</w:t>
      </w:r>
      <w:r w:rsidRPr="00BA12EC">
        <w:rPr>
          <w:sz w:val="26"/>
          <w:szCs w:val="26"/>
          <w:lang w:val="ro-RO"/>
        </w:rPr>
        <w:tab/>
      </w:r>
    </w:p>
    <w:p w:rsidR="00406762" w:rsidRDefault="00406762" w:rsidP="00406762">
      <w:pPr>
        <w:rPr>
          <w:b/>
          <w:sz w:val="28"/>
          <w:szCs w:val="28"/>
          <w:lang w:val="ro-RO"/>
        </w:rPr>
      </w:pPr>
    </w:p>
    <w:p w:rsidR="00406762" w:rsidRPr="0076519D" w:rsidRDefault="00406762" w:rsidP="00406762"/>
    <w:p w:rsidR="00406762" w:rsidRDefault="00406762" w:rsidP="00406762"/>
    <w:p w:rsidR="00406762" w:rsidRDefault="00406762" w:rsidP="00406762"/>
    <w:p w:rsidR="00406762" w:rsidRDefault="00406762" w:rsidP="00406762"/>
    <w:p w:rsidR="00406762" w:rsidRDefault="00406762" w:rsidP="00406762"/>
    <w:p w:rsidR="00406762" w:rsidRDefault="00406762" w:rsidP="00406762"/>
    <w:p w:rsidR="00406762" w:rsidRPr="00406762" w:rsidRDefault="00406762" w:rsidP="00406762">
      <w:pPr>
        <w:pStyle w:val="af"/>
        <w:rPr>
          <w:rFonts w:ascii="Times New Roman" w:hAnsi="Times New Roman" w:cs="Times New Roman"/>
          <w:lang w:val="ro-RO"/>
        </w:rPr>
      </w:pPr>
      <w:r w:rsidRPr="00406762">
        <w:rPr>
          <w:rFonts w:ascii="Times New Roman" w:hAnsi="Times New Roman" w:cs="Times New Roman"/>
          <w:lang w:val="ro-RO"/>
        </w:rPr>
        <w:t>Contrasemnat:     ______________________________________________        ______________</w:t>
      </w:r>
    </w:p>
    <w:p w:rsidR="00406762" w:rsidRPr="00406762" w:rsidRDefault="00406762" w:rsidP="00406762">
      <w:pPr>
        <w:pStyle w:val="af"/>
        <w:rPr>
          <w:rFonts w:ascii="Times New Roman" w:hAnsi="Times New Roman" w:cs="Times New Roman"/>
          <w:lang w:val="ro-RO"/>
        </w:rPr>
      </w:pPr>
      <w:r w:rsidRPr="00406762">
        <w:rPr>
          <w:rFonts w:ascii="Times New Roman" w:hAnsi="Times New Roman" w:cs="Times New Roman"/>
          <w:lang w:val="ro-RO"/>
        </w:rPr>
        <w:t xml:space="preserve">                                                                       (viceminiştri)                                     (Secretar de stat)</w:t>
      </w:r>
    </w:p>
    <w:p w:rsidR="00406762" w:rsidRPr="00406762" w:rsidRDefault="00406762" w:rsidP="00406762">
      <w:pPr>
        <w:pStyle w:val="af"/>
        <w:rPr>
          <w:rFonts w:ascii="Times New Roman" w:hAnsi="Times New Roman" w:cs="Times New Roman"/>
          <w:lang w:val="ro-RO"/>
        </w:rPr>
      </w:pPr>
    </w:p>
    <w:p w:rsidR="00406762" w:rsidRPr="00406762" w:rsidRDefault="00406762" w:rsidP="00406762">
      <w:pPr>
        <w:pStyle w:val="af"/>
        <w:rPr>
          <w:rFonts w:ascii="Times New Roman" w:hAnsi="Times New Roman" w:cs="Times New Roman"/>
          <w:lang w:val="ro-RO"/>
        </w:rPr>
      </w:pPr>
      <w:r w:rsidRPr="00406762">
        <w:rPr>
          <w:rFonts w:ascii="Times New Roman" w:hAnsi="Times New Roman" w:cs="Times New Roman"/>
          <w:lang w:val="ro-RO"/>
        </w:rPr>
        <w:t xml:space="preserve">Vizat: </w:t>
      </w:r>
      <w:r w:rsidRPr="00406762">
        <w:rPr>
          <w:rFonts w:ascii="Times New Roman" w:hAnsi="Times New Roman" w:cs="Times New Roman"/>
          <w:lang w:val="ro-RO"/>
        </w:rPr>
        <w:tab/>
        <w:t xml:space="preserve">       ________     ___________             ___________               ___________________  </w:t>
      </w:r>
    </w:p>
    <w:p w:rsidR="00406762" w:rsidRPr="00406762" w:rsidRDefault="00406762" w:rsidP="00406762">
      <w:pPr>
        <w:pStyle w:val="af"/>
        <w:rPr>
          <w:rFonts w:ascii="Times New Roman" w:hAnsi="Times New Roman" w:cs="Times New Roman"/>
          <w:sz w:val="16"/>
          <w:lang w:val="ro-RO"/>
        </w:rPr>
      </w:pPr>
      <w:r w:rsidRPr="00406762">
        <w:rPr>
          <w:rFonts w:ascii="Times New Roman" w:hAnsi="Times New Roman" w:cs="Times New Roman"/>
          <w:sz w:val="16"/>
          <w:lang w:val="ro-RO"/>
        </w:rPr>
        <w:t xml:space="preserve">                            (Executor)       (direcţia generală               (direcţia juridică)                    (subdiviziuni care au participat </w:t>
      </w:r>
    </w:p>
    <w:p w:rsidR="00406762" w:rsidRPr="00406762" w:rsidRDefault="00406762" w:rsidP="00406762">
      <w:pPr>
        <w:pStyle w:val="af"/>
        <w:rPr>
          <w:rFonts w:ascii="Times New Roman" w:hAnsi="Times New Roman" w:cs="Times New Roman"/>
          <w:sz w:val="16"/>
          <w:lang w:val="ro-RO"/>
        </w:rPr>
      </w:pPr>
      <w:r w:rsidRPr="00406762">
        <w:rPr>
          <w:rFonts w:ascii="Times New Roman" w:hAnsi="Times New Roman" w:cs="Times New Roman"/>
          <w:sz w:val="16"/>
          <w:lang w:val="ro-RO"/>
        </w:rPr>
        <w:t xml:space="preserve">                                 infrastructura calității )</w:t>
      </w:r>
      <w:r w:rsidRPr="00406762">
        <w:rPr>
          <w:rFonts w:ascii="Times New Roman" w:hAnsi="Times New Roman" w:cs="Times New Roman"/>
          <w:sz w:val="16"/>
          <w:lang w:val="ro-RO"/>
        </w:rPr>
        <w:tab/>
        <w:t xml:space="preserve">                                                      la procesul de elaborare/avizare)                </w:t>
      </w:r>
    </w:p>
    <w:p w:rsidR="00406762" w:rsidRPr="00406762" w:rsidRDefault="00406762" w:rsidP="00406762">
      <w:pPr>
        <w:pStyle w:val="af"/>
        <w:rPr>
          <w:rFonts w:ascii="Times New Roman" w:hAnsi="Times New Roman" w:cs="Times New Roman"/>
          <w:sz w:val="16"/>
          <w:szCs w:val="16"/>
          <w:lang w:val="ro-RO"/>
        </w:rPr>
      </w:pPr>
      <w:r w:rsidRPr="00406762">
        <w:rPr>
          <w:rFonts w:ascii="Times New Roman" w:hAnsi="Times New Roman" w:cs="Times New Roman"/>
          <w:sz w:val="28"/>
          <w:szCs w:val="28"/>
          <w:lang w:val="ro-RO"/>
        </w:rPr>
        <w:t xml:space="preserve">                </w:t>
      </w:r>
      <w:r w:rsidRPr="00406762">
        <w:rPr>
          <w:rFonts w:ascii="Times New Roman" w:hAnsi="Times New Roman" w:cs="Times New Roman"/>
          <w:sz w:val="16"/>
          <w:szCs w:val="16"/>
          <w:lang w:val="ro-RO"/>
        </w:rPr>
        <w:t>și supravegherea pieței</w:t>
      </w:r>
    </w:p>
    <w:p w:rsidR="00406762" w:rsidRPr="00406762" w:rsidRDefault="00406762" w:rsidP="00406762">
      <w:pPr>
        <w:pStyle w:val="af"/>
        <w:rPr>
          <w:rFonts w:ascii="Times New Roman" w:hAnsi="Times New Roman" w:cs="Times New Roman"/>
          <w:lang w:val="ro-RO"/>
        </w:rPr>
      </w:pPr>
    </w:p>
    <w:p w:rsidR="00406762" w:rsidRPr="00406762" w:rsidRDefault="00406762" w:rsidP="00406762">
      <w:pPr>
        <w:pStyle w:val="af"/>
        <w:rPr>
          <w:rFonts w:ascii="Times New Roman" w:hAnsi="Times New Roman" w:cs="Times New Roman"/>
          <w:lang w:val="ro-RO"/>
        </w:rPr>
      </w:pPr>
      <w:r w:rsidRPr="00406762">
        <w:rPr>
          <w:rFonts w:ascii="Times New Roman" w:hAnsi="Times New Roman" w:cs="Times New Roman"/>
          <w:lang w:val="ro-RO"/>
        </w:rPr>
        <w:t xml:space="preserve">  Coordonat:    ____________________________</w:t>
      </w:r>
    </w:p>
    <w:p w:rsidR="00406762" w:rsidRPr="00406762" w:rsidRDefault="00406762" w:rsidP="00406762">
      <w:pPr>
        <w:pStyle w:val="af"/>
        <w:rPr>
          <w:rFonts w:ascii="Times New Roman" w:hAnsi="Times New Roman" w:cs="Times New Roman"/>
          <w:sz w:val="16"/>
          <w:szCs w:val="16"/>
          <w:lang w:val="ro-RO"/>
        </w:rPr>
      </w:pPr>
      <w:r w:rsidRPr="00406762">
        <w:rPr>
          <w:rFonts w:ascii="Times New Roman" w:hAnsi="Times New Roman" w:cs="Times New Roman"/>
          <w:sz w:val="16"/>
          <w:szCs w:val="16"/>
          <w:lang w:val="ro-RO"/>
        </w:rPr>
        <w:t xml:space="preserve">                             (conducătorii subdiviziunilor structurale interesate)</w:t>
      </w: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406762" w:rsidRDefault="00406762" w:rsidP="00406762">
      <w:pPr>
        <w:rPr>
          <w:lang w:val="ro-RO"/>
        </w:rPr>
      </w:pPr>
    </w:p>
    <w:p w:rsidR="002E6415" w:rsidRDefault="002E6415" w:rsidP="00406762">
      <w:pPr>
        <w:rPr>
          <w:lang w:val="ro-RO"/>
        </w:rPr>
      </w:pPr>
      <w:bookmarkStart w:id="0" w:name="_GoBack"/>
      <w:bookmarkEnd w:id="0"/>
    </w:p>
    <w:p w:rsidR="00406762" w:rsidRPr="00406762" w:rsidRDefault="00406762" w:rsidP="00406762">
      <w:pPr>
        <w:pStyle w:val="af"/>
        <w:jc w:val="right"/>
        <w:rPr>
          <w:rFonts w:ascii="Times New Roman" w:hAnsi="Times New Roman" w:cs="Times New Roman"/>
          <w:sz w:val="24"/>
          <w:szCs w:val="24"/>
          <w:lang w:val="ro-RO"/>
        </w:rPr>
      </w:pPr>
      <w:r w:rsidRPr="00406762">
        <w:rPr>
          <w:rFonts w:ascii="Times New Roman" w:hAnsi="Times New Roman" w:cs="Times New Roman"/>
          <w:sz w:val="24"/>
          <w:szCs w:val="24"/>
          <w:lang w:val="ro-RO"/>
        </w:rPr>
        <w:lastRenderedPageBreak/>
        <w:t>Anexă</w:t>
      </w:r>
    </w:p>
    <w:p w:rsidR="00406762" w:rsidRPr="00406762" w:rsidRDefault="00406762" w:rsidP="00406762">
      <w:pPr>
        <w:pStyle w:val="af"/>
        <w:jc w:val="right"/>
        <w:rPr>
          <w:rFonts w:ascii="Times New Roman" w:hAnsi="Times New Roman" w:cs="Times New Roman"/>
          <w:sz w:val="24"/>
          <w:szCs w:val="24"/>
          <w:lang w:val="ro-RO"/>
        </w:rPr>
      </w:pPr>
      <w:r w:rsidRPr="00406762">
        <w:rPr>
          <w:rFonts w:ascii="Times New Roman" w:hAnsi="Times New Roman" w:cs="Times New Roman"/>
          <w:sz w:val="24"/>
          <w:szCs w:val="24"/>
          <w:lang w:val="ro-RO"/>
        </w:rPr>
        <w:t>la Ordinul Ministerului Economiei</w:t>
      </w:r>
    </w:p>
    <w:p w:rsidR="00406762" w:rsidRPr="00406762" w:rsidRDefault="00406762" w:rsidP="00406762">
      <w:pPr>
        <w:pStyle w:val="af"/>
        <w:jc w:val="right"/>
        <w:rPr>
          <w:rFonts w:ascii="Times New Roman" w:hAnsi="Times New Roman" w:cs="Times New Roman"/>
          <w:sz w:val="24"/>
          <w:szCs w:val="24"/>
          <w:lang w:val="ro-RO"/>
        </w:rPr>
      </w:pPr>
      <w:r w:rsidRPr="00406762">
        <w:rPr>
          <w:rFonts w:ascii="Times New Roman" w:hAnsi="Times New Roman" w:cs="Times New Roman"/>
          <w:sz w:val="24"/>
          <w:szCs w:val="24"/>
          <w:lang w:val="ro-RO"/>
        </w:rPr>
        <w:t>nr.                          din</w:t>
      </w:r>
    </w:p>
    <w:p w:rsidR="00406762" w:rsidRDefault="00406762" w:rsidP="00406762">
      <w:pPr>
        <w:jc w:val="both"/>
        <w:rPr>
          <w:sz w:val="28"/>
          <w:szCs w:val="28"/>
          <w:lang w:val="ro-RO"/>
        </w:rPr>
      </w:pPr>
    </w:p>
    <w:p w:rsidR="00406762" w:rsidRPr="00C05763" w:rsidRDefault="00406762" w:rsidP="00406762">
      <w:pPr>
        <w:jc w:val="center"/>
        <w:rPr>
          <w:b/>
          <w:sz w:val="24"/>
          <w:szCs w:val="24"/>
        </w:rPr>
      </w:pP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METODOLOGIA</w:t>
      </w: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de calculare a pierderilor tehnologice la manipularea si depozitarea produselor petroliere în/din portul Giurgiulești</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DISPOZIȚII GENERALE</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1. Metodologia de calculare a pierderilor tehnologice la manipularea si depozitarea produselor petroliere în/din portul Giurgiulești (în continuare - Metodologia) este elaborată în conformitate cu prevederile art.128, alin. (1)</w:t>
      </w:r>
      <w:r w:rsidR="00281C5E">
        <w:rPr>
          <w:rFonts w:ascii="Times New Roman" w:hAnsi="Times New Roman" w:cs="Times New Roman"/>
          <w:sz w:val="28"/>
          <w:szCs w:val="28"/>
        </w:rPr>
        <w:t>,</w:t>
      </w:r>
      <w:r w:rsidRPr="00406762">
        <w:rPr>
          <w:rFonts w:ascii="Times New Roman" w:hAnsi="Times New Roman" w:cs="Times New Roman"/>
          <w:sz w:val="28"/>
          <w:szCs w:val="28"/>
        </w:rPr>
        <w:t xml:space="preserve"> lit. i) al Codului vamal al Republicii Moldova, nr. 1149-XIV din 20.07.2000 (Republicat: Monitorul Oficial al Republicii Moldova, ediție specială din 01.01.2007, pag. 103).</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 În sensul prezentei Metodologii termenii utilizați semnifică:</w:t>
      </w:r>
    </w:p>
    <w:p w:rsid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pierderi naturale (pierderi tehnologice) - pierdere (reducere a greutății</w:t>
      </w:r>
      <w:r w:rsidR="00281C5E">
        <w:rPr>
          <w:rFonts w:ascii="Times New Roman" w:hAnsi="Times New Roman" w:cs="Times New Roman"/>
          <w:sz w:val="28"/>
          <w:szCs w:val="28"/>
        </w:rPr>
        <w:t>, menținî</w:t>
      </w:r>
      <w:r w:rsidRPr="00406762">
        <w:rPr>
          <w:rFonts w:ascii="Times New Roman" w:hAnsi="Times New Roman" w:cs="Times New Roman"/>
          <w:sz w:val="28"/>
          <w:szCs w:val="28"/>
        </w:rPr>
        <w:t>nd în același timp calitatea conform cerințelor documentelor de reglementare), care rezultă din proprietățile fizico - chimice ale produselor petroliere, impactul factorilor meteorologici și imperfecțiunile existente la moment de protecție împotriva evaporării și de aderență în timpul transportului, recepției, depozitării</w:t>
      </w:r>
      <w:r w:rsidR="00281C5E">
        <w:rPr>
          <w:rFonts w:ascii="Times New Roman" w:hAnsi="Times New Roman" w:cs="Times New Roman"/>
          <w:sz w:val="28"/>
          <w:szCs w:val="28"/>
        </w:rPr>
        <w:t xml:space="preserve"> ș</w:t>
      </w:r>
      <w:r w:rsidRPr="00406762">
        <w:rPr>
          <w:rFonts w:ascii="Times New Roman" w:hAnsi="Times New Roman" w:cs="Times New Roman"/>
          <w:sz w:val="28"/>
          <w:szCs w:val="28"/>
        </w:rPr>
        <w:t>i livrării produselor petroliere;</w:t>
      </w:r>
    </w:p>
    <w:p w:rsid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norme de pierderi naturale (norme de pierderi tehnologice) - valoarea limită a pierderilor ireversibile</w:t>
      </w:r>
      <w:r w:rsidR="00281C5E">
        <w:rPr>
          <w:rFonts w:ascii="Times New Roman" w:hAnsi="Times New Roman" w:cs="Times New Roman"/>
          <w:sz w:val="28"/>
          <w:szCs w:val="28"/>
        </w:rPr>
        <w:t>,</w:t>
      </w:r>
      <w:r w:rsidRPr="00406762">
        <w:rPr>
          <w:rFonts w:ascii="Times New Roman" w:hAnsi="Times New Roman" w:cs="Times New Roman"/>
          <w:sz w:val="28"/>
          <w:szCs w:val="28"/>
        </w:rPr>
        <w:t xml:space="preserve"> rezultate în mod direct din proprietățile fizico - chimice ale produselor petroliere în timpul operațiunilor de transport-marfă, precum și pierderilor inevitabile</w:t>
      </w:r>
      <w:r w:rsidR="00281C5E">
        <w:rPr>
          <w:rFonts w:ascii="Times New Roman" w:hAnsi="Times New Roman" w:cs="Times New Roman"/>
          <w:sz w:val="28"/>
          <w:szCs w:val="28"/>
        </w:rPr>
        <w:t>,</w:t>
      </w:r>
      <w:r w:rsidRPr="00406762">
        <w:rPr>
          <w:rFonts w:ascii="Times New Roman" w:hAnsi="Times New Roman" w:cs="Times New Roman"/>
          <w:sz w:val="28"/>
          <w:szCs w:val="28"/>
        </w:rPr>
        <w:t xml:space="preserve"> datorate imperfecțiuni</w:t>
      </w:r>
      <w:r w:rsidR="00281C5E">
        <w:rPr>
          <w:rFonts w:ascii="Times New Roman" w:hAnsi="Times New Roman" w:cs="Times New Roman"/>
          <w:sz w:val="28"/>
          <w:szCs w:val="28"/>
        </w:rPr>
        <w:t>i</w:t>
      </w:r>
      <w:r w:rsidRPr="00406762">
        <w:rPr>
          <w:rFonts w:ascii="Times New Roman" w:hAnsi="Times New Roman" w:cs="Times New Roman"/>
          <w:sz w:val="28"/>
          <w:szCs w:val="28"/>
        </w:rPr>
        <w:t xml:space="preserve"> existente la moment la echipamentele utilizate (pierderi prin evaporare prin lipsa de etanșitate a pompelor, supape</w:t>
      </w:r>
      <w:r w:rsidR="00281C5E">
        <w:rPr>
          <w:rFonts w:ascii="Times New Roman" w:hAnsi="Times New Roman" w:cs="Times New Roman"/>
          <w:sz w:val="28"/>
          <w:szCs w:val="28"/>
        </w:rPr>
        <w:t>lor</w:t>
      </w:r>
      <w:r w:rsidRPr="00406762">
        <w:rPr>
          <w:rFonts w:ascii="Times New Roman" w:hAnsi="Times New Roman" w:cs="Times New Roman"/>
          <w:sz w:val="28"/>
          <w:szCs w:val="28"/>
        </w:rPr>
        <w:t>, echipamente</w:t>
      </w:r>
      <w:r w:rsidR="00281C5E">
        <w:rPr>
          <w:rFonts w:ascii="Times New Roman" w:hAnsi="Times New Roman" w:cs="Times New Roman"/>
          <w:sz w:val="28"/>
          <w:szCs w:val="28"/>
        </w:rPr>
        <w:t>lor</w:t>
      </w:r>
      <w:r w:rsidRPr="00406762">
        <w:rPr>
          <w:rFonts w:ascii="Times New Roman" w:hAnsi="Times New Roman" w:cs="Times New Roman"/>
          <w:sz w:val="28"/>
          <w:szCs w:val="28"/>
        </w:rPr>
        <w:t xml:space="preserve"> tehnologice) și pierderi de aderență pe pereții interiori ai </w:t>
      </w:r>
      <w:r w:rsidR="00281C5E">
        <w:rPr>
          <w:rFonts w:ascii="Times New Roman" w:hAnsi="Times New Roman" w:cs="Times New Roman"/>
          <w:sz w:val="28"/>
          <w:szCs w:val="28"/>
        </w:rPr>
        <w:t>rezervo</w:t>
      </w:r>
      <w:r w:rsidRPr="00406762">
        <w:rPr>
          <w:rFonts w:ascii="Times New Roman" w:hAnsi="Times New Roman" w:cs="Times New Roman"/>
          <w:sz w:val="28"/>
          <w:szCs w:val="28"/>
        </w:rPr>
        <w:t>arelor și echipamentelor, mijloacelor de transport și conductelor.</w:t>
      </w:r>
    </w:p>
    <w:p w:rsid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manipulare – operațiuni tehnologice de pompare </w:t>
      </w:r>
      <w:r w:rsidR="00281C5E">
        <w:rPr>
          <w:rFonts w:ascii="Times New Roman" w:hAnsi="Times New Roman" w:cs="Times New Roman"/>
          <w:sz w:val="28"/>
          <w:szCs w:val="28"/>
        </w:rPr>
        <w:t>a produselor</w:t>
      </w:r>
      <w:r w:rsidRPr="00406762">
        <w:rPr>
          <w:rFonts w:ascii="Times New Roman" w:hAnsi="Times New Roman" w:cs="Times New Roman"/>
          <w:sz w:val="28"/>
          <w:szCs w:val="28"/>
        </w:rPr>
        <w:t xml:space="preserve"> petroliere</w:t>
      </w:r>
      <w:r w:rsidR="00281C5E">
        <w:rPr>
          <w:rFonts w:ascii="Times New Roman" w:hAnsi="Times New Roman" w:cs="Times New Roman"/>
          <w:sz w:val="28"/>
          <w:szCs w:val="28"/>
        </w:rPr>
        <w:t xml:space="preserve"> în scopul recepției, livră</w:t>
      </w:r>
      <w:r w:rsidRPr="00406762">
        <w:rPr>
          <w:rFonts w:ascii="Times New Roman" w:hAnsi="Times New Roman" w:cs="Times New Roman"/>
          <w:sz w:val="28"/>
          <w:szCs w:val="28"/>
        </w:rPr>
        <w:t>rii acestora</w:t>
      </w:r>
      <w:r w:rsidR="00281C5E">
        <w:rPr>
          <w:rFonts w:ascii="Times New Roman" w:hAnsi="Times New Roman" w:cs="Times New Roman"/>
          <w:sz w:val="28"/>
          <w:szCs w:val="28"/>
        </w:rPr>
        <w:t xml:space="preserve"> și de transfer dintr-un rezerv</w:t>
      </w:r>
      <w:r w:rsidRPr="00406762">
        <w:rPr>
          <w:rFonts w:ascii="Times New Roman" w:hAnsi="Times New Roman" w:cs="Times New Roman"/>
          <w:sz w:val="28"/>
          <w:szCs w:val="28"/>
        </w:rPr>
        <w:t xml:space="preserve">or </w:t>
      </w:r>
      <w:r>
        <w:rPr>
          <w:rFonts w:ascii="Times New Roman" w:hAnsi="Times New Roman" w:cs="Times New Roman"/>
          <w:sz w:val="28"/>
          <w:szCs w:val="28"/>
        </w:rPr>
        <w:t>în altul în cadrul terminalului.</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3. La pierderi naturale nu se atribuie </w:t>
      </w:r>
      <w:r w:rsidR="00281C5E">
        <w:rPr>
          <w:rFonts w:ascii="Times New Roman" w:hAnsi="Times New Roman" w:cs="Times New Roman"/>
          <w:sz w:val="28"/>
          <w:szCs w:val="28"/>
        </w:rPr>
        <w:t>pier</w:t>
      </w:r>
      <w:r w:rsidRPr="00406762">
        <w:rPr>
          <w:rFonts w:ascii="Times New Roman" w:hAnsi="Times New Roman" w:cs="Times New Roman"/>
          <w:sz w:val="28"/>
          <w:szCs w:val="28"/>
        </w:rPr>
        <w:t>derile produsului, datorate nerespectării cerințelor documentelor de reglementare, regulilor de exploatare și depozitare, consecințelor dezastrelor naturale.</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4. Normele pierderilor tehnologice nu includ pierderile d</w:t>
      </w:r>
      <w:r w:rsidR="00281C5E">
        <w:rPr>
          <w:rFonts w:ascii="Times New Roman" w:hAnsi="Times New Roman" w:cs="Times New Roman"/>
          <w:sz w:val="28"/>
          <w:szCs w:val="28"/>
        </w:rPr>
        <w:t>e reparație și curățirea rezervo</w:t>
      </w:r>
      <w:r w:rsidRPr="00406762">
        <w:rPr>
          <w:rFonts w:ascii="Times New Roman" w:hAnsi="Times New Roman" w:cs="Times New Roman"/>
          <w:sz w:val="28"/>
          <w:szCs w:val="28"/>
        </w:rPr>
        <w:t>arelor și a conductelor, pierderi</w:t>
      </w:r>
      <w:r w:rsidR="00281C5E">
        <w:rPr>
          <w:rFonts w:ascii="Times New Roman" w:hAnsi="Times New Roman" w:cs="Times New Roman"/>
          <w:sz w:val="28"/>
          <w:szCs w:val="28"/>
        </w:rPr>
        <w:t>le</w:t>
      </w:r>
      <w:r w:rsidRPr="00406762">
        <w:rPr>
          <w:rFonts w:ascii="Times New Roman" w:hAnsi="Times New Roman" w:cs="Times New Roman"/>
          <w:sz w:val="28"/>
          <w:szCs w:val="28"/>
        </w:rPr>
        <w:t xml:space="preserve"> accidental</w:t>
      </w:r>
      <w:r w:rsidR="00281C5E">
        <w:rPr>
          <w:rFonts w:ascii="Times New Roman" w:hAnsi="Times New Roman" w:cs="Times New Roman"/>
          <w:sz w:val="28"/>
          <w:szCs w:val="28"/>
        </w:rPr>
        <w:t>e și pierderea de furt, pierderile</w:t>
      </w:r>
      <w:r w:rsidRPr="00406762">
        <w:rPr>
          <w:rFonts w:ascii="Times New Roman" w:hAnsi="Times New Roman" w:cs="Times New Roman"/>
          <w:sz w:val="28"/>
          <w:szCs w:val="28"/>
        </w:rPr>
        <w:t xml:space="preserve"> cauzate de dezastre naturale.</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lastRenderedPageBreak/>
        <w:t xml:space="preserve">5. Pierderile tehnologice în cadrul terminalului petrolier al portului Giurgiulești provin din evaporarea produselor petroliere la depozitarea și manipularea acestora.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6. Pierderile prin evaporare depind în mod direct de următorii factori principali: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1) presiunea de vapori reală a produsului lichid;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2) variaţia temperaturii produsului din rezervor;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3) înălţimea spaţiului liber din rezervor (golul rezervorului);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4) diametrul rezervorului;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5) frecvenţa umplerilor şi golirilor</w:t>
      </w:r>
      <w:r w:rsidR="00281C5E">
        <w:rPr>
          <w:rFonts w:ascii="Times New Roman" w:hAnsi="Times New Roman" w:cs="Times New Roman"/>
          <w:sz w:val="28"/>
          <w:szCs w:val="28"/>
        </w:rPr>
        <w:t xml:space="preserve"> rezervoare</w:t>
      </w:r>
      <w:r w:rsidRPr="00406762">
        <w:rPr>
          <w:rFonts w:ascii="Times New Roman" w:hAnsi="Times New Roman" w:cs="Times New Roman"/>
          <w:sz w:val="28"/>
          <w:szCs w:val="28"/>
        </w:rPr>
        <w:t xml:space="preserve">lor;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6) tipul rezervorului;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7) starea tehnică a rezervorului.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7. În cazul rezervoarelor cu capac fix, pierderile prin evaporare depind de tipul şi dimensiunile rezervorului, dotarea, starea tehnică şi starea vopselei, caracteristicile produsului depozitat, condiţiile locale de temperatură, înălţimea spaţiului de vapori şi timpul de depozitare.</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8. În cadrul terminalului petrolier produsele petroliere utilizate sunt: benzina și motorina.</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9. Depozitarea produselor petroliere se efectuiază în rezervoare cilindrice</w:t>
      </w:r>
      <w:r w:rsidR="00281C5E">
        <w:rPr>
          <w:rFonts w:ascii="Times New Roman" w:hAnsi="Times New Roman" w:cs="Times New Roman"/>
          <w:sz w:val="28"/>
          <w:szCs w:val="28"/>
        </w:rPr>
        <w:t xml:space="preserve"> metal</w:t>
      </w:r>
      <w:r w:rsidRPr="00406762">
        <w:rPr>
          <w:rFonts w:ascii="Times New Roman" w:hAnsi="Times New Roman" w:cs="Times New Roman"/>
          <w:sz w:val="28"/>
          <w:szCs w:val="28"/>
        </w:rPr>
        <w:t>ice vertical</w:t>
      </w:r>
      <w:r w:rsidR="00281C5E">
        <w:rPr>
          <w:rFonts w:ascii="Times New Roman" w:hAnsi="Times New Roman" w:cs="Times New Roman"/>
          <w:sz w:val="28"/>
          <w:szCs w:val="28"/>
        </w:rPr>
        <w:t>e</w:t>
      </w:r>
      <w:r w:rsidRPr="00406762">
        <w:rPr>
          <w:rFonts w:ascii="Times New Roman" w:hAnsi="Times New Roman" w:cs="Times New Roman"/>
          <w:sz w:val="28"/>
          <w:szCs w:val="28"/>
        </w:rPr>
        <w:t xml:space="preserve"> supraterane.</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10. Operatiunile tehnologice utilizate pentru produsele petroliere în cadrul terminalului includ:</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1) recepția (</w:t>
      </w:r>
      <w:r w:rsidR="00281C5E">
        <w:rPr>
          <w:rFonts w:ascii="Times New Roman" w:hAnsi="Times New Roman" w:cs="Times New Roman"/>
          <w:sz w:val="28"/>
          <w:szCs w:val="28"/>
        </w:rPr>
        <w:t>descă</w:t>
      </w:r>
      <w:r w:rsidRPr="00406762">
        <w:rPr>
          <w:rFonts w:ascii="Times New Roman" w:hAnsi="Times New Roman" w:cs="Times New Roman"/>
          <w:sz w:val="28"/>
          <w:szCs w:val="28"/>
        </w:rPr>
        <w:t>rcare</w:t>
      </w:r>
      <w:r w:rsidR="00281C5E">
        <w:rPr>
          <w:rFonts w:ascii="Times New Roman" w:hAnsi="Times New Roman" w:cs="Times New Roman"/>
          <w:sz w:val="28"/>
          <w:szCs w:val="28"/>
        </w:rPr>
        <w:t>a</w:t>
      </w:r>
      <w:r w:rsidRPr="00406762">
        <w:rPr>
          <w:rFonts w:ascii="Times New Roman" w:hAnsi="Times New Roman" w:cs="Times New Roman"/>
          <w:sz w:val="28"/>
          <w:szCs w:val="28"/>
        </w:rPr>
        <w:t>):</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a)</w:t>
      </w:r>
      <w:r w:rsidR="00406762" w:rsidRPr="00406762">
        <w:rPr>
          <w:rFonts w:ascii="Times New Roman" w:hAnsi="Times New Roman" w:cs="Times New Roman"/>
          <w:sz w:val="28"/>
          <w:szCs w:val="28"/>
        </w:rPr>
        <w:t xml:space="preserve"> de pe nava </w:t>
      </w:r>
      <w:r w:rsidR="00281C5E">
        <w:rPr>
          <w:rFonts w:ascii="Times New Roman" w:hAnsi="Times New Roman" w:cs="Times New Roman"/>
          <w:sz w:val="28"/>
          <w:szCs w:val="28"/>
        </w:rPr>
        <w:t>maritimă</w:t>
      </w:r>
      <w:r w:rsidR="00406762" w:rsidRPr="00406762">
        <w:rPr>
          <w:rFonts w:ascii="Times New Roman" w:hAnsi="Times New Roman" w:cs="Times New Roman"/>
          <w:sz w:val="28"/>
          <w:szCs w:val="28"/>
        </w:rPr>
        <w:t xml:space="preserve"> </w:t>
      </w:r>
      <w:r w:rsidR="00281C5E">
        <w:rPr>
          <w:rFonts w:ascii="Times New Roman" w:hAnsi="Times New Roman" w:cs="Times New Roman"/>
          <w:sz w:val="28"/>
          <w:szCs w:val="28"/>
        </w:rPr>
        <w:t>(barjă</w:t>
      </w:r>
      <w:r w:rsidR="00406762" w:rsidRPr="00406762">
        <w:rPr>
          <w:rFonts w:ascii="Times New Roman" w:hAnsi="Times New Roman" w:cs="Times New Roman"/>
          <w:sz w:val="28"/>
          <w:szCs w:val="28"/>
        </w:rPr>
        <w:t>) –prin sistemul de conducte tehnologice – in rezervor;</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b)</w:t>
      </w:r>
      <w:r w:rsidR="00406762" w:rsidRPr="00406762">
        <w:rPr>
          <w:rFonts w:ascii="Times New Roman" w:hAnsi="Times New Roman" w:cs="Times New Roman"/>
          <w:sz w:val="28"/>
          <w:szCs w:val="28"/>
        </w:rPr>
        <w:t xml:space="preserve"> din </w:t>
      </w:r>
      <w:r w:rsidR="00281C5E">
        <w:rPr>
          <w:rFonts w:ascii="Times New Roman" w:hAnsi="Times New Roman" w:cs="Times New Roman"/>
          <w:sz w:val="28"/>
          <w:szCs w:val="28"/>
        </w:rPr>
        <w:t>recipiente</w:t>
      </w:r>
      <w:r w:rsidR="00406762" w:rsidRPr="00406762">
        <w:rPr>
          <w:rFonts w:ascii="Times New Roman" w:hAnsi="Times New Roman" w:cs="Times New Roman"/>
          <w:sz w:val="28"/>
          <w:szCs w:val="28"/>
        </w:rPr>
        <w:t xml:space="preserve"> calea ferată (CF) – în rezervor;</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c)</w:t>
      </w:r>
      <w:r w:rsidR="00406762" w:rsidRPr="00406762">
        <w:rPr>
          <w:rFonts w:ascii="Times New Roman" w:hAnsi="Times New Roman" w:cs="Times New Roman"/>
          <w:sz w:val="28"/>
          <w:szCs w:val="28"/>
        </w:rPr>
        <w:t xml:space="preserve"> din </w:t>
      </w:r>
      <w:r w:rsidR="00281C5E">
        <w:rPr>
          <w:rFonts w:ascii="Times New Roman" w:hAnsi="Times New Roman" w:cs="Times New Roman"/>
          <w:sz w:val="28"/>
          <w:szCs w:val="28"/>
        </w:rPr>
        <w:t>recipiente</w:t>
      </w:r>
      <w:r w:rsidR="00406762" w:rsidRPr="00406762">
        <w:rPr>
          <w:rFonts w:ascii="Times New Roman" w:hAnsi="Times New Roman" w:cs="Times New Roman"/>
          <w:sz w:val="28"/>
          <w:szCs w:val="28"/>
        </w:rPr>
        <w:t xml:space="preserve"> CF – în autocisternă.</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 livrare</w:t>
      </w:r>
      <w:r w:rsidR="00281C5E">
        <w:rPr>
          <w:rFonts w:ascii="Times New Roman" w:hAnsi="Times New Roman" w:cs="Times New Roman"/>
          <w:sz w:val="28"/>
          <w:szCs w:val="28"/>
        </w:rPr>
        <w:t>a (încă</w:t>
      </w:r>
      <w:r w:rsidRPr="00406762">
        <w:rPr>
          <w:rFonts w:ascii="Times New Roman" w:hAnsi="Times New Roman" w:cs="Times New Roman"/>
          <w:sz w:val="28"/>
          <w:szCs w:val="28"/>
        </w:rPr>
        <w:t>rcare</w:t>
      </w:r>
      <w:r w:rsidR="00281C5E">
        <w:rPr>
          <w:rFonts w:ascii="Times New Roman" w:hAnsi="Times New Roman" w:cs="Times New Roman"/>
          <w:sz w:val="28"/>
          <w:szCs w:val="28"/>
        </w:rPr>
        <w:t>a</w:t>
      </w:r>
      <w:r w:rsidRPr="00406762">
        <w:rPr>
          <w:rFonts w:ascii="Times New Roman" w:hAnsi="Times New Roman" w:cs="Times New Roman"/>
          <w:sz w:val="28"/>
          <w:szCs w:val="28"/>
        </w:rPr>
        <w:t xml:space="preserve">): </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a)</w:t>
      </w:r>
      <w:r w:rsidR="00406762" w:rsidRPr="00406762">
        <w:rPr>
          <w:rFonts w:ascii="Times New Roman" w:hAnsi="Times New Roman" w:cs="Times New Roman"/>
          <w:sz w:val="28"/>
          <w:szCs w:val="28"/>
        </w:rPr>
        <w:t xml:space="preserve"> din rezervor – </w:t>
      </w:r>
      <w:r w:rsidR="00281C5E">
        <w:rPr>
          <w:rFonts w:ascii="Times New Roman" w:hAnsi="Times New Roman" w:cs="Times New Roman"/>
          <w:sz w:val="28"/>
          <w:szCs w:val="28"/>
        </w:rPr>
        <w:t>prin conducte metalice în sistem î</w:t>
      </w:r>
      <w:r w:rsidR="00406762" w:rsidRPr="00406762">
        <w:rPr>
          <w:rFonts w:ascii="Times New Roman" w:hAnsi="Times New Roman" w:cs="Times New Roman"/>
          <w:sz w:val="28"/>
          <w:szCs w:val="28"/>
        </w:rPr>
        <w:t>nchis - în autocisterne;</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b)</w:t>
      </w:r>
      <w:r w:rsidR="00406762" w:rsidRPr="00406762">
        <w:rPr>
          <w:rFonts w:ascii="Times New Roman" w:hAnsi="Times New Roman" w:cs="Times New Roman"/>
          <w:sz w:val="28"/>
          <w:szCs w:val="28"/>
        </w:rPr>
        <w:t xml:space="preserve"> din rezervor – în </w:t>
      </w:r>
      <w:r w:rsidR="00281C5E">
        <w:rPr>
          <w:rFonts w:ascii="Times New Roman" w:hAnsi="Times New Roman" w:cs="Times New Roman"/>
          <w:sz w:val="28"/>
          <w:szCs w:val="28"/>
        </w:rPr>
        <w:t>recipient cale ferată</w:t>
      </w:r>
      <w:r w:rsidR="00406762" w:rsidRPr="00406762">
        <w:rPr>
          <w:rFonts w:ascii="Times New Roman" w:hAnsi="Times New Roman" w:cs="Times New Roman"/>
          <w:sz w:val="28"/>
          <w:szCs w:val="28"/>
        </w:rPr>
        <w:t xml:space="preserve"> (CF);</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c)</w:t>
      </w:r>
      <w:r w:rsidR="00406762" w:rsidRPr="00406762">
        <w:rPr>
          <w:rFonts w:ascii="Times New Roman" w:hAnsi="Times New Roman" w:cs="Times New Roman"/>
          <w:sz w:val="28"/>
          <w:szCs w:val="28"/>
        </w:rPr>
        <w:t xml:space="preserve"> din rezervor – în</w:t>
      </w:r>
      <w:r w:rsidR="00281C5E">
        <w:rPr>
          <w:rFonts w:ascii="Times New Roman" w:hAnsi="Times New Roman" w:cs="Times New Roman"/>
          <w:sz w:val="28"/>
          <w:szCs w:val="28"/>
        </w:rPr>
        <w:t xml:space="preserve"> nava maritimă (barjă</w:t>
      </w:r>
      <w:r w:rsidR="00406762" w:rsidRPr="00406762">
        <w:rPr>
          <w:rFonts w:ascii="Times New Roman" w:hAnsi="Times New Roman" w:cs="Times New Roman"/>
          <w:sz w:val="28"/>
          <w:szCs w:val="28"/>
        </w:rPr>
        <w:t>);</w:t>
      </w:r>
    </w:p>
    <w:p w:rsidR="00406762" w:rsidRPr="00406762" w:rsidRDefault="00266BF7" w:rsidP="00281C5E">
      <w:pPr>
        <w:pStyle w:val="af"/>
        <w:ind w:firstLine="720"/>
        <w:jc w:val="both"/>
        <w:rPr>
          <w:rFonts w:ascii="Times New Roman" w:hAnsi="Times New Roman" w:cs="Times New Roman"/>
          <w:sz w:val="28"/>
          <w:szCs w:val="28"/>
        </w:rPr>
      </w:pPr>
      <w:r>
        <w:rPr>
          <w:rFonts w:ascii="Times New Roman" w:hAnsi="Times New Roman" w:cs="Times New Roman"/>
          <w:sz w:val="28"/>
          <w:szCs w:val="28"/>
        </w:rPr>
        <w:t>d)</w:t>
      </w:r>
      <w:r w:rsidR="00406762" w:rsidRPr="00406762">
        <w:rPr>
          <w:rFonts w:ascii="Times New Roman" w:hAnsi="Times New Roman" w:cs="Times New Roman"/>
          <w:sz w:val="28"/>
          <w:szCs w:val="28"/>
        </w:rPr>
        <w:t xml:space="preserve"> din rezervor – </w:t>
      </w:r>
      <w:r w:rsidR="00281C5E">
        <w:rPr>
          <w:rFonts w:ascii="Times New Roman" w:hAnsi="Times New Roman" w:cs="Times New Roman"/>
          <w:sz w:val="28"/>
          <w:szCs w:val="28"/>
        </w:rPr>
        <w:t>prin furtune cu pompă</w:t>
      </w:r>
      <w:r w:rsidR="00406762" w:rsidRPr="00406762">
        <w:rPr>
          <w:rFonts w:ascii="Times New Roman" w:hAnsi="Times New Roman" w:cs="Times New Roman"/>
          <w:sz w:val="28"/>
          <w:szCs w:val="28"/>
        </w:rPr>
        <w:t xml:space="preserve"> mobilă - în autocisterne (la pomparea produsului petrolier din “stocul tehnic” al rezervorului).</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11. Pentru normarea pierderilor tehnologice la depozitarea produselor în rezervoare metalice cilindrice verticale supraterane: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 se utilizează valori medii pentru condiţiile de temperatură nediferenţiată pentru întreg teritoriul Republicii Moldova;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 factorii de stare tehnică au valori medii.</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12. Consumul tehnologic la luarea probelor vizînd calitatea produselor petroliere, plasate în depozitele petrolie reconstituie 0,04%. </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II. UTILIZAREA NORMELOR DE PIERDERI PRIN EVAPORARE ÎN PROCESUL MANIPULĂRII SI DEPOZITĂRII PRODUSELOR PETROLIERE</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13. Normarea pierderilor la depozitare este făcută în funcţie de tipul şi capacitatea rezervoarelor. La normarea pierderilor pentru rezervoare supraterane se ţine seama de culoarea vopselei de protecţie.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lastRenderedPageBreak/>
        <w:t xml:space="preserve">14. În anexele nr.3-5 la Metodologie, sînt prezentate normele pierderilor la depozitarea produselor petroliere, care sunt diferenţiate pentru perioadele de vară şi iarnă şi sînt exprimate în kg/tonă.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15. Pierderile la manipulare (primire-livrare) sînt generate în terminal pe parcursul următoarelor operaţii tehnologice: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 descărcarea </w:t>
      </w:r>
      <w:r w:rsidR="00281C5E">
        <w:rPr>
          <w:rFonts w:ascii="Times New Roman" w:hAnsi="Times New Roman" w:cs="Times New Roman"/>
          <w:sz w:val="28"/>
          <w:szCs w:val="28"/>
        </w:rPr>
        <w:t>de pe navă (barjă</w:t>
      </w:r>
      <w:r w:rsidRPr="00406762">
        <w:rPr>
          <w:rFonts w:ascii="Times New Roman" w:hAnsi="Times New Roman" w:cs="Times New Roman"/>
          <w:sz w:val="28"/>
          <w:szCs w:val="28"/>
        </w:rPr>
        <w:t>) și din</w:t>
      </w:r>
      <w:r w:rsidR="00281C5E">
        <w:rPr>
          <w:rFonts w:ascii="Times New Roman" w:hAnsi="Times New Roman" w:cs="Times New Roman"/>
          <w:sz w:val="28"/>
          <w:szCs w:val="28"/>
        </w:rPr>
        <w:t xml:space="preserve"> recipiente</w:t>
      </w:r>
      <w:r w:rsidRPr="00406762">
        <w:rPr>
          <w:rFonts w:ascii="Times New Roman" w:hAnsi="Times New Roman" w:cs="Times New Roman"/>
          <w:sz w:val="28"/>
          <w:szCs w:val="28"/>
        </w:rPr>
        <w:t xml:space="preserve"> </w:t>
      </w:r>
      <w:r w:rsidR="00281C5E">
        <w:rPr>
          <w:rFonts w:ascii="Times New Roman" w:hAnsi="Times New Roman" w:cs="Times New Roman"/>
          <w:sz w:val="28"/>
          <w:szCs w:val="28"/>
        </w:rPr>
        <w:t>CF</w:t>
      </w:r>
      <w:r w:rsidRPr="00406762">
        <w:rPr>
          <w:rFonts w:ascii="Times New Roman" w:hAnsi="Times New Roman" w:cs="Times New Roman"/>
          <w:sz w:val="28"/>
          <w:szCs w:val="28"/>
        </w:rPr>
        <w:t xml:space="preserv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 umplerea-golirea rezervoarelor;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3) încărcarea în autocisterne, în </w:t>
      </w:r>
      <w:r w:rsidR="00281C5E">
        <w:rPr>
          <w:rFonts w:ascii="Times New Roman" w:hAnsi="Times New Roman" w:cs="Times New Roman"/>
          <w:sz w:val="28"/>
          <w:szCs w:val="28"/>
        </w:rPr>
        <w:t>recipient CF și în nava maritimă (barjă</w:t>
      </w:r>
      <w:r w:rsidRPr="00406762">
        <w:rPr>
          <w:rFonts w:ascii="Times New Roman" w:hAnsi="Times New Roman" w:cs="Times New Roman"/>
          <w:sz w:val="28"/>
          <w:szCs w:val="28"/>
        </w:rPr>
        <w:t xml:space="preserv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16. Dacă aceeaşi cantitate de benzină trece în perioada raportată prin toate operaţiile de mai sus, pierderile se produc pentru fiecare operaţie în parte, în cantităţi proporţionale cu cantitatea manipulată. În multe situaţii, însă, cantităţile de produs care suportă operaţiile tehnologice în depozit sînt diferite.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17. O parte din produse se pot descărca din cisterne direct în autocisterne fără a mai fi trecute prin rezervoare.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18. Pierderile la manipulare depind de tipul operaţiei, de condiţiile locale de temperatură, de presiunea de vapori a produsului la temperatura de lucru şi de cantitatea manipulată.</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19. Normele de pierderi pentru operaţiile de manipulare şi depozitare a produselor petroliere reprezintă pierderi cantitative din produsele menţionate, care datorită caracteristicilor fizico-chimice sînt supuse unui proces natural de evaporare.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20. În anexele nr.1 și 2 la Metodologie, sînt prezentate normele pierderilor pentru operaţiile de manipulare a produselor petroliere şi sînt exprimate în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21. Normele de pierderi prin evaporare pot fi acordate numai pe baza pierderilor cantitative efective, constatate la efectuarea inventarierii gestiunii sau cu prilejul predării-primirii produselor.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22. Normele de pierderi prin evaporare se aplică în funcţie de sezon, considerîndu-se perioada de vară de la 1 aprilie la 30 septembrie, iar perioada de iarnă de la 1 octombrie la 31 martie.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23. Normele de pierderi prin evaporare se pot aplica numai după verificarea faptică a cantităţilor de produse petroliere existente în gestiune.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24. Normele de pierderi prin evaporare se aplică numai la cantităţile de produse intrate efectiv în depozit, nu şi celor care trec numai scriptic prin depozit.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25. Pierderile prin evaporare se calculează lunar şi se compară cu pierderile înregistrate efectiv la gestionarea produselor.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26. Normele de pierderi sînt exprimate procentual pentru operaţiile de manipulare şi în kg/tonă pentru depozitare.</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27. În vederea reducerii pierderilor prin evaporare în cadrul terminalului se vor întreprinde metode şi măsuri tehnico-organizatorice conform Orinului nr. 141 din 05.10.2007 al Ministerului Economiei și Infrasrtucturii „Referitor la Regulamentul cu privire la Metodologia de calculare a pierderilor tehnologice în procesul recepţionării, </w:t>
      </w:r>
      <w:r w:rsidRPr="00406762">
        <w:rPr>
          <w:rFonts w:ascii="Times New Roman" w:hAnsi="Times New Roman" w:cs="Times New Roman"/>
          <w:sz w:val="28"/>
          <w:szCs w:val="28"/>
        </w:rPr>
        <w:lastRenderedPageBreak/>
        <w:t>transportării, depozitării şi distribuirii produselor petroliere utilizate de instituţiile publice” (Monitorul Oficial al Republicii Moldova, 2007, nr.165-167, art.609).</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35"/>
        <w:gridCol w:w="2947"/>
        <w:gridCol w:w="1159"/>
        <w:gridCol w:w="1159"/>
      </w:tblGrid>
      <w:tr w:rsidR="00406762" w:rsidRPr="00406762" w:rsidTr="00895DFB">
        <w:trPr>
          <w:jc w:val="center"/>
        </w:trPr>
        <w:tc>
          <w:tcPr>
            <w:tcW w:w="0" w:type="auto"/>
            <w:gridSpan w:val="4"/>
            <w:tcBorders>
              <w:top w:val="nil"/>
              <w:left w:val="nil"/>
              <w:bottom w:val="nil"/>
              <w:right w:val="nil"/>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406762">
              <w:rPr>
                <w:rFonts w:ascii="Times New Roman" w:hAnsi="Times New Roman" w:cs="Times New Roman"/>
                <w:sz w:val="28"/>
                <w:szCs w:val="28"/>
              </w:rPr>
              <w:t>Anexa nr.1</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NORME</w:t>
            </w: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de pierderi la manipularea benzinelor auto</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tc>
      </w:tr>
      <w:tr w:rsidR="003E0973" w:rsidRPr="00406762" w:rsidTr="00895DF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Denumirea operaţiei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Cantitatea de benzină la care se aplică norma de pierderi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Norma de pierderi la manipulare, %</w:t>
            </w:r>
          </w:p>
        </w:tc>
      </w:tr>
      <w:tr w:rsidR="003E0973" w:rsidRPr="00406762" w:rsidTr="00895DF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6762" w:rsidRPr="00406762" w:rsidRDefault="00406762" w:rsidP="00406762">
            <w:pPr>
              <w:pStyle w:val="af"/>
              <w:jc w:val="center"/>
              <w:rPr>
                <w:rFonts w:ascii="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6762" w:rsidRPr="00406762" w:rsidRDefault="00406762" w:rsidP="00406762">
            <w:pPr>
              <w:pStyle w:val="af"/>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vara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iarna</w:t>
            </w:r>
          </w:p>
        </w:tc>
      </w:tr>
      <w:tr w:rsidR="003E0973" w:rsidRPr="00406762" w:rsidTr="00895DF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3E0973">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Descărcare </w:t>
            </w:r>
            <w:r w:rsidR="003E0973">
              <w:rPr>
                <w:rFonts w:ascii="Times New Roman" w:hAnsi="Times New Roman" w:cs="Times New Roman"/>
                <w:sz w:val="28"/>
                <w:szCs w:val="28"/>
              </w:rPr>
              <w:t>nava maritimă (barjă</w:t>
            </w:r>
            <w:r w:rsidRPr="00406762">
              <w:rPr>
                <w:rFonts w:ascii="Times New Roman" w:hAnsi="Times New Roman" w:cs="Times New Roman"/>
                <w:sz w:val="28"/>
                <w:szCs w:val="28"/>
              </w:rPr>
              <w:t xml:space="preserve">) și </w:t>
            </w:r>
            <w:r w:rsidR="003E0973">
              <w:rPr>
                <w:rFonts w:ascii="Times New Roman" w:hAnsi="Times New Roman" w:cs="Times New Roman"/>
                <w:sz w:val="28"/>
                <w:szCs w:val="28"/>
              </w:rPr>
              <w:t>recipient CF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Cantitate descărcată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0.046</w:t>
            </w:r>
          </w:p>
        </w:tc>
      </w:tr>
      <w:tr w:rsidR="003E0973" w:rsidRPr="00406762" w:rsidTr="00895DF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Umplere-golire rezervoare plasate suprateran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Cantitate intrată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0.139</w:t>
            </w:r>
          </w:p>
        </w:tc>
      </w:tr>
      <w:tr w:rsidR="003E0973" w:rsidRPr="00406762" w:rsidTr="00895DF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Umplere-golire rezervoare de serviciu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Cantitate intrată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0.048</w:t>
            </w:r>
          </w:p>
        </w:tc>
      </w:tr>
      <w:tr w:rsidR="003E0973" w:rsidRPr="00406762" w:rsidTr="00895DF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3E0973">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Încărcare autocisterne, </w:t>
            </w:r>
            <w:r w:rsidR="003E0973">
              <w:rPr>
                <w:rFonts w:ascii="Times New Roman" w:hAnsi="Times New Roman" w:cs="Times New Roman"/>
                <w:sz w:val="28"/>
                <w:szCs w:val="28"/>
              </w:rPr>
              <w:t>recipiente CF</w:t>
            </w:r>
            <w:r w:rsidRPr="00406762">
              <w:rPr>
                <w:rFonts w:ascii="Times New Roman" w:hAnsi="Times New Roman" w:cs="Times New Roman"/>
                <w:sz w:val="28"/>
                <w:szCs w:val="28"/>
              </w:rPr>
              <w:t xml:space="preserve"> şi </w:t>
            </w:r>
            <w:r w:rsidR="003E0973">
              <w:rPr>
                <w:rFonts w:ascii="Times New Roman" w:hAnsi="Times New Roman" w:cs="Times New Roman"/>
                <w:sz w:val="28"/>
                <w:szCs w:val="28"/>
              </w:rPr>
              <w:t>nava maritimă</w:t>
            </w:r>
            <w:r w:rsidRPr="00406762">
              <w:rPr>
                <w:rFonts w:ascii="Times New Roman" w:hAnsi="Times New Roman" w:cs="Times New Roman"/>
                <w:sz w:val="28"/>
                <w:szCs w:val="28"/>
              </w:rPr>
              <w:t xml:space="preserve"> (barja)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Cantitate încărcată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0.062</w:t>
            </w:r>
          </w:p>
        </w:tc>
      </w:tr>
      <w:tr w:rsidR="003E0973" w:rsidRPr="00406762" w:rsidTr="00895DFB">
        <w:trPr>
          <w:jc w:val="center"/>
        </w:trPr>
        <w:tc>
          <w:tcPr>
            <w:tcW w:w="0" w:type="auto"/>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Încărcare autocisterne prin împroşcare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Cantitate încărcată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0.128</w:t>
            </w:r>
          </w:p>
        </w:tc>
      </w:tr>
    </w:tbl>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406762">
        <w:rPr>
          <w:rFonts w:ascii="Times New Roman" w:hAnsi="Times New Roman" w:cs="Times New Roman"/>
          <w:sz w:val="28"/>
          <w:szCs w:val="28"/>
        </w:rPr>
        <w:t>Anexa nr.2</w:t>
      </w:r>
    </w:p>
    <w:p w:rsidR="00406762" w:rsidRPr="00406762" w:rsidRDefault="00406762" w:rsidP="00406762">
      <w:pPr>
        <w:pStyle w:val="af"/>
        <w:jc w:val="both"/>
        <w:rPr>
          <w:rFonts w:ascii="Times New Roman" w:hAnsi="Times New Roman" w:cs="Times New Roman"/>
          <w:sz w:val="28"/>
          <w:szCs w:val="28"/>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704"/>
        <w:gridCol w:w="3413"/>
        <w:gridCol w:w="1383"/>
      </w:tblGrid>
      <w:tr w:rsidR="00406762" w:rsidRPr="00406762" w:rsidTr="00895DFB">
        <w:trPr>
          <w:jc w:val="center"/>
        </w:trPr>
        <w:tc>
          <w:tcPr>
            <w:tcW w:w="0" w:type="auto"/>
            <w:gridSpan w:val="3"/>
            <w:tcBorders>
              <w:top w:val="nil"/>
              <w:left w:val="nil"/>
              <w:bottom w:val="nil"/>
              <w:right w:val="nil"/>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NORME</w:t>
            </w:r>
          </w:p>
          <w:p w:rsidR="00406762" w:rsidRPr="00406762" w:rsidRDefault="00406762" w:rsidP="00406762">
            <w:pPr>
              <w:pStyle w:val="af"/>
              <w:jc w:val="center"/>
              <w:rPr>
                <w:rFonts w:ascii="Times New Roman" w:hAnsi="Times New Roman" w:cs="Times New Roman"/>
                <w:b/>
                <w:sz w:val="28"/>
                <w:szCs w:val="28"/>
              </w:rPr>
            </w:pPr>
            <w:r w:rsidRPr="00406762">
              <w:rPr>
                <w:rFonts w:ascii="Times New Roman" w:hAnsi="Times New Roman" w:cs="Times New Roman"/>
                <w:b/>
                <w:sz w:val="28"/>
                <w:szCs w:val="28"/>
              </w:rPr>
              <w:t>de pierderi la manipularea motorinei*)</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tc>
      </w:tr>
      <w:tr w:rsidR="00406762" w:rsidRPr="00406762" w:rsidTr="00F07C7A">
        <w:trPr>
          <w:jc w:val="center"/>
        </w:trPr>
        <w:tc>
          <w:tcPr>
            <w:tcW w:w="592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Produs</w:t>
            </w:r>
          </w:p>
        </w:tc>
        <w:tc>
          <w:tcPr>
            <w:tcW w:w="457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Normă maximă de pierderi la manipulare, %</w:t>
            </w:r>
          </w:p>
        </w:tc>
      </w:tr>
      <w:tr w:rsidR="00406762" w:rsidRPr="00406762" w:rsidTr="00F07C7A">
        <w:trPr>
          <w:jc w:val="center"/>
        </w:trPr>
        <w:tc>
          <w:tcPr>
            <w:tcW w:w="5929" w:type="dxa"/>
            <w:vMerge/>
            <w:tcBorders>
              <w:top w:val="single" w:sz="6" w:space="0" w:color="000000"/>
              <w:left w:val="single" w:sz="6" w:space="0" w:color="000000"/>
              <w:bottom w:val="single" w:sz="6" w:space="0" w:color="000000"/>
              <w:right w:val="single" w:sz="6" w:space="0" w:color="000000"/>
            </w:tcBorders>
            <w:vAlign w:val="center"/>
            <w:hideMark/>
          </w:tcPr>
          <w:p w:rsidR="00406762" w:rsidRPr="00406762" w:rsidRDefault="00406762" w:rsidP="00406762">
            <w:pPr>
              <w:pStyle w:val="af"/>
              <w:jc w:val="center"/>
              <w:rPr>
                <w:rFonts w:ascii="Times New Roman" w:hAnsi="Times New Roman" w:cs="Times New Roman"/>
                <w:sz w:val="28"/>
                <w:szCs w:val="28"/>
              </w:rPr>
            </w:pPr>
          </w:p>
        </w:tc>
        <w:tc>
          <w:tcPr>
            <w:tcW w:w="36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vara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iarna</w:t>
            </w:r>
          </w:p>
        </w:tc>
      </w:tr>
      <w:tr w:rsidR="00406762" w:rsidRPr="00406762" w:rsidTr="00F07C7A">
        <w:trPr>
          <w:jc w:val="center"/>
        </w:trPr>
        <w:tc>
          <w:tcPr>
            <w:tcW w:w="59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Motorină</w:t>
            </w:r>
          </w:p>
        </w:tc>
        <w:tc>
          <w:tcPr>
            <w:tcW w:w="36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F07C7A">
            <w:pPr>
              <w:pStyle w:val="af"/>
              <w:jc w:val="center"/>
              <w:rPr>
                <w:rFonts w:ascii="Times New Roman" w:hAnsi="Times New Roman" w:cs="Times New Roman"/>
                <w:sz w:val="28"/>
                <w:szCs w:val="28"/>
              </w:rPr>
            </w:pPr>
            <w:r w:rsidRPr="00406762">
              <w:rPr>
                <w:rFonts w:ascii="Times New Roman" w:hAnsi="Times New Roman" w:cs="Times New Roman"/>
                <w:sz w:val="28"/>
                <w:szCs w:val="28"/>
              </w:rPr>
              <w:t>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6762" w:rsidRPr="00406762" w:rsidRDefault="00406762" w:rsidP="00F07C7A">
            <w:pPr>
              <w:pStyle w:val="af"/>
              <w:jc w:val="center"/>
              <w:rPr>
                <w:rFonts w:ascii="Times New Roman" w:hAnsi="Times New Roman" w:cs="Times New Roman"/>
                <w:sz w:val="28"/>
                <w:szCs w:val="28"/>
              </w:rPr>
            </w:pPr>
            <w:r w:rsidRPr="00406762">
              <w:rPr>
                <w:rFonts w:ascii="Times New Roman" w:hAnsi="Times New Roman" w:cs="Times New Roman"/>
                <w:sz w:val="28"/>
                <w:szCs w:val="28"/>
              </w:rPr>
              <w:t>0.05**)</w:t>
            </w:r>
          </w:p>
        </w:tc>
      </w:tr>
      <w:tr w:rsidR="00406762" w:rsidRPr="00406762" w:rsidTr="00895DFB">
        <w:trPr>
          <w:jc w:val="center"/>
        </w:trPr>
        <w:tc>
          <w:tcPr>
            <w:tcW w:w="0" w:type="auto"/>
            <w:gridSpan w:val="3"/>
            <w:tcBorders>
              <w:top w:val="nil"/>
              <w:left w:val="nil"/>
              <w:bottom w:val="nil"/>
              <w:right w:val="nil"/>
            </w:tcBorders>
            <w:tcMar>
              <w:top w:w="15" w:type="dxa"/>
              <w:left w:w="45" w:type="dxa"/>
              <w:bottom w:w="15" w:type="dxa"/>
              <w:right w:w="45" w:type="dxa"/>
            </w:tcMa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 Norma se aplică o singură dată la cantitatea manipulată în depozit, fiind acoperitoare pentru toate operaţiile de manipulare implicate. </w:t>
            </w: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În cazul motorinei norma de pierderi este mai mare iarna, pentru că s-au avut în vedere şi pierderile rezultate prin aderenţa la peretele cisternei, autocisternei şi rezervorului la temperatura scăzută.</w:t>
            </w:r>
          </w:p>
          <w:p w:rsidR="00406762" w:rsidRPr="00406762" w:rsidRDefault="00406762" w:rsidP="00406762">
            <w:pPr>
              <w:pStyle w:val="af"/>
              <w:jc w:val="both"/>
              <w:rPr>
                <w:rFonts w:ascii="Times New Roman" w:hAnsi="Times New Roman" w:cs="Times New Roman"/>
                <w:sz w:val="28"/>
                <w:szCs w:val="28"/>
              </w:rPr>
            </w:pPr>
          </w:p>
          <w:p w:rsidR="00406762" w:rsidRDefault="00406762" w:rsidP="00406762">
            <w:pPr>
              <w:pStyle w:val="af"/>
              <w:jc w:val="both"/>
              <w:rPr>
                <w:rFonts w:ascii="Times New Roman" w:hAnsi="Times New Roman" w:cs="Times New Roman"/>
                <w:sz w:val="28"/>
                <w:szCs w:val="28"/>
              </w:rPr>
            </w:pPr>
          </w:p>
          <w:p w:rsidR="00A10F1B" w:rsidRDefault="00A10F1B" w:rsidP="00406762">
            <w:pPr>
              <w:pStyle w:val="af"/>
              <w:jc w:val="both"/>
              <w:rPr>
                <w:rFonts w:ascii="Times New Roman" w:hAnsi="Times New Roman" w:cs="Times New Roman"/>
                <w:sz w:val="28"/>
                <w:szCs w:val="28"/>
              </w:rPr>
            </w:pPr>
          </w:p>
          <w:p w:rsidR="00A10F1B" w:rsidRDefault="00A10F1B" w:rsidP="00406762">
            <w:pPr>
              <w:pStyle w:val="af"/>
              <w:jc w:val="both"/>
              <w:rPr>
                <w:rFonts w:ascii="Times New Roman" w:hAnsi="Times New Roman" w:cs="Times New Roman"/>
                <w:sz w:val="28"/>
                <w:szCs w:val="28"/>
              </w:rPr>
            </w:pPr>
          </w:p>
          <w:p w:rsidR="00F07C7A" w:rsidRDefault="00F07C7A" w:rsidP="00406762">
            <w:pPr>
              <w:pStyle w:val="af"/>
              <w:jc w:val="both"/>
              <w:rPr>
                <w:rFonts w:ascii="Times New Roman" w:hAnsi="Times New Roman" w:cs="Times New Roman"/>
                <w:sz w:val="28"/>
                <w:szCs w:val="28"/>
              </w:rPr>
            </w:pPr>
          </w:p>
          <w:p w:rsidR="00F07C7A" w:rsidRDefault="00F07C7A" w:rsidP="00406762">
            <w:pPr>
              <w:pStyle w:val="af"/>
              <w:jc w:val="both"/>
              <w:rPr>
                <w:rFonts w:ascii="Times New Roman" w:hAnsi="Times New Roman" w:cs="Times New Roman"/>
                <w:sz w:val="28"/>
                <w:szCs w:val="28"/>
              </w:rPr>
            </w:pPr>
          </w:p>
          <w:p w:rsidR="00F07C7A" w:rsidRPr="00406762" w:rsidRDefault="00F07C7A" w:rsidP="00406762">
            <w:pPr>
              <w:pStyle w:val="af"/>
              <w:jc w:val="both"/>
              <w:rPr>
                <w:rFonts w:ascii="Times New Roman" w:hAnsi="Times New Roman" w:cs="Times New Roman"/>
                <w:sz w:val="28"/>
                <w:szCs w:val="28"/>
              </w:rPr>
            </w:pPr>
          </w:p>
          <w:p w:rsidR="00406762" w:rsidRPr="00406762" w:rsidRDefault="00406762" w:rsidP="00A10F1B">
            <w:pPr>
              <w:pStyle w:val="af"/>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762">
              <w:rPr>
                <w:rFonts w:ascii="Times New Roman" w:hAnsi="Times New Roman" w:cs="Times New Roman"/>
                <w:sz w:val="28"/>
                <w:szCs w:val="28"/>
              </w:rPr>
              <w:t>Anexa nr.3</w:t>
            </w:r>
          </w:p>
        </w:tc>
      </w:tr>
    </w:tbl>
    <w:p w:rsidR="00406762" w:rsidRPr="00406762" w:rsidRDefault="00406762" w:rsidP="00406762">
      <w:pPr>
        <w:pStyle w:val="af"/>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239"/>
        <w:gridCol w:w="1793"/>
        <w:gridCol w:w="1804"/>
        <w:gridCol w:w="1800"/>
        <w:gridCol w:w="2164"/>
      </w:tblGrid>
      <w:tr w:rsidR="00406762" w:rsidRPr="00406762" w:rsidTr="00895DFB">
        <w:tc>
          <w:tcPr>
            <w:tcW w:w="2750" w:type="dxa"/>
          </w:tcPr>
          <w:p w:rsidR="00406762" w:rsidRPr="00406762" w:rsidRDefault="00406762" w:rsidP="00406762">
            <w:pPr>
              <w:pStyle w:val="af"/>
              <w:jc w:val="both"/>
              <w:rPr>
                <w:rFonts w:ascii="Times New Roman" w:hAnsi="Times New Roman" w:cs="Times New Roman"/>
                <w:sz w:val="28"/>
                <w:szCs w:val="28"/>
              </w:rPr>
            </w:pPr>
          </w:p>
        </w:tc>
        <w:tc>
          <w:tcPr>
            <w:tcW w:w="10825" w:type="dxa"/>
            <w:gridSpan w:val="4"/>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NORME</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de pierderi a benzinelor auto în prima lună la depozitarea în rezervoare *)</w:t>
            </w:r>
          </w:p>
          <w:p w:rsidR="00406762" w:rsidRPr="00406762" w:rsidRDefault="00406762" w:rsidP="00406762">
            <w:pPr>
              <w:pStyle w:val="af"/>
              <w:jc w:val="both"/>
              <w:rPr>
                <w:rFonts w:ascii="Times New Roman" w:hAnsi="Times New Roman" w:cs="Times New Roman"/>
                <w:sz w:val="28"/>
                <w:szCs w:val="28"/>
              </w:rPr>
            </w:pPr>
          </w:p>
        </w:tc>
      </w:tr>
      <w:tr w:rsidR="00406762" w:rsidRPr="00406762" w:rsidTr="00895DFB">
        <w:tc>
          <w:tcPr>
            <w:tcW w:w="2750" w:type="dxa"/>
            <w:vMerge w:val="restart"/>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Tipul rezervorului</w:t>
            </w:r>
          </w:p>
          <w:p w:rsidR="00406762" w:rsidRPr="00406762" w:rsidRDefault="00406762" w:rsidP="00406762">
            <w:pPr>
              <w:pStyle w:val="af"/>
              <w:jc w:val="both"/>
              <w:rPr>
                <w:rFonts w:ascii="Times New Roman" w:hAnsi="Times New Roman" w:cs="Times New Roman"/>
                <w:sz w:val="28"/>
                <w:szCs w:val="28"/>
              </w:rPr>
            </w:pPr>
          </w:p>
        </w:tc>
        <w:tc>
          <w:tcPr>
            <w:tcW w:w="10825" w:type="dxa"/>
            <w:gridSpan w:val="4"/>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Volumul rezervorului, m3</w:t>
            </w:r>
          </w:p>
        </w:tc>
      </w:tr>
      <w:tr w:rsidR="00406762" w:rsidRPr="00406762" w:rsidTr="00895DFB">
        <w:trPr>
          <w:trHeight w:val="353"/>
        </w:trPr>
        <w:tc>
          <w:tcPr>
            <w:tcW w:w="2750" w:type="dxa"/>
            <w:vMerge/>
          </w:tcPr>
          <w:p w:rsidR="00406762" w:rsidRPr="00406762" w:rsidRDefault="00406762" w:rsidP="00406762">
            <w:pPr>
              <w:pStyle w:val="af"/>
              <w:jc w:val="both"/>
              <w:rPr>
                <w:rFonts w:ascii="Times New Roman" w:hAnsi="Times New Roman" w:cs="Times New Roman"/>
                <w:sz w:val="28"/>
                <w:szCs w:val="28"/>
              </w:rPr>
            </w:pPr>
          </w:p>
        </w:tc>
        <w:tc>
          <w:tcPr>
            <w:tcW w:w="5085" w:type="dxa"/>
            <w:gridSpan w:val="2"/>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de la 3000 pînă la 5000</w:t>
            </w:r>
          </w:p>
        </w:tc>
        <w:tc>
          <w:tcPr>
            <w:tcW w:w="5740" w:type="dxa"/>
            <w:gridSpan w:val="2"/>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mai mult de 5000</w:t>
            </w:r>
          </w:p>
        </w:tc>
      </w:tr>
      <w:tr w:rsidR="00406762" w:rsidRPr="00406762" w:rsidTr="00895DFB">
        <w:trPr>
          <w:trHeight w:val="353"/>
        </w:trPr>
        <w:tc>
          <w:tcPr>
            <w:tcW w:w="2750" w:type="dxa"/>
            <w:vMerge/>
          </w:tcPr>
          <w:p w:rsidR="00406762" w:rsidRPr="00406762" w:rsidRDefault="00406762" w:rsidP="00406762">
            <w:pPr>
              <w:pStyle w:val="af"/>
              <w:jc w:val="both"/>
              <w:rPr>
                <w:rFonts w:ascii="Times New Roman" w:hAnsi="Times New Roman" w:cs="Times New Roman"/>
                <w:sz w:val="28"/>
                <w:szCs w:val="28"/>
              </w:rPr>
            </w:pPr>
          </w:p>
        </w:tc>
        <w:tc>
          <w:tcPr>
            <w:tcW w:w="10825" w:type="dxa"/>
            <w:gridSpan w:val="4"/>
          </w:tcPr>
          <w:p w:rsidR="00406762" w:rsidRPr="003E0973" w:rsidRDefault="00406762" w:rsidP="003E0973">
            <w:pPr>
              <w:pStyle w:val="af"/>
              <w:jc w:val="center"/>
              <w:rPr>
                <w:rFonts w:ascii="Times New Roman" w:hAnsi="Times New Roman" w:cs="Times New Roman"/>
                <w:sz w:val="28"/>
                <w:szCs w:val="28"/>
                <w:lang w:val="en-US"/>
              </w:rPr>
            </w:pPr>
            <w:r w:rsidRPr="003E0973">
              <w:rPr>
                <w:rFonts w:ascii="Times New Roman" w:hAnsi="Times New Roman" w:cs="Times New Roman"/>
                <w:sz w:val="28"/>
                <w:szCs w:val="28"/>
                <w:lang w:val="en-US"/>
              </w:rPr>
              <w:t>norme de pierderi la depozitarea benzinelor auto kg/t</w:t>
            </w:r>
          </w:p>
        </w:tc>
      </w:tr>
      <w:tr w:rsidR="00406762" w:rsidRPr="00406762" w:rsidTr="00895DFB">
        <w:tc>
          <w:tcPr>
            <w:tcW w:w="2750" w:type="dxa"/>
            <w:vMerge/>
          </w:tcPr>
          <w:p w:rsidR="00406762" w:rsidRPr="003E0973" w:rsidRDefault="00406762" w:rsidP="00406762">
            <w:pPr>
              <w:pStyle w:val="af"/>
              <w:jc w:val="both"/>
              <w:rPr>
                <w:rFonts w:ascii="Times New Roman" w:hAnsi="Times New Roman" w:cs="Times New Roman"/>
                <w:sz w:val="28"/>
                <w:szCs w:val="28"/>
                <w:lang w:val="en-US"/>
              </w:rPr>
            </w:pPr>
          </w:p>
        </w:tc>
        <w:tc>
          <w:tcPr>
            <w:tcW w:w="2533" w:type="dxa"/>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iarna</w:t>
            </w:r>
          </w:p>
        </w:tc>
        <w:tc>
          <w:tcPr>
            <w:tcW w:w="2552" w:type="dxa"/>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vara</w:t>
            </w:r>
          </w:p>
        </w:tc>
        <w:tc>
          <w:tcPr>
            <w:tcW w:w="2546" w:type="dxa"/>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iarna</w:t>
            </w:r>
          </w:p>
        </w:tc>
        <w:tc>
          <w:tcPr>
            <w:tcW w:w="3194" w:type="dxa"/>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vara</w:t>
            </w:r>
          </w:p>
        </w:tc>
      </w:tr>
      <w:tr w:rsidR="00406762" w:rsidRPr="00406762" w:rsidTr="00895DFB">
        <w:tc>
          <w:tcPr>
            <w:tcW w:w="2750" w:type="dxa"/>
          </w:tcPr>
          <w:p w:rsidR="00406762" w:rsidRPr="00406762" w:rsidRDefault="003E0973" w:rsidP="00406762">
            <w:pPr>
              <w:pStyle w:val="af"/>
              <w:jc w:val="both"/>
              <w:rPr>
                <w:rFonts w:ascii="Times New Roman" w:hAnsi="Times New Roman" w:cs="Times New Roman"/>
                <w:sz w:val="28"/>
                <w:szCs w:val="28"/>
              </w:rPr>
            </w:pPr>
            <w:r>
              <w:rPr>
                <w:rFonts w:ascii="Times New Roman" w:hAnsi="Times New Roman" w:cs="Times New Roman"/>
                <w:sz w:val="28"/>
                <w:szCs w:val="28"/>
              </w:rPr>
              <w:t>cilindric meta</w:t>
            </w:r>
            <w:r w:rsidR="00406762" w:rsidRPr="00406762">
              <w:rPr>
                <w:rFonts w:ascii="Times New Roman" w:hAnsi="Times New Roman" w:cs="Times New Roman"/>
                <w:sz w:val="28"/>
                <w:szCs w:val="28"/>
              </w:rPr>
              <w:t>lic suprateran</w:t>
            </w:r>
          </w:p>
        </w:tc>
        <w:tc>
          <w:tcPr>
            <w:tcW w:w="2533"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0,155</w:t>
            </w:r>
          </w:p>
        </w:tc>
        <w:tc>
          <w:tcPr>
            <w:tcW w:w="2552"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0,458</w:t>
            </w:r>
          </w:p>
        </w:tc>
        <w:tc>
          <w:tcPr>
            <w:tcW w:w="2546"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0,136</w:t>
            </w:r>
          </w:p>
        </w:tc>
        <w:tc>
          <w:tcPr>
            <w:tcW w:w="3194"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0,407</w:t>
            </w:r>
          </w:p>
        </w:tc>
      </w:tr>
      <w:tr w:rsidR="00406762" w:rsidRPr="00406762" w:rsidTr="00895DFB">
        <w:tc>
          <w:tcPr>
            <w:tcW w:w="2750" w:type="dxa"/>
          </w:tcPr>
          <w:p w:rsidR="00406762" w:rsidRPr="003E0973" w:rsidRDefault="003E0973" w:rsidP="00406762">
            <w:pPr>
              <w:pStyle w:val="af"/>
              <w:jc w:val="both"/>
              <w:rPr>
                <w:rFonts w:ascii="Times New Roman" w:hAnsi="Times New Roman" w:cs="Times New Roman"/>
                <w:sz w:val="28"/>
                <w:szCs w:val="28"/>
                <w:lang w:val="en-US"/>
              </w:rPr>
            </w:pPr>
            <w:r w:rsidRPr="003E0973">
              <w:rPr>
                <w:rFonts w:ascii="Times New Roman" w:hAnsi="Times New Roman" w:cs="Times New Roman"/>
                <w:sz w:val="28"/>
                <w:szCs w:val="28"/>
                <w:lang w:val="en-US"/>
              </w:rPr>
              <w:t>cilindric metalic suprateran</w:t>
            </w:r>
            <w:r w:rsidR="00406762" w:rsidRPr="003E0973">
              <w:rPr>
                <w:rFonts w:ascii="Times New Roman" w:hAnsi="Times New Roman" w:cs="Times New Roman"/>
                <w:sz w:val="28"/>
                <w:szCs w:val="28"/>
                <w:lang w:val="en-US"/>
              </w:rPr>
              <w:t xml:space="preserve"> cu ponton</w:t>
            </w:r>
          </w:p>
        </w:tc>
        <w:tc>
          <w:tcPr>
            <w:tcW w:w="2533"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0,032</w:t>
            </w:r>
          </w:p>
        </w:tc>
        <w:tc>
          <w:tcPr>
            <w:tcW w:w="2552"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0,110</w:t>
            </w:r>
          </w:p>
        </w:tc>
        <w:tc>
          <w:tcPr>
            <w:tcW w:w="2546"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0,024</w:t>
            </w:r>
          </w:p>
        </w:tc>
        <w:tc>
          <w:tcPr>
            <w:tcW w:w="3194" w:type="dxa"/>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0,098</w:t>
            </w:r>
          </w:p>
        </w:tc>
      </w:tr>
    </w:tbl>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  Notă: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 </w:t>
      </w:r>
      <w:r w:rsidR="003E0973">
        <w:rPr>
          <w:rFonts w:ascii="Times New Roman" w:hAnsi="Times New Roman" w:cs="Times New Roman"/>
          <w:sz w:val="28"/>
          <w:szCs w:val="28"/>
        </w:rPr>
        <w:t>Atunci cî</w:t>
      </w:r>
      <w:r w:rsidRPr="00406762">
        <w:rPr>
          <w:rFonts w:ascii="Times New Roman" w:hAnsi="Times New Roman" w:cs="Times New Roman"/>
          <w:sz w:val="28"/>
          <w:szCs w:val="28"/>
        </w:rPr>
        <w:t>nd rezervoarele sunt echipate cu sistem de captare a vaporilor de produse petroliere sau sistem de egalizare a nivelului din rezervoare (cu excepția pontoane</w:t>
      </w:r>
      <w:r w:rsidR="003E0973">
        <w:rPr>
          <w:rFonts w:ascii="Times New Roman" w:hAnsi="Times New Roman" w:cs="Times New Roman"/>
          <w:sz w:val="28"/>
          <w:szCs w:val="28"/>
        </w:rPr>
        <w:t>lor</w:t>
      </w:r>
      <w:r w:rsidRPr="00406762">
        <w:rPr>
          <w:rFonts w:ascii="Times New Roman" w:hAnsi="Times New Roman" w:cs="Times New Roman"/>
          <w:sz w:val="28"/>
          <w:szCs w:val="28"/>
        </w:rPr>
        <w:t xml:space="preserve">) normele de pierderi la depozitare </w:t>
      </w:r>
      <w:r w:rsidR="003E0973">
        <w:rPr>
          <w:rFonts w:ascii="Times New Roman" w:hAnsi="Times New Roman" w:cs="Times New Roman"/>
          <w:sz w:val="28"/>
          <w:szCs w:val="28"/>
        </w:rPr>
        <w:t>sunt reduse cu cantitatea de vapori captată</w:t>
      </w:r>
      <w:r w:rsidRPr="00406762">
        <w:rPr>
          <w:rFonts w:ascii="Times New Roman" w:hAnsi="Times New Roman" w:cs="Times New Roman"/>
          <w:sz w:val="28"/>
          <w:szCs w:val="28"/>
        </w:rPr>
        <w:t>,</w:t>
      </w:r>
      <w:r w:rsidR="003E0973">
        <w:rPr>
          <w:rFonts w:ascii="Times New Roman" w:hAnsi="Times New Roman" w:cs="Times New Roman"/>
          <w:sz w:val="28"/>
          <w:szCs w:val="28"/>
        </w:rPr>
        <w:t xml:space="preserve"> stabilită procentual și specificată</w:t>
      </w:r>
      <w:r w:rsidRPr="00406762">
        <w:rPr>
          <w:rFonts w:ascii="Times New Roman" w:hAnsi="Times New Roman" w:cs="Times New Roman"/>
          <w:sz w:val="28"/>
          <w:szCs w:val="28"/>
        </w:rPr>
        <w:t xml:space="preserve"> în fișa de date la sistemul de captare aplicat.</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 Dacă temperatura produsului petrolier depozitat depășește 30 °C, indiferent de perioada anului, se aplică normele pentru perioada „vară” majorate de 1,5 ori.</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3. În perioada de tranziție </w:t>
      </w:r>
      <w:r w:rsidR="003E0973">
        <w:rPr>
          <w:rFonts w:ascii="Times New Roman" w:hAnsi="Times New Roman" w:cs="Times New Roman"/>
          <w:sz w:val="28"/>
          <w:szCs w:val="28"/>
        </w:rPr>
        <w:t>de la un sezon la</w:t>
      </w:r>
      <w:r w:rsidRPr="00406762">
        <w:rPr>
          <w:rFonts w:ascii="Times New Roman" w:hAnsi="Times New Roman" w:cs="Times New Roman"/>
          <w:sz w:val="28"/>
          <w:szCs w:val="28"/>
        </w:rPr>
        <w:t xml:space="preserve"> altul al anului se aplică valoarea mai mare a normei de pierdere a produselor petroliere. În cazul în care timpul de depozitare cade pe diferite perioade ale anului, calculul pierderilor se efectuează separat pentru fiecare perioadă</w:t>
      </w:r>
      <w:r>
        <w:rPr>
          <w:rFonts w:ascii="Times New Roman" w:hAnsi="Times New Roman" w:cs="Times New Roman"/>
          <w:sz w:val="28"/>
          <w:szCs w:val="28"/>
        </w:rPr>
        <w:t>.</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406762">
        <w:rPr>
          <w:rFonts w:ascii="Times New Roman" w:hAnsi="Times New Roman" w:cs="Times New Roman"/>
          <w:sz w:val="28"/>
          <w:szCs w:val="28"/>
        </w:rPr>
        <w:t>Anexa nr.4</w:t>
      </w:r>
    </w:p>
    <w:p w:rsidR="00406762" w:rsidRPr="00406762" w:rsidRDefault="00406762" w:rsidP="00406762">
      <w:pPr>
        <w:pStyle w:val="af"/>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239"/>
        <w:gridCol w:w="1793"/>
        <w:gridCol w:w="1804"/>
        <w:gridCol w:w="1800"/>
        <w:gridCol w:w="2164"/>
      </w:tblGrid>
      <w:tr w:rsidR="00406762" w:rsidRPr="00406762" w:rsidTr="00895DFB">
        <w:tc>
          <w:tcPr>
            <w:tcW w:w="2750" w:type="dxa"/>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p>
        </w:tc>
        <w:tc>
          <w:tcPr>
            <w:tcW w:w="10825" w:type="dxa"/>
            <w:gridSpan w:val="4"/>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NORME</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de pierderi a benzinelor auto la depozitarea în rezervoare pentru perioada mai mare de o lună*)</w:t>
            </w:r>
          </w:p>
          <w:p w:rsidR="00406762" w:rsidRPr="00406762" w:rsidRDefault="00406762" w:rsidP="00406762">
            <w:pPr>
              <w:pStyle w:val="af"/>
              <w:jc w:val="both"/>
              <w:rPr>
                <w:rFonts w:ascii="Times New Roman" w:hAnsi="Times New Roman" w:cs="Times New Roman"/>
                <w:sz w:val="28"/>
                <w:szCs w:val="28"/>
              </w:rPr>
            </w:pPr>
          </w:p>
        </w:tc>
      </w:tr>
      <w:tr w:rsidR="00406762" w:rsidRPr="00406762" w:rsidTr="00895DFB">
        <w:tc>
          <w:tcPr>
            <w:tcW w:w="2750" w:type="dxa"/>
            <w:vMerge w:val="restart"/>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Tipul rezervorului</w:t>
            </w:r>
          </w:p>
          <w:p w:rsidR="00406762" w:rsidRPr="00406762" w:rsidRDefault="00406762" w:rsidP="00406762">
            <w:pPr>
              <w:pStyle w:val="af"/>
              <w:jc w:val="both"/>
              <w:rPr>
                <w:rFonts w:ascii="Times New Roman" w:hAnsi="Times New Roman" w:cs="Times New Roman"/>
                <w:sz w:val="28"/>
                <w:szCs w:val="28"/>
              </w:rPr>
            </w:pPr>
          </w:p>
        </w:tc>
        <w:tc>
          <w:tcPr>
            <w:tcW w:w="10825" w:type="dxa"/>
            <w:gridSpan w:val="4"/>
            <w:tcBorders>
              <w:top w:val="single" w:sz="4" w:space="0" w:color="auto"/>
              <w:left w:val="single" w:sz="4" w:space="0" w:color="auto"/>
              <w:bottom w:val="single" w:sz="4" w:space="0" w:color="auto"/>
              <w:right w:val="single" w:sz="4" w:space="0" w:color="auto"/>
            </w:tcBorders>
            <w:hideMark/>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Volumul rezervorului, m3</w:t>
            </w:r>
          </w:p>
        </w:tc>
      </w:tr>
      <w:tr w:rsidR="00406762" w:rsidRPr="00406762" w:rsidTr="00895DFB">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p>
        </w:tc>
        <w:tc>
          <w:tcPr>
            <w:tcW w:w="5085" w:type="dxa"/>
            <w:gridSpan w:val="2"/>
            <w:tcBorders>
              <w:top w:val="single" w:sz="4" w:space="0" w:color="auto"/>
              <w:left w:val="single" w:sz="4" w:space="0" w:color="auto"/>
              <w:bottom w:val="single" w:sz="4" w:space="0" w:color="auto"/>
              <w:right w:val="single" w:sz="4" w:space="0" w:color="auto"/>
            </w:tcBorders>
            <w:hideMark/>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de la 3000 pînă la 5000</w:t>
            </w:r>
          </w:p>
        </w:tc>
        <w:tc>
          <w:tcPr>
            <w:tcW w:w="5740" w:type="dxa"/>
            <w:gridSpan w:val="2"/>
            <w:tcBorders>
              <w:top w:val="single" w:sz="4" w:space="0" w:color="auto"/>
              <w:left w:val="single" w:sz="4" w:space="0" w:color="auto"/>
              <w:bottom w:val="single" w:sz="4" w:space="0" w:color="auto"/>
              <w:right w:val="single" w:sz="4" w:space="0" w:color="auto"/>
            </w:tcBorders>
            <w:hideMark/>
          </w:tcPr>
          <w:p w:rsidR="00406762" w:rsidRPr="00406762" w:rsidRDefault="00406762" w:rsidP="003E0973">
            <w:pPr>
              <w:pStyle w:val="af"/>
              <w:jc w:val="center"/>
              <w:rPr>
                <w:rFonts w:ascii="Times New Roman" w:hAnsi="Times New Roman" w:cs="Times New Roman"/>
                <w:sz w:val="28"/>
                <w:szCs w:val="28"/>
              </w:rPr>
            </w:pPr>
            <w:r w:rsidRPr="00406762">
              <w:rPr>
                <w:rFonts w:ascii="Times New Roman" w:hAnsi="Times New Roman" w:cs="Times New Roman"/>
                <w:sz w:val="28"/>
                <w:szCs w:val="28"/>
              </w:rPr>
              <w:t>mai mult de 5000</w:t>
            </w:r>
          </w:p>
        </w:tc>
      </w:tr>
      <w:tr w:rsidR="00406762" w:rsidRPr="00406762" w:rsidTr="00895DFB">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p>
        </w:tc>
        <w:tc>
          <w:tcPr>
            <w:tcW w:w="10825" w:type="dxa"/>
            <w:gridSpan w:val="4"/>
            <w:tcBorders>
              <w:top w:val="single" w:sz="4" w:space="0" w:color="auto"/>
              <w:left w:val="single" w:sz="4" w:space="0" w:color="auto"/>
              <w:bottom w:val="single" w:sz="4" w:space="0" w:color="auto"/>
              <w:right w:val="single" w:sz="4" w:space="0" w:color="auto"/>
            </w:tcBorders>
            <w:hideMark/>
          </w:tcPr>
          <w:p w:rsidR="00406762" w:rsidRPr="003E0973" w:rsidRDefault="00406762" w:rsidP="003E0973">
            <w:pPr>
              <w:pStyle w:val="af"/>
              <w:jc w:val="center"/>
              <w:rPr>
                <w:rFonts w:ascii="Times New Roman" w:hAnsi="Times New Roman" w:cs="Times New Roman"/>
                <w:sz w:val="28"/>
                <w:szCs w:val="28"/>
                <w:lang w:val="en-US"/>
              </w:rPr>
            </w:pPr>
            <w:r w:rsidRPr="003E0973">
              <w:rPr>
                <w:rFonts w:ascii="Times New Roman" w:hAnsi="Times New Roman" w:cs="Times New Roman"/>
                <w:sz w:val="28"/>
                <w:szCs w:val="28"/>
                <w:lang w:val="en-US"/>
              </w:rPr>
              <w:t>norme de pierderi la depozitarea benzinelor auto kg/t</w:t>
            </w:r>
          </w:p>
        </w:tc>
      </w:tr>
      <w:tr w:rsidR="00406762" w:rsidRPr="00406762" w:rsidTr="00895DFB">
        <w:tc>
          <w:tcPr>
            <w:tcW w:w="0" w:type="auto"/>
            <w:vMerge/>
            <w:tcBorders>
              <w:top w:val="single" w:sz="4" w:space="0" w:color="auto"/>
              <w:left w:val="single" w:sz="4" w:space="0" w:color="auto"/>
              <w:bottom w:val="single" w:sz="4" w:space="0" w:color="auto"/>
              <w:right w:val="single" w:sz="4" w:space="0" w:color="auto"/>
            </w:tcBorders>
            <w:vAlign w:val="center"/>
            <w:hideMark/>
          </w:tcPr>
          <w:p w:rsidR="00406762" w:rsidRPr="003E0973" w:rsidRDefault="00406762" w:rsidP="00406762">
            <w:pPr>
              <w:pStyle w:val="af"/>
              <w:jc w:val="both"/>
              <w:rPr>
                <w:rFonts w:ascii="Times New Roman" w:hAnsi="Times New Roman" w:cs="Times New Roman"/>
                <w:sz w:val="28"/>
                <w:szCs w:val="28"/>
                <w:lang w:val="en-US"/>
              </w:rPr>
            </w:pPr>
          </w:p>
        </w:tc>
        <w:tc>
          <w:tcPr>
            <w:tcW w:w="2533"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iarna</w:t>
            </w:r>
          </w:p>
        </w:tc>
        <w:tc>
          <w:tcPr>
            <w:tcW w:w="2552"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vara</w:t>
            </w:r>
          </w:p>
        </w:tc>
        <w:tc>
          <w:tcPr>
            <w:tcW w:w="2546"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iarna</w:t>
            </w:r>
          </w:p>
        </w:tc>
        <w:tc>
          <w:tcPr>
            <w:tcW w:w="3194"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vara</w:t>
            </w:r>
          </w:p>
        </w:tc>
      </w:tr>
      <w:tr w:rsidR="00406762" w:rsidRPr="00406762" w:rsidTr="00895DFB">
        <w:tc>
          <w:tcPr>
            <w:tcW w:w="2750" w:type="dxa"/>
            <w:tcBorders>
              <w:top w:val="single" w:sz="4" w:space="0" w:color="auto"/>
              <w:left w:val="single" w:sz="4" w:space="0" w:color="auto"/>
              <w:bottom w:val="single" w:sz="4" w:space="0" w:color="auto"/>
              <w:right w:val="single" w:sz="4" w:space="0" w:color="auto"/>
            </w:tcBorders>
            <w:hideMark/>
          </w:tcPr>
          <w:p w:rsidR="00406762" w:rsidRPr="00406762" w:rsidRDefault="003E0973" w:rsidP="00406762">
            <w:pPr>
              <w:pStyle w:val="af"/>
              <w:jc w:val="both"/>
              <w:rPr>
                <w:rFonts w:ascii="Times New Roman" w:hAnsi="Times New Roman" w:cs="Times New Roman"/>
                <w:sz w:val="28"/>
                <w:szCs w:val="28"/>
              </w:rPr>
            </w:pPr>
            <w:r>
              <w:rPr>
                <w:rFonts w:ascii="Times New Roman" w:hAnsi="Times New Roman" w:cs="Times New Roman"/>
                <w:sz w:val="28"/>
                <w:szCs w:val="28"/>
              </w:rPr>
              <w:t>cilindric metalic suprateran</w:t>
            </w:r>
          </w:p>
        </w:tc>
        <w:tc>
          <w:tcPr>
            <w:tcW w:w="2533"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0,448</w:t>
            </w:r>
          </w:p>
        </w:tc>
        <w:tc>
          <w:tcPr>
            <w:tcW w:w="2546"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0,110</w:t>
            </w:r>
          </w:p>
        </w:tc>
        <w:tc>
          <w:tcPr>
            <w:tcW w:w="3194"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0,392</w:t>
            </w:r>
          </w:p>
        </w:tc>
      </w:tr>
      <w:tr w:rsidR="00406762" w:rsidRPr="00406762" w:rsidTr="00895DFB">
        <w:tc>
          <w:tcPr>
            <w:tcW w:w="2750" w:type="dxa"/>
            <w:tcBorders>
              <w:top w:val="single" w:sz="4" w:space="0" w:color="auto"/>
              <w:left w:val="single" w:sz="4" w:space="0" w:color="auto"/>
              <w:bottom w:val="single" w:sz="4" w:space="0" w:color="auto"/>
              <w:right w:val="single" w:sz="4" w:space="0" w:color="auto"/>
            </w:tcBorders>
            <w:hideMark/>
          </w:tcPr>
          <w:p w:rsidR="00406762" w:rsidRPr="003E0973" w:rsidRDefault="003E0973" w:rsidP="00406762">
            <w:pPr>
              <w:pStyle w:val="af"/>
              <w:jc w:val="both"/>
              <w:rPr>
                <w:rFonts w:ascii="Times New Roman" w:hAnsi="Times New Roman" w:cs="Times New Roman"/>
                <w:sz w:val="28"/>
                <w:szCs w:val="28"/>
                <w:lang w:val="en-US"/>
              </w:rPr>
            </w:pPr>
            <w:r w:rsidRPr="003E0973">
              <w:rPr>
                <w:rFonts w:ascii="Times New Roman" w:hAnsi="Times New Roman" w:cs="Times New Roman"/>
                <w:sz w:val="28"/>
                <w:szCs w:val="28"/>
                <w:lang w:val="en-US"/>
              </w:rPr>
              <w:t>cilindric metalic suprateran</w:t>
            </w:r>
            <w:r w:rsidR="00406762" w:rsidRPr="003E0973">
              <w:rPr>
                <w:rFonts w:ascii="Times New Roman" w:hAnsi="Times New Roman" w:cs="Times New Roman"/>
                <w:sz w:val="28"/>
                <w:szCs w:val="28"/>
                <w:lang w:val="en-US"/>
              </w:rPr>
              <w:t xml:space="preserve"> cu ponton</w:t>
            </w:r>
          </w:p>
        </w:tc>
        <w:tc>
          <w:tcPr>
            <w:tcW w:w="2533"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0,033</w:t>
            </w:r>
          </w:p>
        </w:tc>
        <w:tc>
          <w:tcPr>
            <w:tcW w:w="2552"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0,121</w:t>
            </w:r>
          </w:p>
        </w:tc>
        <w:tc>
          <w:tcPr>
            <w:tcW w:w="2546"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0,033</w:t>
            </w:r>
          </w:p>
        </w:tc>
        <w:tc>
          <w:tcPr>
            <w:tcW w:w="3194"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0,106</w:t>
            </w:r>
          </w:p>
        </w:tc>
      </w:tr>
    </w:tbl>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  Notă: </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 </w:t>
      </w:r>
      <w:r w:rsidR="003E0973">
        <w:rPr>
          <w:rFonts w:ascii="Times New Roman" w:hAnsi="Times New Roman" w:cs="Times New Roman"/>
          <w:sz w:val="28"/>
          <w:szCs w:val="28"/>
        </w:rPr>
        <w:t>Atunci cî</w:t>
      </w:r>
      <w:r w:rsidRPr="00406762">
        <w:rPr>
          <w:rFonts w:ascii="Times New Roman" w:hAnsi="Times New Roman" w:cs="Times New Roman"/>
          <w:sz w:val="28"/>
          <w:szCs w:val="28"/>
        </w:rPr>
        <w:t>nd rezervoarele sunt echipate cu sistem de captare a vaporilor de produse petroliere sau sistem de egalizare a nivelului din rezervoare (cu excepția pontoane</w:t>
      </w:r>
      <w:r w:rsidR="003E0973">
        <w:rPr>
          <w:rFonts w:ascii="Times New Roman" w:hAnsi="Times New Roman" w:cs="Times New Roman"/>
          <w:sz w:val="28"/>
          <w:szCs w:val="28"/>
        </w:rPr>
        <w:t>lor</w:t>
      </w:r>
      <w:r w:rsidRPr="00406762">
        <w:rPr>
          <w:rFonts w:ascii="Times New Roman" w:hAnsi="Times New Roman" w:cs="Times New Roman"/>
          <w:sz w:val="28"/>
          <w:szCs w:val="28"/>
        </w:rPr>
        <w:t xml:space="preserve">) normele de pierderi la depozitare </w:t>
      </w:r>
      <w:r w:rsidR="003E0973">
        <w:rPr>
          <w:rFonts w:ascii="Times New Roman" w:hAnsi="Times New Roman" w:cs="Times New Roman"/>
          <w:sz w:val="28"/>
          <w:szCs w:val="28"/>
        </w:rPr>
        <w:t>sunt reduse cu cantitatea de vapori captată, stabilită procentual și specificată</w:t>
      </w:r>
      <w:r w:rsidRPr="00406762">
        <w:rPr>
          <w:rFonts w:ascii="Times New Roman" w:hAnsi="Times New Roman" w:cs="Times New Roman"/>
          <w:sz w:val="28"/>
          <w:szCs w:val="28"/>
        </w:rPr>
        <w:t xml:space="preserve"> în fișa de date la sistemul de captare aplicat.</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2. Dacă temperatura produsului petrolier depozitat depășește 30 °C, indiferent de perioada anului, se aplică normele pentru perioada „vară” majorate de 1,5 ori.</w:t>
      </w:r>
    </w:p>
    <w:p w:rsidR="00406762"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3. În perioada </w:t>
      </w:r>
      <w:r w:rsidR="003E0973">
        <w:rPr>
          <w:rFonts w:ascii="Times New Roman" w:hAnsi="Times New Roman" w:cs="Times New Roman"/>
          <w:sz w:val="28"/>
          <w:szCs w:val="28"/>
        </w:rPr>
        <w:t>de tranziție de la un sezon la</w:t>
      </w:r>
      <w:r w:rsidRPr="00406762">
        <w:rPr>
          <w:rFonts w:ascii="Times New Roman" w:hAnsi="Times New Roman" w:cs="Times New Roman"/>
          <w:sz w:val="28"/>
          <w:szCs w:val="28"/>
        </w:rPr>
        <w:t xml:space="preserve"> altul al anului se aplică valoarea mai mare a normei de pierdere a produselor petroliere. În cazul în care timpul de depozitare cade pe diferite perioade ale anului, calculul pierderilor se efectuează separat pentru fiecare perioadă</w:t>
      </w: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406762">
        <w:rPr>
          <w:rFonts w:ascii="Times New Roman" w:hAnsi="Times New Roman" w:cs="Times New Roman"/>
          <w:sz w:val="28"/>
          <w:szCs w:val="28"/>
        </w:rPr>
        <w:t>Anexa nr.5</w:t>
      </w:r>
    </w:p>
    <w:p w:rsidR="00406762" w:rsidRPr="00406762" w:rsidRDefault="00406762" w:rsidP="00406762">
      <w:pPr>
        <w:pStyle w:val="af"/>
        <w:jc w:val="both"/>
        <w:rPr>
          <w:rFonts w:ascii="Times New Roman" w:hAnsi="Times New Roman" w:cs="Times New Roman"/>
          <w:sz w:val="28"/>
          <w:szCs w:val="28"/>
        </w:rPr>
      </w:pPr>
    </w:p>
    <w:tbl>
      <w:tblPr>
        <w:tblStyle w:val="ac"/>
        <w:tblW w:w="9893" w:type="dxa"/>
        <w:tblLook w:val="04A0" w:firstRow="1" w:lastRow="0" w:firstColumn="1" w:lastColumn="0" w:noHBand="0" w:noVBand="1"/>
      </w:tblPr>
      <w:tblGrid>
        <w:gridCol w:w="2105"/>
        <w:gridCol w:w="1690"/>
        <w:gridCol w:w="1700"/>
        <w:gridCol w:w="1726"/>
        <w:gridCol w:w="2672"/>
      </w:tblGrid>
      <w:tr w:rsidR="00406762" w:rsidRPr="00406762" w:rsidTr="00406762">
        <w:tc>
          <w:tcPr>
            <w:tcW w:w="2105" w:type="dxa"/>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p>
        </w:tc>
        <w:tc>
          <w:tcPr>
            <w:tcW w:w="7788" w:type="dxa"/>
            <w:gridSpan w:val="4"/>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NORME</w:t>
            </w:r>
          </w:p>
          <w:p w:rsidR="00406762" w:rsidRPr="00406762" w:rsidRDefault="00406762" w:rsidP="00406762">
            <w:pPr>
              <w:pStyle w:val="af"/>
              <w:jc w:val="center"/>
              <w:rPr>
                <w:rFonts w:ascii="Times New Roman" w:hAnsi="Times New Roman" w:cs="Times New Roman"/>
                <w:sz w:val="28"/>
                <w:szCs w:val="28"/>
              </w:rPr>
            </w:pPr>
            <w:r w:rsidRPr="00406762">
              <w:rPr>
                <w:rFonts w:ascii="Times New Roman" w:hAnsi="Times New Roman" w:cs="Times New Roman"/>
                <w:sz w:val="28"/>
                <w:szCs w:val="28"/>
              </w:rPr>
              <w:t>de pierderi a motorinei la depozitarea în rezervoare *)</w:t>
            </w:r>
          </w:p>
          <w:p w:rsidR="00406762" w:rsidRPr="00406762" w:rsidRDefault="00406762" w:rsidP="00406762">
            <w:pPr>
              <w:pStyle w:val="af"/>
              <w:jc w:val="both"/>
              <w:rPr>
                <w:rFonts w:ascii="Times New Roman" w:hAnsi="Times New Roman" w:cs="Times New Roman"/>
                <w:sz w:val="28"/>
                <w:szCs w:val="28"/>
              </w:rPr>
            </w:pPr>
          </w:p>
        </w:tc>
      </w:tr>
      <w:tr w:rsidR="00406762" w:rsidRPr="00406762" w:rsidTr="00406762">
        <w:trPr>
          <w:trHeight w:val="35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p>
        </w:tc>
        <w:tc>
          <w:tcPr>
            <w:tcW w:w="7788" w:type="dxa"/>
            <w:gridSpan w:val="4"/>
            <w:tcBorders>
              <w:top w:val="single" w:sz="4" w:space="0" w:color="auto"/>
              <w:left w:val="single" w:sz="4" w:space="0" w:color="auto"/>
              <w:bottom w:val="single" w:sz="4" w:space="0" w:color="auto"/>
              <w:right w:val="single" w:sz="4" w:space="0" w:color="auto"/>
            </w:tcBorders>
            <w:hideMark/>
          </w:tcPr>
          <w:p w:rsidR="00406762" w:rsidRPr="003E0973" w:rsidRDefault="00406762" w:rsidP="003E0973">
            <w:pPr>
              <w:pStyle w:val="af"/>
              <w:jc w:val="both"/>
              <w:rPr>
                <w:rFonts w:ascii="Times New Roman" w:hAnsi="Times New Roman" w:cs="Times New Roman"/>
                <w:sz w:val="28"/>
                <w:szCs w:val="28"/>
                <w:lang w:val="en-US"/>
              </w:rPr>
            </w:pPr>
            <w:r w:rsidRPr="003E0973">
              <w:rPr>
                <w:rFonts w:ascii="Times New Roman" w:hAnsi="Times New Roman" w:cs="Times New Roman"/>
                <w:sz w:val="28"/>
                <w:szCs w:val="28"/>
                <w:lang w:val="en-US"/>
              </w:rPr>
              <w:t xml:space="preserve"> norme de pierderi la depozitarea </w:t>
            </w:r>
            <w:r w:rsidR="003E0973">
              <w:rPr>
                <w:rFonts w:ascii="Times New Roman" w:hAnsi="Times New Roman" w:cs="Times New Roman"/>
                <w:sz w:val="28"/>
                <w:szCs w:val="28"/>
                <w:lang w:val="ro-RO"/>
              </w:rPr>
              <w:t>motorinei,</w:t>
            </w:r>
            <w:r w:rsidRPr="003E0973">
              <w:rPr>
                <w:rFonts w:ascii="Times New Roman" w:hAnsi="Times New Roman" w:cs="Times New Roman"/>
                <w:sz w:val="28"/>
                <w:szCs w:val="28"/>
                <w:lang w:val="en-US"/>
              </w:rPr>
              <w:t xml:space="preserve"> kg/t</w:t>
            </w:r>
          </w:p>
        </w:tc>
      </w:tr>
      <w:tr w:rsidR="00406762" w:rsidRPr="00406762" w:rsidTr="00406762">
        <w:tc>
          <w:tcPr>
            <w:tcW w:w="0" w:type="auto"/>
            <w:vMerge/>
            <w:tcBorders>
              <w:top w:val="single" w:sz="4" w:space="0" w:color="auto"/>
              <w:left w:val="single" w:sz="4" w:space="0" w:color="auto"/>
              <w:bottom w:val="single" w:sz="4" w:space="0" w:color="auto"/>
              <w:right w:val="single" w:sz="4" w:space="0" w:color="auto"/>
            </w:tcBorders>
            <w:vAlign w:val="center"/>
          </w:tcPr>
          <w:p w:rsidR="00406762" w:rsidRPr="003E0973" w:rsidRDefault="00406762" w:rsidP="00406762">
            <w:pPr>
              <w:pStyle w:val="af"/>
              <w:jc w:val="both"/>
              <w:rPr>
                <w:rFonts w:ascii="Times New Roman" w:hAnsi="Times New Roman" w:cs="Times New Roman"/>
                <w:sz w:val="28"/>
                <w:szCs w:val="28"/>
                <w:lang w:val="en-US"/>
              </w:rPr>
            </w:pPr>
          </w:p>
        </w:tc>
        <w:tc>
          <w:tcPr>
            <w:tcW w:w="1690"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iarna</w:t>
            </w:r>
          </w:p>
        </w:tc>
        <w:tc>
          <w:tcPr>
            <w:tcW w:w="1700"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p>
        </w:tc>
        <w:tc>
          <w:tcPr>
            <w:tcW w:w="2672" w:type="dxa"/>
            <w:tcBorders>
              <w:top w:val="single" w:sz="4" w:space="0" w:color="auto"/>
              <w:left w:val="single" w:sz="4" w:space="0" w:color="auto"/>
              <w:bottom w:val="single" w:sz="4" w:space="0" w:color="auto"/>
              <w:right w:val="single" w:sz="4" w:space="0" w:color="auto"/>
            </w:tcBorders>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vara</w:t>
            </w:r>
          </w:p>
        </w:tc>
      </w:tr>
      <w:tr w:rsidR="00406762" w:rsidRPr="00406762" w:rsidTr="00406762">
        <w:tc>
          <w:tcPr>
            <w:tcW w:w="2105" w:type="dxa"/>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în prima lună</w:t>
            </w:r>
          </w:p>
        </w:tc>
        <w:tc>
          <w:tcPr>
            <w:tcW w:w="1690"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0,043  </w:t>
            </w:r>
          </w:p>
        </w:tc>
        <w:tc>
          <w:tcPr>
            <w:tcW w:w="1700"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p>
        </w:tc>
        <w:tc>
          <w:tcPr>
            <w:tcW w:w="2672" w:type="dxa"/>
            <w:tcBorders>
              <w:top w:val="single" w:sz="4" w:space="0" w:color="auto"/>
              <w:left w:val="single" w:sz="4" w:space="0" w:color="auto"/>
              <w:bottom w:val="single" w:sz="4" w:space="0" w:color="auto"/>
              <w:right w:val="single" w:sz="4" w:space="0" w:color="auto"/>
            </w:tcBorders>
            <w:vAlign w:val="center"/>
            <w:hideMark/>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0,071  </w:t>
            </w:r>
          </w:p>
        </w:tc>
      </w:tr>
      <w:tr w:rsidR="00406762" w:rsidRPr="00406762" w:rsidTr="00406762">
        <w:tc>
          <w:tcPr>
            <w:tcW w:w="2105" w:type="dxa"/>
            <w:tcBorders>
              <w:top w:val="single" w:sz="4" w:space="0" w:color="auto"/>
              <w:left w:val="single" w:sz="4" w:space="0" w:color="auto"/>
              <w:bottom w:val="single" w:sz="4" w:space="0" w:color="auto"/>
              <w:right w:val="single" w:sz="4" w:space="0" w:color="auto"/>
            </w:tcBorders>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pentru perioada mai mare de o lună</w:t>
            </w:r>
          </w:p>
        </w:tc>
        <w:tc>
          <w:tcPr>
            <w:tcW w:w="1690"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0,005</w:t>
            </w:r>
          </w:p>
        </w:tc>
        <w:tc>
          <w:tcPr>
            <w:tcW w:w="1700"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p>
        </w:tc>
        <w:tc>
          <w:tcPr>
            <w:tcW w:w="2672" w:type="dxa"/>
            <w:tcBorders>
              <w:top w:val="single" w:sz="4" w:space="0" w:color="auto"/>
              <w:left w:val="single" w:sz="4" w:space="0" w:color="auto"/>
              <w:bottom w:val="single" w:sz="4" w:space="0" w:color="auto"/>
              <w:right w:val="single" w:sz="4" w:space="0" w:color="auto"/>
            </w:tcBorders>
            <w:vAlign w:val="center"/>
          </w:tcPr>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0,010  </w:t>
            </w:r>
          </w:p>
        </w:tc>
      </w:tr>
    </w:tbl>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p>
    <w:p w:rsidR="00406762" w:rsidRPr="00406762" w:rsidRDefault="00406762" w:rsidP="00406762">
      <w:pPr>
        <w:pStyle w:val="af"/>
        <w:jc w:val="both"/>
        <w:rPr>
          <w:rFonts w:ascii="Times New Roman" w:hAnsi="Times New Roman" w:cs="Times New Roman"/>
          <w:sz w:val="28"/>
          <w:szCs w:val="28"/>
        </w:rPr>
      </w:pPr>
      <w:r w:rsidRPr="00406762">
        <w:rPr>
          <w:rFonts w:ascii="Times New Roman" w:hAnsi="Times New Roman" w:cs="Times New Roman"/>
          <w:sz w:val="28"/>
          <w:szCs w:val="28"/>
        </w:rPr>
        <w:t xml:space="preserve">*)  Notă: </w:t>
      </w:r>
    </w:p>
    <w:p w:rsidR="00FD4C28" w:rsidRPr="00406762" w:rsidRDefault="00406762" w:rsidP="00406762">
      <w:pPr>
        <w:pStyle w:val="af"/>
        <w:ind w:firstLine="720"/>
        <w:jc w:val="both"/>
        <w:rPr>
          <w:rFonts w:ascii="Times New Roman" w:hAnsi="Times New Roman" w:cs="Times New Roman"/>
          <w:sz w:val="28"/>
          <w:szCs w:val="28"/>
        </w:rPr>
      </w:pPr>
      <w:r w:rsidRPr="00406762">
        <w:rPr>
          <w:rFonts w:ascii="Times New Roman" w:hAnsi="Times New Roman" w:cs="Times New Roman"/>
          <w:sz w:val="28"/>
          <w:szCs w:val="28"/>
        </w:rPr>
        <w:t xml:space="preserve">1. </w:t>
      </w:r>
      <w:r w:rsidR="003E0973">
        <w:rPr>
          <w:rFonts w:ascii="Times New Roman" w:hAnsi="Times New Roman" w:cs="Times New Roman"/>
          <w:sz w:val="28"/>
          <w:szCs w:val="28"/>
        </w:rPr>
        <w:t>Pierderile la depozi</w:t>
      </w:r>
      <w:r w:rsidRPr="00406762">
        <w:rPr>
          <w:rFonts w:ascii="Times New Roman" w:hAnsi="Times New Roman" w:cs="Times New Roman"/>
          <w:sz w:val="28"/>
          <w:szCs w:val="28"/>
        </w:rPr>
        <w:t>tare</w:t>
      </w:r>
      <w:r w:rsidR="003E0973">
        <w:rPr>
          <w:rFonts w:ascii="Times New Roman" w:hAnsi="Times New Roman" w:cs="Times New Roman"/>
          <w:sz w:val="28"/>
          <w:szCs w:val="28"/>
        </w:rPr>
        <w:t xml:space="preserve"> </w:t>
      </w:r>
      <w:r w:rsidRPr="00406762">
        <w:rPr>
          <w:rFonts w:ascii="Times New Roman" w:hAnsi="Times New Roman" w:cs="Times New Roman"/>
          <w:sz w:val="28"/>
          <w:szCs w:val="28"/>
        </w:rPr>
        <w:t>a motorinei se calculează prin înmulțirea respective</w:t>
      </w:r>
      <w:r w:rsidR="003E0973">
        <w:rPr>
          <w:rFonts w:ascii="Times New Roman" w:hAnsi="Times New Roman" w:cs="Times New Roman"/>
          <w:sz w:val="28"/>
          <w:szCs w:val="28"/>
        </w:rPr>
        <w:t>i norme la cantitatea primită pe parcursul lu</w:t>
      </w:r>
      <w:r w:rsidRPr="00406762">
        <w:rPr>
          <w:rFonts w:ascii="Times New Roman" w:hAnsi="Times New Roman" w:cs="Times New Roman"/>
          <w:sz w:val="28"/>
          <w:szCs w:val="28"/>
        </w:rPr>
        <w:t xml:space="preserve">nii curente a cantității de motorină în tone. </w:t>
      </w:r>
    </w:p>
    <w:p w:rsidR="00FD4C28" w:rsidRPr="00406762" w:rsidRDefault="00FD4C28" w:rsidP="00406762">
      <w:pPr>
        <w:pStyle w:val="af"/>
        <w:jc w:val="both"/>
        <w:rPr>
          <w:rFonts w:ascii="Times New Roman" w:hAnsi="Times New Roman" w:cs="Times New Roman"/>
          <w:sz w:val="28"/>
          <w:szCs w:val="28"/>
        </w:rPr>
      </w:pPr>
    </w:p>
    <w:p w:rsidR="00FD4C28" w:rsidRPr="00406762" w:rsidRDefault="00FD4C28" w:rsidP="00406762">
      <w:pPr>
        <w:pStyle w:val="af"/>
        <w:jc w:val="both"/>
        <w:rPr>
          <w:rFonts w:ascii="Times New Roman" w:hAnsi="Times New Roman" w:cs="Times New Roman"/>
          <w:sz w:val="28"/>
          <w:szCs w:val="28"/>
        </w:rPr>
      </w:pPr>
    </w:p>
    <w:p w:rsidR="00117583" w:rsidRPr="00406762" w:rsidRDefault="00117583" w:rsidP="00406762">
      <w:pPr>
        <w:pStyle w:val="af"/>
        <w:jc w:val="both"/>
        <w:rPr>
          <w:rFonts w:ascii="Times New Roman" w:hAnsi="Times New Roman" w:cs="Times New Roman"/>
          <w:sz w:val="28"/>
          <w:szCs w:val="28"/>
        </w:rPr>
      </w:pPr>
    </w:p>
    <w:p w:rsidR="00117583" w:rsidRPr="00406762" w:rsidRDefault="00117583" w:rsidP="00406762">
      <w:pPr>
        <w:pStyle w:val="af"/>
        <w:jc w:val="both"/>
        <w:rPr>
          <w:rFonts w:ascii="Times New Roman" w:hAnsi="Times New Roman" w:cs="Times New Roman"/>
          <w:sz w:val="28"/>
          <w:szCs w:val="28"/>
        </w:rPr>
      </w:pPr>
    </w:p>
    <w:p w:rsidR="00117583" w:rsidRPr="00406762" w:rsidRDefault="00117583" w:rsidP="00406762">
      <w:pPr>
        <w:pStyle w:val="af"/>
        <w:jc w:val="both"/>
        <w:rPr>
          <w:rFonts w:ascii="Times New Roman" w:hAnsi="Times New Roman" w:cs="Times New Roman"/>
          <w:sz w:val="28"/>
          <w:szCs w:val="28"/>
        </w:rPr>
      </w:pPr>
    </w:p>
    <w:p w:rsidR="00117583" w:rsidRPr="00406762" w:rsidRDefault="00117583" w:rsidP="00406762">
      <w:pPr>
        <w:pStyle w:val="af"/>
        <w:jc w:val="both"/>
        <w:rPr>
          <w:rFonts w:ascii="Times New Roman" w:hAnsi="Times New Roman" w:cs="Times New Roman"/>
          <w:sz w:val="28"/>
          <w:szCs w:val="28"/>
        </w:rPr>
      </w:pPr>
    </w:p>
    <w:sectPr w:rsidR="00117583" w:rsidRPr="00406762" w:rsidSect="00117583">
      <w:headerReference w:type="even" r:id="rId8"/>
      <w:headerReference w:type="default" r:id="rId9"/>
      <w:footerReference w:type="default" r:id="rId10"/>
      <w:headerReference w:type="first" r:id="rId11"/>
      <w:footerReference w:type="first" r:id="rId12"/>
      <w:pgSz w:w="12240" w:h="15840"/>
      <w:pgMar w:top="360" w:right="1440" w:bottom="0" w:left="990" w:header="720" w:footer="97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F1" w:rsidRDefault="00CE7BF1" w:rsidP="003550DA">
      <w:pPr>
        <w:spacing w:after="0" w:line="240" w:lineRule="auto"/>
      </w:pPr>
      <w:r>
        <w:separator/>
      </w:r>
    </w:p>
  </w:endnote>
  <w:endnote w:type="continuationSeparator" w:id="0">
    <w:p w:rsidR="00CE7BF1" w:rsidRDefault="00CE7BF1" w:rsidP="0035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41" w:rsidRPr="00B74F4F" w:rsidRDefault="00743041" w:rsidP="00743041">
    <w:pPr>
      <w:ind w:left="-450"/>
      <w:rPr>
        <w:lang w:val="ro-MD"/>
      </w:rPr>
    </w:pPr>
  </w:p>
  <w:p w:rsidR="00743041" w:rsidRDefault="0074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583" w:rsidRPr="00117583" w:rsidRDefault="00117583" w:rsidP="00117583">
    <w:pPr>
      <w:spacing w:after="0" w:line="240" w:lineRule="auto"/>
      <w:jc w:val="center"/>
      <w:rPr>
        <w:rFonts w:ascii="Calibri Light" w:hAnsi="Calibri Light" w:cs="Calibri Light"/>
        <w:sz w:val="18"/>
        <w:szCs w:val="18"/>
        <w:lang w:val="ro-MD"/>
      </w:rPr>
    </w:pPr>
    <w:r w:rsidRPr="00117583">
      <w:rPr>
        <w:rFonts w:ascii="Calibri Light" w:hAnsi="Calibri Light" w:cs="Calibri Light"/>
        <w:sz w:val="18"/>
        <w:szCs w:val="18"/>
        <w:lang w:val="ro-MD"/>
      </w:rPr>
      <w:t>Piaţa Marii Adunări Naţionale nr. 1, Chişinău, MD-2033, tel. +373-22-25-01-07, fax +373-22-23-40-64</w:t>
    </w:r>
  </w:p>
  <w:p w:rsidR="00117583" w:rsidRPr="00117583" w:rsidRDefault="00117583" w:rsidP="00117583">
    <w:pPr>
      <w:spacing w:after="0" w:line="240" w:lineRule="auto"/>
      <w:ind w:firstLine="1170"/>
      <w:jc w:val="center"/>
      <w:rPr>
        <w:rFonts w:ascii="Calibri Light" w:hAnsi="Calibri Light" w:cs="Calibri Light"/>
        <w:sz w:val="18"/>
        <w:szCs w:val="18"/>
        <w:lang w:val="ro-MD"/>
      </w:rPr>
    </w:pPr>
    <w:r w:rsidRPr="00117583">
      <w:rPr>
        <w:rFonts w:ascii="Calibri Light" w:hAnsi="Calibri Light" w:cs="Calibri Light"/>
        <w:sz w:val="18"/>
        <w:szCs w:val="18"/>
        <w:lang w:val="ro-MD"/>
      </w:rPr>
      <w:t xml:space="preserve">E-mail: </w:t>
    </w:r>
    <w:hyperlink r:id="rId1" w:history="1">
      <w:r w:rsidRPr="00117583">
        <w:rPr>
          <w:rFonts w:ascii="Calibri Light" w:hAnsi="Calibri Light" w:cs="Calibri Light"/>
          <w:color w:val="0000FF"/>
          <w:sz w:val="18"/>
          <w:szCs w:val="18"/>
          <w:u w:val="single"/>
          <w:lang w:val="ro-MD"/>
        </w:rPr>
        <w:t>mineconcom@mec.gov.md</w:t>
      </w:r>
    </w:hyperlink>
    <w:r w:rsidRPr="00117583">
      <w:rPr>
        <w:rFonts w:ascii="Calibri Light" w:hAnsi="Calibri Light" w:cs="Calibri Light"/>
        <w:color w:val="0000FF"/>
        <w:sz w:val="18"/>
        <w:szCs w:val="18"/>
        <w:u w:val="single"/>
        <w:lang w:val="ro-MD"/>
      </w:rPr>
      <w:t xml:space="preserve">  </w:t>
    </w:r>
    <w:r w:rsidRPr="00117583">
      <w:rPr>
        <w:rFonts w:ascii="Calibri Light" w:hAnsi="Calibri Light" w:cs="Calibri Light"/>
        <w:sz w:val="18"/>
        <w:szCs w:val="18"/>
        <w:lang w:val="ro-MD"/>
      </w:rPr>
      <w:t xml:space="preserve">Pagina web: </w:t>
    </w:r>
    <w:hyperlink r:id="rId2" w:history="1">
      <w:r w:rsidRPr="00117583">
        <w:rPr>
          <w:rFonts w:ascii="Calibri Light" w:hAnsi="Calibri Light" w:cs="Calibri Light"/>
          <w:color w:val="0000FF"/>
          <w:sz w:val="18"/>
          <w:szCs w:val="18"/>
          <w:u w:val="single"/>
          <w:lang w:val="ro-MD"/>
        </w:rPr>
        <w:t>www.mec.gov.md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F1" w:rsidRDefault="00CE7BF1" w:rsidP="003550DA">
      <w:pPr>
        <w:spacing w:after="0" w:line="240" w:lineRule="auto"/>
      </w:pPr>
      <w:r>
        <w:separator/>
      </w:r>
    </w:p>
  </w:footnote>
  <w:footnote w:type="continuationSeparator" w:id="0">
    <w:p w:rsidR="00CE7BF1" w:rsidRDefault="00CE7BF1" w:rsidP="00355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F5" w:rsidRDefault="006449F5">
    <w:pPr>
      <w:pStyle w:val="a6"/>
    </w:pPr>
  </w:p>
  <w:p w:rsidR="006449F5" w:rsidRDefault="006449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0DA" w:rsidRDefault="003550DA" w:rsidP="005F281E">
    <w:pPr>
      <w:pStyle w:val="a6"/>
      <w:jc w:val="center"/>
    </w:pPr>
  </w:p>
  <w:p w:rsidR="003550DA" w:rsidRDefault="003550DA" w:rsidP="005F281E">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96" w:rsidRDefault="00943C96" w:rsidP="00943C96">
    <w:pPr>
      <w:pStyle w:val="a6"/>
      <w:jc w:val="right"/>
      <w:rPr>
        <w:lang w:val="ro-MD"/>
      </w:rPr>
    </w:pPr>
    <w:r w:rsidRPr="00B74F4F">
      <w:rPr>
        <w:noProof/>
      </w:rPr>
      <w:drawing>
        <wp:anchor distT="0" distB="0" distL="114300" distR="114300" simplePos="0" relativeHeight="251669504" behindDoc="1" locked="0" layoutInCell="1" allowOverlap="1" wp14:anchorId="353DB0E9" wp14:editId="1AB89F5B">
          <wp:simplePos x="0" y="0"/>
          <wp:positionH relativeFrom="column">
            <wp:posOffset>428625</wp:posOffset>
          </wp:positionH>
          <wp:positionV relativeFrom="paragraph">
            <wp:posOffset>171450</wp:posOffset>
          </wp:positionV>
          <wp:extent cx="104775" cy="772795"/>
          <wp:effectExtent l="0" t="0" r="9525" b="825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3C96" w:rsidRDefault="00943C96">
    <w:pPr>
      <w:pStyle w:val="a6"/>
      <w:rPr>
        <w:lang w:val="ro-MD"/>
      </w:rPr>
    </w:pPr>
    <w:r w:rsidRPr="00943C96">
      <w:rPr>
        <w:noProof/>
      </w:rPr>
      <mc:AlternateContent>
        <mc:Choice Requires="wps">
          <w:drawing>
            <wp:anchor distT="45720" distB="45720" distL="114300" distR="114300" simplePos="0" relativeHeight="251667456" behindDoc="0" locked="0" layoutInCell="1" allowOverlap="1" wp14:anchorId="578F00B5" wp14:editId="241B00DD">
              <wp:simplePos x="0" y="0"/>
              <wp:positionH relativeFrom="column">
                <wp:posOffset>561975</wp:posOffset>
              </wp:positionH>
              <wp:positionV relativeFrom="paragraph">
                <wp:posOffset>48260</wp:posOffset>
              </wp:positionV>
              <wp:extent cx="2085975" cy="8286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28675"/>
                      </a:xfrm>
                      <a:prstGeom prst="rect">
                        <a:avLst/>
                      </a:prstGeom>
                      <a:noFill/>
                      <a:ln w="9525">
                        <a:noFill/>
                        <a:miter lim="800000"/>
                        <a:headEnd/>
                        <a:tailEnd/>
                      </a:ln>
                    </wps:spPr>
                    <wps:txbx>
                      <w:txbxContent>
                        <w:p w:rsidR="00943C96" w:rsidRPr="00FC611F" w:rsidRDefault="00117583" w:rsidP="00943C96">
                          <w:pPr>
                            <w:spacing w:line="240" w:lineRule="auto"/>
                            <w:contextualSpacing/>
                            <w:rPr>
                              <w:rFonts w:ascii="Calibri Light" w:hAnsi="Calibri Light" w:cs="Calibri Light"/>
                              <w:sz w:val="28"/>
                              <w:szCs w:val="28"/>
                              <w:lang w:val="ro-MD"/>
                            </w:rPr>
                          </w:pPr>
                          <w:r>
                            <w:rPr>
                              <w:rFonts w:ascii="Calibri Light" w:hAnsi="Calibri Light" w:cs="Calibri Light"/>
                              <w:sz w:val="28"/>
                              <w:szCs w:val="28"/>
                              <w:lang w:val="ro-MD"/>
                            </w:rPr>
                            <w:t>M</w:t>
                          </w:r>
                          <w:r w:rsidR="00943C96" w:rsidRPr="00FC611F">
                            <w:rPr>
                              <w:rFonts w:ascii="Calibri Light" w:hAnsi="Calibri Light" w:cs="Calibri Light"/>
                              <w:sz w:val="28"/>
                              <w:szCs w:val="28"/>
                              <w:lang w:val="ro-MD"/>
                            </w:rPr>
                            <w:t xml:space="preserve">inisterul Economiei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 xml:space="preserve">și Infrastructurii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al Republicii Moldova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F00B5" id="_x0000_t202" coordsize="21600,21600" o:spt="202" path="m,l,21600r21600,l21600,xe">
              <v:stroke joinstyle="miter"/>
              <v:path gradientshapeok="t" o:connecttype="rect"/>
            </v:shapetype>
            <v:shape id="Text Box 2" o:spid="_x0000_s1026" type="#_x0000_t202" style="position:absolute;margin-left:44.25pt;margin-top:3.8pt;width:164.25pt;height:6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" filled="f" stroked="f">
              <v:textbox>
                <w:txbxContent>
                  <w:p w:rsidR="00943C96" w:rsidRPr="00FC611F" w:rsidRDefault="00117583" w:rsidP="00943C96">
                    <w:pPr>
                      <w:spacing w:line="240" w:lineRule="auto"/>
                      <w:contextualSpacing/>
                      <w:rPr>
                        <w:rFonts w:ascii="Calibri Light" w:hAnsi="Calibri Light" w:cs="Calibri Light"/>
                        <w:sz w:val="28"/>
                        <w:szCs w:val="28"/>
                        <w:lang w:val="ro-MD"/>
                      </w:rPr>
                    </w:pPr>
                    <w:r>
                      <w:rPr>
                        <w:rFonts w:ascii="Calibri Light" w:hAnsi="Calibri Light" w:cs="Calibri Light"/>
                        <w:sz w:val="28"/>
                        <w:szCs w:val="28"/>
                        <w:lang w:val="ro-MD"/>
                      </w:rPr>
                      <w:t>M</w:t>
                    </w:r>
                    <w:r w:rsidR="00943C96" w:rsidRPr="00FC611F">
                      <w:rPr>
                        <w:rFonts w:ascii="Calibri Light" w:hAnsi="Calibri Light" w:cs="Calibri Light"/>
                        <w:sz w:val="28"/>
                        <w:szCs w:val="28"/>
                        <w:lang w:val="ro-MD"/>
                      </w:rPr>
                      <w:t xml:space="preserve">inisterul Economiei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 xml:space="preserve">și Infrastructurii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al Republicii Moldova</w:t>
                    </w:r>
                  </w:p>
                </w:txbxContent>
              </v:textbox>
              <w10:wrap type="square"/>
            </v:shape>
          </w:pict>
        </mc:Fallback>
      </mc:AlternateContent>
    </w:r>
    <w:r>
      <w:rPr>
        <w:noProof/>
      </w:rPr>
      <w:drawing>
        <wp:anchor distT="0" distB="0" distL="114300" distR="114300" simplePos="0" relativeHeight="251665408" behindDoc="0" locked="0" layoutInCell="1" allowOverlap="1" wp14:anchorId="3AFCE159" wp14:editId="125DDC9D">
          <wp:simplePos x="0" y="0"/>
          <wp:positionH relativeFrom="column">
            <wp:posOffset>0</wp:posOffset>
          </wp:positionH>
          <wp:positionV relativeFrom="paragraph">
            <wp:posOffset>-635</wp:posOffset>
          </wp:positionV>
          <wp:extent cx="431165" cy="542925"/>
          <wp:effectExtent l="0" t="0" r="6985" b="9525"/>
          <wp:wrapNone/>
          <wp:docPr id="197" name="Picture 197"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Mold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14:sizeRelH relativeFrom="page">
            <wp14:pctWidth>0</wp14:pctWidth>
          </wp14:sizeRelH>
          <wp14:sizeRelV relativeFrom="page">
            <wp14:pctHeight>0</wp14:pctHeight>
          </wp14:sizeRelV>
        </wp:anchor>
      </w:drawing>
    </w:r>
  </w:p>
  <w:p w:rsidR="00943C96" w:rsidRDefault="00943C96">
    <w:pPr>
      <w:pStyle w:val="a6"/>
      <w:rPr>
        <w:lang w:val="ro-MD"/>
      </w:rPr>
    </w:pPr>
  </w:p>
  <w:p w:rsidR="00943C96" w:rsidRDefault="00943C96">
    <w:pPr>
      <w:pStyle w:val="a6"/>
      <w:rPr>
        <w:lang w:val="ro-MD"/>
      </w:rPr>
    </w:pPr>
  </w:p>
  <w:p w:rsidR="00943C96" w:rsidRDefault="00943C96">
    <w:pPr>
      <w:pStyle w:val="a6"/>
      <w:rPr>
        <w:lang w:val="ro-MD"/>
      </w:rPr>
    </w:pPr>
  </w:p>
  <w:p w:rsidR="00117583" w:rsidRDefault="00117583" w:rsidP="00117583">
    <w:pPr>
      <w:tabs>
        <w:tab w:val="left" w:pos="5287"/>
      </w:tabs>
      <w:rPr>
        <w:sz w:val="28"/>
        <w:szCs w:val="28"/>
        <w:lang w:val="ro-MD"/>
      </w:rPr>
    </w:pPr>
  </w:p>
  <w:p w:rsidR="00117583" w:rsidRPr="00117583" w:rsidRDefault="00117583" w:rsidP="00117583">
    <w:pPr>
      <w:tabs>
        <w:tab w:val="left" w:pos="5287"/>
      </w:tabs>
      <w:rPr>
        <w:sz w:val="28"/>
        <w:szCs w:val="28"/>
        <w:lang w:val="ro-MD"/>
      </w:rPr>
    </w:pPr>
  </w:p>
  <w:p w:rsidR="00117583" w:rsidRPr="00117583" w:rsidRDefault="00117583" w:rsidP="00117583">
    <w:pPr>
      <w:ind w:left="-450"/>
      <w:jc w:val="center"/>
      <w:rPr>
        <w:rFonts w:cs="Calibri"/>
        <w:sz w:val="28"/>
        <w:szCs w:val="28"/>
        <w:lang w:val="ro-MD"/>
      </w:rPr>
    </w:pPr>
    <w:r w:rsidRPr="00117583">
      <w:rPr>
        <w:rFonts w:cs="Calibri"/>
        <w:sz w:val="28"/>
        <w:szCs w:val="28"/>
        <w:lang w:val="ro-MD"/>
      </w:rPr>
      <w:t>ORDIN</w:t>
    </w:r>
  </w:p>
  <w:p w:rsidR="00117583" w:rsidRPr="00117583" w:rsidRDefault="00117583" w:rsidP="00117583">
    <w:pPr>
      <w:ind w:left="-450"/>
      <w:jc w:val="center"/>
      <w:rPr>
        <w:rFonts w:cs="Calibri"/>
        <w:sz w:val="28"/>
        <w:szCs w:val="28"/>
        <w:lang w:val="ro-MD"/>
      </w:rPr>
    </w:pPr>
    <w:r w:rsidRPr="00117583">
      <w:rPr>
        <w:rFonts w:cs="Calibri"/>
        <w:sz w:val="28"/>
        <w:szCs w:val="28"/>
        <w:lang w:val="ro-MD"/>
      </w:rPr>
      <w:t>Nr._____________  din  “___” _______________2017</w:t>
    </w:r>
  </w:p>
  <w:p w:rsidR="00943C96" w:rsidRPr="00117583" w:rsidRDefault="00117583" w:rsidP="00117583">
    <w:pPr>
      <w:ind w:left="-450"/>
      <w:jc w:val="center"/>
      <w:rPr>
        <w:rFonts w:cs="Calibri"/>
        <w:sz w:val="28"/>
        <w:szCs w:val="28"/>
        <w:lang w:val="ro-MD"/>
      </w:rPr>
    </w:pPr>
    <w:r w:rsidRPr="00117583">
      <w:rPr>
        <w:rFonts w:cs="Calibri"/>
        <w:sz w:val="28"/>
        <w:szCs w:val="28"/>
        <w:lang w:val="ro-MD"/>
      </w:rPr>
      <w:t>mun. Chişinău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560B9"/>
    <w:multiLevelType w:val="hybridMultilevel"/>
    <w:tmpl w:val="8C9E17BC"/>
    <w:lvl w:ilvl="0" w:tplc="7624C85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5A51"/>
    <w:rsid w:val="000428D0"/>
    <w:rsid w:val="000B6B9D"/>
    <w:rsid w:val="000C3B4A"/>
    <w:rsid w:val="000E1673"/>
    <w:rsid w:val="00117583"/>
    <w:rsid w:val="001D4823"/>
    <w:rsid w:val="00266BF7"/>
    <w:rsid w:val="00281C5E"/>
    <w:rsid w:val="002E6415"/>
    <w:rsid w:val="002F09BE"/>
    <w:rsid w:val="00307792"/>
    <w:rsid w:val="003550DA"/>
    <w:rsid w:val="00366998"/>
    <w:rsid w:val="003D6AC9"/>
    <w:rsid w:val="003E0973"/>
    <w:rsid w:val="00406762"/>
    <w:rsid w:val="0056046C"/>
    <w:rsid w:val="0057618E"/>
    <w:rsid w:val="005F281E"/>
    <w:rsid w:val="005F4F84"/>
    <w:rsid w:val="006449F5"/>
    <w:rsid w:val="00690AC2"/>
    <w:rsid w:val="00743041"/>
    <w:rsid w:val="008433B7"/>
    <w:rsid w:val="008953C3"/>
    <w:rsid w:val="00896B63"/>
    <w:rsid w:val="008E53A2"/>
    <w:rsid w:val="00943C96"/>
    <w:rsid w:val="009557E6"/>
    <w:rsid w:val="00A10F1B"/>
    <w:rsid w:val="00A84995"/>
    <w:rsid w:val="00AA0259"/>
    <w:rsid w:val="00AF1F20"/>
    <w:rsid w:val="00B74F4F"/>
    <w:rsid w:val="00BF20DB"/>
    <w:rsid w:val="00C302EF"/>
    <w:rsid w:val="00C71ECE"/>
    <w:rsid w:val="00CE2B59"/>
    <w:rsid w:val="00CE7BF1"/>
    <w:rsid w:val="00D22AE7"/>
    <w:rsid w:val="00D3501B"/>
    <w:rsid w:val="00D8243C"/>
    <w:rsid w:val="00ED6195"/>
    <w:rsid w:val="00F07C7A"/>
    <w:rsid w:val="00F57E36"/>
    <w:rsid w:val="00F930D5"/>
    <w:rsid w:val="00FD4C28"/>
    <w:rsid w:val="00FD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6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1673"/>
    <w:rPr>
      <w:rFonts w:ascii="Segoe UI" w:hAnsi="Segoe UI" w:cs="Segoe UI"/>
      <w:sz w:val="18"/>
      <w:szCs w:val="18"/>
    </w:rPr>
  </w:style>
  <w:style w:type="character" w:styleId="a5">
    <w:name w:val="Hyperlink"/>
    <w:rsid w:val="00FD4C28"/>
    <w:rPr>
      <w:color w:val="0000FF"/>
      <w:u w:val="single"/>
    </w:rPr>
  </w:style>
  <w:style w:type="paragraph" w:styleId="a6">
    <w:name w:val="header"/>
    <w:basedOn w:val="a"/>
    <w:link w:val="a7"/>
    <w:uiPriority w:val="99"/>
    <w:unhideWhenUsed/>
    <w:rsid w:val="003550DA"/>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550DA"/>
  </w:style>
  <w:style w:type="paragraph" w:styleId="a8">
    <w:name w:val="footer"/>
    <w:basedOn w:val="a"/>
    <w:link w:val="a9"/>
    <w:uiPriority w:val="99"/>
    <w:unhideWhenUsed/>
    <w:rsid w:val="003550DA"/>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550DA"/>
  </w:style>
  <w:style w:type="character" w:styleId="aa">
    <w:name w:val="Emphasis"/>
    <w:basedOn w:val="a0"/>
    <w:qFormat/>
    <w:rsid w:val="00406762"/>
    <w:rPr>
      <w:rFonts w:cs="Times New Roman"/>
      <w:i/>
      <w:iCs/>
    </w:rPr>
  </w:style>
  <w:style w:type="paragraph" w:styleId="ab">
    <w:name w:val="Normal (Web)"/>
    <w:basedOn w:val="a"/>
    <w:uiPriority w:val="99"/>
    <w:unhideWhenUsed/>
    <w:rsid w:val="00406762"/>
    <w:pPr>
      <w:spacing w:after="0" w:line="240" w:lineRule="auto"/>
      <w:ind w:firstLine="567"/>
      <w:jc w:val="both"/>
    </w:pPr>
    <w:rPr>
      <w:rFonts w:ascii="Times New Roman" w:eastAsiaTheme="minorEastAsia" w:hAnsi="Times New Roman" w:cs="Times New Roman"/>
      <w:sz w:val="24"/>
      <w:szCs w:val="24"/>
    </w:rPr>
  </w:style>
  <w:style w:type="paragraph" w:customStyle="1" w:styleId="cb">
    <w:name w:val="cb"/>
    <w:basedOn w:val="a"/>
    <w:uiPriority w:val="99"/>
    <w:rsid w:val="00406762"/>
    <w:pPr>
      <w:spacing w:after="0" w:line="240" w:lineRule="auto"/>
      <w:jc w:val="center"/>
    </w:pPr>
    <w:rPr>
      <w:rFonts w:ascii="Times New Roman" w:eastAsiaTheme="minorEastAsia" w:hAnsi="Times New Roman" w:cs="Times New Roman"/>
      <w:b/>
      <w:bCs/>
      <w:sz w:val="24"/>
      <w:szCs w:val="24"/>
    </w:rPr>
  </w:style>
  <w:style w:type="paragraph" w:customStyle="1" w:styleId="rg">
    <w:name w:val="rg"/>
    <w:basedOn w:val="a"/>
    <w:uiPriority w:val="99"/>
    <w:rsid w:val="00406762"/>
    <w:pPr>
      <w:spacing w:after="0" w:line="240" w:lineRule="auto"/>
      <w:jc w:val="right"/>
    </w:pPr>
    <w:rPr>
      <w:rFonts w:ascii="Times New Roman" w:eastAsiaTheme="minorEastAsia" w:hAnsi="Times New Roman" w:cs="Times New Roman"/>
      <w:sz w:val="24"/>
      <w:szCs w:val="24"/>
    </w:rPr>
  </w:style>
  <w:style w:type="paragraph" w:styleId="HTML">
    <w:name w:val="HTML Preformatted"/>
    <w:basedOn w:val="a"/>
    <w:link w:val="HTML0"/>
    <w:uiPriority w:val="99"/>
    <w:unhideWhenUsed/>
    <w:rsid w:val="0040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06762"/>
    <w:rPr>
      <w:rFonts w:ascii="Courier New" w:eastAsia="Times New Roman" w:hAnsi="Courier New" w:cs="Courier New"/>
      <w:sz w:val="20"/>
      <w:szCs w:val="20"/>
      <w:lang w:val="ru-RU" w:eastAsia="ru-RU"/>
    </w:rPr>
  </w:style>
  <w:style w:type="table" w:styleId="ac">
    <w:name w:val="Table Grid"/>
    <w:basedOn w:val="a1"/>
    <w:uiPriority w:val="59"/>
    <w:rsid w:val="0040676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406762"/>
    <w:pPr>
      <w:spacing w:after="0" w:line="240" w:lineRule="auto"/>
    </w:pPr>
    <w:rPr>
      <w:rFonts w:ascii="Times New Roman" w:eastAsia="Times New Roman" w:hAnsi="Times New Roman" w:cs="Times New Roman"/>
      <w:sz w:val="28"/>
      <w:szCs w:val="28"/>
      <w:lang w:val="ru-RU" w:eastAsia="ru-RU"/>
    </w:rPr>
  </w:style>
  <w:style w:type="character" w:customStyle="1" w:styleId="ae">
    <w:name w:val="Основной текст Знак"/>
    <w:basedOn w:val="a0"/>
    <w:link w:val="ad"/>
    <w:rsid w:val="00406762"/>
    <w:rPr>
      <w:rFonts w:ascii="Times New Roman" w:eastAsia="Times New Roman" w:hAnsi="Times New Roman" w:cs="Times New Roman"/>
      <w:sz w:val="28"/>
      <w:szCs w:val="28"/>
      <w:lang w:val="ru-RU" w:eastAsia="ru-RU"/>
    </w:rPr>
  </w:style>
  <w:style w:type="paragraph" w:styleId="af">
    <w:name w:val="No Spacing"/>
    <w:uiPriority w:val="1"/>
    <w:qFormat/>
    <w:rsid w:val="00406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ec.gov.md" TargetMode="External"/><Relationship Id="rId1" Type="http://schemas.openxmlformats.org/officeDocument/2006/relationships/hyperlink" Target="mailto:mineconcom@mec.gov.m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E0C3-663A-4909-A02B-771EA08F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2097</Words>
  <Characters>11954</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cp:lastModifiedBy>
  <cp:revision>14</cp:revision>
  <cp:lastPrinted>2017-08-01T05:46:00Z</cp:lastPrinted>
  <dcterms:created xsi:type="dcterms:W3CDTF">2017-08-04T06:58:00Z</dcterms:created>
  <dcterms:modified xsi:type="dcterms:W3CDTF">2017-08-04T08:12:00Z</dcterms:modified>
</cp:coreProperties>
</file>