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0D" w:rsidRPr="00321970" w:rsidRDefault="009F430D" w:rsidP="009F43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  <w:r w:rsidRPr="00321970">
        <w:rPr>
          <w:rFonts w:ascii="Times New Roman" w:eastAsia="Times New Roman" w:hAnsi="Times New Roman"/>
          <w:b/>
          <w:bCs/>
          <w:sz w:val="26"/>
          <w:szCs w:val="26"/>
          <w:lang w:val="ro-MO"/>
        </w:rPr>
        <w:t>L E G E</w:t>
      </w:r>
    </w:p>
    <w:p w:rsidR="009F430D" w:rsidRPr="00321970" w:rsidRDefault="009F430D" w:rsidP="009F43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</w:p>
    <w:p w:rsidR="009F430D" w:rsidRPr="00321970" w:rsidRDefault="009F430D" w:rsidP="009F43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/>
        </w:rPr>
      </w:pPr>
      <w:r w:rsidRPr="00321970">
        <w:rPr>
          <w:rFonts w:ascii="Times New Roman" w:eastAsia="Times New Roman" w:hAnsi="Times New Roman"/>
          <w:b/>
          <w:bCs/>
          <w:sz w:val="26"/>
          <w:szCs w:val="26"/>
          <w:lang w:val="ro-MO"/>
        </w:rPr>
        <w:t>pentru modificarea și completarea unor acte legislative</w:t>
      </w:r>
    </w:p>
    <w:p w:rsidR="009F430D" w:rsidRPr="00321970" w:rsidRDefault="009F430D" w:rsidP="009F430D">
      <w:pPr>
        <w:spacing w:after="0" w:line="276" w:lineRule="auto"/>
        <w:ind w:firstLine="900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spacing w:after="0" w:line="276" w:lineRule="auto"/>
        <w:rPr>
          <w:rFonts w:ascii="Times New Roman" w:hAnsi="Times New Roman"/>
          <w:sz w:val="26"/>
          <w:szCs w:val="26"/>
          <w:lang w:val="ro-MO"/>
        </w:rPr>
      </w:pPr>
      <w:r w:rsidRPr="00321970">
        <w:rPr>
          <w:rFonts w:ascii="Times New Roman" w:hAnsi="Times New Roman"/>
          <w:sz w:val="26"/>
          <w:szCs w:val="26"/>
          <w:lang w:val="ro-MO"/>
        </w:rPr>
        <w:t>Parlamentul adoptă prezenta lege organică</w:t>
      </w:r>
    </w:p>
    <w:p w:rsidR="009F430D" w:rsidRPr="00321970" w:rsidRDefault="009F430D" w:rsidP="009F430D">
      <w:pPr>
        <w:spacing w:after="0" w:line="276" w:lineRule="auto"/>
        <w:rPr>
          <w:rFonts w:ascii="Times New Roman" w:hAnsi="Times New Roman"/>
          <w:sz w:val="26"/>
          <w:szCs w:val="26"/>
          <w:lang w:val="ro-MO"/>
        </w:rPr>
      </w:pPr>
    </w:p>
    <w:p w:rsidR="009F430D" w:rsidRPr="00321970" w:rsidRDefault="009F430D" w:rsidP="009F430D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Art. I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– La articolul 2 alineatul (1) al Legii nr. 146/1994 </w:t>
      </w:r>
      <w:r w:rsidRPr="00321970">
        <w:rPr>
          <w:rFonts w:ascii="Times New Roman" w:eastAsia="Times New Roman" w:hAnsi="Times New Roman"/>
          <w:bCs/>
          <w:color w:val="000000"/>
          <w:sz w:val="26"/>
          <w:szCs w:val="26"/>
          <w:lang w:val="ro-MO" w:eastAsia="ro-RO"/>
        </w:rPr>
        <w:t xml:space="preserve">cu privire la întreprinderea de stat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(Monitorul Oficial al Republicii Moldova, 1994, nr.2, art.9), cu modificările şi completările ulterioare, cuvintele „organului central de specialitate sau a unei alte autorităţi administrative” se substituie cu cuvintele „Agenției Proprietății Publice”, iar cuvintele „autoritatea specificată în 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hotărîrea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Guvernului” se substituie cu cuvintele „Agenția Proprietății Publice”.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Art. II -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Legea nr. 121/2007  privind administrarea şi 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deetatizarea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proprietății publice (Monitorul Oficial al Republicii Moldova, 2007, nr. 90-93, art. 401) cu modificările şi completările ulterioare,  se modifică după cum urmează: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hAnsi="Times New Roman"/>
          <w:sz w:val="26"/>
          <w:szCs w:val="26"/>
          <w:lang w:val="ro-MO"/>
        </w:rPr>
        <w:t>1.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La articolul 3 alineatul (1):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a) litera a) la final se completează cu textul „prin gestiunea bunurilor domeniului privat al statului ca răspuns la alternanța ciclurilor economiei naționale și gestiunea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bunurilor domeniului public al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statului din perspectiva necesităților de oferire a serviciilor publice.”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b) litera c) se completează la final cu  textul „prin creșterea prezenței statului în industriile strategice (de rețea) necesare în vederea facilitării dezvoltării investițiilor private”.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2. La articolul 6 alineatul (1):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a)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la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litera a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1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) cuvintele „întreprinderilor de stat și a” se exclud;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b) se completează cu lit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era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a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2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) cu următorul cuprins: „adoptarea 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hotărîrilor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privind trecerea întreprinderilor de stat din administrarea unei autorităţi a administraţiei publice centrale în administrarea Agenției Proprietății Publice”;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c) la litera e) cuvintele „autorităților administraţiei publice centrale” se substituie cu sintagma  „ Agenției Proprietății Publice”.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3. La articolul 7: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a) alineatul (1)  se completează în final cu textul „și asigură dezvoltarea economică a ramurilor economiei naţionale, inclusiv prin atragerea de investiţii şi prin creșterea competitivității producţiei, lucrărilor şi serviciilor”.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b) la alineatul (3) litera a) cuvintele „coordonarea activităţii legate de delimitarea” se substituie cu cuvintele „asigurarea procesului de delimitare a”; 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c) alineatul (3) după litera h) se completează cu litere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>le h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1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>-h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3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, 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avînd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următorul cuprins: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„h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1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)</w:t>
      </w:r>
      <w:r w:rsidRPr="00321970">
        <w:rPr>
          <w:rFonts w:ascii="Times New Roman" w:eastAsia="Times New Roman" w:hAnsi="Times New Roman"/>
          <w:color w:val="FF0000"/>
          <w:sz w:val="26"/>
          <w:szCs w:val="26"/>
          <w:lang w:val="ro-MO" w:eastAsia="ro-RO"/>
        </w:rPr>
        <w:t xml:space="preserve">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asigurarea, în temeiul unei 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hotărîri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de Guvern, a fondării, restructurării, reorganizării sau lichidării întreprinderilor de stat,  a societăților comerciale cu capital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lastRenderedPageBreak/>
        <w:t>integral sau parţial de stat în limitele legii şi exercitarea funcțiilor de fondator (</w:t>
      </w:r>
      <w:proofErr w:type="spellStart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cofondator</w:t>
      </w:r>
      <w:proofErr w:type="spellEnd"/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) în administrarea acestora;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color w:val="FF0000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h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2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)</w:t>
      </w:r>
      <w:r w:rsidRPr="00321970">
        <w:rPr>
          <w:rFonts w:ascii="Times New Roman" w:eastAsia="Times New Roman" w:hAnsi="Times New Roman"/>
          <w:color w:val="FF0000"/>
          <w:sz w:val="26"/>
          <w:szCs w:val="26"/>
          <w:lang w:val="ro-MO" w:eastAsia="ro-RO"/>
        </w:rPr>
        <w:t xml:space="preserve">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exercitarea controlului asupra integrității şi folosirii eficiente a patrimoniului de stat, inclusiv coordonarea înstrăinării, gajării şi casării activelor, precum şi asupra corectitudinii calculării şi transferării la timp a dividendelor provenite din acţiunile (cotele sociale) ale statului şi a unei părţi din profitul net al întreprinderilor de stat;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color w:val="FF0000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h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3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)</w:t>
      </w:r>
      <w:r w:rsidRPr="00321970">
        <w:rPr>
          <w:rFonts w:ascii="Times New Roman" w:eastAsia="Times New Roman" w:hAnsi="Times New Roman"/>
          <w:color w:val="FF0000"/>
          <w:sz w:val="26"/>
          <w:szCs w:val="26"/>
          <w:lang w:val="ro-MO" w:eastAsia="ro-RO"/>
        </w:rPr>
        <w:t xml:space="preserve">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administrarea terenurilor proprietate publică a statului aferente bunurilor imobile proprietate de stat din gestiune, inclusiv darea lor în locaţiune/arendă;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d) la alineatul (4) litera b) sintagma „examinarea” se substituie cu sintagma „elaborarea”;</w:t>
      </w:r>
    </w:p>
    <w:p w:rsidR="009F430D" w:rsidRPr="00321970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e) alineatul (4) se completează cu litera b</w:t>
      </w:r>
      <w:r w:rsidRPr="00321970">
        <w:rPr>
          <w:rFonts w:ascii="Times New Roman" w:eastAsia="Times New Roman" w:hAnsi="Times New Roman"/>
          <w:sz w:val="26"/>
          <w:szCs w:val="26"/>
          <w:vertAlign w:val="superscript"/>
          <w:lang w:val="ro-MO" w:eastAsia="ro-RO"/>
        </w:rPr>
        <w:t>1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) cu următorul cuprins „elaborarea caietelor de sarcini”;</w:t>
      </w: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4. Articolul 8 se abrogă.</w:t>
      </w:r>
    </w:p>
    <w:p w:rsidR="009F430D" w:rsidRPr="00321970" w:rsidRDefault="009F430D" w:rsidP="009F430D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321970"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Art. I</w:t>
      </w:r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II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– La articolul 2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>6 alineatul (2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>al Legii nr. 98/2012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privind administraţia publică centrală de specialitate 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>(Monitorul Oficial al Republicii Mol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>dova, 2012, nr.160-164, art.537</w:t>
      </w:r>
      <w:r w:rsidRPr="00321970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), cu modificările şi completările ulterioare,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litera l se abrogă. </w:t>
      </w:r>
    </w:p>
    <w:p w:rsidR="009F430D" w:rsidRPr="008B64EC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b/>
          <w:sz w:val="26"/>
          <w:szCs w:val="26"/>
          <w:lang w:val="ro-MO"/>
        </w:rPr>
      </w:pPr>
      <w:proofErr w:type="spellStart"/>
      <w:r w:rsidRPr="008B64EC">
        <w:rPr>
          <w:rFonts w:ascii="Times New Roman" w:hAnsi="Times New Roman"/>
          <w:b/>
          <w:sz w:val="26"/>
          <w:szCs w:val="26"/>
          <w:lang w:val="ro-MO"/>
        </w:rPr>
        <w:t>Art.</w:t>
      </w:r>
      <w:r>
        <w:rPr>
          <w:rFonts w:ascii="Times New Roman" w:hAnsi="Times New Roman"/>
          <w:b/>
          <w:sz w:val="26"/>
          <w:szCs w:val="26"/>
          <w:lang w:val="ro-MO"/>
        </w:rPr>
        <w:t>IV</w:t>
      </w:r>
      <w:proofErr w:type="spellEnd"/>
      <w:r w:rsidRPr="008B64EC">
        <w:rPr>
          <w:rFonts w:ascii="Times New Roman" w:hAnsi="Times New Roman"/>
          <w:sz w:val="26"/>
          <w:szCs w:val="26"/>
          <w:lang w:val="ro-MO"/>
        </w:rPr>
        <w:t xml:space="preserve">  - </w:t>
      </w:r>
      <w:r w:rsidRPr="008B64EC">
        <w:rPr>
          <w:rFonts w:ascii="Times New Roman" w:hAnsi="Times New Roman"/>
          <w:b/>
          <w:sz w:val="26"/>
          <w:szCs w:val="26"/>
          <w:lang w:val="ro-MO"/>
        </w:rPr>
        <w:t xml:space="preserve">Dispoziţii finale şi tranzitorii  </w:t>
      </w:r>
    </w:p>
    <w:p w:rsidR="009F430D" w:rsidRPr="00B345F8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  <w:r w:rsidRPr="00B345F8">
        <w:rPr>
          <w:rFonts w:ascii="Times New Roman" w:hAnsi="Times New Roman"/>
          <w:sz w:val="26"/>
          <w:szCs w:val="26"/>
          <w:lang w:val="ro-MO"/>
        </w:rPr>
        <w:t>(1</w:t>
      </w:r>
      <w:r>
        <w:rPr>
          <w:rFonts w:ascii="Times New Roman" w:hAnsi="Times New Roman"/>
          <w:sz w:val="26"/>
          <w:szCs w:val="26"/>
          <w:lang w:val="ro-MO"/>
        </w:rPr>
        <w:t>)</w:t>
      </w:r>
      <w:r w:rsidRPr="00B345F8">
        <w:rPr>
          <w:rFonts w:ascii="Times New Roman" w:hAnsi="Times New Roman"/>
          <w:sz w:val="26"/>
          <w:szCs w:val="26"/>
          <w:lang w:val="ro-MO"/>
        </w:rPr>
        <w:t xml:space="preserve"> Din data intrării în vigoare a prezentei legi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>se interzice înființarea de întreprinderi de stat.</w:t>
      </w:r>
    </w:p>
    <w:p w:rsidR="009F430D" w:rsidRPr="00B345F8" w:rsidRDefault="009F430D" w:rsidP="009F430D">
      <w:pPr>
        <w:pStyle w:val="Listparagraf"/>
        <w:spacing w:after="0" w:line="276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(2) Guvernul,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în termen de 18 luni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din </w:t>
      </w:r>
      <w:r w:rsidRPr="00B345F8">
        <w:rPr>
          <w:rFonts w:ascii="Times New Roman" w:hAnsi="Times New Roman"/>
          <w:sz w:val="26"/>
          <w:szCs w:val="26"/>
          <w:lang w:val="ro-MO"/>
        </w:rPr>
        <w:t>intrării în vigoare a prezentei legi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,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va asigura reorganizarea întreprinderilor de stat </w:t>
      </w:r>
      <w:r w:rsidRPr="00B345F8">
        <w:rPr>
          <w:rFonts w:ascii="Times New Roman" w:eastAsia="Times New Roman" w:hAnsi="Times New Roman"/>
          <w:color w:val="000000"/>
          <w:sz w:val="26"/>
          <w:szCs w:val="26"/>
          <w:lang w:val="ro-MO" w:eastAsia="ro-RO"/>
        </w:rPr>
        <w:t xml:space="preserve">fondate de ministere, alte autorități administrative centrale din subordinea Guvernului, </w:t>
      </w:r>
      <w:r w:rsidRPr="00B345F8">
        <w:rPr>
          <w:rFonts w:ascii="Times New Roman" w:hAnsi="Times New Roman"/>
          <w:sz w:val="26"/>
          <w:szCs w:val="26"/>
          <w:lang w:val="ro-MO"/>
        </w:rPr>
        <w:t xml:space="preserve">autorităţile administrative din subordinea ministerelor şi din subordinea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>altor autorităţi administrative centrale subordonate Guvernului,</w:t>
      </w:r>
      <w:r w:rsidRPr="00B345F8">
        <w:rPr>
          <w:rFonts w:ascii="Times New Roman" w:eastAsia="Times New Roman" w:hAnsi="Times New Roman"/>
          <w:color w:val="000000"/>
          <w:sz w:val="26"/>
          <w:szCs w:val="26"/>
          <w:lang w:val="ro-MO" w:eastAsia="ro-RO"/>
        </w:rPr>
        <w:t xml:space="preserve">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în 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>autorităţi administrative sau instituţii publice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sau, în temeiul oportunităţii şi interesului prestabilit al statului, în </w:t>
      </w:r>
      <w:r w:rsidRPr="00B345F8">
        <w:rPr>
          <w:rFonts w:ascii="Times New Roman" w:eastAsia="Times New Roman" w:hAnsi="Times New Roman"/>
          <w:sz w:val="26"/>
          <w:szCs w:val="26"/>
          <w:lang w:val="ro-MO" w:eastAsia="ro-RO"/>
        </w:rPr>
        <w:t>societăți comerciale, constituite doar sub formele reglementate de articolul 106 alineatul (2) al Codului civil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. </w:t>
      </w:r>
    </w:p>
    <w:p w:rsidR="009F430D" w:rsidRPr="00B345F8" w:rsidRDefault="009F430D" w:rsidP="009F430D">
      <w:pPr>
        <w:pStyle w:val="Listparagraf"/>
        <w:spacing w:after="0" w:line="276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</w:p>
    <w:p w:rsidR="009F430D" w:rsidRPr="00B345F8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9F430D" w:rsidRDefault="009F430D" w:rsidP="009F430D">
      <w:pPr>
        <w:pStyle w:val="Listparagraf"/>
        <w:tabs>
          <w:tab w:val="left" w:pos="1134"/>
        </w:tabs>
        <w:spacing w:after="0" w:line="276" w:lineRule="auto"/>
        <w:ind w:left="-567" w:firstLine="567"/>
        <w:contextualSpacing w:val="0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573127" w:rsidRPr="009F430D" w:rsidRDefault="00573127">
      <w:pPr>
        <w:rPr>
          <w:lang w:val="ro-MO"/>
        </w:rPr>
      </w:pPr>
      <w:bookmarkStart w:id="0" w:name="_GoBack"/>
      <w:bookmarkEnd w:id="0"/>
    </w:p>
    <w:sectPr w:rsidR="00573127" w:rsidRPr="009F4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0D"/>
    <w:rsid w:val="00573127"/>
    <w:rsid w:val="009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0D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F430D"/>
    <w:pPr>
      <w:spacing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0D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F430D"/>
    <w:pPr>
      <w:spacing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2017-06-28T06:20:00Z</dcterms:created>
  <dcterms:modified xsi:type="dcterms:W3CDTF">2017-06-28T06:21:00Z</dcterms:modified>
</cp:coreProperties>
</file>