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61" w:rsidRPr="00C916F4" w:rsidRDefault="00592E61" w:rsidP="00C916F4">
      <w:pPr>
        <w:tabs>
          <w:tab w:val="left" w:pos="567"/>
          <w:tab w:val="left" w:pos="1080"/>
        </w:tabs>
        <w:autoSpaceDE w:val="0"/>
        <w:autoSpaceDN w:val="0"/>
        <w:adjustRightInd w:val="0"/>
        <w:spacing w:after="0" w:line="276" w:lineRule="auto"/>
        <w:ind w:firstLine="567"/>
        <w:jc w:val="center"/>
        <w:rPr>
          <w:rFonts w:ascii="Times New Roman" w:eastAsia="Times New Roman" w:hAnsi="Times New Roman" w:cs="Times New Roman"/>
          <w:b/>
          <w:bCs/>
          <w:iCs/>
          <w:color w:val="000000"/>
          <w:sz w:val="28"/>
          <w:szCs w:val="28"/>
          <w:lang w:eastAsia="ru-RU"/>
        </w:rPr>
      </w:pPr>
      <w:r w:rsidRPr="00C916F4">
        <w:rPr>
          <w:rFonts w:ascii="Times New Roman" w:eastAsia="Times New Roman" w:hAnsi="Times New Roman" w:cs="Times New Roman"/>
          <w:b/>
          <w:bCs/>
          <w:iCs/>
          <w:color w:val="000000"/>
          <w:sz w:val="28"/>
          <w:szCs w:val="28"/>
          <w:lang w:eastAsia="ru-RU"/>
        </w:rPr>
        <w:t>Nota informativă</w:t>
      </w:r>
    </w:p>
    <w:p w:rsidR="00592E61" w:rsidRPr="00C916F4" w:rsidRDefault="00592E61" w:rsidP="00C916F4">
      <w:pPr>
        <w:tabs>
          <w:tab w:val="left" w:pos="567"/>
          <w:tab w:val="left" w:pos="1080"/>
        </w:tabs>
        <w:autoSpaceDE w:val="0"/>
        <w:autoSpaceDN w:val="0"/>
        <w:adjustRightInd w:val="0"/>
        <w:spacing w:after="0" w:line="276" w:lineRule="auto"/>
        <w:ind w:firstLine="567"/>
        <w:jc w:val="center"/>
        <w:rPr>
          <w:rFonts w:ascii="Times New Roman" w:eastAsia="Times New Roman" w:hAnsi="Times New Roman" w:cs="Times New Roman"/>
          <w:b/>
          <w:bCs/>
          <w:iCs/>
          <w:color w:val="000000"/>
          <w:sz w:val="28"/>
          <w:szCs w:val="28"/>
          <w:lang w:eastAsia="ru-RU"/>
        </w:rPr>
      </w:pPr>
      <w:r w:rsidRPr="00C916F4">
        <w:rPr>
          <w:rFonts w:ascii="Times New Roman" w:eastAsia="Times New Roman" w:hAnsi="Times New Roman" w:cs="Times New Roman"/>
          <w:b/>
          <w:bCs/>
          <w:iCs/>
          <w:color w:val="000000"/>
          <w:sz w:val="28"/>
          <w:szCs w:val="28"/>
          <w:lang w:eastAsia="ru-RU"/>
        </w:rPr>
        <w:t>la proiectul de lege cu privire la modificarea şi completarea</w:t>
      </w:r>
    </w:p>
    <w:p w:rsidR="00592E61" w:rsidRPr="00C916F4" w:rsidRDefault="00592E61" w:rsidP="00C916F4">
      <w:pPr>
        <w:tabs>
          <w:tab w:val="left" w:pos="567"/>
          <w:tab w:val="left" w:pos="1080"/>
        </w:tabs>
        <w:autoSpaceDE w:val="0"/>
        <w:autoSpaceDN w:val="0"/>
        <w:adjustRightInd w:val="0"/>
        <w:spacing w:after="0" w:line="276" w:lineRule="auto"/>
        <w:ind w:firstLine="567"/>
        <w:jc w:val="center"/>
        <w:rPr>
          <w:rFonts w:ascii="Times New Roman" w:eastAsia="Times New Roman" w:hAnsi="Times New Roman" w:cs="Times New Roman"/>
          <w:bCs/>
          <w:i/>
          <w:iCs/>
          <w:color w:val="000000"/>
          <w:sz w:val="28"/>
          <w:szCs w:val="28"/>
          <w:lang w:eastAsia="ru-RU"/>
        </w:rPr>
      </w:pPr>
      <w:r w:rsidRPr="00C916F4">
        <w:rPr>
          <w:rFonts w:ascii="Times New Roman" w:eastAsia="Times New Roman" w:hAnsi="Times New Roman" w:cs="Times New Roman"/>
          <w:b/>
          <w:bCs/>
          <w:iCs/>
          <w:color w:val="000000"/>
          <w:sz w:val="28"/>
          <w:szCs w:val="28"/>
          <w:lang w:eastAsia="ru-RU"/>
        </w:rPr>
        <w:t>unor acte legislative</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center"/>
        <w:rPr>
          <w:rFonts w:ascii="Times New Roman" w:eastAsia="Times New Roman" w:hAnsi="Times New Roman" w:cs="Times New Roman"/>
          <w:bCs/>
          <w:i/>
          <w:iCs/>
          <w:color w:val="000000"/>
          <w:sz w:val="28"/>
          <w:szCs w:val="28"/>
          <w:lang w:eastAsia="ru-RU"/>
        </w:rPr>
      </w:pPr>
    </w:p>
    <w:p w:rsidR="00592E61" w:rsidRPr="00C916F4" w:rsidRDefault="00592E61" w:rsidP="00C916F4">
      <w:pPr>
        <w:pStyle w:val="ListParagraph"/>
        <w:numPr>
          <w:ilvl w:val="0"/>
          <w:numId w:val="2"/>
        </w:numPr>
        <w:tabs>
          <w:tab w:val="left" w:pos="90"/>
          <w:tab w:val="left" w:pos="567"/>
          <w:tab w:val="left" w:pos="1080"/>
        </w:tabs>
        <w:autoSpaceDE w:val="0"/>
        <w:autoSpaceDN w:val="0"/>
        <w:adjustRightInd w:val="0"/>
        <w:spacing w:after="0" w:line="276" w:lineRule="auto"/>
        <w:ind w:left="0" w:firstLine="567"/>
        <w:jc w:val="both"/>
        <w:rPr>
          <w:rFonts w:ascii="Times New Roman" w:eastAsia="Times New Roman" w:hAnsi="Times New Roman" w:cs="Times New Roman"/>
          <w:b/>
          <w:color w:val="000000"/>
          <w:sz w:val="28"/>
          <w:szCs w:val="28"/>
          <w:lang w:eastAsia="ru-RU"/>
        </w:rPr>
      </w:pPr>
      <w:r w:rsidRPr="00C916F4">
        <w:rPr>
          <w:rFonts w:ascii="Times New Roman" w:eastAsia="Times New Roman" w:hAnsi="Times New Roman" w:cs="Times New Roman"/>
          <w:b/>
          <w:color w:val="000000"/>
          <w:sz w:val="28"/>
          <w:szCs w:val="28"/>
          <w:lang w:eastAsia="ru-RU"/>
        </w:rPr>
        <w:t>Temeiul inițierii procesului de elaborare şi finalităţile urmărite.</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color w:val="000000"/>
          <w:sz w:val="28"/>
          <w:szCs w:val="28"/>
          <w:lang w:eastAsia="ru-RU"/>
        </w:rPr>
        <w:t xml:space="preserve">Prezentul proiect de lege </w:t>
      </w:r>
      <w:r w:rsidRPr="00C916F4">
        <w:rPr>
          <w:rFonts w:ascii="Times New Roman" w:eastAsia="Times New Roman" w:hAnsi="Times New Roman" w:cs="Times New Roman"/>
          <w:b/>
          <w:color w:val="000000"/>
          <w:sz w:val="28"/>
          <w:szCs w:val="28"/>
          <w:lang w:eastAsia="ru-RU"/>
        </w:rPr>
        <w:t>conţine</w:t>
      </w:r>
      <w:r w:rsidRPr="00C916F4">
        <w:rPr>
          <w:rFonts w:ascii="Times New Roman" w:eastAsia="Times New Roman" w:hAnsi="Times New Roman" w:cs="Times New Roman"/>
          <w:color w:val="000000"/>
          <w:sz w:val="28"/>
          <w:szCs w:val="28"/>
          <w:lang w:eastAsia="ru-RU"/>
        </w:rPr>
        <w:t>, în fond, propuneri de modificare, perfecționare şi completare a unor acte legislative, care rezultă din obiectivele politicilor fiscale și vamale și politicii de administrare fiscală și vamală pentru anul 201</w:t>
      </w:r>
      <w:r w:rsidR="00463727" w:rsidRPr="00C916F4">
        <w:rPr>
          <w:rFonts w:ascii="Times New Roman" w:eastAsia="Times New Roman" w:hAnsi="Times New Roman" w:cs="Times New Roman"/>
          <w:color w:val="000000"/>
          <w:sz w:val="28"/>
          <w:szCs w:val="28"/>
          <w:lang w:eastAsia="ru-RU"/>
        </w:rPr>
        <w:t>8 și din Conceptul de rescriere a Codului fiscal și Codului vamal</w:t>
      </w:r>
      <w:r w:rsidRPr="00C916F4">
        <w:rPr>
          <w:rFonts w:ascii="Times New Roman" w:eastAsia="Times New Roman" w:hAnsi="Times New Roman" w:cs="Times New Roman"/>
          <w:color w:val="000000"/>
          <w:sz w:val="28"/>
          <w:szCs w:val="28"/>
          <w:lang w:eastAsia="ru-RU"/>
        </w:rPr>
        <w:t>, bazate pe prevederile Programului de activitate a Guvernului, Strategiei Naţionale „Moldova 2020”, Acordului de Asociere între Republica Moldova, pe de o parte, și Uniunea Europeană și Comunitatea Europeană a Energiei Atomice și statele membre ale acestora, pe de altă parte, altor programe şi strategii naţionale.</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color w:val="000000"/>
          <w:sz w:val="28"/>
          <w:szCs w:val="28"/>
          <w:lang w:eastAsia="ru-RU"/>
        </w:rPr>
        <w:t>De asemenea, proiectul de lege vizează pe anumite domenii alinierea politicii şi legislaţiei naţionale privind domeniul fiscal şi vamal la ACQUIS-ul comunitar, Acordul General pentru Tarife și Comerț (GATT), Acordul privind aspectele drepturilor de proprietate intelectuală legate de comerț (TRIPs), etc..</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b/>
          <w:color w:val="000000"/>
          <w:sz w:val="28"/>
          <w:szCs w:val="28"/>
          <w:lang w:eastAsia="ru-RU"/>
        </w:rPr>
        <w:t xml:space="preserve">Temeiurile inițierii procesului de elaborare </w:t>
      </w:r>
      <w:r w:rsidRPr="00C916F4">
        <w:rPr>
          <w:rFonts w:ascii="Times New Roman" w:eastAsia="Times New Roman" w:hAnsi="Times New Roman" w:cs="Times New Roman"/>
          <w:color w:val="000000"/>
          <w:sz w:val="28"/>
          <w:szCs w:val="28"/>
          <w:lang w:eastAsia="ru-RU"/>
        </w:rPr>
        <w:t>a</w:t>
      </w:r>
      <w:r w:rsidRPr="00C916F4">
        <w:rPr>
          <w:rFonts w:ascii="Times New Roman" w:eastAsia="Times New Roman" w:hAnsi="Times New Roman" w:cs="Times New Roman"/>
          <w:b/>
          <w:color w:val="000000"/>
          <w:sz w:val="28"/>
          <w:szCs w:val="28"/>
          <w:lang w:eastAsia="ru-RU"/>
        </w:rPr>
        <w:t xml:space="preserve"> </w:t>
      </w:r>
      <w:r w:rsidRPr="00C916F4">
        <w:rPr>
          <w:rFonts w:ascii="Times New Roman" w:eastAsia="Times New Roman" w:hAnsi="Times New Roman" w:cs="Times New Roman"/>
          <w:color w:val="000000"/>
          <w:sz w:val="28"/>
          <w:szCs w:val="28"/>
          <w:lang w:eastAsia="ru-RU"/>
        </w:rPr>
        <w:t xml:space="preserve">proiectului de lege cu privire la modificarea şi completarea unor acte legislative derivă din necesitatea perfecționării și </w:t>
      </w:r>
      <w:r w:rsidRPr="00C916F4">
        <w:rPr>
          <w:rFonts w:ascii="Times New Roman" w:eastAsia="Times New Roman" w:hAnsi="Times New Roman" w:cs="Times New Roman"/>
          <w:sz w:val="28"/>
          <w:szCs w:val="28"/>
          <w:lang w:eastAsia="ru-RU"/>
        </w:rPr>
        <w:t>ajustării politicii și legislației fiscale și vamale la evoluția proceselor economice și sociale atît la nivel național cît și internațional.</w:t>
      </w:r>
      <w:r w:rsidRPr="00C916F4">
        <w:rPr>
          <w:rFonts w:ascii="Times New Roman" w:eastAsia="Times New Roman" w:hAnsi="Times New Roman" w:cs="Times New Roman"/>
          <w:b/>
          <w:sz w:val="28"/>
          <w:szCs w:val="28"/>
          <w:lang w:eastAsia="ru-RU"/>
        </w:rPr>
        <w:t xml:space="preserve"> </w:t>
      </w:r>
      <w:r w:rsidRPr="00C916F4">
        <w:rPr>
          <w:rFonts w:ascii="Times New Roman" w:eastAsia="Times New Roman" w:hAnsi="Times New Roman" w:cs="Times New Roman"/>
          <w:sz w:val="28"/>
          <w:szCs w:val="28"/>
          <w:lang w:eastAsia="ru-RU"/>
        </w:rPr>
        <w:t>Proiectul de lege respectiv pe de o parte trebuie să țină pasul cu modificările și evoluțiile în societate, în special în mediul de afaceri, pe de altă parte, să facă față provocărilor existente în domeniul finanțelor publice, cum ar fi majorarea cheltuielilor publice de ordin social, economic, educațional etc.</w:t>
      </w:r>
    </w:p>
    <w:p w:rsidR="004471C6"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b/>
          <w:color w:val="000000"/>
          <w:sz w:val="28"/>
          <w:szCs w:val="28"/>
          <w:lang w:eastAsia="ru-RU"/>
        </w:rPr>
        <w:t xml:space="preserve">Scopul </w:t>
      </w:r>
      <w:r w:rsidRPr="00C916F4">
        <w:rPr>
          <w:rFonts w:ascii="Times New Roman" w:eastAsia="Times New Roman" w:hAnsi="Times New Roman" w:cs="Times New Roman"/>
          <w:color w:val="000000"/>
          <w:sz w:val="28"/>
          <w:szCs w:val="28"/>
          <w:lang w:eastAsia="ru-RU"/>
        </w:rPr>
        <w:t xml:space="preserve">proiectului de lege este asigurarea încasărilor la buget suficiente și stabile, necesare finanțării cheltuielilor publice, în condiții de eficiență și eficacitate verticală și orizontală, asigurarea unor condiții clare, echitabile și competitive de dezvoltare a mediului de afaceri, edificarea unui stat de orientare socială, asigurarea redistribuirii corecte a veniturilor și solidaritatea socială, îmbunătățirea și simplificarea mecanismelor fiscale naționale, precum și asigurarea echității și stabilității fiscale. </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b/>
          <w:color w:val="000000"/>
          <w:sz w:val="28"/>
          <w:szCs w:val="28"/>
          <w:lang w:eastAsia="ru-RU"/>
        </w:rPr>
        <w:t>Finalitățile urmărite</w:t>
      </w:r>
      <w:r w:rsidRPr="00C916F4">
        <w:rPr>
          <w:rFonts w:ascii="Times New Roman" w:eastAsia="Times New Roman" w:hAnsi="Times New Roman" w:cs="Times New Roman"/>
          <w:color w:val="000000"/>
          <w:sz w:val="28"/>
          <w:szCs w:val="28"/>
          <w:lang w:eastAsia="ru-RU"/>
        </w:rPr>
        <w:t xml:space="preserve"> prin adoptarea proiectului de lege sunt: </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color w:val="000000"/>
          <w:sz w:val="28"/>
          <w:szCs w:val="28"/>
          <w:lang w:eastAsia="ru-RU"/>
        </w:rPr>
        <w:t>- creșterea încasărilor fiscale</w:t>
      </w:r>
      <w:r w:rsidR="004471C6" w:rsidRPr="00C916F4">
        <w:rPr>
          <w:rFonts w:ascii="Times New Roman" w:eastAsia="Times New Roman" w:hAnsi="Times New Roman" w:cs="Times New Roman"/>
          <w:color w:val="000000"/>
          <w:sz w:val="28"/>
          <w:szCs w:val="28"/>
          <w:lang w:eastAsia="ru-RU"/>
        </w:rPr>
        <w:t>;</w:t>
      </w:r>
    </w:p>
    <w:p w:rsidR="004471C6"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color w:val="000000"/>
          <w:sz w:val="28"/>
          <w:szCs w:val="28"/>
          <w:lang w:eastAsia="ru-RU"/>
        </w:rPr>
        <w:t>- reguli clare de impozitare bazate pe echitate și simplitate fiscală</w:t>
      </w:r>
      <w:r w:rsidR="004471C6" w:rsidRPr="00C916F4">
        <w:rPr>
          <w:rFonts w:ascii="Times New Roman" w:eastAsia="Times New Roman" w:hAnsi="Times New Roman" w:cs="Times New Roman"/>
          <w:color w:val="000000"/>
          <w:sz w:val="28"/>
          <w:szCs w:val="28"/>
          <w:lang w:eastAsia="ru-RU"/>
        </w:rPr>
        <w:t>;</w:t>
      </w:r>
    </w:p>
    <w:p w:rsidR="00592E61" w:rsidRPr="00C916F4" w:rsidRDefault="00592E61"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color w:val="000000"/>
          <w:sz w:val="28"/>
          <w:szCs w:val="28"/>
          <w:lang w:eastAsia="ru-RU"/>
        </w:rPr>
        <w:t>- asigurarea unei previzibilități a politicii și legislației fiscale și crearea unu</w:t>
      </w:r>
      <w:r w:rsidR="004471C6" w:rsidRPr="00C916F4">
        <w:rPr>
          <w:rFonts w:ascii="Times New Roman" w:eastAsia="Times New Roman" w:hAnsi="Times New Roman" w:cs="Times New Roman"/>
          <w:color w:val="000000"/>
          <w:sz w:val="28"/>
          <w:szCs w:val="28"/>
          <w:lang w:eastAsia="ru-RU"/>
        </w:rPr>
        <w:t>i mediu investițional atractiv</w:t>
      </w:r>
      <w:r w:rsidR="00A40E4C" w:rsidRPr="00C916F4">
        <w:rPr>
          <w:rFonts w:ascii="Times New Roman" w:eastAsia="Times New Roman" w:hAnsi="Times New Roman" w:cs="Times New Roman"/>
          <w:color w:val="000000"/>
          <w:sz w:val="28"/>
          <w:szCs w:val="28"/>
          <w:lang w:eastAsia="ru-RU"/>
        </w:rPr>
        <w:t>.</w:t>
      </w:r>
    </w:p>
    <w:p w:rsidR="00A40E4C" w:rsidRPr="00C916F4" w:rsidRDefault="00A40E4C" w:rsidP="00C916F4">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eastAsia="ru-RU"/>
        </w:rPr>
      </w:pPr>
    </w:p>
    <w:p w:rsidR="004471C6" w:rsidRPr="00C916F4" w:rsidRDefault="004471C6" w:rsidP="00C916F4">
      <w:pPr>
        <w:pStyle w:val="ListParagraph"/>
        <w:numPr>
          <w:ilvl w:val="0"/>
          <w:numId w:val="2"/>
        </w:numPr>
        <w:tabs>
          <w:tab w:val="left" w:pos="90"/>
          <w:tab w:val="left" w:pos="567"/>
          <w:tab w:val="left" w:pos="1080"/>
        </w:tabs>
        <w:autoSpaceDE w:val="0"/>
        <w:autoSpaceDN w:val="0"/>
        <w:adjustRightInd w:val="0"/>
        <w:spacing w:after="0" w:line="276" w:lineRule="auto"/>
        <w:ind w:left="0" w:firstLine="567"/>
        <w:jc w:val="both"/>
        <w:rPr>
          <w:rFonts w:ascii="Times New Roman" w:eastAsia="Times New Roman" w:hAnsi="Times New Roman" w:cs="Times New Roman"/>
          <w:b/>
          <w:color w:val="000000"/>
          <w:sz w:val="28"/>
          <w:szCs w:val="28"/>
          <w:lang w:eastAsia="ru-RU"/>
        </w:rPr>
      </w:pPr>
      <w:r w:rsidRPr="00C916F4">
        <w:rPr>
          <w:rFonts w:ascii="Times New Roman" w:eastAsia="Times New Roman" w:hAnsi="Times New Roman" w:cs="Times New Roman"/>
          <w:b/>
          <w:color w:val="000000"/>
          <w:sz w:val="28"/>
          <w:szCs w:val="28"/>
          <w:lang w:eastAsia="ru-RU"/>
        </w:rPr>
        <w:t>Principalele prevederi ale proiectului.</w:t>
      </w:r>
    </w:p>
    <w:p w:rsidR="00A40E4C" w:rsidRPr="00C916F4" w:rsidRDefault="00A40E4C" w:rsidP="00C916F4">
      <w:pPr>
        <w:tabs>
          <w:tab w:val="left" w:pos="90"/>
          <w:tab w:val="left" w:pos="567"/>
          <w:tab w:val="left" w:pos="1080"/>
        </w:tabs>
        <w:autoSpaceDE w:val="0"/>
        <w:autoSpaceDN w:val="0"/>
        <w:adjustRightInd w:val="0"/>
        <w:spacing w:after="0" w:line="276" w:lineRule="auto"/>
        <w:ind w:firstLine="567"/>
        <w:contextualSpacing/>
        <w:jc w:val="both"/>
        <w:rPr>
          <w:rFonts w:ascii="Times New Roman" w:eastAsia="Times New Roman" w:hAnsi="Times New Roman" w:cs="Times New Roman"/>
          <w:b/>
          <w:color w:val="000000"/>
          <w:sz w:val="28"/>
          <w:szCs w:val="28"/>
          <w:lang w:eastAsia="ru-RU"/>
        </w:rPr>
      </w:pPr>
    </w:p>
    <w:p w:rsidR="00C916F4" w:rsidRPr="00C916F4" w:rsidRDefault="004471C6" w:rsidP="00C916F4">
      <w:pPr>
        <w:numPr>
          <w:ilvl w:val="0"/>
          <w:numId w:val="3"/>
        </w:numPr>
        <w:tabs>
          <w:tab w:val="left" w:pos="567"/>
          <w:tab w:val="left" w:pos="810"/>
          <w:tab w:val="left" w:pos="1080"/>
        </w:tabs>
        <w:spacing w:after="0" w:line="276" w:lineRule="auto"/>
        <w:ind w:left="0" w:firstLine="567"/>
        <w:jc w:val="both"/>
        <w:rPr>
          <w:rFonts w:ascii="Times New Roman" w:eastAsia="Times New Roman" w:hAnsi="Times New Roman" w:cs="Times New Roman"/>
          <w:b/>
          <w:color w:val="000000"/>
          <w:sz w:val="28"/>
          <w:szCs w:val="28"/>
          <w:lang w:eastAsia="ru-RU"/>
        </w:rPr>
      </w:pPr>
      <w:r w:rsidRPr="00C916F4">
        <w:rPr>
          <w:rFonts w:ascii="Times New Roman" w:eastAsia="Times New Roman" w:hAnsi="Times New Roman" w:cs="Times New Roman"/>
          <w:i/>
          <w:color w:val="000000"/>
          <w:sz w:val="28"/>
          <w:szCs w:val="28"/>
          <w:lang w:eastAsia="ru-RU"/>
        </w:rPr>
        <w:t>Principalele amendamente de ordin fiscal</w:t>
      </w:r>
      <w:r w:rsidR="00C916F4" w:rsidRPr="00C916F4">
        <w:rPr>
          <w:rFonts w:ascii="Times New Roman" w:eastAsia="Times New Roman" w:hAnsi="Times New Roman" w:cs="Times New Roman"/>
          <w:i/>
          <w:color w:val="000000"/>
          <w:sz w:val="28"/>
          <w:szCs w:val="28"/>
          <w:lang w:eastAsia="ru-RU"/>
        </w:rPr>
        <w:t>.</w:t>
      </w:r>
    </w:p>
    <w:p w:rsidR="00C916F4" w:rsidRPr="00C916F4" w:rsidRDefault="004471C6" w:rsidP="00C916F4">
      <w:pPr>
        <w:tabs>
          <w:tab w:val="left" w:pos="567"/>
          <w:tab w:val="left" w:pos="810"/>
          <w:tab w:val="left" w:pos="1080"/>
        </w:tabs>
        <w:spacing w:after="0" w:line="276" w:lineRule="auto"/>
        <w:ind w:left="567"/>
        <w:jc w:val="both"/>
        <w:rPr>
          <w:rFonts w:ascii="Times New Roman" w:eastAsia="Times New Roman" w:hAnsi="Times New Roman" w:cs="Times New Roman"/>
          <w:b/>
          <w:color w:val="000000"/>
          <w:sz w:val="28"/>
          <w:szCs w:val="28"/>
          <w:lang w:eastAsia="ru-RU"/>
        </w:rPr>
      </w:pPr>
      <w:r w:rsidRPr="00C916F4">
        <w:rPr>
          <w:rFonts w:ascii="Times New Roman" w:eastAsia="Times New Roman" w:hAnsi="Times New Roman" w:cs="Times New Roman"/>
          <w:i/>
          <w:color w:val="000000"/>
          <w:sz w:val="28"/>
          <w:szCs w:val="28"/>
          <w:lang w:eastAsia="ru-RU"/>
        </w:rPr>
        <w:t xml:space="preserve"> </w:t>
      </w:r>
    </w:p>
    <w:p w:rsidR="00592E61" w:rsidRPr="00C916F4" w:rsidRDefault="003C2C64" w:rsidP="00C916F4">
      <w:pPr>
        <w:tabs>
          <w:tab w:val="left" w:pos="567"/>
          <w:tab w:val="left" w:pos="810"/>
          <w:tab w:val="left" w:pos="1080"/>
        </w:tabs>
        <w:spacing w:after="0" w:line="276" w:lineRule="auto"/>
        <w:ind w:left="567"/>
        <w:jc w:val="both"/>
        <w:rPr>
          <w:rFonts w:ascii="Times New Roman" w:eastAsia="Times New Roman" w:hAnsi="Times New Roman" w:cs="Times New Roman"/>
          <w:b/>
          <w:color w:val="000000"/>
          <w:sz w:val="28"/>
          <w:szCs w:val="28"/>
          <w:lang w:eastAsia="ru-RU"/>
        </w:rPr>
      </w:pPr>
      <w:r w:rsidRPr="00C916F4">
        <w:rPr>
          <w:rFonts w:ascii="Times New Roman" w:eastAsia="Times New Roman" w:hAnsi="Times New Roman" w:cs="Times New Roman"/>
          <w:b/>
          <w:color w:val="000000"/>
          <w:sz w:val="28"/>
          <w:szCs w:val="28"/>
          <w:lang w:eastAsia="ru-RU"/>
        </w:rPr>
        <w:t>Codul fiscal nr.1163-XIII din 24 aprilie 1997</w:t>
      </w:r>
    </w:p>
    <w:p w:rsidR="00D418DE" w:rsidRDefault="00F01D99" w:rsidP="00C916F4">
      <w:pPr>
        <w:pStyle w:val="ListParagraph"/>
        <w:numPr>
          <w:ilvl w:val="0"/>
          <w:numId w:val="5"/>
        </w:numPr>
        <w:tabs>
          <w:tab w:val="left" w:pos="90"/>
          <w:tab w:val="left" w:pos="567"/>
          <w:tab w:val="left" w:pos="720"/>
          <w:tab w:val="left" w:pos="1080"/>
        </w:tabs>
        <w:autoSpaceDE w:val="0"/>
        <w:autoSpaceDN w:val="0"/>
        <w:adjustRightInd w:val="0"/>
        <w:spacing w:after="0" w:line="276" w:lineRule="auto"/>
        <w:ind w:left="0" w:firstLine="567"/>
        <w:jc w:val="both"/>
        <w:rPr>
          <w:rFonts w:ascii="Times New Roman" w:eastAsia="Calibri" w:hAnsi="Times New Roman" w:cs="Times New Roman"/>
          <w:color w:val="000000" w:themeColor="text1"/>
          <w:sz w:val="28"/>
          <w:szCs w:val="28"/>
          <w:shd w:val="clear" w:color="auto" w:fill="FFFFFF"/>
          <w:lang w:eastAsia="ru-RU"/>
        </w:rPr>
      </w:pPr>
      <w:r w:rsidRPr="00C916F4">
        <w:rPr>
          <w:rFonts w:ascii="Times New Roman" w:eastAsia="Times New Roman" w:hAnsi="Times New Roman" w:cs="Times New Roman"/>
          <w:color w:val="000000"/>
          <w:sz w:val="28"/>
          <w:szCs w:val="28"/>
          <w:lang w:eastAsia="ru-RU"/>
        </w:rPr>
        <w:t xml:space="preserve">La capitolul impozitul pe venit, se prevede majorarea mărimii </w:t>
      </w:r>
      <w:r w:rsidR="00B03EFA" w:rsidRPr="00C916F4">
        <w:rPr>
          <w:rFonts w:ascii="Times New Roman" w:eastAsia="Times New Roman" w:hAnsi="Times New Roman" w:cs="Times New Roman"/>
          <w:color w:val="000000"/>
          <w:sz w:val="28"/>
          <w:szCs w:val="28"/>
          <w:lang w:eastAsia="ru-RU"/>
        </w:rPr>
        <w:t>tranșelor</w:t>
      </w:r>
      <w:r w:rsidRPr="00C916F4">
        <w:rPr>
          <w:rFonts w:ascii="Times New Roman" w:eastAsia="Times New Roman" w:hAnsi="Times New Roman" w:cs="Times New Roman"/>
          <w:color w:val="000000"/>
          <w:sz w:val="28"/>
          <w:szCs w:val="28"/>
          <w:lang w:eastAsia="ru-RU"/>
        </w:rPr>
        <w:t xml:space="preserve"> de venit impozabile,</w:t>
      </w:r>
      <w:r w:rsidRPr="00C916F4">
        <w:rPr>
          <w:rFonts w:ascii="Times New Roman" w:hAnsi="Times New Roman" w:cs="Times New Roman"/>
          <w:sz w:val="28"/>
          <w:szCs w:val="28"/>
        </w:rPr>
        <w:t xml:space="preserve"> </w:t>
      </w:r>
      <w:r w:rsidRPr="00C916F4">
        <w:rPr>
          <w:rFonts w:ascii="Times New Roman" w:eastAsia="Times New Roman" w:hAnsi="Times New Roman" w:cs="Times New Roman"/>
          <w:color w:val="000000"/>
          <w:sz w:val="28"/>
          <w:szCs w:val="28"/>
          <w:lang w:eastAsia="ru-RU"/>
        </w:rPr>
        <w:t xml:space="preserve">precum şi a mărimii scutirii anuale personale, scutirii anuale personale majore şi scutirii anuale pentru persoanele întreţinute, prin ajustarea acestora la rata </w:t>
      </w:r>
      <w:r w:rsidRPr="00C916F4">
        <w:rPr>
          <w:rFonts w:ascii="Times New Roman" w:eastAsia="Calibri" w:hAnsi="Times New Roman" w:cs="Times New Roman"/>
          <w:color w:val="000000" w:themeColor="text1"/>
          <w:sz w:val="28"/>
          <w:szCs w:val="28"/>
          <w:shd w:val="clear" w:color="auto" w:fill="FFFFFF"/>
          <w:lang w:eastAsia="ru-RU"/>
        </w:rPr>
        <w:t>inflaţiei prognozată pentru anul 2018 (6%), în vederea reducerii într-o anumită măsură a efectului inflaţie</w:t>
      </w:r>
      <w:r w:rsidR="00FC4464" w:rsidRPr="00C916F4">
        <w:rPr>
          <w:rFonts w:ascii="Times New Roman" w:eastAsia="Calibri" w:hAnsi="Times New Roman" w:cs="Times New Roman"/>
          <w:color w:val="000000" w:themeColor="text1"/>
          <w:sz w:val="28"/>
          <w:szCs w:val="28"/>
          <w:shd w:val="clear" w:color="auto" w:fill="FFFFFF"/>
          <w:lang w:eastAsia="ru-RU"/>
        </w:rPr>
        <w:t>i asupra veniturilor populaţiei.</w:t>
      </w:r>
    </w:p>
    <w:p w:rsidR="005E06F9" w:rsidRPr="005E06F9" w:rsidRDefault="005E06F9" w:rsidP="005E06F9">
      <w:pPr>
        <w:tabs>
          <w:tab w:val="left" w:pos="90"/>
          <w:tab w:val="left" w:pos="567"/>
        </w:tabs>
        <w:autoSpaceDE w:val="0"/>
        <w:autoSpaceDN w:val="0"/>
        <w:adjustRightInd w:val="0"/>
        <w:spacing w:after="0" w:line="276" w:lineRule="auto"/>
        <w:jc w:val="both"/>
        <w:rPr>
          <w:rFonts w:ascii="Times New Roman" w:eastAsia="Calibri" w:hAnsi="Times New Roman" w:cs="Times New Roman"/>
          <w:color w:val="000000" w:themeColor="text1"/>
          <w:sz w:val="28"/>
          <w:szCs w:val="28"/>
          <w:shd w:val="clear" w:color="auto" w:fill="FFFFFF"/>
          <w:lang w:eastAsia="ru-RU"/>
        </w:rPr>
      </w:pPr>
      <w:r w:rsidRPr="005E06F9">
        <w:rPr>
          <w:rFonts w:ascii="Times New Roman" w:eastAsia="Calibri" w:hAnsi="Times New Roman" w:cs="Times New Roman"/>
          <w:color w:val="000000" w:themeColor="text1"/>
          <w:sz w:val="28"/>
          <w:szCs w:val="28"/>
          <w:shd w:val="clear" w:color="auto" w:fill="FFFFFF"/>
          <w:lang w:eastAsia="ru-RU"/>
        </w:rPr>
        <w:t>(costul măsurii constituie:</w:t>
      </w:r>
      <w:r>
        <w:rPr>
          <w:rFonts w:ascii="Times New Roman" w:eastAsia="Calibri" w:hAnsi="Times New Roman" w:cs="Times New Roman"/>
          <w:color w:val="000000" w:themeColor="text1"/>
          <w:sz w:val="28"/>
          <w:szCs w:val="28"/>
          <w:shd w:val="clear" w:color="auto" w:fill="FFFFFF"/>
          <w:lang w:eastAsia="ru-RU"/>
        </w:rPr>
        <w:t xml:space="preserve"> -111,2 mln, lei).</w:t>
      </w:r>
    </w:p>
    <w:p w:rsidR="00D418DE" w:rsidRPr="00C916F4" w:rsidRDefault="00D418DE" w:rsidP="005E06F9">
      <w:pPr>
        <w:pStyle w:val="ListParagraph"/>
        <w:numPr>
          <w:ilvl w:val="0"/>
          <w:numId w:val="5"/>
        </w:numPr>
        <w:tabs>
          <w:tab w:val="left" w:pos="90"/>
          <w:tab w:val="left" w:pos="567"/>
        </w:tabs>
        <w:autoSpaceDE w:val="0"/>
        <w:autoSpaceDN w:val="0"/>
        <w:adjustRightInd w:val="0"/>
        <w:spacing w:after="0" w:line="276" w:lineRule="auto"/>
        <w:ind w:left="142" w:firstLine="425"/>
        <w:jc w:val="both"/>
        <w:rPr>
          <w:rFonts w:ascii="Times New Roman" w:eastAsia="Calibri" w:hAnsi="Times New Roman" w:cs="Times New Roman"/>
          <w:color w:val="000000" w:themeColor="text1"/>
          <w:sz w:val="28"/>
          <w:szCs w:val="28"/>
          <w:shd w:val="clear" w:color="auto" w:fill="FFFFFF"/>
          <w:lang w:eastAsia="ru-RU"/>
        </w:rPr>
      </w:pPr>
      <w:r w:rsidRPr="00C916F4">
        <w:rPr>
          <w:rFonts w:ascii="Times New Roman" w:eastAsia="Calibri" w:hAnsi="Times New Roman" w:cs="Times New Roman"/>
          <w:color w:val="000000" w:themeColor="text1"/>
          <w:sz w:val="28"/>
          <w:szCs w:val="28"/>
          <w:shd w:val="clear" w:color="auto" w:fill="FFFFFF"/>
          <w:lang w:eastAsia="ru-RU"/>
        </w:rPr>
        <w:t xml:space="preserve">Se propune </w:t>
      </w:r>
      <w:r w:rsidR="00C202A1" w:rsidRPr="00C916F4">
        <w:rPr>
          <w:rFonts w:ascii="Times New Roman" w:eastAsia="Calibri" w:hAnsi="Times New Roman" w:cs="Times New Roman"/>
          <w:color w:val="000000" w:themeColor="text1"/>
          <w:sz w:val="28"/>
          <w:szCs w:val="28"/>
          <w:shd w:val="clear" w:color="auto" w:fill="FFFFFF"/>
          <w:lang w:eastAsia="ru-RU"/>
        </w:rPr>
        <w:t>scutirea</w:t>
      </w:r>
      <w:r w:rsidRPr="00C916F4">
        <w:rPr>
          <w:rFonts w:ascii="Times New Roman" w:eastAsia="Calibri" w:hAnsi="Times New Roman" w:cs="Times New Roman"/>
          <w:color w:val="000000" w:themeColor="text1"/>
          <w:sz w:val="28"/>
          <w:szCs w:val="28"/>
          <w:shd w:val="clear" w:color="auto" w:fill="FFFFFF"/>
          <w:lang w:eastAsia="ru-RU"/>
        </w:rPr>
        <w:t xml:space="preserve"> ajutorul</w:t>
      </w:r>
      <w:r w:rsidR="00C202A1" w:rsidRPr="00C916F4">
        <w:rPr>
          <w:rFonts w:ascii="Times New Roman" w:eastAsia="Calibri" w:hAnsi="Times New Roman" w:cs="Times New Roman"/>
          <w:color w:val="000000" w:themeColor="text1"/>
          <w:sz w:val="28"/>
          <w:szCs w:val="28"/>
          <w:shd w:val="clear" w:color="auto" w:fill="FFFFFF"/>
          <w:lang w:eastAsia="ru-RU"/>
        </w:rPr>
        <w:t>ui</w:t>
      </w:r>
      <w:r w:rsidRPr="00C916F4">
        <w:rPr>
          <w:rFonts w:ascii="Times New Roman" w:eastAsia="Calibri" w:hAnsi="Times New Roman" w:cs="Times New Roman"/>
          <w:color w:val="000000" w:themeColor="text1"/>
          <w:sz w:val="28"/>
          <w:szCs w:val="28"/>
          <w:shd w:val="clear" w:color="auto" w:fill="FFFFFF"/>
          <w:lang w:eastAsia="ru-RU"/>
        </w:rPr>
        <w:t xml:space="preserve"> material obținut de persoanele fizice </w:t>
      </w:r>
      <w:r w:rsidR="00C202A1" w:rsidRPr="00C916F4">
        <w:rPr>
          <w:rFonts w:ascii="Times New Roman" w:eastAsia="Calibri" w:hAnsi="Times New Roman" w:cs="Times New Roman"/>
          <w:color w:val="000000" w:themeColor="text1"/>
          <w:sz w:val="28"/>
          <w:szCs w:val="28"/>
          <w:shd w:val="clear" w:color="auto" w:fill="FFFFFF"/>
          <w:lang w:eastAsia="ru-RU"/>
        </w:rPr>
        <w:t xml:space="preserve">din mijloacele sindicatelor în </w:t>
      </w:r>
      <w:r w:rsidR="00AC2DF5" w:rsidRPr="00C916F4">
        <w:rPr>
          <w:rFonts w:ascii="Times New Roman" w:eastAsia="Calibri" w:hAnsi="Times New Roman" w:cs="Times New Roman"/>
          <w:color w:val="000000" w:themeColor="text1"/>
          <w:sz w:val="28"/>
          <w:szCs w:val="28"/>
          <w:shd w:val="clear" w:color="auto" w:fill="FFFFFF"/>
          <w:lang w:eastAsia="ru-RU"/>
        </w:rPr>
        <w:t>mărimea</w:t>
      </w:r>
      <w:r w:rsidRPr="00C916F4">
        <w:rPr>
          <w:rFonts w:ascii="Times New Roman" w:eastAsia="Calibri" w:hAnsi="Times New Roman" w:cs="Times New Roman"/>
          <w:color w:val="000000" w:themeColor="text1"/>
          <w:sz w:val="28"/>
          <w:szCs w:val="28"/>
          <w:shd w:val="clear" w:color="auto" w:fill="FFFFFF"/>
          <w:lang w:eastAsia="ru-RU"/>
        </w:rPr>
        <w:t xml:space="preserve"> un</w:t>
      </w:r>
      <w:r w:rsidR="00AC2DF5" w:rsidRPr="00C916F4">
        <w:rPr>
          <w:rFonts w:ascii="Times New Roman" w:eastAsia="Calibri" w:hAnsi="Times New Roman" w:cs="Times New Roman"/>
          <w:color w:val="000000" w:themeColor="text1"/>
          <w:sz w:val="28"/>
          <w:szCs w:val="28"/>
          <w:shd w:val="clear" w:color="auto" w:fill="FFFFFF"/>
          <w:lang w:eastAsia="ru-RU"/>
        </w:rPr>
        <w:t>ui</w:t>
      </w:r>
      <w:r w:rsidRPr="00C916F4">
        <w:rPr>
          <w:rFonts w:ascii="Times New Roman" w:eastAsia="Calibri" w:hAnsi="Times New Roman" w:cs="Times New Roman"/>
          <w:color w:val="000000" w:themeColor="text1"/>
          <w:sz w:val="28"/>
          <w:szCs w:val="28"/>
          <w:shd w:val="clear" w:color="auto" w:fill="FFFFFF"/>
          <w:lang w:eastAsia="ru-RU"/>
        </w:rPr>
        <w:t xml:space="preserve"> salariu mediu lunar pe economie aprobat de Guvern</w:t>
      </w:r>
      <w:r w:rsidR="00C01433" w:rsidRPr="00C916F4">
        <w:rPr>
          <w:rFonts w:ascii="Times New Roman" w:eastAsia="Calibri" w:hAnsi="Times New Roman" w:cs="Times New Roman"/>
          <w:color w:val="000000" w:themeColor="text1"/>
          <w:sz w:val="28"/>
          <w:szCs w:val="28"/>
          <w:shd w:val="clear" w:color="auto" w:fill="FFFFFF"/>
          <w:lang w:eastAsia="ru-RU"/>
        </w:rPr>
        <w:t>,</w:t>
      </w:r>
      <w:r w:rsidRPr="00C916F4">
        <w:rPr>
          <w:rFonts w:ascii="Times New Roman" w:eastAsia="Calibri" w:hAnsi="Times New Roman" w:cs="Times New Roman"/>
          <w:color w:val="000000" w:themeColor="text1"/>
          <w:sz w:val="28"/>
          <w:szCs w:val="28"/>
          <w:shd w:val="clear" w:color="auto" w:fill="FFFFFF"/>
          <w:lang w:eastAsia="ru-RU"/>
        </w:rPr>
        <w:t xml:space="preserve"> </w:t>
      </w:r>
      <w:r w:rsidR="00C01433" w:rsidRPr="00C916F4">
        <w:rPr>
          <w:rFonts w:ascii="Times New Roman" w:eastAsia="Calibri" w:hAnsi="Times New Roman" w:cs="Times New Roman"/>
          <w:color w:val="000000" w:themeColor="text1"/>
          <w:sz w:val="28"/>
          <w:szCs w:val="28"/>
          <w:shd w:val="clear" w:color="auto" w:fill="FFFFFF"/>
          <w:lang w:eastAsia="ru-RU"/>
        </w:rPr>
        <w:t>per angajat anual</w:t>
      </w:r>
      <w:r w:rsidRPr="00C916F4">
        <w:rPr>
          <w:rFonts w:ascii="Times New Roman" w:eastAsia="Calibri" w:hAnsi="Times New Roman" w:cs="Times New Roman"/>
          <w:color w:val="000000" w:themeColor="text1"/>
          <w:sz w:val="28"/>
          <w:szCs w:val="28"/>
          <w:shd w:val="clear" w:color="auto" w:fill="FFFFFF"/>
          <w:lang w:eastAsia="ru-RU"/>
        </w:rPr>
        <w:t>.</w:t>
      </w:r>
      <w:r w:rsidR="008C2E4C" w:rsidRPr="00C916F4">
        <w:rPr>
          <w:rFonts w:ascii="Times New Roman" w:hAnsi="Times New Roman" w:cs="Times New Roman"/>
          <w:sz w:val="28"/>
          <w:szCs w:val="28"/>
        </w:rPr>
        <w:t xml:space="preserve"> </w:t>
      </w:r>
      <w:r w:rsidR="008C2E4C" w:rsidRPr="00C916F4">
        <w:rPr>
          <w:rFonts w:ascii="Times New Roman" w:eastAsia="Calibri" w:hAnsi="Times New Roman" w:cs="Times New Roman"/>
          <w:color w:val="000000" w:themeColor="text1"/>
          <w:sz w:val="28"/>
          <w:szCs w:val="28"/>
          <w:shd w:val="clear" w:color="auto" w:fill="FFFFFF"/>
          <w:lang w:eastAsia="ru-RU"/>
        </w:rPr>
        <w:t xml:space="preserve">Scopul acestei propuneri </w:t>
      </w:r>
      <w:r w:rsidR="00C202A1" w:rsidRPr="00C916F4">
        <w:rPr>
          <w:rFonts w:ascii="Times New Roman" w:eastAsia="Calibri" w:hAnsi="Times New Roman" w:cs="Times New Roman"/>
          <w:color w:val="000000" w:themeColor="text1"/>
          <w:sz w:val="28"/>
          <w:szCs w:val="28"/>
          <w:shd w:val="clear" w:color="auto" w:fill="FFFFFF"/>
          <w:lang w:eastAsia="ru-RU"/>
        </w:rPr>
        <w:t>constă în contracararea fenomenului de achitare a salariilor prin intermediul organizațiilor sindicale</w:t>
      </w:r>
      <w:r w:rsidR="008C2E4C" w:rsidRPr="00C916F4">
        <w:rPr>
          <w:rFonts w:ascii="Times New Roman" w:eastAsia="Calibri" w:hAnsi="Times New Roman" w:cs="Times New Roman"/>
          <w:color w:val="000000" w:themeColor="text1"/>
          <w:sz w:val="28"/>
          <w:szCs w:val="28"/>
          <w:shd w:val="clear" w:color="auto" w:fill="FFFFFF"/>
          <w:lang w:eastAsia="ru-RU"/>
        </w:rPr>
        <w:t>.</w:t>
      </w:r>
    </w:p>
    <w:p w:rsidR="00D418DE" w:rsidRPr="00C916F4" w:rsidRDefault="00D418DE"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Proiectul de lege prevede anularea modificărilor operate p</w:t>
      </w:r>
      <w:r w:rsidR="00D471A1">
        <w:rPr>
          <w:rFonts w:ascii="Times New Roman" w:hAnsi="Times New Roman" w:cs="Times New Roman"/>
          <w:sz w:val="28"/>
          <w:szCs w:val="28"/>
        </w:rPr>
        <w:t>rin Legea nr.292 din 16.12.2016</w:t>
      </w:r>
      <w:r w:rsidRPr="00C916F4">
        <w:rPr>
          <w:rFonts w:ascii="Times New Roman" w:hAnsi="Times New Roman" w:cs="Times New Roman"/>
          <w:sz w:val="28"/>
          <w:szCs w:val="28"/>
        </w:rPr>
        <w:t xml:space="preserve"> la Codul fiscal</w:t>
      </w:r>
      <w:r w:rsidR="00D471A1">
        <w:rPr>
          <w:rFonts w:ascii="Times New Roman" w:hAnsi="Times New Roman" w:cs="Times New Roman"/>
          <w:sz w:val="28"/>
          <w:szCs w:val="28"/>
        </w:rPr>
        <w:t>,</w:t>
      </w:r>
      <w:r w:rsidRPr="00C916F4">
        <w:rPr>
          <w:rFonts w:ascii="Times New Roman" w:hAnsi="Times New Roman" w:cs="Times New Roman"/>
          <w:sz w:val="28"/>
          <w:szCs w:val="28"/>
        </w:rPr>
        <w:t xml:space="preserve"> ce prevăd calificarea drept sursă de venit neimpozabilă în mărime totală a cîştigurilor obţinute de la campaniile promoţionale şi/sau din loterii (art.20 lit.p</w:t>
      </w:r>
      <w:r w:rsidRPr="00C916F4">
        <w:rPr>
          <w:rFonts w:ascii="Times New Roman" w:hAnsi="Times New Roman" w:cs="Times New Roman"/>
          <w:sz w:val="28"/>
          <w:szCs w:val="28"/>
          <w:vertAlign w:val="superscript"/>
        </w:rPr>
        <w:t>1</w:t>
      </w:r>
      <w:r w:rsidRPr="00C916F4">
        <w:rPr>
          <w:rFonts w:ascii="Times New Roman" w:hAnsi="Times New Roman" w:cs="Times New Roman"/>
          <w:sz w:val="28"/>
          <w:szCs w:val="28"/>
        </w:rPr>
        <w:t>) din Codul fiscal), cu excluderea impozitării finale la sursa de plată a acestor cîştiguri şi a celor din pariurile sportive (art.90</w:t>
      </w:r>
      <w:r w:rsidRPr="00C916F4">
        <w:rPr>
          <w:rFonts w:ascii="Times New Roman" w:hAnsi="Times New Roman" w:cs="Times New Roman"/>
          <w:sz w:val="28"/>
          <w:szCs w:val="28"/>
          <w:vertAlign w:val="superscript"/>
        </w:rPr>
        <w:t>1</w:t>
      </w:r>
      <w:r w:rsidRPr="00C916F4">
        <w:rPr>
          <w:rFonts w:ascii="Times New Roman" w:hAnsi="Times New Roman" w:cs="Times New Roman"/>
          <w:sz w:val="28"/>
          <w:szCs w:val="28"/>
        </w:rPr>
        <w:t> alin.(33) din Codul fiscal).</w:t>
      </w:r>
    </w:p>
    <w:p w:rsidR="00FC4464" w:rsidRPr="00C916F4" w:rsidRDefault="00FC4464" w:rsidP="00C916F4">
      <w:pPr>
        <w:pStyle w:val="ListParagraph"/>
        <w:numPr>
          <w:ilvl w:val="0"/>
          <w:numId w:val="5"/>
        </w:numPr>
        <w:tabs>
          <w:tab w:val="left" w:pos="0"/>
          <w:tab w:val="left" w:pos="567"/>
          <w:tab w:val="left" w:pos="1080"/>
        </w:tabs>
        <w:spacing w:after="0" w:line="276" w:lineRule="auto"/>
        <w:ind w:left="0" w:firstLine="567"/>
        <w:jc w:val="both"/>
        <w:rPr>
          <w:rFonts w:ascii="Times New Roman" w:eastAsia="Times New Roman" w:hAnsi="Times New Roman" w:cs="Times New Roman"/>
          <w:color w:val="000000"/>
          <w:sz w:val="28"/>
          <w:szCs w:val="28"/>
          <w:lang w:eastAsia="ru-RU"/>
        </w:rPr>
      </w:pPr>
      <w:r w:rsidRPr="00C916F4">
        <w:rPr>
          <w:rFonts w:ascii="Times New Roman" w:eastAsia="Times New Roman" w:hAnsi="Times New Roman" w:cs="Times New Roman"/>
          <w:color w:val="000000"/>
          <w:sz w:val="28"/>
          <w:szCs w:val="28"/>
          <w:lang w:eastAsia="ru-RU"/>
        </w:rPr>
        <w:t xml:space="preserve">Alte modificări ce reies din Obiectivele politicii fiscale şi vamale pe termenul mediu 2018 - 2020  constituie </w:t>
      </w:r>
      <w:r w:rsidRPr="00C916F4">
        <w:rPr>
          <w:rFonts w:ascii="Times New Roman" w:eastAsia="Calibri" w:hAnsi="Times New Roman" w:cs="Times New Roman"/>
          <w:color w:val="000000" w:themeColor="text1"/>
          <w:sz w:val="28"/>
          <w:szCs w:val="28"/>
          <w:shd w:val="clear" w:color="auto" w:fill="FFFFFF"/>
          <w:lang w:eastAsia="ru-RU"/>
        </w:rPr>
        <w:t xml:space="preserve">diminuarea discrepanțelor privind metodologia evidenței mijloacelor fixe în scopuri financiare și fiscale, evidența urmînd a fi efectuată per fiecare obiect de mijloc fix excluzînd  clasificarea pe categorii de proprietate. </w:t>
      </w:r>
    </w:p>
    <w:p w:rsidR="00FC4464" w:rsidRPr="00C916F4" w:rsidRDefault="005F02E4" w:rsidP="00C916F4">
      <w:pPr>
        <w:pStyle w:val="ListParagraph"/>
        <w:tabs>
          <w:tab w:val="left" w:pos="0"/>
          <w:tab w:val="left" w:pos="567"/>
          <w:tab w:val="left" w:pos="1080"/>
        </w:tabs>
        <w:spacing w:after="0" w:line="276" w:lineRule="auto"/>
        <w:ind w:left="567"/>
        <w:jc w:val="both"/>
        <w:rPr>
          <w:rFonts w:ascii="Times New Roman" w:eastAsia="Times New Roman" w:hAnsi="Times New Roman" w:cs="Times New Roman"/>
          <w:color w:val="000000"/>
          <w:sz w:val="28"/>
          <w:szCs w:val="28"/>
          <w:lang w:eastAsia="ru-RU"/>
        </w:rPr>
      </w:pPr>
      <w:r w:rsidRPr="00C916F4">
        <w:rPr>
          <w:rFonts w:ascii="Times New Roman" w:eastAsia="Calibri" w:hAnsi="Times New Roman" w:cs="Times New Roman"/>
          <w:color w:val="000000" w:themeColor="text1"/>
          <w:sz w:val="28"/>
          <w:szCs w:val="28"/>
          <w:shd w:val="clear" w:color="auto" w:fill="FFFFFF"/>
          <w:lang w:eastAsia="ru-RU"/>
        </w:rPr>
        <w:t xml:space="preserve"> </w:t>
      </w:r>
      <w:r w:rsidR="00FC4464" w:rsidRPr="00C916F4">
        <w:rPr>
          <w:rFonts w:ascii="Times New Roman" w:eastAsia="Calibri" w:hAnsi="Times New Roman" w:cs="Times New Roman"/>
          <w:color w:val="000000" w:themeColor="text1"/>
          <w:sz w:val="28"/>
          <w:szCs w:val="28"/>
          <w:shd w:val="clear" w:color="auto" w:fill="FFFFFF"/>
          <w:lang w:eastAsia="ru-RU"/>
        </w:rPr>
        <w:t>De asemenea, se propune stabilirea unei metode noi de calculul a uzurii în scopuri fiscale, și anume metoda liniară, care implică</w:t>
      </w:r>
      <w:r w:rsidR="00FC4464" w:rsidRPr="00C916F4">
        <w:rPr>
          <w:rFonts w:ascii="Times New Roman" w:eastAsia="Times New Roman" w:hAnsi="Times New Roman" w:cs="Times New Roman"/>
          <w:color w:val="000000" w:themeColor="text1"/>
          <w:sz w:val="28"/>
          <w:szCs w:val="28"/>
        </w:rPr>
        <w:t xml:space="preserve"> următoarele avantaje:</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 simplificarea modului de calcul atît pentru agentul economic cît și pentru organele de control;</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 reducerea timpului și personalului necesar pentru calculul și evidența uzurii în scopuri fiscale;</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  excluderea riscului  admiterii unor erori la efectuarea calcului;</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 excluderea riscului sancționării de către organele de control;</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 asigurarea echilibrului și previzibilității estimării cheltuielilor  permise spre deducere în scopuri fiscale, în contextul în care reportarea pierderile fiscale se realizează în mărimi arbitrare;</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lastRenderedPageBreak/>
        <w:t>- se aplică în majoritatea statelor;</w:t>
      </w:r>
    </w:p>
    <w:p w:rsidR="00FC4464" w:rsidRPr="00C916F4" w:rsidRDefault="00FC4464" w:rsidP="00C916F4">
      <w:pPr>
        <w:shd w:val="clear" w:color="auto" w:fill="FFFFFF"/>
        <w:tabs>
          <w:tab w:val="left" w:pos="567"/>
          <w:tab w:val="left" w:pos="1080"/>
        </w:tabs>
        <w:spacing w:after="0" w:line="276" w:lineRule="auto"/>
        <w:ind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 sistemului actual este unul ineficient și nu asigură efectul degresiv în cazul investițiilor în mijloacele fixe.</w:t>
      </w:r>
    </w:p>
    <w:p w:rsidR="00FC4464" w:rsidRPr="00C916F4" w:rsidRDefault="00FC4464" w:rsidP="00C916F4">
      <w:pPr>
        <w:pStyle w:val="ListParagraph"/>
        <w:numPr>
          <w:ilvl w:val="0"/>
          <w:numId w:val="5"/>
        </w:numPr>
        <w:shd w:val="clear" w:color="auto" w:fill="FFFFFF"/>
        <w:tabs>
          <w:tab w:val="left" w:pos="567"/>
          <w:tab w:val="left" w:pos="1080"/>
        </w:tabs>
        <w:spacing w:after="0" w:line="276" w:lineRule="auto"/>
        <w:ind w:left="0" w:firstLine="567"/>
        <w:jc w:val="both"/>
        <w:rPr>
          <w:rFonts w:ascii="Times New Roman" w:eastAsia="Times New Roman" w:hAnsi="Times New Roman" w:cs="Times New Roman"/>
          <w:color w:val="000000" w:themeColor="text1"/>
          <w:sz w:val="28"/>
          <w:szCs w:val="28"/>
        </w:rPr>
      </w:pPr>
      <w:r w:rsidRPr="00C916F4">
        <w:rPr>
          <w:rFonts w:ascii="Times New Roman" w:eastAsia="Times New Roman" w:hAnsi="Times New Roman" w:cs="Times New Roman"/>
          <w:color w:val="000000" w:themeColor="text1"/>
          <w:sz w:val="28"/>
          <w:szCs w:val="28"/>
        </w:rPr>
        <w:t>Se propune excluderea din categoria subiecţilor impunerii ai regimului fiscal al agenţilor economici subiecţi ai sectorului întreprinderilor mici şi mijlocii a agențiilor economici la care ponderea venitului pentru anul precedent din prestarea de servicii de management sau de consultanță este mai mare de 70% pentru perioada fiscală precedentă din total venituri. Astfel, această categorie de agenți economici urmează să achite impozitul pe venit conform normelor general stabilite.</w:t>
      </w:r>
    </w:p>
    <w:p w:rsidR="00FC4464" w:rsidRPr="00C916F4" w:rsidRDefault="00FC4464" w:rsidP="00C916F4">
      <w:pPr>
        <w:pStyle w:val="cb"/>
        <w:tabs>
          <w:tab w:val="left" w:pos="567"/>
          <w:tab w:val="left" w:pos="1080"/>
        </w:tabs>
        <w:spacing w:line="276" w:lineRule="auto"/>
        <w:ind w:firstLine="567"/>
        <w:jc w:val="both"/>
        <w:rPr>
          <w:b w:val="0"/>
          <w:bCs w:val="0"/>
          <w:color w:val="000000" w:themeColor="text1"/>
          <w:sz w:val="28"/>
          <w:szCs w:val="28"/>
          <w:lang w:val="ro-RO" w:eastAsia="en-US"/>
        </w:rPr>
      </w:pPr>
      <w:r w:rsidRPr="00C916F4">
        <w:rPr>
          <w:b w:val="0"/>
          <w:bCs w:val="0"/>
          <w:color w:val="000000" w:themeColor="text1"/>
          <w:sz w:val="28"/>
          <w:szCs w:val="28"/>
          <w:lang w:val="ro-RO" w:eastAsia="en-US"/>
        </w:rPr>
        <w:t>Măsura are drept scop prevenirea cazurilor de optimizare fiscală în partea ce ține de impozitul pe venit din activitatea de întreprinzător.</w:t>
      </w:r>
    </w:p>
    <w:p w:rsidR="00FC4464" w:rsidRPr="00C916F4" w:rsidRDefault="00FC4464" w:rsidP="00C916F4">
      <w:pPr>
        <w:pStyle w:val="subdiviziune"/>
        <w:shd w:val="clear" w:color="auto" w:fill="FCFDFE"/>
        <w:tabs>
          <w:tab w:val="left" w:pos="567"/>
          <w:tab w:val="left" w:pos="1080"/>
        </w:tabs>
        <w:spacing w:before="0" w:beforeAutospacing="0" w:after="0" w:afterAutospacing="0" w:line="276" w:lineRule="auto"/>
        <w:ind w:firstLine="567"/>
        <w:jc w:val="both"/>
        <w:rPr>
          <w:color w:val="000000" w:themeColor="text1"/>
          <w:sz w:val="28"/>
          <w:szCs w:val="28"/>
          <w:lang w:val="ro-RO" w:eastAsia="en-US"/>
        </w:rPr>
      </w:pPr>
      <w:r w:rsidRPr="00C916F4">
        <w:rPr>
          <w:color w:val="000000" w:themeColor="text1"/>
          <w:sz w:val="28"/>
          <w:szCs w:val="28"/>
          <w:lang w:val="ro-RO" w:eastAsia="en-US"/>
        </w:rPr>
        <w:t>Totodată, menţionăm că, pct.70.22 din Nomenclatorul CAEM prevede că, activităţile de consultanţă pentru afaceri şi management include acordarea de consultaţii, îndrumare şi asistenţă operaţională pentru firme şi alte organizaţii pe probleme de management, cum ar fi: planificarea strategică şi organizatorică, procese de retehnologizare, managementul schimbărilor, reducerea costurilor şi alte probleme financiare, obiective şi strategii de marketing, planificarea şi politici privind resursele umane, strategii de compensare şi pensionare, planificarea producţiei şi planificarea controlului.</w:t>
      </w:r>
    </w:p>
    <w:p w:rsidR="00A664DF" w:rsidRPr="00C916F4" w:rsidRDefault="00A664DF" w:rsidP="005E06F9">
      <w:pPr>
        <w:pStyle w:val="ListParagraph"/>
        <w:numPr>
          <w:ilvl w:val="0"/>
          <w:numId w:val="5"/>
        </w:numPr>
        <w:tabs>
          <w:tab w:val="left" w:pos="567"/>
          <w:tab w:val="left" w:pos="710"/>
        </w:tabs>
        <w:spacing w:after="0" w:line="276" w:lineRule="auto"/>
        <w:ind w:left="0" w:firstLine="709"/>
        <w:jc w:val="both"/>
        <w:rPr>
          <w:rFonts w:ascii="Times New Roman" w:hAnsi="Times New Roman" w:cs="Times New Roman"/>
          <w:sz w:val="28"/>
          <w:szCs w:val="28"/>
        </w:rPr>
      </w:pPr>
      <w:r w:rsidRPr="00C916F4">
        <w:rPr>
          <w:rFonts w:ascii="Times New Roman" w:hAnsi="Times New Roman" w:cs="Times New Roman"/>
          <w:sz w:val="28"/>
          <w:szCs w:val="28"/>
        </w:rPr>
        <w:t xml:space="preserve">Se propune majorarea </w:t>
      </w:r>
      <w:r w:rsidR="00C01433" w:rsidRPr="00C916F4">
        <w:rPr>
          <w:rFonts w:ascii="Times New Roman" w:hAnsi="Times New Roman" w:cs="Times New Roman"/>
          <w:sz w:val="28"/>
          <w:szCs w:val="28"/>
        </w:rPr>
        <w:t>impozitului pe venitul persoanelor</w:t>
      </w:r>
      <w:r w:rsidRPr="00C916F4">
        <w:rPr>
          <w:rFonts w:ascii="Times New Roman" w:hAnsi="Times New Roman" w:cs="Times New Roman"/>
          <w:sz w:val="28"/>
          <w:szCs w:val="28"/>
        </w:rPr>
        <w:t xml:space="preserve"> fizice cetățeni din livrarea agenților economici a producţiei agricole, de la 3% la 5%. Această măsură are drept scop asigurarea echității fiscale față de cetățenii care realizează venituri altele decât cele salariale, prin egalarea cotelor impozitului la cotele standard stabilite pentru persoanele fizice cetățeni.</w:t>
      </w:r>
      <w:r w:rsidR="005E06F9">
        <w:rPr>
          <w:rFonts w:ascii="Times New Roman" w:hAnsi="Times New Roman" w:cs="Times New Roman"/>
          <w:sz w:val="28"/>
          <w:szCs w:val="28"/>
        </w:rPr>
        <w:t xml:space="preserve"> </w:t>
      </w:r>
      <w:r w:rsidR="005E06F9" w:rsidRPr="005E06F9">
        <w:rPr>
          <w:rFonts w:ascii="Times New Roman" w:hAnsi="Times New Roman" w:cs="Times New Roman"/>
          <w:sz w:val="28"/>
          <w:szCs w:val="28"/>
        </w:rPr>
        <w:t xml:space="preserve">(costul măsurii constituie: </w:t>
      </w:r>
      <w:r w:rsidR="005E06F9">
        <w:rPr>
          <w:rFonts w:ascii="Times New Roman" w:hAnsi="Times New Roman" w:cs="Times New Roman"/>
          <w:sz w:val="28"/>
          <w:szCs w:val="28"/>
        </w:rPr>
        <w:t>+ 50</w:t>
      </w:r>
      <w:r w:rsidR="005E06F9" w:rsidRPr="005E06F9">
        <w:rPr>
          <w:rFonts w:ascii="Times New Roman" w:hAnsi="Times New Roman" w:cs="Times New Roman"/>
          <w:sz w:val="28"/>
          <w:szCs w:val="28"/>
        </w:rPr>
        <w:t xml:space="preserve"> mln, lei).</w:t>
      </w:r>
    </w:p>
    <w:p w:rsidR="003437AF" w:rsidRPr="00C916F4" w:rsidRDefault="003437AF"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Obiectivul prioritar al politicii fiscale, în domeniul taxei pe valoarea adăugată, precum și în conformitate cu angajamentele asumate prin art.57 și anexa VI din Acordul de Asociere între Republica Moldova și Uniunea Europeană și Comunitatea Europeană a Energiei Atomice și statele membre ale acestora, ratificat de Republica Moldova prin Legea nr.112 din 02.07.2014 (în continuare – Acordul de Asociere), îl reprezintă transpunerea Directivelor Uniunii Europene în domeniul impozitării indirecte, cum ar fi: </w:t>
      </w:r>
    </w:p>
    <w:p w:rsidR="003437AF" w:rsidRPr="00C916F4" w:rsidRDefault="003437AF" w:rsidP="00C916F4">
      <w:pPr>
        <w:pStyle w:val="ListParagraph"/>
        <w:numPr>
          <w:ilvl w:val="0"/>
          <w:numId w:val="10"/>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Directiva 2006/112/CE a Consiliului din 28.11.2006 privind sistemul comun al taxei pe valoarea adăugată;</w:t>
      </w:r>
    </w:p>
    <w:p w:rsidR="003437AF" w:rsidRPr="00C916F4" w:rsidRDefault="003437AF" w:rsidP="00C916F4">
      <w:pPr>
        <w:pStyle w:val="ListParagraph"/>
        <w:numPr>
          <w:ilvl w:val="0"/>
          <w:numId w:val="10"/>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A treisprezecea directivă a Consiliului din 17.11.1986 privind armonizarea legislațiilor statelor membre referitoare la impozitele pe cifra de afaceri – Sisteme de </w:t>
      </w:r>
      <w:r w:rsidRPr="00C916F4">
        <w:rPr>
          <w:rFonts w:ascii="Times New Roman" w:hAnsi="Times New Roman" w:cs="Times New Roman"/>
          <w:sz w:val="28"/>
          <w:szCs w:val="28"/>
        </w:rPr>
        <w:lastRenderedPageBreak/>
        <w:t>restituire a taxei pe valoarea adăugată persoanelor impozabile care nu sunt stabilite pe teritoriul Comunității (86/560/CEE).</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Titlul III aferent taxei pe valoarea adăugată se armonizează gradual la prevederile Directivelor Uniunii Europene, luînd în considerație termenii de armonizare prevăzute în Acordul de Asociere RM-UE, în conformitate cu următoarele perioade:</w:t>
      </w:r>
    </w:p>
    <w:p w:rsidR="003437AF" w:rsidRPr="00C916F4" w:rsidRDefault="003437AF" w:rsidP="00C916F4">
      <w:pPr>
        <w:pStyle w:val="ListParagraph"/>
        <w:numPr>
          <w:ilvl w:val="0"/>
          <w:numId w:val="11"/>
        </w:numPr>
        <w:tabs>
          <w:tab w:val="left" w:pos="567"/>
          <w:tab w:val="left" w:pos="993"/>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pînă la 01.09.2017 - se propune de a revizui și examina norme ce țin de obiectul și sfera de aplicare a TVA, operațiunile care cad sub incidența TVA (baza impozabilă), faptul generator și exigibilitatea TVA, revizuirea și introducerea noțiunilor noi (deducerea TVA, scutire de TVA cu drept de deducere etc.);</w:t>
      </w:r>
    </w:p>
    <w:p w:rsidR="003437AF" w:rsidRPr="00C916F4" w:rsidRDefault="003437AF" w:rsidP="00C916F4">
      <w:pPr>
        <w:pStyle w:val="ListParagraph"/>
        <w:numPr>
          <w:ilvl w:val="0"/>
          <w:numId w:val="11"/>
        </w:numPr>
        <w:tabs>
          <w:tab w:val="left" w:pos="567"/>
          <w:tab w:val="left" w:pos="993"/>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pînă la 01.09.2019 - urmează a fi analizate scutiril</w:t>
      </w:r>
      <w:r w:rsidR="00D471A1">
        <w:rPr>
          <w:rFonts w:ascii="Times New Roman" w:hAnsi="Times New Roman" w:cs="Times New Roman"/>
          <w:sz w:val="28"/>
          <w:szCs w:val="28"/>
        </w:rPr>
        <w:t>e</w:t>
      </w:r>
      <w:r w:rsidRPr="00C916F4">
        <w:rPr>
          <w:rFonts w:ascii="Times New Roman" w:hAnsi="Times New Roman" w:cs="Times New Roman"/>
          <w:sz w:val="28"/>
          <w:szCs w:val="28"/>
        </w:rPr>
        <w:t xml:space="preserve"> de TVA aferente importului/livrărilor de mărfuri și servicii.</w:t>
      </w:r>
    </w:p>
    <w:p w:rsidR="003437AF" w:rsidRPr="00C916F4" w:rsidRDefault="003437AF" w:rsidP="00C916F4">
      <w:pPr>
        <w:pStyle w:val="ListParagraph"/>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Astfel, legislația fiscală privind taxa pe valoarea adăugată se propune a fi modificată în vederea armonizării cu prevederile Directivelor UE menționate după cum urmează:</w:t>
      </w:r>
    </w:p>
    <w:p w:rsidR="003437AF" w:rsidRPr="00C916F4" w:rsidRDefault="003437AF" w:rsidP="00C916F4">
      <w:pPr>
        <w:pStyle w:val="ListParagraph"/>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Locul operațiunilor taxabile (titlul V, art. 31-32);</w:t>
      </w:r>
    </w:p>
    <w:p w:rsidR="003437AF" w:rsidRPr="00C916F4" w:rsidRDefault="003437AF" w:rsidP="00C916F4">
      <w:pPr>
        <w:pStyle w:val="ListParagraph"/>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Locul operațiunilor taxabile (titlul V, art.36 alin.(1),  art. 38, 39, 43-49, 53-56 și 58-61);</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Faptul generator și exigibilitatea TVA (titlul VI, art. 62-66, 70 și 71);</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Baza de impozitare (titlul VII, art. 72-82 și 85-92);</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Deducerile aplicabile persoanelor impozabile – persoane juridice (titlul X, art. 167-169 și 173-192).</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Este oportun să menționăm că, în cadrul examinării prevederilor legislației fiscale și a Directivelor UE, în ceea ce privește TVA, s-a constatat, inter alia, că: </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a) cota standard se află în limitele admise de Directiva 2006/112/CE;</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b) existența ratei zero este împotriva acestei directive, fiind necesar a fi luate măsuri în anumite domenii pentru armonizare;</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c) scutirile de TVA depășesc nivelul permis;</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d) pragul minim pentru ca o entitate să devină plătitoare de TVA urmează a fi examinată în contextul majorării acesteia;</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e) inexistența unor cerințe administrative privind sistemul fiscal al TVA.</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Principalele modificări ce urmează a fi examinate și incluse în proiectul Titlului III privind taxa pe valoarea adăugată, sunt prezentate în cele ce urmează:</w:t>
      </w:r>
    </w:p>
    <w:p w:rsidR="003437AF" w:rsidRPr="00C916F4" w:rsidRDefault="003437AF" w:rsidP="00C916F4">
      <w:pPr>
        <w:pStyle w:val="ListParagraph"/>
        <w:numPr>
          <w:ilvl w:val="0"/>
          <w:numId w:val="13"/>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locul prestării serviciilor și livrării mărfurilor;</w:t>
      </w:r>
    </w:p>
    <w:p w:rsidR="003437AF" w:rsidRPr="00C916F4" w:rsidRDefault="003437AF" w:rsidP="00C916F4">
      <w:pPr>
        <w:pStyle w:val="ListParagraph"/>
        <w:numPr>
          <w:ilvl w:val="0"/>
          <w:numId w:val="13"/>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faptul generator și exigibilitatea TVA (termenii obligației fiscale aferent TVA și data achitării TVA);</w:t>
      </w:r>
    </w:p>
    <w:p w:rsidR="003437AF" w:rsidRPr="00C916F4" w:rsidRDefault="003437AF" w:rsidP="00C916F4">
      <w:pPr>
        <w:pStyle w:val="ListParagraph"/>
        <w:numPr>
          <w:ilvl w:val="0"/>
          <w:numId w:val="13"/>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deducerile (trecerea în cont) aplicabile subiecților impozabili – persoane juridice.</w:t>
      </w:r>
    </w:p>
    <w:p w:rsidR="00C8660D" w:rsidRPr="00C916F4" w:rsidRDefault="00C8660D"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lastRenderedPageBreak/>
        <w:t>Se propune acordarea dreptului de restituire a sumei TVA pentru întreprinderile ce produc lapte nesupus unui tratament termic corespunzător şi destinat consumului direct sau prelucrării ulterioare.</w:t>
      </w:r>
    </w:p>
    <w:p w:rsidR="00C8660D" w:rsidRPr="00C916F4" w:rsidRDefault="00C8660D" w:rsidP="00C916F4">
      <w:pPr>
        <w:pStyle w:val="ListParagraph"/>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Prin modificările respective producătorii autohtoni de lapte vor fi trataţi în mod egal cu procesatorii de lapte.</w:t>
      </w:r>
    </w:p>
    <w:p w:rsidR="00C8660D" w:rsidRPr="00C916F4" w:rsidRDefault="00C8660D"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 Totodată, se propune ca restituirea sumei TVA aferente producţiei de pîine şi produse de panificaţie şi lapte şi produse lactate să se efectueze în limita de 12% din valoarea livrării ce se impozitează la cota redusă.</w:t>
      </w:r>
    </w:p>
    <w:p w:rsidR="00C8660D" w:rsidRPr="00C916F4" w:rsidRDefault="00C8660D"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 Modificarea respectivă este condiţionată de raţionamentul economic prin care agentul economic care achită 8% la bugetul de stat pentru valorile materiale, serviciile procurate pentru efectuarea livrărilor de pîine şi produse de panificaţie şi lapte şi produse lactate, poate beneficia de restituirea TVA în limita diferenţei dintre cota standard şi cota redusă a TVA (20%-8%).</w:t>
      </w:r>
    </w:p>
    <w:p w:rsidR="00255467" w:rsidRPr="00C916F4" w:rsidRDefault="00255467"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Se propune excluderea dreptului de trecere în cont a sumei TVA aferent cheltuielilor efectuate pînă la momentul înregistrării şi legate de procurarea mijloacelor fixe cu destinaţie de producţie în agricultură, de construcţia şi reconstrucţia obiectelor cu destinaţie de producţie în agricultură, de crearea şi întreţinerea plantaţiilor tinere, de creşterea tineretului animal şi întreţinerea cirezilor.</w:t>
      </w:r>
    </w:p>
    <w:p w:rsidR="00255467" w:rsidRPr="00C916F4" w:rsidRDefault="00255467"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Aceasta se argumentează prin faptul că art.112 din Codul fiscal prevede dreptul agentului economic de a se înregistra ca plătitor a TVA benevol, cînd preconizează efectuarea livrărilor impozabile de mărfuri sau servicii. Astfel, acordarea dreptului de trecere în cont a mijloacelor fixe în cazul existenţei înregistrări benevole nu mai este actual.</w:t>
      </w:r>
    </w:p>
    <w:p w:rsidR="00F2751E" w:rsidRPr="00C916F4" w:rsidRDefault="00F2751E"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Î</w:t>
      </w:r>
      <w:r w:rsidR="001B17A9" w:rsidRPr="00C916F4">
        <w:rPr>
          <w:rFonts w:ascii="Times New Roman" w:hAnsi="Times New Roman" w:cs="Times New Roman"/>
          <w:sz w:val="28"/>
          <w:szCs w:val="28"/>
        </w:rPr>
        <w:t xml:space="preserve">n </w:t>
      </w:r>
      <w:r w:rsidRPr="00C916F4">
        <w:rPr>
          <w:rFonts w:ascii="Times New Roman" w:hAnsi="Times New Roman" w:cs="Times New Roman"/>
          <w:sz w:val="28"/>
          <w:szCs w:val="28"/>
        </w:rPr>
        <w:t>vederea excluderii interpretării duale, se propune reglementarea termenului de modificarea regimului fiscal, care presupune schimbarea printr-un act legislativ regimul de impozitare din scutit în impozabil sau invers, sau schimbarea destinaţiei utilizării mărfurilor pentru efectuarea livrărilor impozabile sau scutite.</w:t>
      </w:r>
    </w:p>
    <w:p w:rsidR="00F2751E" w:rsidRPr="00C916F4" w:rsidRDefault="00F2751E"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De asemenea, în scopul evitării situaţiilor în care agenţii economici sunt obligaţi să depună Declaraţii fiscale privind TVA corectate condiţionate de deducerea sumei TVA aferentă facturii fiscale recepţionate cu întîrziere, se propune acordarea dreptului agentului economic la deducerea sumei TVA în perioada fiscală în care a fost recepţiontă efectiv factura fiscală, indiferent de perioada fiscală în care a fost eliberată factura fiscală.</w:t>
      </w:r>
    </w:p>
    <w:p w:rsidR="00F2751E" w:rsidRPr="00C916F4" w:rsidRDefault="00F2751E"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Subsidiar, se propune reglementarea documentelor confirmative ce urmează a fi prezentate pentru beneficierea de resti</w:t>
      </w:r>
      <w:r w:rsidR="005C420C" w:rsidRPr="00C916F4">
        <w:rPr>
          <w:rFonts w:ascii="Times New Roman" w:hAnsi="Times New Roman" w:cs="Times New Roman"/>
          <w:sz w:val="28"/>
          <w:szCs w:val="28"/>
        </w:rPr>
        <w:t>t</w:t>
      </w:r>
      <w:r w:rsidRPr="00C916F4">
        <w:rPr>
          <w:rFonts w:ascii="Times New Roman" w:hAnsi="Times New Roman" w:cs="Times New Roman"/>
          <w:sz w:val="28"/>
          <w:szCs w:val="28"/>
        </w:rPr>
        <w:t>uirea sumei TVA la nivel de act normativ.</w:t>
      </w:r>
      <w:r w:rsidR="003437AF" w:rsidRPr="00C916F4">
        <w:rPr>
          <w:rFonts w:ascii="Times New Roman" w:hAnsi="Times New Roman" w:cs="Times New Roman"/>
          <w:sz w:val="28"/>
          <w:szCs w:val="28"/>
        </w:rPr>
        <w:t xml:space="preserve"> </w:t>
      </w:r>
      <w:r w:rsidRPr="00C916F4">
        <w:rPr>
          <w:rFonts w:ascii="Times New Roman" w:hAnsi="Times New Roman" w:cs="Times New Roman"/>
          <w:sz w:val="28"/>
          <w:szCs w:val="28"/>
        </w:rPr>
        <w:t xml:space="preserve">Menţionăm că, documentele confirmative ce urmează a fi prezentate de agentul </w:t>
      </w:r>
      <w:r w:rsidRPr="00C916F4">
        <w:rPr>
          <w:rFonts w:ascii="Times New Roman" w:hAnsi="Times New Roman" w:cs="Times New Roman"/>
          <w:sz w:val="28"/>
          <w:szCs w:val="28"/>
        </w:rPr>
        <w:lastRenderedPageBreak/>
        <w:t>economic în scopul beneficierii de restituirea de TVA reprezintă aspecte de ordin tehnic şi administrativ care pot fi modificate şi completate fără mari tergiversări în cazul în care acestea sunt reglementate prin Hotărîre de Guvern.</w:t>
      </w:r>
    </w:p>
    <w:p w:rsidR="006A398E" w:rsidRPr="00C916F4" w:rsidRDefault="00F2751E"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De asemenea, informăm că, atît practica internaţională, cît şi experţii străini recomandă ca toate prevederile de ordin administrativ, inclusiv documentele confirmative, să fie reglementate într-un act normativ, în vederea evitării împovărării conţinutului Codului fiscal.</w:t>
      </w:r>
    </w:p>
    <w:p w:rsidR="003437AF" w:rsidRPr="00C916F4" w:rsidRDefault="003437AF"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Se propune acordarea scutirii de TVA pentru hîrtii speciale importate pentru marcarea mărfurilor supuse accizelor destinate exportului.</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Or, conform regulii generale de interpretare 1 a Nomenclaturii combinate a mărfurilor, aprobate prin Legea nr.172 din 25.07.2014, clasificarea mărfurilor se realizează reieşind din textul poziţiilor mărfurilor şi al notelor corespunzătoare referitoare la secţiuni sau capitole. Astfel, poziția tarifară 4907 cuprinde timbre poștale, timbre fiscale şi similare, neobliterate, în circulaţie sau urmînd a fi puse în circulaţie în ţara în care ele au sau vor avea o valoare nominală recunoscută; hîrtie timbrată; bancnote; cecuri; titluri de acţiuni sau obligaţiuni şi titluri similare.</w:t>
      </w:r>
    </w:p>
    <w:p w:rsidR="003437AF" w:rsidRPr="00C916F4" w:rsidRDefault="003437AF"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Reieșind din faptul că, timbrele de acciz importate nu sunt puse în liberă circulație pe teritoriul Republicii Moldova, dar sunt importate și utilizate pentru marcarea mărfurilor supuse accizelor destinate exportului, acestea nu au o valoare nominală recunoscută în Republica Moldova și marfa în cauză este interpretată ca hîrtie clasificată la subpoziția tarifară 490700900.</w:t>
      </w:r>
    </w:p>
    <w:p w:rsidR="00CD3F56" w:rsidRPr="00C916F4" w:rsidRDefault="003437AF"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 În vederea îmbunătăţirii climatului investiţional şi reducerii costurilor de transport aferent mărfurilor destinate exportului, se propune acordarea scutirii de T.V.A. pentru serviciile de transport livrate în Portul Internaţional Liber Giurgiuleşti şi Aeroportul Internaţional Liber Mărculeşti din restul teritoriului vamal al Republicii Moldova, precum şi a celor livrate de către rezidenţii diferitor zone economice libere ale Republicii Moldova, Portului Internaţional Liber Giurgiuleşti, Aeroportului Internaţional Liber Mărculeşti unul altuia.</w:t>
      </w:r>
    </w:p>
    <w:p w:rsidR="003437AF" w:rsidRPr="00C916F4" w:rsidRDefault="003437AF"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Se propune aplicarea scutirii de TVA cu drept de deducere la aprovizionarea cu combustibil și mărfuri a navelor sub pavilion moldovenesc care sunt implicate în transport internațional.</w:t>
      </w:r>
    </w:p>
    <w:p w:rsidR="003437AF" w:rsidRPr="00C916F4" w:rsidRDefault="003437AF" w:rsidP="00C916F4">
      <w:pPr>
        <w:pStyle w:val="ListParagraph"/>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Modificarea se propune în vederea armonizării la practicile internaţionale similar aprovizionării cu combustibil a aeronavelor, indiferent în a cărui proprietate se află (autohton sau străin).</w:t>
      </w:r>
    </w:p>
    <w:p w:rsidR="00CD3F56" w:rsidRPr="00C916F4" w:rsidRDefault="00CD3F56"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 În contextul excluderii tratării duale a prevederilor aferente aplicării facilităţilor fiscale aferent proiectelor de asistenţă tehnică şi investiţională, se propune </w:t>
      </w:r>
      <w:r w:rsidRPr="00C916F4">
        <w:rPr>
          <w:rFonts w:ascii="Times New Roman" w:hAnsi="Times New Roman" w:cs="Times New Roman"/>
          <w:sz w:val="28"/>
          <w:szCs w:val="28"/>
        </w:rPr>
        <w:lastRenderedPageBreak/>
        <w:t>reglementarea tratamentului fiscal aferent TVA, accizei, taxei vamale şi taxei pentru efectuarea procedurilor vamale în cazul contribuţiei parţiale a beneficiarului cu sursele sale proprii în scopul realizării proiectului de asistenţă tehnică sau investiţională.</w:t>
      </w:r>
    </w:p>
    <w:p w:rsidR="00CD3F56" w:rsidRPr="00C916F4" w:rsidRDefault="00CD3F56"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Astfel, conform modificărilor propuse, în cazul în care mărfurile, serviciile destinate realizării proiectelor de asistenţă tehnică şi/sau investiţională sunt finanţate în mărime 60% din sursele donatorului, atunci scutirea de TVA cu drept de deducere, accize, taxă vamală şi taxa pentru efectuarea procedurilor vamale se aplică integral pentru toată valoarea investiţiei.</w:t>
      </w:r>
    </w:p>
    <w:p w:rsidR="00CD3F56" w:rsidRPr="00C916F4" w:rsidRDefault="00CD3F56" w:rsidP="00C916F4">
      <w:pPr>
        <w:tabs>
          <w:tab w:val="left" w:pos="567"/>
          <w:tab w:val="left" w:pos="1080"/>
        </w:tabs>
        <w:spacing w:after="0" w:line="276" w:lineRule="auto"/>
        <w:ind w:firstLine="567"/>
        <w:jc w:val="both"/>
        <w:rPr>
          <w:rFonts w:ascii="Times New Roman" w:hAnsi="Times New Roman" w:cs="Times New Roman"/>
          <w:sz w:val="28"/>
          <w:szCs w:val="28"/>
        </w:rPr>
      </w:pPr>
      <w:r w:rsidRPr="00C916F4">
        <w:rPr>
          <w:rFonts w:ascii="Times New Roman" w:hAnsi="Times New Roman" w:cs="Times New Roman"/>
          <w:sz w:val="28"/>
          <w:szCs w:val="28"/>
        </w:rPr>
        <w:t>În cazul în care mărfurile, serviciile destinate realizării proiectelor de asistenţă tehnică şi/sau investiţională sunt finanţate în mărime de mai puţin de 60% din sursele donatorului, atunci scutirea de TVA cu drept de deducere, accize, taxă vamală şi taxa pentru efectuarea procedurilor vamale se aplică proporţional contribuţiei donatorului.</w:t>
      </w:r>
    </w:p>
    <w:p w:rsidR="00CD3F56" w:rsidRPr="00C916F4" w:rsidRDefault="00CD3F56" w:rsidP="00C916F4">
      <w:pPr>
        <w:pStyle w:val="ListParagraph"/>
        <w:numPr>
          <w:ilvl w:val="0"/>
          <w:numId w:val="5"/>
        </w:numPr>
        <w:tabs>
          <w:tab w:val="left" w:pos="567"/>
          <w:tab w:val="left" w:pos="1080"/>
        </w:tabs>
        <w:spacing w:line="276" w:lineRule="auto"/>
        <w:ind w:left="0" w:firstLine="567"/>
        <w:rPr>
          <w:rFonts w:ascii="Times New Roman" w:hAnsi="Times New Roman" w:cs="Times New Roman"/>
          <w:sz w:val="28"/>
          <w:szCs w:val="28"/>
        </w:rPr>
      </w:pPr>
      <w:r w:rsidRPr="00C916F4">
        <w:rPr>
          <w:rFonts w:ascii="Times New Roman" w:hAnsi="Times New Roman" w:cs="Times New Roman"/>
          <w:sz w:val="28"/>
          <w:szCs w:val="28"/>
        </w:rPr>
        <w:t>De asemenea proiectul de lege prevede aplicarea principiilor generale de înregistrare în calitate de plătitor al TVA în cazul prestării serviciile de către instituţiile medico-sanitare publice şi private.</w:t>
      </w:r>
    </w:p>
    <w:p w:rsidR="00CD3F56" w:rsidRPr="00C916F4" w:rsidRDefault="00CD3F56"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sz w:val="28"/>
          <w:szCs w:val="28"/>
        </w:rPr>
      </w:pPr>
      <w:r w:rsidRPr="00C916F4">
        <w:rPr>
          <w:rFonts w:ascii="Times New Roman" w:hAnsi="Times New Roman" w:cs="Times New Roman"/>
          <w:sz w:val="28"/>
          <w:szCs w:val="28"/>
        </w:rPr>
        <w:t xml:space="preserve"> În vederea diminuării fenomenului de evaziune fiscală se propune utilizarea obligatorie a facturii fiscale electronice de către anumite categorii de agenți economici și de către subiecții impozabili care efectuează livrări impozabile în cadrul achizițiilor publice, în contextul identificării potențialilor utilizatori, reieșind din una din atribuțiile Serviciului Fiscal de Stat și anume diminuarea fenomenului de evaziune fiscală.</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Obiectivul prioritar al politicii fiscale, în domeniul accizelor, precum și în conformitate cu angajamentele asumate prin art.57 și anexa VI din Acordul de Asociere între Republica Moldova și Uniunea Europeană și Comunitatea Europeană a Energiei Atomice și statele membre ale acestora, ratificat de Republica Moldova prin Legea nr.112 din 02.07.2014 (</w:t>
      </w:r>
      <w:r w:rsidRPr="00C916F4">
        <w:rPr>
          <w:rFonts w:ascii="Times New Roman" w:eastAsia="Times New Roman" w:hAnsi="Times New Roman" w:cs="Times New Roman"/>
          <w:i/>
          <w:sz w:val="28"/>
          <w:szCs w:val="28"/>
          <w:lang w:eastAsia="ru-RU"/>
        </w:rPr>
        <w:t>în continuare – Acordul de Asociere</w:t>
      </w:r>
      <w:r w:rsidRPr="00C916F4">
        <w:rPr>
          <w:rFonts w:ascii="Times New Roman" w:eastAsia="Times New Roman" w:hAnsi="Times New Roman" w:cs="Times New Roman"/>
          <w:sz w:val="28"/>
          <w:szCs w:val="28"/>
          <w:lang w:eastAsia="ru-RU"/>
        </w:rPr>
        <w:t xml:space="preserve">), îl reprezintă transpunerea Directivelor Uniunii Europene în domeniul impozitării indirecte, cum ar fi: </w:t>
      </w:r>
    </w:p>
    <w:p w:rsidR="00A753AB" w:rsidRPr="00C916F4" w:rsidRDefault="00A753AB" w:rsidP="00C916F4">
      <w:pPr>
        <w:numPr>
          <w:ilvl w:val="0"/>
          <w:numId w:val="15"/>
        </w:numPr>
        <w:tabs>
          <w:tab w:val="left" w:pos="150"/>
          <w:tab w:val="left" w:pos="567"/>
          <w:tab w:val="left" w:pos="1080"/>
        </w:tabs>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Directiva 2011/64/UE a Consiliului din 21.06.2011 privind structura și ratele accizelor aplicate tutunului prelucrat;</w:t>
      </w:r>
    </w:p>
    <w:p w:rsidR="00A753AB" w:rsidRPr="00C916F4" w:rsidRDefault="00A753AB" w:rsidP="00C916F4">
      <w:pPr>
        <w:numPr>
          <w:ilvl w:val="0"/>
          <w:numId w:val="15"/>
        </w:numPr>
        <w:tabs>
          <w:tab w:val="left" w:pos="150"/>
          <w:tab w:val="left" w:pos="567"/>
          <w:tab w:val="left" w:pos="1080"/>
        </w:tabs>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Directiva 92/83/CEE a Consiliului din 19.10.1992 privind armonizarea structurilor accizelor la alcool și băuturi alcoolice;</w:t>
      </w:r>
    </w:p>
    <w:p w:rsidR="00A753AB" w:rsidRPr="00C916F4" w:rsidRDefault="00A753AB" w:rsidP="00C916F4">
      <w:pPr>
        <w:numPr>
          <w:ilvl w:val="0"/>
          <w:numId w:val="15"/>
        </w:numPr>
        <w:tabs>
          <w:tab w:val="left" w:pos="150"/>
          <w:tab w:val="left" w:pos="567"/>
          <w:tab w:val="left" w:pos="1080"/>
        </w:tabs>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Directiva 2003/96/CE a Consiliului din 27.10.2003 privind restructurarea cadrului comunitar de impozitare a produselor energetice și a electricității;</w:t>
      </w:r>
    </w:p>
    <w:p w:rsidR="00A753AB" w:rsidRPr="00C916F4" w:rsidRDefault="00A753AB" w:rsidP="00C916F4">
      <w:pPr>
        <w:numPr>
          <w:ilvl w:val="0"/>
          <w:numId w:val="15"/>
        </w:numPr>
        <w:tabs>
          <w:tab w:val="left" w:pos="150"/>
          <w:tab w:val="left" w:pos="567"/>
          <w:tab w:val="left" w:pos="1080"/>
        </w:tabs>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Directiva 2008/118/CE a Consiliului din 16.12.2008 privind regimul general al accizelor și de abrogare a Directivei 92/12/CEE;</w:t>
      </w:r>
    </w:p>
    <w:p w:rsidR="00A753AB" w:rsidRPr="00C916F4" w:rsidRDefault="00A753AB" w:rsidP="00C916F4">
      <w:pPr>
        <w:numPr>
          <w:ilvl w:val="0"/>
          <w:numId w:val="15"/>
        </w:numPr>
        <w:tabs>
          <w:tab w:val="left" w:pos="150"/>
          <w:tab w:val="left" w:pos="567"/>
          <w:tab w:val="left" w:pos="1080"/>
        </w:tabs>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lastRenderedPageBreak/>
        <w:t xml:space="preserve">Directiva 2007/74/CE a Consiliului din 20.12.2007 privind scutirea de taxa pe valoare adăugată și de accize pentru bunurile importate de către persoanele care călătoresc din țări terțe. </w:t>
      </w:r>
    </w:p>
    <w:p w:rsidR="00A753AB" w:rsidRPr="00C916F4" w:rsidRDefault="00A753AB" w:rsidP="00C916F4">
      <w:pPr>
        <w:tabs>
          <w:tab w:val="left" w:pos="567"/>
          <w:tab w:val="left" w:pos="1080"/>
        </w:tabs>
        <w:spacing w:after="0" w:line="276" w:lineRule="auto"/>
        <w:ind w:right="57"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Astfel, obiectivul general al modificării sistemului de accize actual aplicat în Republica Moldova constă în creșterea eficienței acestuia și atingerea normelor Uniunii Europene privind impozitarea indirectă. Pornind de la caracteristicile actuale ale sistemului impozitării indirecte se disting trei direcții generale de acțiune:</w:t>
      </w:r>
    </w:p>
    <w:p w:rsidR="00A753AB" w:rsidRPr="00C916F4" w:rsidRDefault="00A753AB" w:rsidP="00C916F4">
      <w:pPr>
        <w:numPr>
          <w:ilvl w:val="0"/>
          <w:numId w:val="15"/>
        </w:numPr>
        <w:tabs>
          <w:tab w:val="left" w:pos="200"/>
          <w:tab w:val="left" w:pos="567"/>
          <w:tab w:val="left" w:pos="1080"/>
        </w:tabs>
        <w:spacing w:after="0" w:line="276" w:lineRule="auto"/>
        <w:ind w:left="0" w:right="57"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Reducerea complexității colectării accizei;</w:t>
      </w:r>
    </w:p>
    <w:p w:rsidR="00A753AB" w:rsidRPr="00C916F4" w:rsidRDefault="00A753AB" w:rsidP="00C916F4">
      <w:pPr>
        <w:numPr>
          <w:ilvl w:val="0"/>
          <w:numId w:val="15"/>
        </w:numPr>
        <w:tabs>
          <w:tab w:val="left" w:pos="200"/>
          <w:tab w:val="left" w:pos="567"/>
          <w:tab w:val="left" w:pos="1080"/>
        </w:tabs>
        <w:spacing w:after="0" w:line="276" w:lineRule="auto"/>
        <w:ind w:left="0" w:right="57"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Îmbunătățirea administrării accizei;</w:t>
      </w:r>
    </w:p>
    <w:p w:rsidR="00A753AB" w:rsidRPr="00C916F4" w:rsidRDefault="00A753AB" w:rsidP="00C916F4">
      <w:pPr>
        <w:numPr>
          <w:ilvl w:val="0"/>
          <w:numId w:val="15"/>
        </w:numPr>
        <w:tabs>
          <w:tab w:val="left" w:pos="200"/>
          <w:tab w:val="left" w:pos="567"/>
          <w:tab w:val="left" w:pos="1080"/>
        </w:tabs>
        <w:spacing w:after="0" w:line="276" w:lineRule="auto"/>
        <w:ind w:left="0" w:right="57"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Realizarea caracterului nediscriminatoriu al accizelor.</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 xml:space="preserve"> Se propune majorarea cotei accizului pentru produse accizabile stabilite în sume fixe (băuturi alcoolice, oxigen, azot, articole de bijuterie sau de giuvaiergerie, alte tutunuri şi înlocuitori de tutun fabricate), prin ajustarea la rata inflației prognozată</w:t>
      </w:r>
      <w:r w:rsidR="00FE516A">
        <w:rPr>
          <w:rFonts w:ascii="Times New Roman" w:eastAsia="Times New Roman" w:hAnsi="Times New Roman" w:cs="Times New Roman"/>
          <w:sz w:val="28"/>
          <w:szCs w:val="28"/>
          <w:lang w:eastAsia="ru-RU"/>
        </w:rPr>
        <w:t xml:space="preserve"> pentru anul 2020</w:t>
      </w:r>
      <w:r w:rsidRPr="00C916F4">
        <w:rPr>
          <w:rFonts w:ascii="Times New Roman" w:eastAsia="Times New Roman" w:hAnsi="Times New Roman" w:cs="Times New Roman"/>
          <w:sz w:val="28"/>
          <w:szCs w:val="28"/>
          <w:lang w:eastAsia="ru-RU"/>
        </w:rPr>
        <w:t xml:space="preserve"> (5%), cu stabilirea acestora pentru o perioadă de 3 ani.</w:t>
      </w:r>
    </w:p>
    <w:p w:rsidR="00A753AB" w:rsidRPr="00C916F4" w:rsidRDefault="00A753AB" w:rsidP="00120BFB">
      <w:pPr>
        <w:pStyle w:val="ListParagraph"/>
        <w:numPr>
          <w:ilvl w:val="0"/>
          <w:numId w:val="5"/>
        </w:numPr>
        <w:tabs>
          <w:tab w:val="left" w:pos="567"/>
        </w:tabs>
        <w:spacing w:after="0" w:line="276" w:lineRule="auto"/>
        <w:ind w:left="0" w:firstLine="710"/>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 xml:space="preserve">Concomitent, se propune majorarea cotei accizelor pentru produsele din tutun </w:t>
      </w:r>
      <w:r w:rsidR="00120BFB" w:rsidRPr="00120BFB">
        <w:rPr>
          <w:rFonts w:ascii="Times New Roman" w:eastAsia="Times New Roman" w:hAnsi="Times New Roman" w:cs="Times New Roman"/>
          <w:sz w:val="28"/>
          <w:szCs w:val="28"/>
          <w:lang w:eastAsia="ru-RU"/>
        </w:rPr>
        <w:t>(costul măsur</w:t>
      </w:r>
      <w:r w:rsidR="00120BFB">
        <w:rPr>
          <w:rFonts w:ascii="Times New Roman" w:eastAsia="Times New Roman" w:hAnsi="Times New Roman" w:cs="Times New Roman"/>
          <w:sz w:val="28"/>
          <w:szCs w:val="28"/>
          <w:lang w:eastAsia="ru-RU"/>
        </w:rPr>
        <w:t xml:space="preserve">ii constituie: + 239 mln, lei) </w:t>
      </w:r>
      <w:r w:rsidRPr="00C916F4">
        <w:rPr>
          <w:rFonts w:ascii="Times New Roman" w:eastAsia="Times New Roman" w:hAnsi="Times New Roman" w:cs="Times New Roman"/>
          <w:sz w:val="28"/>
          <w:szCs w:val="28"/>
          <w:lang w:eastAsia="ru-RU"/>
        </w:rPr>
        <w:t>și produsele petroliere</w:t>
      </w:r>
      <w:r w:rsidR="00120BFB">
        <w:rPr>
          <w:rFonts w:ascii="Times New Roman" w:eastAsia="Times New Roman" w:hAnsi="Times New Roman" w:cs="Times New Roman"/>
          <w:sz w:val="28"/>
          <w:szCs w:val="28"/>
          <w:lang w:eastAsia="ru-RU"/>
        </w:rPr>
        <w:t xml:space="preserve"> </w:t>
      </w:r>
      <w:r w:rsidR="00120BFB" w:rsidRPr="00120BFB">
        <w:rPr>
          <w:rFonts w:ascii="Times New Roman" w:eastAsia="Times New Roman" w:hAnsi="Times New Roman" w:cs="Times New Roman"/>
          <w:sz w:val="28"/>
          <w:szCs w:val="28"/>
          <w:lang w:eastAsia="ru-RU"/>
        </w:rPr>
        <w:t xml:space="preserve">(costul măsurii constituie: </w:t>
      </w:r>
      <w:r w:rsidR="00120BFB">
        <w:rPr>
          <w:rFonts w:ascii="Times New Roman" w:eastAsia="Times New Roman" w:hAnsi="Times New Roman" w:cs="Times New Roman"/>
          <w:sz w:val="28"/>
          <w:szCs w:val="28"/>
          <w:lang w:eastAsia="ru-RU"/>
        </w:rPr>
        <w:t>+ 192 mln, lei)</w:t>
      </w:r>
      <w:r w:rsidRPr="00C916F4">
        <w:rPr>
          <w:rFonts w:ascii="Times New Roman" w:eastAsia="Times New Roman" w:hAnsi="Times New Roman" w:cs="Times New Roman"/>
          <w:sz w:val="28"/>
          <w:szCs w:val="28"/>
          <w:lang w:eastAsia="ru-RU"/>
        </w:rPr>
        <w:t xml:space="preserve"> în vederea atingerii minimului stabilit de Directivele UE</w:t>
      </w:r>
    </w:p>
    <w:p w:rsidR="00A753AB" w:rsidRPr="00C916F4" w:rsidRDefault="00A753AB" w:rsidP="00C916F4">
      <w:pPr>
        <w:tabs>
          <w:tab w:val="left" w:pos="567"/>
          <w:tab w:val="left" w:pos="993"/>
          <w:tab w:val="left" w:pos="1080"/>
          <w:tab w:val="left" w:pos="1134"/>
        </w:tabs>
        <w:spacing w:after="0" w:line="276" w:lineRule="auto"/>
        <w:ind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Astfel, în vederea asigurării atingerii minimului cotei accizului la produsele din tutun prevăzut de Directivele UE, precum și asigurarea creșterii încasărilor la buget, se propune majorarea cotei ad-valorem de la 12% pînă la 13%, și cotei fixe de la 460 lei pînă la 540 lei/1000 țigarete pentru anul 2020.</w:t>
      </w:r>
    </w:p>
    <w:p w:rsidR="007E0C86" w:rsidRPr="00C916F4" w:rsidRDefault="007E0C86" w:rsidP="00C916F4">
      <w:pPr>
        <w:tabs>
          <w:tab w:val="left" w:pos="993"/>
          <w:tab w:val="left" w:pos="1134"/>
        </w:tabs>
        <w:spacing w:after="0" w:line="276" w:lineRule="auto"/>
        <w:jc w:val="center"/>
        <w:rPr>
          <w:rFonts w:ascii="Times New Roman" w:hAnsi="Times New Roman" w:cs="Times New Roman"/>
          <w:sz w:val="28"/>
          <w:szCs w:val="28"/>
        </w:rPr>
      </w:pPr>
      <w:r w:rsidRPr="00C916F4">
        <w:rPr>
          <w:rFonts w:ascii="Times New Roman" w:hAnsi="Times New Roman" w:cs="Times New Roman"/>
          <w:b/>
          <w:i/>
          <w:sz w:val="28"/>
          <w:szCs w:val="28"/>
        </w:rPr>
        <w:t>Produsele din tutun</w:t>
      </w:r>
    </w:p>
    <w:tbl>
      <w:tblPr>
        <w:tblStyle w:val="GridTable3-Accent5"/>
        <w:tblW w:w="9484" w:type="dxa"/>
        <w:tblInd w:w="-5" w:type="dxa"/>
        <w:tblLayout w:type="fixed"/>
        <w:tblLook w:val="04A0" w:firstRow="1" w:lastRow="0" w:firstColumn="1" w:lastColumn="0" w:noHBand="0" w:noVBand="1"/>
      </w:tblPr>
      <w:tblGrid>
        <w:gridCol w:w="1416"/>
        <w:gridCol w:w="2834"/>
        <w:gridCol w:w="850"/>
        <w:gridCol w:w="812"/>
        <w:gridCol w:w="897"/>
        <w:gridCol w:w="993"/>
        <w:gridCol w:w="1647"/>
        <w:gridCol w:w="35"/>
      </w:tblGrid>
      <w:tr w:rsidR="007E0C86" w:rsidRPr="00C916F4" w:rsidTr="00F61A15">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1416" w:type="dxa"/>
            <w:vMerge w:val="restart"/>
            <w:tcBorders>
              <w:bottom w:val="nil"/>
            </w:tcBorders>
            <w:vAlign w:val="bottom"/>
          </w:tcPr>
          <w:p w:rsidR="007E0C86" w:rsidRPr="00C916F4" w:rsidRDefault="007E0C86" w:rsidP="00C916F4">
            <w:pPr>
              <w:pStyle w:val="NoSpacing"/>
              <w:spacing w:line="276" w:lineRule="auto"/>
              <w:jc w:val="center"/>
              <w:rPr>
                <w:b w:val="0"/>
                <w:sz w:val="28"/>
                <w:szCs w:val="28"/>
              </w:rPr>
            </w:pPr>
            <w:r w:rsidRPr="00C916F4">
              <w:rPr>
                <w:sz w:val="28"/>
                <w:szCs w:val="28"/>
              </w:rPr>
              <w:t>Denumirea mărfii</w:t>
            </w:r>
          </w:p>
        </w:tc>
        <w:tc>
          <w:tcPr>
            <w:tcW w:w="2834" w:type="dxa"/>
            <w:vMerge w:val="restart"/>
            <w:tcBorders>
              <w:bottom w:val="nil"/>
            </w:tcBorders>
            <w:vAlign w:val="bottom"/>
          </w:tcPr>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C916F4">
              <w:rPr>
                <w:sz w:val="28"/>
                <w:szCs w:val="28"/>
              </w:rPr>
              <w:t>Unitatea de măsură</w:t>
            </w:r>
          </w:p>
        </w:tc>
        <w:tc>
          <w:tcPr>
            <w:tcW w:w="850" w:type="dxa"/>
            <w:tcBorders>
              <w:bottom w:val="nil"/>
            </w:tcBorders>
            <w:vAlign w:val="bottom"/>
          </w:tcPr>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C916F4">
              <w:rPr>
                <w:sz w:val="28"/>
                <w:szCs w:val="28"/>
              </w:rPr>
              <w:t>2017</w:t>
            </w:r>
          </w:p>
        </w:tc>
        <w:tc>
          <w:tcPr>
            <w:tcW w:w="812" w:type="dxa"/>
            <w:tcBorders>
              <w:bottom w:val="nil"/>
            </w:tcBorders>
            <w:vAlign w:val="bottom"/>
          </w:tcPr>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C916F4">
              <w:rPr>
                <w:sz w:val="28"/>
                <w:szCs w:val="28"/>
              </w:rPr>
              <w:t>2018</w:t>
            </w:r>
          </w:p>
        </w:tc>
        <w:tc>
          <w:tcPr>
            <w:tcW w:w="897" w:type="dxa"/>
            <w:tcBorders>
              <w:bottom w:val="nil"/>
            </w:tcBorders>
            <w:vAlign w:val="bottom"/>
          </w:tcPr>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C916F4">
              <w:rPr>
                <w:sz w:val="28"/>
                <w:szCs w:val="28"/>
              </w:rPr>
              <w:t>2019</w:t>
            </w:r>
          </w:p>
        </w:tc>
        <w:tc>
          <w:tcPr>
            <w:tcW w:w="993" w:type="dxa"/>
            <w:vMerge w:val="restart"/>
            <w:tcBorders>
              <w:bottom w:val="nil"/>
            </w:tcBorders>
            <w:vAlign w:val="bottom"/>
          </w:tcPr>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C916F4">
              <w:rPr>
                <w:sz w:val="28"/>
                <w:szCs w:val="28"/>
              </w:rPr>
              <w:t>2020</w:t>
            </w:r>
          </w:p>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C916F4">
              <w:rPr>
                <w:sz w:val="28"/>
                <w:szCs w:val="28"/>
              </w:rPr>
              <w:t>proiect</w:t>
            </w:r>
          </w:p>
        </w:tc>
        <w:tc>
          <w:tcPr>
            <w:tcW w:w="1682" w:type="dxa"/>
            <w:gridSpan w:val="2"/>
            <w:vMerge w:val="restart"/>
            <w:tcBorders>
              <w:bottom w:val="nil"/>
            </w:tcBorders>
            <w:vAlign w:val="bottom"/>
          </w:tcPr>
          <w:p w:rsidR="007E0C86" w:rsidRPr="00C916F4" w:rsidRDefault="007E0C86" w:rsidP="00C916F4">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C916F4">
              <w:rPr>
                <w:sz w:val="28"/>
                <w:szCs w:val="28"/>
              </w:rPr>
              <w:t>Directivele UE</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16" w:type="dxa"/>
            <w:vMerge/>
            <w:tcBorders>
              <w:bottom w:val="single" w:sz="4" w:space="0" w:color="auto"/>
            </w:tcBorders>
            <w:vAlign w:val="bottom"/>
          </w:tcPr>
          <w:p w:rsidR="007E0C86" w:rsidRPr="00C916F4" w:rsidRDefault="007E0C86" w:rsidP="00C916F4">
            <w:pPr>
              <w:pStyle w:val="NoSpacing"/>
              <w:spacing w:line="276" w:lineRule="auto"/>
              <w:jc w:val="center"/>
              <w:rPr>
                <w:sz w:val="28"/>
                <w:szCs w:val="28"/>
              </w:rPr>
            </w:pPr>
          </w:p>
        </w:tc>
        <w:tc>
          <w:tcPr>
            <w:tcW w:w="2834" w:type="dxa"/>
            <w:vMerge/>
            <w:tcBorders>
              <w:top w:val="nil"/>
              <w:bottom w:val="single" w:sz="4" w:space="0" w:color="auto"/>
              <w:right w:val="single" w:sz="4" w:space="0" w:color="auto"/>
            </w:tcBorders>
            <w:shd w:val="clear" w:color="auto" w:fill="FFFFFF" w:themeFill="background1"/>
            <w:vAlign w:val="bottom"/>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2559" w:type="dxa"/>
            <w:gridSpan w:val="3"/>
            <w:tcBorders>
              <w:top w:val="nil"/>
              <w:left w:val="single" w:sz="4" w:space="0" w:color="auto"/>
              <w:bottom w:val="single" w:sz="4" w:space="0" w:color="auto"/>
              <w:right w:val="single" w:sz="4" w:space="0" w:color="auto"/>
            </w:tcBorders>
            <w:shd w:val="clear" w:color="auto" w:fill="FFFFFF" w:themeFill="background1"/>
            <w:vAlign w:val="bottom"/>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sidRPr="00C916F4">
              <w:rPr>
                <w:b/>
                <w:sz w:val="28"/>
                <w:szCs w:val="28"/>
              </w:rPr>
              <w:t>Prevederi Codul fiscal</w:t>
            </w: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bottom"/>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682" w:type="dxa"/>
            <w:gridSpan w:val="2"/>
            <w:vMerge/>
            <w:tcBorders>
              <w:top w:val="nil"/>
              <w:left w:val="single" w:sz="4" w:space="0" w:color="auto"/>
              <w:bottom w:val="single" w:sz="4" w:space="0" w:color="auto"/>
            </w:tcBorders>
            <w:shd w:val="clear" w:color="auto" w:fill="FFFFFF" w:themeFill="background1"/>
            <w:vAlign w:val="bottom"/>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7E0C86" w:rsidRPr="00C916F4" w:rsidTr="00F61A15">
        <w:trPr>
          <w:gridAfter w:val="1"/>
          <w:wAfter w:w="35" w:type="dxa"/>
          <w:trHeight w:val="505"/>
        </w:trPr>
        <w:tc>
          <w:tcPr>
            <w:cnfStyle w:val="001000000000" w:firstRow="0" w:lastRow="0" w:firstColumn="1" w:lastColumn="0" w:oddVBand="0" w:evenVBand="0" w:oddHBand="0" w:evenHBand="0" w:firstRowFirstColumn="0" w:firstRowLastColumn="0" w:lastRowFirstColumn="0" w:lastRowLastColumn="0"/>
            <w:tcW w:w="1416" w:type="dxa"/>
            <w:vMerge w:val="restart"/>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jc w:val="left"/>
              <w:rPr>
                <w:b/>
                <w:sz w:val="28"/>
                <w:szCs w:val="28"/>
              </w:rPr>
            </w:pPr>
            <w:r w:rsidRPr="00C916F4">
              <w:rPr>
                <w:b/>
                <w:sz w:val="28"/>
                <w:szCs w:val="28"/>
              </w:rPr>
              <w:t>Cu filtru</w:t>
            </w:r>
          </w:p>
        </w:tc>
        <w:tc>
          <w:tcPr>
            <w:tcW w:w="2834"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sidRPr="00C916F4">
              <w:rPr>
                <w:sz w:val="28"/>
                <w:szCs w:val="28"/>
              </w:rPr>
              <w:t>ad-valorem, %</w:t>
            </w:r>
          </w:p>
        </w:tc>
        <w:tc>
          <w:tcPr>
            <w:tcW w:w="850" w:type="dxa"/>
            <w:tcBorders>
              <w:top w:val="single" w:sz="4" w:space="0" w:color="auto"/>
              <w:left w:val="single" w:sz="4" w:space="0" w:color="auto"/>
              <w:bottom w:val="single" w:sz="4" w:space="0" w:color="auto"/>
              <w:right w:val="nil"/>
            </w:tcBorders>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o-RO"/>
              </w:rPr>
            </w:pPr>
            <w:r w:rsidRPr="00C916F4">
              <w:rPr>
                <w:rFonts w:ascii="Times New Roman" w:hAnsi="Times New Roman" w:cs="Times New Roman"/>
                <w:sz w:val="28"/>
                <w:szCs w:val="28"/>
              </w:rPr>
              <w:t>12%</w:t>
            </w:r>
          </w:p>
        </w:tc>
        <w:tc>
          <w:tcPr>
            <w:tcW w:w="812" w:type="dxa"/>
            <w:tcBorders>
              <w:top w:val="single" w:sz="4" w:space="0" w:color="auto"/>
              <w:left w:val="nil"/>
              <w:bottom w:val="single" w:sz="4" w:space="0" w:color="auto"/>
              <w:right w:val="nil"/>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12%</w:t>
            </w:r>
          </w:p>
        </w:tc>
        <w:tc>
          <w:tcPr>
            <w:tcW w:w="897" w:type="dxa"/>
            <w:tcBorders>
              <w:top w:val="single" w:sz="4" w:space="0" w:color="auto"/>
              <w:left w:val="nil"/>
              <w:bottom w:val="single" w:sz="4" w:space="0" w:color="auto"/>
              <w:right w:val="nil"/>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12%</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C916F4">
              <w:rPr>
                <w:rFonts w:ascii="Times New Roman" w:hAnsi="Times New Roman" w:cs="Times New Roman"/>
                <w:b/>
                <w:sz w:val="28"/>
                <w:szCs w:val="28"/>
              </w:rPr>
              <w:t>13%</w:t>
            </w:r>
          </w:p>
        </w:tc>
        <w:tc>
          <w:tcPr>
            <w:tcW w:w="1647" w:type="dxa"/>
            <w:vMerge w:val="restart"/>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sidRPr="00C916F4">
              <w:rPr>
                <w:sz w:val="28"/>
                <w:szCs w:val="28"/>
              </w:rPr>
              <w:t>de 90 EUR pentru 1 000 de țigarete</w:t>
            </w:r>
          </w:p>
        </w:tc>
      </w:tr>
      <w:tr w:rsidR="00C916F4" w:rsidRPr="00C916F4" w:rsidTr="00F61A15">
        <w:trPr>
          <w:gridAfter w:val="1"/>
          <w:cnfStyle w:val="000000100000" w:firstRow="0" w:lastRow="0" w:firstColumn="0" w:lastColumn="0" w:oddVBand="0" w:evenVBand="0" w:oddHBand="1" w:evenHBand="0" w:firstRowFirstColumn="0" w:firstRowLastColumn="0" w:lastRowFirstColumn="0" w:lastRowLastColumn="0"/>
          <w:wAfter w:w="35" w:type="dxa"/>
          <w:trHeight w:val="497"/>
        </w:trPr>
        <w:tc>
          <w:tcPr>
            <w:cnfStyle w:val="001000000000" w:firstRow="0" w:lastRow="0" w:firstColumn="1" w:lastColumn="0" w:oddVBand="0" w:evenVBand="0" w:oddHBand="0" w:evenHBand="0" w:firstRowFirstColumn="0" w:firstRowLastColumn="0" w:lastRowFirstColumn="0" w:lastRowLastColumn="0"/>
            <w:tcW w:w="1416" w:type="dxa"/>
            <w:vMerge/>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numPr>
                <w:ilvl w:val="0"/>
                <w:numId w:val="18"/>
              </w:numPr>
              <w:spacing w:line="276" w:lineRule="auto"/>
              <w:ind w:left="0" w:right="95" w:firstLine="0"/>
              <w:rPr>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r w:rsidRPr="00C916F4">
              <w:rPr>
                <w:sz w:val="28"/>
                <w:szCs w:val="28"/>
              </w:rPr>
              <w:t>cota specifică, (lei, 1000 țigarete)</w:t>
            </w:r>
          </w:p>
        </w:tc>
        <w:tc>
          <w:tcPr>
            <w:tcW w:w="850" w:type="dxa"/>
            <w:tcBorders>
              <w:top w:val="single" w:sz="4" w:space="0" w:color="auto"/>
              <w:left w:val="single" w:sz="4" w:space="0" w:color="auto"/>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360</w:t>
            </w:r>
          </w:p>
        </w:tc>
        <w:tc>
          <w:tcPr>
            <w:tcW w:w="812" w:type="dxa"/>
            <w:tcBorders>
              <w:top w:val="single" w:sz="4" w:space="0" w:color="auto"/>
              <w:left w:val="nil"/>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410</w:t>
            </w:r>
          </w:p>
        </w:tc>
        <w:tc>
          <w:tcPr>
            <w:tcW w:w="897" w:type="dxa"/>
            <w:tcBorders>
              <w:top w:val="single" w:sz="4" w:space="0" w:color="auto"/>
              <w:left w:val="nil"/>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460</w:t>
            </w:r>
          </w:p>
        </w:tc>
        <w:tc>
          <w:tcPr>
            <w:tcW w:w="993" w:type="dxa"/>
            <w:tcBorders>
              <w:top w:val="single" w:sz="4" w:space="0" w:color="auto"/>
              <w:left w:val="nil"/>
              <w:bottom w:val="single" w:sz="4" w:space="0" w:color="auto"/>
              <w:right w:val="single" w:sz="4" w:space="0" w:color="auto"/>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C916F4">
              <w:rPr>
                <w:rFonts w:ascii="Times New Roman" w:hAnsi="Times New Roman" w:cs="Times New Roman"/>
                <w:b/>
                <w:i/>
                <w:sz w:val="28"/>
                <w:szCs w:val="28"/>
              </w:rPr>
              <w:t>540</w:t>
            </w:r>
          </w:p>
        </w:tc>
        <w:tc>
          <w:tcPr>
            <w:tcW w:w="1647" w:type="dxa"/>
            <w:vMerge/>
            <w:tcBorders>
              <w:top w:val="single" w:sz="4" w:space="0" w:color="auto"/>
              <w:left w:val="single" w:sz="4" w:space="0" w:color="auto"/>
              <w:bottom w:val="single" w:sz="4" w:space="0" w:color="auto"/>
              <w:right w:val="single" w:sz="4" w:space="0" w:color="auto"/>
            </w:tcBorders>
          </w:tcPr>
          <w:p w:rsidR="007E0C86" w:rsidRPr="00C916F4" w:rsidRDefault="007E0C86" w:rsidP="00C916F4">
            <w:pPr>
              <w:pStyle w:val="NoSpacing"/>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7E0C86" w:rsidRPr="00C916F4" w:rsidTr="00F61A15">
        <w:trPr>
          <w:gridAfter w:val="1"/>
          <w:wAfter w:w="35" w:type="dxa"/>
          <w:trHeight w:val="128"/>
        </w:trPr>
        <w:tc>
          <w:tcPr>
            <w:cnfStyle w:val="001000000000" w:firstRow="0" w:lastRow="0" w:firstColumn="1" w:lastColumn="0" w:oddVBand="0" w:evenVBand="0" w:oddHBand="0" w:evenHBand="0" w:firstRowFirstColumn="0" w:firstRowLastColumn="0" w:lastRowFirstColumn="0" w:lastRowLastColumn="0"/>
            <w:tcW w:w="1416" w:type="dxa"/>
            <w:vMerge/>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numPr>
                <w:ilvl w:val="0"/>
                <w:numId w:val="18"/>
              </w:numPr>
              <w:spacing w:line="276" w:lineRule="auto"/>
              <w:ind w:left="0" w:right="95" w:firstLine="0"/>
              <w:rPr>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sidRPr="00C916F4">
              <w:rPr>
                <w:sz w:val="28"/>
                <w:szCs w:val="28"/>
              </w:rPr>
              <w:t>minimum</w:t>
            </w:r>
          </w:p>
        </w:tc>
        <w:tc>
          <w:tcPr>
            <w:tcW w:w="850" w:type="dxa"/>
            <w:tcBorders>
              <w:top w:val="single" w:sz="4" w:space="0" w:color="auto"/>
              <w:left w:val="single" w:sz="4" w:space="0" w:color="auto"/>
              <w:bottom w:val="single" w:sz="4" w:space="0" w:color="auto"/>
              <w:right w:val="nil"/>
            </w:tcBorders>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480</w:t>
            </w:r>
          </w:p>
        </w:tc>
        <w:tc>
          <w:tcPr>
            <w:tcW w:w="812" w:type="dxa"/>
            <w:tcBorders>
              <w:top w:val="single" w:sz="4" w:space="0" w:color="auto"/>
              <w:left w:val="nil"/>
              <w:bottom w:val="single" w:sz="4" w:space="0" w:color="auto"/>
              <w:right w:val="nil"/>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540</w:t>
            </w:r>
          </w:p>
        </w:tc>
        <w:tc>
          <w:tcPr>
            <w:tcW w:w="897" w:type="dxa"/>
            <w:tcBorders>
              <w:top w:val="single" w:sz="4" w:space="0" w:color="auto"/>
              <w:left w:val="nil"/>
              <w:bottom w:val="single" w:sz="4" w:space="0" w:color="auto"/>
              <w:right w:val="nil"/>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610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8"/>
                <w:szCs w:val="28"/>
              </w:rPr>
            </w:pPr>
            <w:r w:rsidRPr="00C916F4">
              <w:rPr>
                <w:rFonts w:ascii="Times New Roman" w:hAnsi="Times New Roman" w:cs="Times New Roman"/>
                <w:b/>
                <w:i/>
                <w:sz w:val="28"/>
                <w:szCs w:val="28"/>
              </w:rPr>
              <w:t>700</w:t>
            </w:r>
          </w:p>
        </w:tc>
        <w:tc>
          <w:tcPr>
            <w:tcW w:w="1647" w:type="dxa"/>
            <w:vMerge/>
            <w:tcBorders>
              <w:top w:val="single" w:sz="4" w:space="0" w:color="auto"/>
              <w:left w:val="single" w:sz="4" w:space="0" w:color="auto"/>
              <w:bottom w:val="single" w:sz="4" w:space="0" w:color="auto"/>
              <w:right w:val="single" w:sz="4" w:space="0" w:color="auto"/>
            </w:tcBorders>
          </w:tcPr>
          <w:p w:rsidR="007E0C86" w:rsidRPr="00C916F4" w:rsidRDefault="007E0C86" w:rsidP="00C916F4">
            <w:pPr>
              <w:pStyle w:val="NoSpacing"/>
              <w:spacing w:line="276"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C916F4" w:rsidRPr="00C916F4" w:rsidTr="00F61A15">
        <w:trPr>
          <w:gridAfter w:val="1"/>
          <w:cnfStyle w:val="000000100000" w:firstRow="0" w:lastRow="0" w:firstColumn="0" w:lastColumn="0" w:oddVBand="0" w:evenVBand="0" w:oddHBand="1" w:evenHBand="0" w:firstRowFirstColumn="0" w:firstRowLastColumn="0" w:lastRowFirstColumn="0" w:lastRowLastColumn="0"/>
          <w:wAfter w:w="35" w:type="dxa"/>
          <w:trHeight w:val="165"/>
        </w:trPr>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nil"/>
            </w:tcBorders>
            <w:vAlign w:val="center"/>
          </w:tcPr>
          <w:p w:rsidR="007E0C86" w:rsidRPr="00C916F4" w:rsidRDefault="007E0C86" w:rsidP="00C916F4">
            <w:pPr>
              <w:pStyle w:val="NoSpacing"/>
              <w:spacing w:line="276" w:lineRule="auto"/>
              <w:ind w:right="95"/>
              <w:jc w:val="center"/>
              <w:rPr>
                <w:sz w:val="28"/>
                <w:szCs w:val="28"/>
              </w:rPr>
            </w:pPr>
          </w:p>
        </w:tc>
        <w:tc>
          <w:tcPr>
            <w:tcW w:w="2834" w:type="dxa"/>
            <w:tcBorders>
              <w:top w:val="single" w:sz="4" w:space="0" w:color="auto"/>
              <w:left w:val="nil"/>
              <w:bottom w:val="single" w:sz="4" w:space="0" w:color="auto"/>
              <w:right w:val="nil"/>
            </w:tcBorders>
            <w:vAlign w:val="center"/>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850" w:type="dxa"/>
            <w:tcBorders>
              <w:top w:val="single" w:sz="4" w:space="0" w:color="auto"/>
              <w:left w:val="nil"/>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12" w:type="dxa"/>
            <w:tcBorders>
              <w:top w:val="single" w:sz="4" w:space="0" w:color="auto"/>
              <w:left w:val="nil"/>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97" w:type="dxa"/>
            <w:tcBorders>
              <w:top w:val="single" w:sz="4" w:space="0" w:color="auto"/>
              <w:left w:val="nil"/>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93" w:type="dxa"/>
            <w:tcBorders>
              <w:top w:val="single" w:sz="4" w:space="0" w:color="auto"/>
              <w:left w:val="nil"/>
              <w:bottom w:val="single" w:sz="4" w:space="0" w:color="auto"/>
              <w:right w:val="single" w:sz="4" w:space="0" w:color="auto"/>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p>
        </w:tc>
        <w:tc>
          <w:tcPr>
            <w:tcW w:w="1647" w:type="dxa"/>
            <w:vMerge/>
            <w:tcBorders>
              <w:top w:val="single" w:sz="4" w:space="0" w:color="auto"/>
              <w:left w:val="single" w:sz="4" w:space="0" w:color="auto"/>
              <w:bottom w:val="single" w:sz="4" w:space="0" w:color="auto"/>
              <w:right w:val="single" w:sz="4" w:space="0" w:color="auto"/>
            </w:tcBorders>
          </w:tcPr>
          <w:p w:rsidR="007E0C86" w:rsidRPr="00C916F4" w:rsidRDefault="007E0C86" w:rsidP="00C916F4">
            <w:pPr>
              <w:pStyle w:val="NoSpacing"/>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7E0C86" w:rsidRPr="00C916F4" w:rsidTr="00F61A15">
        <w:trPr>
          <w:gridAfter w:val="1"/>
          <w:wAfter w:w="35" w:type="dxa"/>
          <w:trHeight w:val="130"/>
        </w:trPr>
        <w:tc>
          <w:tcPr>
            <w:cnfStyle w:val="001000000000" w:firstRow="0" w:lastRow="0" w:firstColumn="1" w:lastColumn="0" w:oddVBand="0" w:evenVBand="0" w:oddHBand="0" w:evenHBand="0" w:firstRowFirstColumn="0" w:firstRowLastColumn="0" w:lastRowFirstColumn="0" w:lastRowLastColumn="0"/>
            <w:tcW w:w="1416" w:type="dxa"/>
            <w:vMerge w:val="restart"/>
            <w:tcBorders>
              <w:top w:val="single" w:sz="4" w:space="0" w:color="auto"/>
              <w:left w:val="single" w:sz="4" w:space="0" w:color="auto"/>
              <w:right w:val="single" w:sz="4" w:space="0" w:color="auto"/>
            </w:tcBorders>
            <w:vAlign w:val="center"/>
          </w:tcPr>
          <w:p w:rsidR="007E0C86" w:rsidRPr="00C916F4" w:rsidRDefault="007E0C86" w:rsidP="00C916F4">
            <w:pPr>
              <w:pStyle w:val="NoSpacing"/>
              <w:spacing w:line="276" w:lineRule="auto"/>
              <w:ind w:right="95"/>
              <w:rPr>
                <w:b/>
                <w:sz w:val="28"/>
                <w:szCs w:val="28"/>
              </w:rPr>
            </w:pPr>
            <w:r w:rsidRPr="00C916F4">
              <w:rPr>
                <w:b/>
                <w:sz w:val="28"/>
                <w:szCs w:val="28"/>
              </w:rPr>
              <w:t>Fără filtru</w:t>
            </w:r>
          </w:p>
        </w:tc>
        <w:tc>
          <w:tcPr>
            <w:tcW w:w="2834"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sidRPr="00C916F4">
              <w:rPr>
                <w:sz w:val="28"/>
                <w:szCs w:val="28"/>
              </w:rPr>
              <w:t>ad-valorem, %</w:t>
            </w:r>
          </w:p>
        </w:tc>
        <w:tc>
          <w:tcPr>
            <w:tcW w:w="850" w:type="dxa"/>
            <w:tcBorders>
              <w:top w:val="single" w:sz="4" w:space="0" w:color="auto"/>
              <w:left w:val="single" w:sz="4" w:space="0" w:color="auto"/>
              <w:bottom w:val="single" w:sz="4" w:space="0" w:color="auto"/>
              <w:right w:val="nil"/>
            </w:tcBorders>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o-RO"/>
              </w:rPr>
            </w:pPr>
          </w:p>
        </w:tc>
        <w:tc>
          <w:tcPr>
            <w:tcW w:w="812" w:type="dxa"/>
            <w:tcBorders>
              <w:top w:val="single" w:sz="4" w:space="0" w:color="auto"/>
              <w:left w:val="nil"/>
              <w:bottom w:val="single" w:sz="4" w:space="0" w:color="auto"/>
              <w:right w:val="nil"/>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C916F4">
              <w:rPr>
                <w:rFonts w:ascii="Times New Roman" w:hAnsi="Times New Roman" w:cs="Times New Roman"/>
                <w:b/>
                <w:sz w:val="28"/>
                <w:szCs w:val="28"/>
              </w:rPr>
              <w:t>3%</w:t>
            </w:r>
          </w:p>
        </w:tc>
        <w:tc>
          <w:tcPr>
            <w:tcW w:w="897" w:type="dxa"/>
            <w:tcBorders>
              <w:top w:val="single" w:sz="4" w:space="0" w:color="auto"/>
              <w:left w:val="nil"/>
              <w:bottom w:val="single" w:sz="4" w:space="0" w:color="auto"/>
              <w:right w:val="single" w:sz="4" w:space="0" w:color="auto"/>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C916F4">
              <w:rPr>
                <w:rFonts w:ascii="Times New Roman" w:hAnsi="Times New Roman" w:cs="Times New Roman"/>
                <w:b/>
                <w:sz w:val="28"/>
                <w:szCs w:val="28"/>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8"/>
                <w:szCs w:val="28"/>
              </w:rPr>
            </w:pPr>
            <w:r w:rsidRPr="00C916F4">
              <w:rPr>
                <w:rFonts w:ascii="Times New Roman" w:hAnsi="Times New Roman" w:cs="Times New Roman"/>
                <w:b/>
                <w:i/>
                <w:sz w:val="28"/>
                <w:szCs w:val="28"/>
              </w:rPr>
              <w:t>9%</w:t>
            </w:r>
          </w:p>
        </w:tc>
        <w:tc>
          <w:tcPr>
            <w:tcW w:w="1647" w:type="dxa"/>
            <w:vMerge/>
            <w:tcBorders>
              <w:top w:val="single" w:sz="4" w:space="0" w:color="auto"/>
              <w:left w:val="single" w:sz="4" w:space="0" w:color="auto"/>
              <w:bottom w:val="single" w:sz="4" w:space="0" w:color="auto"/>
              <w:right w:val="single" w:sz="4" w:space="0" w:color="auto"/>
            </w:tcBorders>
          </w:tcPr>
          <w:p w:rsidR="007E0C86" w:rsidRPr="00C916F4" w:rsidRDefault="007E0C86" w:rsidP="00C916F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7E0C86" w:rsidRPr="00C916F4" w:rsidTr="00F61A15">
        <w:trPr>
          <w:gridAfter w:val="1"/>
          <w:cnfStyle w:val="000000100000" w:firstRow="0" w:lastRow="0" w:firstColumn="0" w:lastColumn="0" w:oddVBand="0" w:evenVBand="0" w:oddHBand="1" w:evenHBand="0" w:firstRowFirstColumn="0" w:firstRowLastColumn="0" w:lastRowFirstColumn="0" w:lastRowLastColumn="0"/>
          <w:wAfter w:w="35" w:type="dxa"/>
          <w:trHeight w:val="138"/>
        </w:trPr>
        <w:tc>
          <w:tcPr>
            <w:cnfStyle w:val="001000000000" w:firstRow="0" w:lastRow="0" w:firstColumn="1" w:lastColumn="0" w:oddVBand="0" w:evenVBand="0" w:oddHBand="0" w:evenHBand="0" w:firstRowFirstColumn="0" w:firstRowLastColumn="0" w:lastRowFirstColumn="0" w:lastRowLastColumn="0"/>
            <w:tcW w:w="1416" w:type="dxa"/>
            <w:vMerge/>
            <w:tcBorders>
              <w:left w:val="single" w:sz="4" w:space="0" w:color="auto"/>
              <w:right w:val="single" w:sz="4" w:space="0" w:color="auto"/>
            </w:tcBorders>
            <w:vAlign w:val="center"/>
          </w:tcPr>
          <w:p w:rsidR="007E0C86" w:rsidRPr="00C916F4" w:rsidRDefault="007E0C86" w:rsidP="00C916F4">
            <w:pPr>
              <w:pStyle w:val="NoSpacing"/>
              <w:numPr>
                <w:ilvl w:val="0"/>
                <w:numId w:val="18"/>
              </w:numPr>
              <w:spacing w:line="276" w:lineRule="auto"/>
              <w:rPr>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ind w:left="-113" w:right="-115"/>
              <w:jc w:val="center"/>
              <w:cnfStyle w:val="000000100000" w:firstRow="0" w:lastRow="0" w:firstColumn="0" w:lastColumn="0" w:oddVBand="0" w:evenVBand="0" w:oddHBand="1" w:evenHBand="0" w:firstRowFirstColumn="0" w:firstRowLastColumn="0" w:lastRowFirstColumn="0" w:lastRowLastColumn="0"/>
              <w:rPr>
                <w:sz w:val="28"/>
                <w:szCs w:val="28"/>
              </w:rPr>
            </w:pPr>
            <w:r w:rsidRPr="00C916F4">
              <w:rPr>
                <w:sz w:val="28"/>
                <w:szCs w:val="28"/>
              </w:rPr>
              <w:t>cota specifică, (lei, 1000 țigarete)</w:t>
            </w:r>
          </w:p>
        </w:tc>
        <w:tc>
          <w:tcPr>
            <w:tcW w:w="850" w:type="dxa"/>
            <w:tcBorders>
              <w:top w:val="single" w:sz="4" w:space="0" w:color="auto"/>
              <w:left w:val="single" w:sz="4" w:space="0" w:color="auto"/>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eastAsia="ro-RO"/>
              </w:rPr>
            </w:pPr>
            <w:r w:rsidRPr="00C916F4">
              <w:rPr>
                <w:rFonts w:ascii="Times New Roman" w:hAnsi="Times New Roman" w:cs="Times New Roman"/>
                <w:sz w:val="28"/>
                <w:szCs w:val="28"/>
              </w:rPr>
              <w:t>120</w:t>
            </w:r>
          </w:p>
        </w:tc>
        <w:tc>
          <w:tcPr>
            <w:tcW w:w="812" w:type="dxa"/>
            <w:tcBorders>
              <w:top w:val="single" w:sz="4" w:space="0" w:color="auto"/>
              <w:left w:val="nil"/>
              <w:bottom w:val="single" w:sz="4" w:space="0" w:color="auto"/>
              <w:right w:val="nil"/>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C916F4">
              <w:rPr>
                <w:rFonts w:ascii="Times New Roman" w:hAnsi="Times New Roman" w:cs="Times New Roman"/>
                <w:b/>
                <w:sz w:val="28"/>
                <w:szCs w:val="28"/>
              </w:rPr>
              <w:t>350</w:t>
            </w:r>
          </w:p>
        </w:tc>
        <w:tc>
          <w:tcPr>
            <w:tcW w:w="897" w:type="dxa"/>
            <w:tcBorders>
              <w:top w:val="single" w:sz="4" w:space="0" w:color="auto"/>
              <w:left w:val="nil"/>
              <w:bottom w:val="single" w:sz="4" w:space="0" w:color="auto"/>
              <w:right w:val="single" w:sz="4" w:space="0" w:color="auto"/>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C916F4">
              <w:rPr>
                <w:rFonts w:ascii="Times New Roman" w:hAnsi="Times New Roman" w:cs="Times New Roman"/>
                <w:b/>
                <w:sz w:val="28"/>
                <w:szCs w:val="28"/>
              </w:rPr>
              <w:t>460</w:t>
            </w:r>
          </w:p>
        </w:tc>
        <w:tc>
          <w:tcPr>
            <w:tcW w:w="993"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C916F4">
              <w:rPr>
                <w:rFonts w:ascii="Times New Roman" w:hAnsi="Times New Roman" w:cs="Times New Roman"/>
                <w:b/>
                <w:i/>
                <w:sz w:val="28"/>
                <w:szCs w:val="28"/>
              </w:rPr>
              <w:t>540</w:t>
            </w:r>
          </w:p>
        </w:tc>
        <w:tc>
          <w:tcPr>
            <w:tcW w:w="1647" w:type="dxa"/>
            <w:vMerge/>
            <w:tcBorders>
              <w:top w:val="single" w:sz="4" w:space="0" w:color="auto"/>
              <w:left w:val="single" w:sz="4" w:space="0" w:color="auto"/>
              <w:bottom w:val="single" w:sz="4" w:space="0" w:color="auto"/>
              <w:right w:val="single" w:sz="4" w:space="0" w:color="auto"/>
            </w:tcBorders>
          </w:tcPr>
          <w:p w:rsidR="007E0C86" w:rsidRPr="00C916F4" w:rsidRDefault="007E0C86" w:rsidP="00C916F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7E0C86" w:rsidRPr="00C916F4" w:rsidTr="00F61A15">
        <w:trPr>
          <w:gridAfter w:val="1"/>
          <w:wAfter w:w="35" w:type="dxa"/>
          <w:trHeight w:val="138"/>
        </w:trPr>
        <w:tc>
          <w:tcPr>
            <w:cnfStyle w:val="001000000000" w:firstRow="0" w:lastRow="0" w:firstColumn="1" w:lastColumn="0" w:oddVBand="0" w:evenVBand="0" w:oddHBand="0" w:evenHBand="0" w:firstRowFirstColumn="0" w:firstRowLastColumn="0" w:lastRowFirstColumn="0" w:lastRowLastColumn="0"/>
            <w:tcW w:w="1416" w:type="dxa"/>
            <w:vMerge/>
            <w:tcBorders>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ind w:left="720"/>
              <w:jc w:val="center"/>
              <w:rPr>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7E0C86" w:rsidRPr="00C916F4" w:rsidRDefault="007E0C86" w:rsidP="00C916F4">
            <w:pPr>
              <w:pStyle w:val="NoSpacing"/>
              <w:spacing w:line="276" w:lineRule="auto"/>
              <w:ind w:left="-113" w:right="-115"/>
              <w:jc w:val="center"/>
              <w:cnfStyle w:val="000000000000" w:firstRow="0" w:lastRow="0" w:firstColumn="0" w:lastColumn="0" w:oddVBand="0" w:evenVBand="0" w:oddHBand="0" w:evenHBand="0" w:firstRowFirstColumn="0" w:firstRowLastColumn="0" w:lastRowFirstColumn="0" w:lastRowLastColumn="0"/>
              <w:rPr>
                <w:sz w:val="28"/>
                <w:szCs w:val="28"/>
              </w:rPr>
            </w:pPr>
            <w:r w:rsidRPr="00C916F4">
              <w:rPr>
                <w:sz w:val="28"/>
                <w:szCs w:val="28"/>
              </w:rPr>
              <w:t>Prevederile din Codul fiscal</w:t>
            </w:r>
          </w:p>
          <w:p w:rsidR="007E0C86" w:rsidRPr="00C916F4" w:rsidRDefault="007E0C86" w:rsidP="00C916F4">
            <w:pPr>
              <w:pStyle w:val="NoSpacing"/>
              <w:spacing w:line="276" w:lineRule="auto"/>
              <w:ind w:left="-113" w:right="-115"/>
              <w:jc w:val="center"/>
              <w:cnfStyle w:val="000000000000" w:firstRow="0" w:lastRow="0" w:firstColumn="0" w:lastColumn="0" w:oddVBand="0" w:evenVBand="0" w:oddHBand="0" w:evenHBand="0" w:firstRowFirstColumn="0" w:firstRowLastColumn="0" w:lastRowFirstColumn="0" w:lastRowLastColumn="0"/>
              <w:rPr>
                <w:sz w:val="28"/>
                <w:szCs w:val="28"/>
              </w:rPr>
            </w:pPr>
            <w:r w:rsidRPr="00C916F4">
              <w:rPr>
                <w:sz w:val="28"/>
                <w:szCs w:val="28"/>
              </w:rPr>
              <w:t xml:space="preserve">cota specifică </w:t>
            </w:r>
          </w:p>
        </w:tc>
        <w:tc>
          <w:tcPr>
            <w:tcW w:w="850" w:type="dxa"/>
            <w:tcBorders>
              <w:top w:val="single" w:sz="4" w:space="0" w:color="auto"/>
              <w:left w:val="single" w:sz="4" w:space="0" w:color="auto"/>
              <w:bottom w:val="single" w:sz="4" w:space="0" w:color="auto"/>
              <w:right w:val="nil"/>
            </w:tcBorders>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120</w:t>
            </w:r>
          </w:p>
        </w:tc>
        <w:tc>
          <w:tcPr>
            <w:tcW w:w="812" w:type="dxa"/>
            <w:tcBorders>
              <w:top w:val="single" w:sz="4" w:space="0" w:color="auto"/>
              <w:left w:val="nil"/>
              <w:bottom w:val="single" w:sz="4" w:space="0" w:color="auto"/>
              <w:right w:val="nil"/>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160</w:t>
            </w:r>
          </w:p>
        </w:tc>
        <w:tc>
          <w:tcPr>
            <w:tcW w:w="897" w:type="dxa"/>
            <w:tcBorders>
              <w:top w:val="single" w:sz="4" w:space="0" w:color="auto"/>
              <w:left w:val="nil"/>
              <w:bottom w:val="single" w:sz="4" w:space="0" w:color="auto"/>
              <w:right w:val="single" w:sz="4" w:space="0" w:color="auto"/>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916F4">
              <w:rPr>
                <w:rFonts w:ascii="Times New Roman" w:hAnsi="Times New Roman" w:cs="Times New Roman"/>
                <w:sz w:val="28"/>
                <w:szCs w:val="2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0C86" w:rsidRPr="00C916F4" w:rsidRDefault="007E0C86" w:rsidP="00C91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8"/>
                <w:szCs w:val="28"/>
              </w:rPr>
            </w:pPr>
          </w:p>
        </w:tc>
        <w:tc>
          <w:tcPr>
            <w:tcW w:w="1647" w:type="dxa"/>
            <w:tcBorders>
              <w:top w:val="single" w:sz="4" w:space="0" w:color="auto"/>
              <w:left w:val="single" w:sz="4" w:space="0" w:color="auto"/>
              <w:bottom w:val="single" w:sz="4" w:space="0" w:color="auto"/>
              <w:right w:val="single" w:sz="4" w:space="0" w:color="auto"/>
            </w:tcBorders>
          </w:tcPr>
          <w:p w:rsidR="007E0C86" w:rsidRPr="00C916F4" w:rsidRDefault="007E0C86" w:rsidP="00C916F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p>
        </w:tc>
      </w:tr>
    </w:tbl>
    <w:p w:rsidR="007E0C86" w:rsidRPr="00C916F4" w:rsidRDefault="007E0C86" w:rsidP="00C916F4">
      <w:pPr>
        <w:tabs>
          <w:tab w:val="left" w:pos="993"/>
          <w:tab w:val="left" w:pos="1134"/>
        </w:tabs>
        <w:spacing w:after="0" w:line="276" w:lineRule="auto"/>
        <w:ind w:firstLine="567"/>
        <w:jc w:val="center"/>
        <w:rPr>
          <w:rFonts w:ascii="Times New Roman" w:hAnsi="Times New Roman" w:cs="Times New Roman"/>
          <w:b/>
          <w:color w:val="000000" w:themeColor="text1"/>
          <w:sz w:val="28"/>
          <w:szCs w:val="28"/>
        </w:rPr>
      </w:pPr>
    </w:p>
    <w:p w:rsidR="007E0C86" w:rsidRPr="00C916F4" w:rsidRDefault="007E0C86" w:rsidP="00C916F4">
      <w:pPr>
        <w:tabs>
          <w:tab w:val="left" w:pos="993"/>
          <w:tab w:val="left" w:pos="1134"/>
        </w:tabs>
        <w:spacing w:after="0" w:line="276" w:lineRule="auto"/>
        <w:ind w:firstLine="567"/>
        <w:jc w:val="center"/>
        <w:rPr>
          <w:rFonts w:ascii="Times New Roman" w:hAnsi="Times New Roman" w:cs="Times New Roman"/>
          <w:b/>
          <w:color w:val="000000" w:themeColor="text1"/>
          <w:sz w:val="28"/>
          <w:szCs w:val="28"/>
        </w:rPr>
      </w:pPr>
      <w:r w:rsidRPr="00C916F4">
        <w:rPr>
          <w:rFonts w:ascii="Times New Roman" w:hAnsi="Times New Roman" w:cs="Times New Roman"/>
          <w:b/>
          <w:color w:val="000000" w:themeColor="text1"/>
          <w:sz w:val="28"/>
          <w:szCs w:val="28"/>
        </w:rPr>
        <w:t>Evoluția cantității și încasărilor din produsele din tutun divizate pe țigarete  cu filtru și fără filtru</w:t>
      </w:r>
    </w:p>
    <w:tbl>
      <w:tblPr>
        <w:tblStyle w:val="ListTable1Light-Accent5"/>
        <w:tblW w:w="9351" w:type="dxa"/>
        <w:tblLook w:val="04A0" w:firstRow="1" w:lastRow="0" w:firstColumn="1" w:lastColumn="0" w:noHBand="0" w:noVBand="1"/>
      </w:tblPr>
      <w:tblGrid>
        <w:gridCol w:w="988"/>
        <w:gridCol w:w="1559"/>
        <w:gridCol w:w="1984"/>
        <w:gridCol w:w="1985"/>
        <w:gridCol w:w="2835"/>
      </w:tblGrid>
      <w:tr w:rsidR="007E0C86" w:rsidRPr="00C916F4" w:rsidTr="00F61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rPr>
                <w:rFonts w:ascii="Times New Roman" w:hAnsi="Times New Roman" w:cs="Times New Roman"/>
                <w:color w:val="000000" w:themeColor="text1"/>
                <w:sz w:val="28"/>
                <w:szCs w:val="28"/>
              </w:rPr>
            </w:pPr>
          </w:p>
        </w:tc>
        <w:tc>
          <w:tcPr>
            <w:tcW w:w="1559" w:type="dxa"/>
            <w:tcBorders>
              <w:top w:val="single" w:sz="4" w:space="0" w:color="auto"/>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984" w:type="dxa"/>
            <w:tcBorders>
              <w:top w:val="single" w:sz="4" w:space="0" w:color="auto"/>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2014</w:t>
            </w:r>
          </w:p>
        </w:tc>
        <w:tc>
          <w:tcPr>
            <w:tcW w:w="1985" w:type="dxa"/>
            <w:tcBorders>
              <w:top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2015</w:t>
            </w:r>
          </w:p>
        </w:tc>
        <w:tc>
          <w:tcPr>
            <w:tcW w:w="2835" w:type="dxa"/>
            <w:tcBorders>
              <w:top w:val="single" w:sz="4" w:space="0" w:color="auto"/>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2016</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Cantitatea mil. buc</w:t>
            </w:r>
          </w:p>
        </w:tc>
        <w:tc>
          <w:tcPr>
            <w:tcW w:w="15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Cu filtru</w:t>
            </w:r>
          </w:p>
        </w:tc>
        <w:tc>
          <w:tcPr>
            <w:tcW w:w="1984"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4 246</w:t>
            </w:r>
          </w:p>
        </w:tc>
        <w:tc>
          <w:tcPr>
            <w:tcW w:w="1985" w:type="dxa"/>
            <w:tcBorders>
              <w:top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4549</w:t>
            </w:r>
          </w:p>
        </w:tc>
        <w:tc>
          <w:tcPr>
            <w:tcW w:w="2835"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4424</w:t>
            </w:r>
          </w:p>
        </w:tc>
      </w:tr>
      <w:tr w:rsidR="007E0C86" w:rsidRPr="00C916F4" w:rsidTr="00F61A15">
        <w:trPr>
          <w:trHeight w:val="697"/>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p>
        </w:tc>
        <w:tc>
          <w:tcPr>
            <w:tcW w:w="15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Fără filtru</w:t>
            </w:r>
          </w:p>
        </w:tc>
        <w:tc>
          <w:tcPr>
            <w:tcW w:w="1984"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1136</w:t>
            </w:r>
          </w:p>
        </w:tc>
        <w:tc>
          <w:tcPr>
            <w:tcW w:w="1985" w:type="dxa"/>
            <w:tcBorders>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1364</w:t>
            </w:r>
          </w:p>
        </w:tc>
        <w:tc>
          <w:tcPr>
            <w:tcW w:w="2835"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1770</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Încasări mil. lei</w:t>
            </w:r>
          </w:p>
        </w:tc>
        <w:tc>
          <w:tcPr>
            <w:tcW w:w="15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Cu filtru</w:t>
            </w:r>
          </w:p>
        </w:tc>
        <w:tc>
          <w:tcPr>
            <w:tcW w:w="1984"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928</w:t>
            </w:r>
          </w:p>
        </w:tc>
        <w:tc>
          <w:tcPr>
            <w:tcW w:w="1985" w:type="dxa"/>
            <w:tcBorders>
              <w:top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1330</w:t>
            </w:r>
          </w:p>
        </w:tc>
        <w:tc>
          <w:tcPr>
            <w:tcW w:w="2835"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1664</w:t>
            </w:r>
          </w:p>
        </w:tc>
      </w:tr>
      <w:tr w:rsidR="007E0C86" w:rsidRPr="00C916F4" w:rsidTr="00F61A15">
        <w:trPr>
          <w:trHeight w:val="579"/>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15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Fără filtru</w:t>
            </w:r>
          </w:p>
        </w:tc>
        <w:tc>
          <w:tcPr>
            <w:tcW w:w="1984"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59</w:t>
            </w:r>
          </w:p>
        </w:tc>
        <w:tc>
          <w:tcPr>
            <w:tcW w:w="1985" w:type="dxa"/>
            <w:tcBorders>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68</w:t>
            </w:r>
          </w:p>
        </w:tc>
        <w:tc>
          <w:tcPr>
            <w:tcW w:w="2835"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87</w:t>
            </w:r>
          </w:p>
        </w:tc>
      </w:tr>
    </w:tbl>
    <w:p w:rsidR="007E0C86" w:rsidRPr="00C916F4" w:rsidRDefault="007E0C86" w:rsidP="00C916F4">
      <w:pPr>
        <w:tabs>
          <w:tab w:val="left" w:pos="993"/>
          <w:tab w:val="left" w:pos="1134"/>
        </w:tabs>
        <w:spacing w:after="0" w:line="276" w:lineRule="auto"/>
        <w:ind w:firstLine="567"/>
        <w:jc w:val="both"/>
        <w:rPr>
          <w:rFonts w:ascii="Times New Roman" w:hAnsi="Times New Roman" w:cs="Times New Roman"/>
          <w:color w:val="000000" w:themeColor="text1"/>
          <w:sz w:val="28"/>
          <w:szCs w:val="28"/>
        </w:rPr>
      </w:pPr>
    </w:p>
    <w:tbl>
      <w:tblPr>
        <w:tblStyle w:val="ListTable1Light-Accent5"/>
        <w:tblW w:w="9493" w:type="dxa"/>
        <w:tblLook w:val="04A0" w:firstRow="1" w:lastRow="0" w:firstColumn="1" w:lastColumn="0" w:noHBand="0" w:noVBand="1"/>
      </w:tblPr>
      <w:tblGrid>
        <w:gridCol w:w="988"/>
        <w:gridCol w:w="2409"/>
        <w:gridCol w:w="1577"/>
        <w:gridCol w:w="2060"/>
        <w:gridCol w:w="2459"/>
      </w:tblGrid>
      <w:tr w:rsidR="007E0C86" w:rsidRPr="00C916F4" w:rsidTr="00F61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both"/>
              <w:rPr>
                <w:rFonts w:ascii="Times New Roman" w:hAnsi="Times New Roman" w:cs="Times New Roman"/>
                <w:color w:val="000000" w:themeColor="text1"/>
                <w:sz w:val="28"/>
                <w:szCs w:val="28"/>
              </w:rPr>
            </w:pPr>
          </w:p>
        </w:tc>
        <w:tc>
          <w:tcPr>
            <w:tcW w:w="2409" w:type="dxa"/>
            <w:tcBorders>
              <w:top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577" w:type="dxa"/>
            <w:tcBorders>
              <w:top w:val="single" w:sz="4" w:space="0" w:color="auto"/>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2060" w:type="dxa"/>
            <w:tcBorders>
              <w:top w:val="single" w:sz="4" w:space="0" w:color="auto"/>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2016</w:t>
            </w:r>
          </w:p>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primele 4 luni</w:t>
            </w:r>
          </w:p>
        </w:tc>
        <w:tc>
          <w:tcPr>
            <w:tcW w:w="2459" w:type="dxa"/>
            <w:tcBorders>
              <w:top w:val="single" w:sz="4" w:space="0" w:color="auto"/>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2017</w:t>
            </w:r>
          </w:p>
          <w:p w:rsidR="007E0C86" w:rsidRPr="00C916F4" w:rsidRDefault="007E0C86" w:rsidP="00C916F4">
            <w:pPr>
              <w:tabs>
                <w:tab w:val="left" w:pos="993"/>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primele 4 luni</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88" w:type="dxa"/>
            <w:vMerge w:val="restart"/>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Cantitatea mil. buc</w:t>
            </w:r>
          </w:p>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p>
        </w:tc>
        <w:tc>
          <w:tcPr>
            <w:tcW w:w="2409" w:type="dxa"/>
            <w:vMerge w:val="restart"/>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Cu filtru</w:t>
            </w:r>
          </w:p>
        </w:tc>
        <w:tc>
          <w:tcPr>
            <w:tcW w:w="1577"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Importat</w:t>
            </w:r>
          </w:p>
        </w:tc>
        <w:tc>
          <w:tcPr>
            <w:tcW w:w="2060"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1237</w:t>
            </w:r>
          </w:p>
        </w:tc>
        <w:tc>
          <w:tcPr>
            <w:tcW w:w="24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724</w:t>
            </w:r>
          </w:p>
        </w:tc>
      </w:tr>
      <w:tr w:rsidR="007E0C86" w:rsidRPr="00C916F4" w:rsidTr="00F61A15">
        <w:trPr>
          <w:trHeight w:val="285"/>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vMerge/>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577"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Produs</w:t>
            </w:r>
          </w:p>
        </w:tc>
        <w:tc>
          <w:tcPr>
            <w:tcW w:w="2060"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125</w:t>
            </w:r>
          </w:p>
        </w:tc>
        <w:tc>
          <w:tcPr>
            <w:tcW w:w="24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33</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vMerge w:val="restart"/>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Fără filtru</w:t>
            </w:r>
          </w:p>
        </w:tc>
        <w:tc>
          <w:tcPr>
            <w:tcW w:w="1577"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Importat</w:t>
            </w:r>
          </w:p>
        </w:tc>
        <w:tc>
          <w:tcPr>
            <w:tcW w:w="2060"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8"/>
                <w:szCs w:val="28"/>
              </w:rPr>
            </w:pPr>
            <w:r w:rsidRPr="00C916F4">
              <w:rPr>
                <w:rFonts w:ascii="Times New Roman" w:hAnsi="Times New Roman" w:cs="Times New Roman"/>
                <w:b/>
                <w:color w:val="000000" w:themeColor="text1"/>
                <w:sz w:val="28"/>
                <w:szCs w:val="28"/>
              </w:rPr>
              <w:t>48</w:t>
            </w:r>
          </w:p>
        </w:tc>
        <w:tc>
          <w:tcPr>
            <w:tcW w:w="24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8"/>
                <w:szCs w:val="28"/>
              </w:rPr>
            </w:pPr>
            <w:r w:rsidRPr="00C916F4">
              <w:rPr>
                <w:rFonts w:ascii="Times New Roman" w:hAnsi="Times New Roman" w:cs="Times New Roman"/>
                <w:b/>
                <w:color w:val="000000" w:themeColor="text1"/>
                <w:sz w:val="28"/>
                <w:szCs w:val="28"/>
              </w:rPr>
              <w:t>143</w:t>
            </w:r>
          </w:p>
        </w:tc>
      </w:tr>
      <w:tr w:rsidR="007E0C86" w:rsidRPr="00C916F4" w:rsidTr="00F61A15">
        <w:trPr>
          <w:trHeight w:val="416"/>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vMerge/>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577"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Produs</w:t>
            </w:r>
          </w:p>
        </w:tc>
        <w:tc>
          <w:tcPr>
            <w:tcW w:w="2060"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215</w:t>
            </w:r>
          </w:p>
        </w:tc>
        <w:tc>
          <w:tcPr>
            <w:tcW w:w="24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85</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Încasări mil. lei</w:t>
            </w:r>
          </w:p>
        </w:tc>
        <w:tc>
          <w:tcPr>
            <w:tcW w:w="2409" w:type="dxa"/>
            <w:vMerge w:val="restart"/>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Cu filtru</w:t>
            </w:r>
          </w:p>
        </w:tc>
        <w:tc>
          <w:tcPr>
            <w:tcW w:w="1577"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Importat</w:t>
            </w:r>
          </w:p>
        </w:tc>
        <w:tc>
          <w:tcPr>
            <w:tcW w:w="2060"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434</w:t>
            </w:r>
          </w:p>
        </w:tc>
        <w:tc>
          <w:tcPr>
            <w:tcW w:w="24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354</w:t>
            </w:r>
          </w:p>
        </w:tc>
      </w:tr>
      <w:tr w:rsidR="007E0C86" w:rsidRPr="00C916F4" w:rsidTr="00F61A15">
        <w:trPr>
          <w:trHeight w:val="278"/>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vMerge/>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577"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Produs</w:t>
            </w:r>
          </w:p>
        </w:tc>
        <w:tc>
          <w:tcPr>
            <w:tcW w:w="2060"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36</w:t>
            </w:r>
          </w:p>
        </w:tc>
        <w:tc>
          <w:tcPr>
            <w:tcW w:w="24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16</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vMerge w:val="restart"/>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Fără filtru</w:t>
            </w:r>
          </w:p>
        </w:tc>
        <w:tc>
          <w:tcPr>
            <w:tcW w:w="1577"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Importat</w:t>
            </w:r>
          </w:p>
        </w:tc>
        <w:tc>
          <w:tcPr>
            <w:tcW w:w="2060"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w:t>
            </w:r>
          </w:p>
        </w:tc>
        <w:tc>
          <w:tcPr>
            <w:tcW w:w="24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17,2</w:t>
            </w:r>
          </w:p>
        </w:tc>
      </w:tr>
      <w:tr w:rsidR="007E0C86" w:rsidRPr="00C916F4" w:rsidTr="00F61A15">
        <w:trPr>
          <w:trHeight w:val="302"/>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vMerge/>
            <w:tcBorders>
              <w:lef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577" w:type="dxa"/>
            <w:tcBorders>
              <w:righ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Produs</w:t>
            </w:r>
          </w:p>
        </w:tc>
        <w:tc>
          <w:tcPr>
            <w:tcW w:w="2060" w:type="dxa"/>
            <w:tcBorders>
              <w:lef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10</w:t>
            </w:r>
          </w:p>
        </w:tc>
        <w:tc>
          <w:tcPr>
            <w:tcW w:w="2459" w:type="dxa"/>
            <w:tcBorders>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10</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88" w:type="dxa"/>
            <w:vMerge w:val="restart"/>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center"/>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Încasări mil. lei</w:t>
            </w:r>
          </w:p>
        </w:tc>
        <w:tc>
          <w:tcPr>
            <w:tcW w:w="2409"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1577"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2060"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24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r>
      <w:tr w:rsidR="007E0C86" w:rsidRPr="00C916F4" w:rsidTr="00F61A15">
        <w:trPr>
          <w:trHeight w:val="603"/>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tcBorders>
              <w:top w:val="single" w:sz="4" w:space="0" w:color="auto"/>
              <w:left w:val="single" w:sz="4" w:space="0" w:color="auto"/>
            </w:tcBorders>
            <w:vAlign w:val="center"/>
          </w:tcPr>
          <w:p w:rsidR="007E0C86" w:rsidRPr="00C916F4" w:rsidRDefault="007E0C86" w:rsidP="00C916F4">
            <w:pPr>
              <w:tabs>
                <w:tab w:val="left" w:pos="993"/>
                <w:tab w:val="left" w:pos="113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Cu filtru</w:t>
            </w:r>
          </w:p>
        </w:tc>
        <w:tc>
          <w:tcPr>
            <w:tcW w:w="1577" w:type="dxa"/>
            <w:tcBorders>
              <w:top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2060" w:type="dxa"/>
            <w:tcBorders>
              <w:top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470</w:t>
            </w:r>
          </w:p>
        </w:tc>
        <w:tc>
          <w:tcPr>
            <w:tcW w:w="2459" w:type="dxa"/>
            <w:tcBorders>
              <w:top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370</w:t>
            </w:r>
          </w:p>
        </w:tc>
      </w:tr>
      <w:tr w:rsidR="007E0C86" w:rsidRPr="00C916F4" w:rsidTr="00F61A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right w:val="single" w:sz="4" w:space="0" w:color="auto"/>
            </w:tcBorders>
            <w:textDirection w:val="btLr"/>
            <w:vAlign w:val="center"/>
          </w:tcPr>
          <w:p w:rsidR="007E0C86" w:rsidRPr="00C916F4" w:rsidRDefault="007E0C86" w:rsidP="00C916F4">
            <w:pPr>
              <w:tabs>
                <w:tab w:val="left" w:pos="993"/>
                <w:tab w:val="left" w:pos="1134"/>
              </w:tabs>
              <w:spacing w:line="276" w:lineRule="auto"/>
              <w:ind w:left="113" w:right="113"/>
              <w:jc w:val="both"/>
              <w:rPr>
                <w:rFonts w:ascii="Times New Roman" w:hAnsi="Times New Roman" w:cs="Times New Roman"/>
                <w:color w:val="000000" w:themeColor="text1"/>
                <w:sz w:val="28"/>
                <w:szCs w:val="28"/>
              </w:rPr>
            </w:pPr>
          </w:p>
        </w:tc>
        <w:tc>
          <w:tcPr>
            <w:tcW w:w="2409" w:type="dxa"/>
            <w:tcBorders>
              <w:left w:val="single" w:sz="4" w:space="0" w:color="auto"/>
              <w:bottom w:val="single" w:sz="4" w:space="0" w:color="auto"/>
            </w:tcBorders>
            <w:vAlign w:val="center"/>
          </w:tcPr>
          <w:p w:rsidR="007E0C86" w:rsidRPr="00C916F4" w:rsidRDefault="007E0C86" w:rsidP="00C916F4">
            <w:pPr>
              <w:tabs>
                <w:tab w:val="left" w:pos="993"/>
                <w:tab w:val="left" w:pos="1134"/>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Fără filtru</w:t>
            </w:r>
          </w:p>
        </w:tc>
        <w:tc>
          <w:tcPr>
            <w:tcW w:w="1577" w:type="dxa"/>
            <w:tcBorders>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2060" w:type="dxa"/>
            <w:tcBorders>
              <w:bottom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12</w:t>
            </w:r>
          </w:p>
        </w:tc>
        <w:tc>
          <w:tcPr>
            <w:tcW w:w="2459" w:type="dxa"/>
            <w:tcBorders>
              <w:bottom w:val="single" w:sz="4" w:space="0" w:color="auto"/>
              <w:right w:val="single" w:sz="4" w:space="0" w:color="auto"/>
            </w:tcBorders>
            <w:vAlign w:val="center"/>
          </w:tcPr>
          <w:p w:rsidR="007E0C86" w:rsidRPr="00C916F4" w:rsidRDefault="007E0C86" w:rsidP="00C916F4">
            <w:pPr>
              <w:tabs>
                <w:tab w:val="left" w:pos="993"/>
                <w:tab w:val="left" w:pos="1134"/>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27</w:t>
            </w:r>
          </w:p>
        </w:tc>
      </w:tr>
    </w:tbl>
    <w:p w:rsidR="00C6285D" w:rsidRPr="00C916F4" w:rsidRDefault="00C6285D" w:rsidP="00C916F4">
      <w:pPr>
        <w:tabs>
          <w:tab w:val="left" w:pos="567"/>
          <w:tab w:val="left" w:pos="993"/>
          <w:tab w:val="left" w:pos="1080"/>
          <w:tab w:val="left" w:pos="1134"/>
        </w:tabs>
        <w:spacing w:after="0" w:line="276" w:lineRule="auto"/>
        <w:ind w:firstLine="567"/>
        <w:jc w:val="both"/>
        <w:rPr>
          <w:rFonts w:ascii="Times New Roman" w:eastAsia="Times New Roman" w:hAnsi="Times New Roman" w:cs="Times New Roman"/>
          <w:sz w:val="28"/>
          <w:szCs w:val="28"/>
          <w:lang w:eastAsia="ru-RU"/>
        </w:rPr>
      </w:pPr>
    </w:p>
    <w:p w:rsidR="00A753AB" w:rsidRPr="00C916F4" w:rsidRDefault="00A753AB" w:rsidP="00C916F4">
      <w:pPr>
        <w:pStyle w:val="ListParagraph"/>
        <w:numPr>
          <w:ilvl w:val="0"/>
          <w:numId w:val="5"/>
        </w:numPr>
        <w:tabs>
          <w:tab w:val="left" w:pos="567"/>
          <w:tab w:val="left" w:pos="993"/>
          <w:tab w:val="left" w:pos="1080"/>
          <w:tab w:val="left" w:pos="1134"/>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 xml:space="preserve"> De asemenea, ținînd cont că pe piață se înregistrează o creștere a țigaretelor fără filtru în detrimentul celor cu filtru, aceasta cauzînd reducerea încasărilor la buget se propune impozitarea mai accelerată a țigaretelor fără filtru începînd cu anul 2018.</w:t>
      </w:r>
    </w:p>
    <w:p w:rsidR="00A753AB" w:rsidRPr="00C916F4" w:rsidRDefault="00A753AB" w:rsidP="00C916F4">
      <w:pPr>
        <w:tabs>
          <w:tab w:val="left" w:pos="567"/>
          <w:tab w:val="left" w:pos="1080"/>
        </w:tabs>
        <w:spacing w:after="0" w:line="276" w:lineRule="auto"/>
        <w:ind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Totodată, se propune introducerea, începînd cu anul 2018, a componentei ad valorem pentru țigaretele fără filtru în mărime de 3%.</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hAnsi="Times New Roman" w:cs="Times New Roman"/>
          <w:color w:val="000000" w:themeColor="text1"/>
          <w:sz w:val="28"/>
          <w:szCs w:val="28"/>
        </w:rPr>
      </w:pPr>
      <w:r w:rsidRPr="00C916F4">
        <w:rPr>
          <w:rFonts w:ascii="Times New Roman" w:eastAsia="Times New Roman" w:hAnsi="Times New Roman" w:cs="Times New Roman"/>
          <w:sz w:val="28"/>
          <w:szCs w:val="28"/>
          <w:lang w:eastAsia="ru-RU"/>
        </w:rPr>
        <w:t>Se propune</w:t>
      </w:r>
      <w:r w:rsidRPr="00C916F4">
        <w:rPr>
          <w:rFonts w:ascii="Times New Roman" w:hAnsi="Times New Roman" w:cs="Times New Roman"/>
          <w:color w:val="000000" w:themeColor="text1"/>
          <w:sz w:val="28"/>
          <w:szCs w:val="28"/>
        </w:rPr>
        <w:t xml:space="preserve"> perfecționarea impozitul pe avere prin extinderea bazei de aplicare a acestuia asupra altor componente ale averii, ceea ce ne va permite să focusăm aplicarea impozitului pe avere pe persoanele care dețin averi nu doar sub forma de </w:t>
      </w:r>
      <w:r w:rsidRPr="00C916F4">
        <w:rPr>
          <w:rFonts w:ascii="Times New Roman" w:hAnsi="Times New Roman" w:cs="Times New Roman"/>
          <w:color w:val="000000" w:themeColor="text1"/>
          <w:sz w:val="28"/>
          <w:szCs w:val="28"/>
        </w:rPr>
        <w:lastRenderedPageBreak/>
        <w:t>bunuri imobiliare, dar și sub forma unor bunuri mobile, în cazul dat autoturisme cu o valoare mai mare de 1,5 mil. lei.</w:t>
      </w:r>
    </w:p>
    <w:p w:rsidR="00A753AB" w:rsidRPr="00C916F4" w:rsidRDefault="00A753AB" w:rsidP="00C916F4">
      <w:pPr>
        <w:pStyle w:val="ListParagraph"/>
        <w:tabs>
          <w:tab w:val="left" w:pos="567"/>
          <w:tab w:val="left" w:pos="1080"/>
        </w:tabs>
        <w:spacing w:after="0" w:line="276" w:lineRule="auto"/>
        <w:ind w:left="0" w:firstLine="567"/>
        <w:jc w:val="both"/>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 xml:space="preserve"> Astfel, perfecționarea impozitului pe avere urmează a fi realizată prin:</w:t>
      </w:r>
    </w:p>
    <w:p w:rsidR="00A753AB" w:rsidRPr="00C916F4" w:rsidRDefault="00A753AB" w:rsidP="00C916F4">
      <w:pPr>
        <w:pStyle w:val="ListParagraph"/>
        <w:tabs>
          <w:tab w:val="left" w:pos="567"/>
          <w:tab w:val="left" w:pos="1080"/>
        </w:tabs>
        <w:spacing w:after="0" w:line="276" w:lineRule="auto"/>
        <w:ind w:left="0" w:firstLine="567"/>
        <w:jc w:val="both"/>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w:t>
      </w:r>
      <w:r w:rsidRPr="00C916F4">
        <w:rPr>
          <w:rFonts w:ascii="Times New Roman" w:hAnsi="Times New Roman" w:cs="Times New Roman"/>
          <w:color w:val="000000" w:themeColor="text1"/>
          <w:sz w:val="28"/>
          <w:szCs w:val="28"/>
        </w:rPr>
        <w:tab/>
        <w:t>Extinderea impozitului pe avere pentru alte componente ale averii, și anume asupra autoturismele cu o valoare mai mare de 1,5 mil. lei;</w:t>
      </w:r>
    </w:p>
    <w:p w:rsidR="00A753AB" w:rsidRPr="00C916F4" w:rsidRDefault="00A753AB" w:rsidP="00C916F4">
      <w:pPr>
        <w:pStyle w:val="ListParagraph"/>
        <w:tabs>
          <w:tab w:val="left" w:pos="567"/>
          <w:tab w:val="left" w:pos="1080"/>
        </w:tabs>
        <w:spacing w:after="0" w:line="276" w:lineRule="auto"/>
        <w:ind w:left="0" w:firstLine="567"/>
        <w:jc w:val="both"/>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w:t>
      </w:r>
      <w:r w:rsidRPr="00C916F4">
        <w:rPr>
          <w:rFonts w:ascii="Times New Roman" w:hAnsi="Times New Roman" w:cs="Times New Roman"/>
          <w:color w:val="000000" w:themeColor="text1"/>
          <w:sz w:val="28"/>
          <w:szCs w:val="28"/>
        </w:rPr>
        <w:tab/>
        <w:t>La determinarea subiectului și obiectului impozabil în cazul proprietății în devălmășie se propune ca avere să fie divizată pe fiecare coproprietar;</w:t>
      </w:r>
    </w:p>
    <w:p w:rsidR="00A753AB" w:rsidRPr="00C916F4" w:rsidRDefault="00A753AB" w:rsidP="00C916F4">
      <w:pPr>
        <w:pStyle w:val="ListParagraph"/>
        <w:tabs>
          <w:tab w:val="left" w:pos="567"/>
          <w:tab w:val="left" w:pos="1080"/>
        </w:tabs>
        <w:spacing w:after="0" w:line="276" w:lineRule="auto"/>
        <w:ind w:left="0" w:firstLine="567"/>
        <w:jc w:val="both"/>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w:t>
      </w:r>
      <w:r w:rsidRPr="00C916F4">
        <w:rPr>
          <w:rFonts w:ascii="Times New Roman" w:hAnsi="Times New Roman" w:cs="Times New Roman"/>
          <w:color w:val="000000" w:themeColor="text1"/>
          <w:sz w:val="28"/>
          <w:szCs w:val="28"/>
        </w:rPr>
        <w:tab/>
        <w:t xml:space="preserve">Excluderea posibilității deducerii valorii creditului imobiliar (ipotecar) în vederea reducerii riscului de optimizare fiscală și simplificării administrării fiscale. Menționăm că impozitul pe </w:t>
      </w:r>
      <w:bookmarkStart w:id="0" w:name="_GoBack"/>
      <w:bookmarkEnd w:id="0"/>
      <w:r w:rsidRPr="00C916F4">
        <w:rPr>
          <w:rFonts w:ascii="Times New Roman" w:hAnsi="Times New Roman" w:cs="Times New Roman"/>
          <w:color w:val="000000" w:themeColor="text1"/>
          <w:sz w:val="28"/>
          <w:szCs w:val="28"/>
        </w:rPr>
        <w:t>avere se aplică doar pentru proprietate ce depășește o anumită valoare, fiind considerată în cele din urmă ca proprietăți de lux;</w:t>
      </w:r>
    </w:p>
    <w:p w:rsidR="00A753AB" w:rsidRPr="00C916F4" w:rsidRDefault="00A753AB" w:rsidP="00C916F4">
      <w:pPr>
        <w:pStyle w:val="ListParagraph"/>
        <w:tabs>
          <w:tab w:val="left" w:pos="567"/>
          <w:tab w:val="left" w:pos="1080"/>
        </w:tabs>
        <w:spacing w:after="0" w:line="276" w:lineRule="auto"/>
        <w:ind w:left="0" w:firstLine="567"/>
        <w:jc w:val="both"/>
        <w:rPr>
          <w:rFonts w:ascii="Times New Roman" w:hAnsi="Times New Roman" w:cs="Times New Roman"/>
          <w:color w:val="000000" w:themeColor="text1"/>
          <w:sz w:val="28"/>
          <w:szCs w:val="28"/>
        </w:rPr>
      </w:pPr>
      <w:r w:rsidRPr="00C916F4">
        <w:rPr>
          <w:rFonts w:ascii="Times New Roman" w:hAnsi="Times New Roman" w:cs="Times New Roman"/>
          <w:color w:val="000000" w:themeColor="text1"/>
          <w:sz w:val="28"/>
          <w:szCs w:val="28"/>
        </w:rPr>
        <w:t>•</w:t>
      </w:r>
      <w:r w:rsidRPr="00C916F4">
        <w:rPr>
          <w:rFonts w:ascii="Times New Roman" w:hAnsi="Times New Roman" w:cs="Times New Roman"/>
          <w:color w:val="000000" w:themeColor="text1"/>
          <w:sz w:val="28"/>
          <w:szCs w:val="28"/>
        </w:rPr>
        <w:tab/>
        <w:t>Excluderea suprafeței în mărime de 120 m</w:t>
      </w:r>
      <w:r w:rsidRPr="00C916F4">
        <w:rPr>
          <w:rFonts w:ascii="Times New Roman" w:hAnsi="Times New Roman" w:cs="Times New Roman"/>
          <w:color w:val="000000" w:themeColor="text1"/>
          <w:sz w:val="28"/>
          <w:szCs w:val="28"/>
          <w:vertAlign w:val="superscript"/>
        </w:rPr>
        <w:t>2</w:t>
      </w:r>
      <w:r w:rsidRPr="00C916F4">
        <w:rPr>
          <w:rFonts w:ascii="Times New Roman" w:hAnsi="Times New Roman" w:cs="Times New Roman"/>
          <w:color w:val="000000" w:themeColor="text1"/>
          <w:sz w:val="28"/>
          <w:szCs w:val="28"/>
        </w:rPr>
        <w:t xml:space="preserve"> ca și criteriu de determinare a subiectului impozabil. Accentul fiind pus pe valoarea averii persoanelor.</w:t>
      </w:r>
    </w:p>
    <w:p w:rsidR="00595DB6" w:rsidRPr="00C916F4" w:rsidRDefault="00595DB6" w:rsidP="00C916F4">
      <w:pPr>
        <w:tabs>
          <w:tab w:val="left" w:pos="567"/>
          <w:tab w:val="left" w:pos="993"/>
          <w:tab w:val="left" w:pos="1080"/>
          <w:tab w:val="left" w:pos="1134"/>
        </w:tabs>
        <w:spacing w:after="0" w:line="276" w:lineRule="auto"/>
        <w:ind w:firstLine="567"/>
        <w:jc w:val="both"/>
        <w:rPr>
          <w:rFonts w:ascii="Times New Roman" w:eastAsia="Times New Roman" w:hAnsi="Times New Roman" w:cs="Times New Roman"/>
          <w:sz w:val="28"/>
          <w:szCs w:val="28"/>
          <w:lang w:eastAsia="ru-RU"/>
        </w:rPr>
      </w:pPr>
    </w:p>
    <w:p w:rsidR="00A753AB" w:rsidRPr="00C916F4" w:rsidRDefault="00A753AB" w:rsidP="00C916F4">
      <w:pPr>
        <w:pStyle w:val="ListParagraph"/>
        <w:numPr>
          <w:ilvl w:val="0"/>
          <w:numId w:val="3"/>
        </w:numPr>
        <w:tabs>
          <w:tab w:val="left" w:pos="567"/>
          <w:tab w:val="left" w:pos="993"/>
          <w:tab w:val="left" w:pos="1080"/>
          <w:tab w:val="left" w:pos="1134"/>
        </w:tabs>
        <w:spacing w:line="276" w:lineRule="auto"/>
        <w:ind w:left="0" w:firstLine="567"/>
        <w:jc w:val="both"/>
        <w:rPr>
          <w:rFonts w:ascii="Times New Roman" w:eastAsia="Times New Roman" w:hAnsi="Times New Roman" w:cs="Times New Roman"/>
          <w:i/>
          <w:sz w:val="28"/>
          <w:szCs w:val="28"/>
          <w:lang w:eastAsia="ru-RU"/>
        </w:rPr>
      </w:pPr>
      <w:r w:rsidRPr="00C916F4">
        <w:rPr>
          <w:rFonts w:ascii="Times New Roman" w:eastAsia="Times New Roman" w:hAnsi="Times New Roman" w:cs="Times New Roman"/>
          <w:i/>
          <w:sz w:val="28"/>
          <w:szCs w:val="28"/>
          <w:lang w:eastAsia="ru-RU"/>
        </w:rPr>
        <w:t>Principalele amendamente de ordin vamal ce se conţin în acest set sunt următoarele.</w:t>
      </w:r>
    </w:p>
    <w:p w:rsidR="00595DB6" w:rsidRPr="00C916F4" w:rsidRDefault="00595DB6" w:rsidP="00C916F4">
      <w:pPr>
        <w:pStyle w:val="ListParagraph"/>
        <w:tabs>
          <w:tab w:val="left" w:pos="567"/>
          <w:tab w:val="left" w:pos="993"/>
          <w:tab w:val="left" w:pos="1080"/>
          <w:tab w:val="left" w:pos="1134"/>
        </w:tabs>
        <w:spacing w:line="276" w:lineRule="auto"/>
        <w:ind w:left="0" w:firstLine="567"/>
        <w:jc w:val="both"/>
        <w:rPr>
          <w:rFonts w:ascii="Times New Roman" w:eastAsia="Times New Roman" w:hAnsi="Times New Roman" w:cs="Times New Roman"/>
          <w:i/>
          <w:sz w:val="28"/>
          <w:szCs w:val="28"/>
          <w:lang w:eastAsia="ru-RU"/>
        </w:rPr>
      </w:pPr>
    </w:p>
    <w:p w:rsidR="00A753AB" w:rsidRPr="00C916F4" w:rsidRDefault="00A753AB" w:rsidP="00C916F4">
      <w:pPr>
        <w:pStyle w:val="ListParagraph"/>
        <w:tabs>
          <w:tab w:val="left" w:pos="567"/>
          <w:tab w:val="left" w:pos="993"/>
          <w:tab w:val="left" w:pos="1080"/>
          <w:tab w:val="left" w:pos="1134"/>
        </w:tabs>
        <w:spacing w:after="0" w:line="276" w:lineRule="auto"/>
        <w:ind w:left="0" w:firstLine="567"/>
        <w:jc w:val="both"/>
        <w:rPr>
          <w:rFonts w:ascii="Times New Roman" w:eastAsia="Times New Roman" w:hAnsi="Times New Roman" w:cs="Times New Roman"/>
          <w:b/>
          <w:sz w:val="28"/>
          <w:szCs w:val="28"/>
          <w:lang w:eastAsia="ru-RU"/>
        </w:rPr>
      </w:pPr>
      <w:r w:rsidRPr="00C916F4">
        <w:rPr>
          <w:rFonts w:ascii="Times New Roman" w:eastAsia="Times New Roman" w:hAnsi="Times New Roman" w:cs="Times New Roman"/>
          <w:b/>
          <w:sz w:val="28"/>
          <w:szCs w:val="28"/>
          <w:lang w:eastAsia="ru-RU"/>
        </w:rPr>
        <w:t>Codul vamal al Republicii Moldova nr.1149-XIV din 20 iulie 2000</w:t>
      </w:r>
    </w:p>
    <w:p w:rsidR="00595DB6" w:rsidRPr="00C916F4" w:rsidRDefault="00595DB6" w:rsidP="00C916F4">
      <w:pPr>
        <w:pStyle w:val="ListParagraph"/>
        <w:tabs>
          <w:tab w:val="left" w:pos="567"/>
          <w:tab w:val="left" w:pos="993"/>
          <w:tab w:val="left" w:pos="1080"/>
          <w:tab w:val="left" w:pos="1134"/>
        </w:tabs>
        <w:spacing w:after="0" w:line="276" w:lineRule="auto"/>
        <w:ind w:left="0" w:firstLine="567"/>
        <w:jc w:val="both"/>
        <w:rPr>
          <w:rFonts w:ascii="Times New Roman" w:eastAsia="Times New Roman" w:hAnsi="Times New Roman" w:cs="Times New Roman"/>
          <w:b/>
          <w:sz w:val="28"/>
          <w:szCs w:val="28"/>
          <w:lang w:eastAsia="ru-RU"/>
        </w:rPr>
      </w:pPr>
    </w:p>
    <w:p w:rsidR="00595DB6" w:rsidRPr="00C916F4" w:rsidRDefault="00595DB6" w:rsidP="00C916F4">
      <w:pPr>
        <w:numPr>
          <w:ilvl w:val="0"/>
          <w:numId w:val="5"/>
        </w:numPr>
        <w:tabs>
          <w:tab w:val="left" w:pos="567"/>
          <w:tab w:val="left" w:pos="1080"/>
        </w:tabs>
        <w:spacing w:after="0"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În vederea executării angajamentelor prevăzute în Anexa XXVI la Acordul de Asociere între Republica Moldova şi Uniunea Europeană, precum și a recomandărilor înaintate prin Hotărârii Curții de Conturi nr.34 din 29 iulie 2016 privind “Raportul auditului de conformitate asociat auditului de performanță al sistemului facilităților fiscale și vamale, se propune eliminarea treptată a facilităților fiscale și vamale acordate magazinelor ce activează în regim duty-free. Concomitent, măsura dată vine întru executarea recomandărilor EUBAM, UE și a Băncii Mondiale.</w:t>
      </w:r>
    </w:p>
    <w:p w:rsidR="00595DB6" w:rsidRPr="00C916F4" w:rsidRDefault="00595DB6" w:rsidP="00C916F4">
      <w:pPr>
        <w:tabs>
          <w:tab w:val="left" w:pos="567"/>
          <w:tab w:val="left" w:pos="993"/>
          <w:tab w:val="left" w:pos="1080"/>
          <w:tab w:val="left" w:pos="1134"/>
        </w:tabs>
        <w:spacing w:line="276" w:lineRule="auto"/>
        <w:ind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Astfel, se propune următorul plan:</w:t>
      </w:r>
    </w:p>
    <w:p w:rsidR="00595DB6" w:rsidRPr="00C916F4" w:rsidRDefault="00595DB6" w:rsidP="00C916F4">
      <w:pPr>
        <w:numPr>
          <w:ilvl w:val="0"/>
          <w:numId w:val="18"/>
        </w:numPr>
        <w:tabs>
          <w:tab w:val="left" w:pos="567"/>
          <w:tab w:val="left" w:pos="993"/>
          <w:tab w:val="left" w:pos="1080"/>
          <w:tab w:val="left" w:pos="1134"/>
        </w:tabs>
        <w:spacing w:line="276" w:lineRule="auto"/>
        <w:ind w:left="0"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b/>
          <w:sz w:val="28"/>
          <w:szCs w:val="28"/>
          <w:lang w:eastAsia="ru-RU"/>
        </w:rPr>
        <w:t>1 iulie 2018, dar pînă la expirarea licenței care este valabilă la data intrării în vigoare a legii</w:t>
      </w:r>
      <w:r w:rsidRPr="00C916F4">
        <w:rPr>
          <w:rFonts w:ascii="Times New Roman" w:eastAsia="Times New Roman" w:hAnsi="Times New Roman" w:cs="Times New Roman"/>
          <w:sz w:val="28"/>
          <w:szCs w:val="28"/>
          <w:lang w:eastAsia="ru-RU"/>
        </w:rPr>
        <w:t xml:space="preserve"> - anularea facilităților fiscale și vamale pentru magazinele ce activează în regim duty-free aflate pe teritoriul țării sau la intrarea în țară (Aeroport, Leușeni, Criva, Chișinău). Aceste magazine avînd posibilitatea să activeze în regim general cu achitarea tuturor drepturilor de import.</w:t>
      </w:r>
    </w:p>
    <w:p w:rsidR="00595DB6" w:rsidRPr="00C916F4" w:rsidRDefault="001C3260" w:rsidP="00C916F4">
      <w:pPr>
        <w:numPr>
          <w:ilvl w:val="0"/>
          <w:numId w:val="18"/>
        </w:numPr>
        <w:tabs>
          <w:tab w:val="left" w:pos="567"/>
          <w:tab w:val="left" w:pos="993"/>
          <w:tab w:val="left" w:pos="1080"/>
          <w:tab w:val="left" w:pos="1134"/>
        </w:tabs>
        <w:spacing w:line="276" w:lineRule="auto"/>
        <w:ind w:left="0" w:firstLine="567"/>
        <w:contextualSpacing/>
        <w:jc w:val="both"/>
        <w:rPr>
          <w:rFonts w:ascii="Times New Roman" w:eastAsia="Times New Roman" w:hAnsi="Times New Roman" w:cs="Times New Roman"/>
          <w:sz w:val="28"/>
          <w:szCs w:val="28"/>
          <w:lang w:eastAsia="ru-RU"/>
        </w:rPr>
      </w:pPr>
      <w:r w:rsidRPr="001C3260">
        <w:rPr>
          <w:rFonts w:ascii="Times New Roman" w:hAnsi="Times New Roman" w:cs="Times New Roman"/>
          <w:b/>
          <w:sz w:val="28"/>
          <w:szCs w:val="28"/>
          <w:shd w:val="clear" w:color="auto" w:fill="FCFDFE"/>
          <w:lang w:val="en-US"/>
        </w:rPr>
        <w:t>La data aderării Republicii Moldova la Uniunea Europeană</w:t>
      </w:r>
      <w:r>
        <w:rPr>
          <w:rFonts w:ascii="Times New Roman" w:eastAsia="Times New Roman" w:hAnsi="Times New Roman" w:cs="Times New Roman"/>
          <w:sz w:val="28"/>
          <w:szCs w:val="28"/>
          <w:lang w:eastAsia="ru-RU"/>
        </w:rPr>
        <w:t xml:space="preserve"> </w:t>
      </w:r>
      <w:r w:rsidR="00595DB6" w:rsidRPr="00C916F4">
        <w:rPr>
          <w:rFonts w:ascii="Times New Roman" w:eastAsia="Times New Roman" w:hAnsi="Times New Roman" w:cs="Times New Roman"/>
          <w:sz w:val="28"/>
          <w:szCs w:val="28"/>
          <w:lang w:eastAsia="ru-RU"/>
        </w:rPr>
        <w:t>- anularea facilităților fiscale și vamale pentru magazinele ce activează în regim duty-free către ieșirea din țară</w:t>
      </w:r>
      <w:r w:rsidR="00BB75E5">
        <w:rPr>
          <w:rFonts w:ascii="Times New Roman" w:eastAsia="Times New Roman" w:hAnsi="Times New Roman" w:cs="Times New Roman"/>
          <w:sz w:val="28"/>
          <w:szCs w:val="28"/>
          <w:lang w:eastAsia="ru-RU"/>
        </w:rPr>
        <w:t xml:space="preserve"> </w:t>
      </w:r>
      <w:r w:rsidR="00BB75E5" w:rsidRPr="00BB75E5">
        <w:rPr>
          <w:rFonts w:ascii="Times New Roman" w:hAnsi="Times New Roman" w:cs="Times New Roman"/>
          <w:sz w:val="28"/>
          <w:szCs w:val="28"/>
          <w:shd w:val="clear" w:color="auto" w:fill="FCFDFE"/>
        </w:rPr>
        <w:t>la punctele internaţionale de trecere a frontierei de stat</w:t>
      </w:r>
      <w:r w:rsidR="00595DB6" w:rsidRPr="00C916F4">
        <w:rPr>
          <w:rFonts w:ascii="Times New Roman" w:eastAsia="Times New Roman" w:hAnsi="Times New Roman" w:cs="Times New Roman"/>
          <w:sz w:val="28"/>
          <w:szCs w:val="28"/>
          <w:lang w:eastAsia="ru-RU"/>
        </w:rPr>
        <w:t>, precum și cele aflate în regiunea transnistreană</w:t>
      </w:r>
      <w:r w:rsidR="00FC5BFB">
        <w:rPr>
          <w:rFonts w:ascii="Times New Roman" w:eastAsia="Times New Roman" w:hAnsi="Times New Roman" w:cs="Times New Roman"/>
          <w:sz w:val="28"/>
          <w:szCs w:val="28"/>
          <w:lang w:eastAsia="ru-RU"/>
        </w:rPr>
        <w:t>.</w:t>
      </w:r>
    </w:p>
    <w:p w:rsidR="00595DB6" w:rsidRPr="00C916F4" w:rsidRDefault="00595DB6" w:rsidP="00C916F4">
      <w:pPr>
        <w:tabs>
          <w:tab w:val="left" w:pos="567"/>
          <w:tab w:val="left" w:pos="993"/>
          <w:tab w:val="left" w:pos="1080"/>
          <w:tab w:val="left" w:pos="1134"/>
        </w:tabs>
        <w:spacing w:after="0" w:line="276" w:lineRule="auto"/>
        <w:ind w:firstLine="567"/>
        <w:contextualSpacing/>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lastRenderedPageBreak/>
        <w:t>Totodată, termenul de tranziție are drept scop evitarea unor potențiale riscuri privind atragerea Republicii Moldova în anumite procese judiciare privind reparația prejudiciului cauzat.</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Se propune reglementarea expresă în Codul vamal a principiilor generale de organizare a Serviciului Vamal, conform cărora Ministerul Finanţelor exercită dirijarea metodologică a Serviciului Vamal. Propunerile în cauză au drept scop reglementarea expresă a atribuțiilor de dirijare doar metodologică a activității Serviciului Vamal, precum și delimitării exhaustive a atribuţiilor Ministerului Finanţelor şi instituţiilor subordinate lui.</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Proiectul de lege prevede acordarea dreptului de marcare a mărfurilor destinate importului cu timbre de acciz în cadrul antrepozitului vamal, și nu doar în procesul fabricării mărfurilor supuse accizelor. Modificarea are drept scop excluderea tratării duale a prevederilor art.123 alin.(5) şi (6) din Codul fiscal.</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Se propune acordarea dreptului Serviciul Vamal de a prelungi termenul de admitere temporară pentru mărfurile și mijloacelor de transport aflate în posesia misiunilor diplomatice, consulare și organizații internaționale, pe perioada solicitată de către acestea. Astfel, modificarea în cauză va permite plasarea în regim vamal de admitere temporară a mărfurilor și mijloacelor de transport aflate în posesia misiunilor diplomatice pe un termen mai mare de 10 ani cumulativ.</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În vederea racordării cadrului legal național aferent procedurii de vămuire la domiciliu cu prevederile art.145 din Regulamentul delegat al Comisiei nr. 2015/2446 din 28 iulie 2015 și respectiv cu prevederile art 150 din Regulamentul delegat al Comisiei nr. 2015/2446 din 28 iulie 2015, se propune restrîngerea condițiilor ce urmează a fi îndeplinite de către agentul economic care solicită autorizația pentru procedura declarației simplificate și cea de vămuire la domiciliu.</w:t>
      </w:r>
    </w:p>
    <w:p w:rsidR="00C6285D"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 xml:space="preserve">Proiectul de lege prevede dreptul organelor vamale de a acorda simplificări şi facilităţi care decurg din statutul de AEO persoanelor stabilite în afara teritoriului vamal al Republicii Moldova, care îndeplinesc condițiile și respectă obligațiile definite în legislația relevantă a țărilor respective, în măsura în care aceste condiții și obligații sunt recunoscute de Republica Moldova ca fiind echivalente celor impuse agenților economici autorizați stabiliți pe teritoriul vamal al Republicii Moldova. Această acordare de simplificări şi facilităţi se bazează pe principiul reciprocității, cu excepția unei decizii contrare a Republicii Moldova, și se stabileşte </w:t>
      </w:r>
      <w:r w:rsidR="00C6285D" w:rsidRPr="00C916F4">
        <w:rPr>
          <w:rFonts w:ascii="Times New Roman" w:eastAsia="Times New Roman" w:hAnsi="Times New Roman" w:cs="Times New Roman"/>
          <w:sz w:val="28"/>
          <w:szCs w:val="28"/>
          <w:lang w:eastAsia="ru-RU"/>
        </w:rPr>
        <w:t xml:space="preserve">printr-un acord internațional. </w:t>
      </w:r>
    </w:p>
    <w:p w:rsidR="00A753AB" w:rsidRPr="00C916F4" w:rsidRDefault="00C6285D" w:rsidP="00C916F4">
      <w:pPr>
        <w:pStyle w:val="ListParagraph"/>
        <w:tabs>
          <w:tab w:val="left" w:pos="851"/>
          <w:tab w:val="left" w:pos="1080"/>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C</w:t>
      </w:r>
      <w:r w:rsidR="00A753AB" w:rsidRPr="00C916F4">
        <w:rPr>
          <w:rFonts w:ascii="Times New Roman" w:eastAsia="Times New Roman" w:hAnsi="Times New Roman" w:cs="Times New Roman"/>
          <w:sz w:val="28"/>
          <w:szCs w:val="28"/>
          <w:lang w:eastAsia="ru-RU"/>
        </w:rPr>
        <w:t>ompletările respective la</w:t>
      </w:r>
      <w:r w:rsidR="00A753AB" w:rsidRPr="00C916F4">
        <w:rPr>
          <w:rFonts w:ascii="Times New Roman" w:eastAsia="Times New Roman" w:hAnsi="Times New Roman" w:cs="Times New Roman"/>
          <w:iCs/>
          <w:sz w:val="28"/>
          <w:szCs w:val="28"/>
          <w:lang w:eastAsia="ru-RU"/>
        </w:rPr>
        <w:t xml:space="preserve"> art.195</w:t>
      </w:r>
      <w:r w:rsidR="00A753AB" w:rsidRPr="00C916F4">
        <w:rPr>
          <w:rFonts w:ascii="Times New Roman" w:eastAsia="Times New Roman" w:hAnsi="Times New Roman" w:cs="Times New Roman"/>
          <w:iCs/>
          <w:sz w:val="28"/>
          <w:szCs w:val="28"/>
          <w:vertAlign w:val="superscript"/>
          <w:lang w:eastAsia="ru-RU"/>
        </w:rPr>
        <w:t>3</w:t>
      </w:r>
      <w:r w:rsidR="00A753AB" w:rsidRPr="00C916F4">
        <w:rPr>
          <w:rFonts w:ascii="Times New Roman" w:eastAsia="Times New Roman" w:hAnsi="Times New Roman" w:cs="Times New Roman"/>
          <w:iCs/>
          <w:sz w:val="28"/>
          <w:szCs w:val="28"/>
          <w:lang w:eastAsia="ru-RU"/>
        </w:rPr>
        <w:t xml:space="preserve"> se propun întru executarea art.193 alin.(1) lit.k) din Acordul de Asociere între Republica Moldova şi Uniunea Europeană, precum şi </w:t>
      </w:r>
      <w:r w:rsidR="00A753AB" w:rsidRPr="00C916F4">
        <w:rPr>
          <w:rFonts w:ascii="Times New Roman" w:eastAsia="Times New Roman" w:hAnsi="Times New Roman" w:cs="Times New Roman"/>
          <w:iCs/>
          <w:sz w:val="28"/>
          <w:szCs w:val="28"/>
          <w:lang w:eastAsia="ru-RU"/>
        </w:rPr>
        <w:lastRenderedPageBreak/>
        <w:t>condiţionării procesului de negociere a recunoaşterii reciproce</w:t>
      </w:r>
      <w:r w:rsidR="00595DB6" w:rsidRPr="00C916F4">
        <w:rPr>
          <w:rFonts w:ascii="Times New Roman" w:eastAsia="Times New Roman" w:hAnsi="Times New Roman" w:cs="Times New Roman"/>
          <w:iCs/>
          <w:sz w:val="28"/>
          <w:szCs w:val="28"/>
          <w:lang w:eastAsia="ru-RU"/>
        </w:rPr>
        <w:t xml:space="preserve"> a deţinătorilor de Autorizații</w:t>
      </w:r>
      <w:r w:rsidR="00A753AB" w:rsidRPr="00C916F4">
        <w:rPr>
          <w:rFonts w:ascii="Times New Roman" w:eastAsia="Times New Roman" w:hAnsi="Times New Roman" w:cs="Times New Roman"/>
          <w:iCs/>
          <w:sz w:val="28"/>
          <w:szCs w:val="28"/>
          <w:lang w:eastAsia="ru-RU"/>
        </w:rPr>
        <w:t xml:space="preserve">, Certificate AEO între Republica Moldova şi Uniunea Europeană. </w:t>
      </w:r>
    </w:p>
    <w:p w:rsidR="00A753AB" w:rsidRPr="00C916F4" w:rsidRDefault="00A753AB" w:rsidP="00C916F4">
      <w:pPr>
        <w:pStyle w:val="ListParagraph"/>
        <w:numPr>
          <w:ilvl w:val="0"/>
          <w:numId w:val="5"/>
        </w:numPr>
        <w:tabs>
          <w:tab w:val="left" w:pos="567"/>
          <w:tab w:val="left" w:pos="1080"/>
        </w:tabs>
        <w:spacing w:after="0" w:line="276" w:lineRule="auto"/>
        <w:ind w:left="0" w:firstLine="567"/>
        <w:jc w:val="both"/>
        <w:rPr>
          <w:rFonts w:ascii="Times New Roman" w:eastAsia="Times New Roman" w:hAnsi="Times New Roman" w:cs="Times New Roman"/>
          <w:bCs/>
          <w:sz w:val="28"/>
          <w:szCs w:val="28"/>
          <w:lang w:eastAsia="ru-RU"/>
        </w:rPr>
      </w:pPr>
      <w:r w:rsidRPr="00C916F4">
        <w:rPr>
          <w:rFonts w:ascii="Times New Roman" w:eastAsia="Times New Roman" w:hAnsi="Times New Roman" w:cs="Times New Roman"/>
          <w:sz w:val="28"/>
          <w:szCs w:val="28"/>
          <w:lang w:eastAsia="ru-RU"/>
        </w:rPr>
        <w:t>În vederea promovării exporturilor, se propune simplificarea condițiilor de acordare a statutului de exportator probat prin reducerea termenului de derulare a tranzacțiilor de export de la 3 ani la 1 an, efectuarea exporturilor de mărfuri originare din Republica Moldova în mod frecvent și regulat, dar cel puţin 5 exporturi de mărfuri originare din Republica Moldova în 3 luni calendaristice consecutive, precum și neobligativitatea de a avea lipsă datoriilor față de bugetul public național</w:t>
      </w:r>
    </w:p>
    <w:p w:rsidR="00A753AB" w:rsidRPr="00C916F4" w:rsidRDefault="00A753AB" w:rsidP="00C916F4">
      <w:pPr>
        <w:pStyle w:val="ListParagraph"/>
        <w:tabs>
          <w:tab w:val="left" w:pos="567"/>
          <w:tab w:val="left" w:pos="993"/>
          <w:tab w:val="left" w:pos="1080"/>
          <w:tab w:val="left" w:pos="1134"/>
        </w:tabs>
        <w:spacing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Scopul modificării constă în oferirea posibilității și exportatorilor care derulează tranzacții de export mai puțin de 3 ani și cu o frecvență a exporturilor mult mai redusă de a obține statutul de Exportator aprobat, în vederea asigurării echității între toți agenții economici, indiferent de durata de activitate a acestora, fiind oferită posibilitatea de a documenta originea preferențială pe propria răspundere.</w:t>
      </w:r>
    </w:p>
    <w:p w:rsidR="00A753AB" w:rsidRPr="00C916F4" w:rsidRDefault="00A753AB" w:rsidP="00C916F4">
      <w:pPr>
        <w:pStyle w:val="ListParagraph"/>
        <w:tabs>
          <w:tab w:val="left" w:pos="567"/>
          <w:tab w:val="left" w:pos="993"/>
          <w:tab w:val="left" w:pos="1080"/>
          <w:tab w:val="left" w:pos="1134"/>
        </w:tabs>
        <w:spacing w:line="276" w:lineRule="auto"/>
        <w:ind w:left="0" w:firstLine="567"/>
        <w:jc w:val="both"/>
        <w:rPr>
          <w:rFonts w:ascii="Times New Roman" w:eastAsia="Times New Roman" w:hAnsi="Times New Roman" w:cs="Times New Roman"/>
          <w:sz w:val="28"/>
          <w:szCs w:val="28"/>
          <w:lang w:eastAsia="ru-RU"/>
        </w:rPr>
      </w:pPr>
    </w:p>
    <w:p w:rsidR="00A753AB" w:rsidRPr="00C916F4" w:rsidRDefault="00A753AB" w:rsidP="00C916F4">
      <w:pPr>
        <w:pStyle w:val="ListParagraph"/>
        <w:tabs>
          <w:tab w:val="left" w:pos="567"/>
          <w:tab w:val="left" w:pos="993"/>
          <w:tab w:val="left" w:pos="1080"/>
          <w:tab w:val="left" w:pos="1134"/>
        </w:tabs>
        <w:spacing w:line="276" w:lineRule="auto"/>
        <w:ind w:left="0" w:firstLine="567"/>
        <w:jc w:val="both"/>
        <w:rPr>
          <w:rFonts w:ascii="Times New Roman" w:eastAsia="Times New Roman" w:hAnsi="Times New Roman" w:cs="Times New Roman"/>
          <w:b/>
          <w:sz w:val="28"/>
          <w:szCs w:val="28"/>
          <w:lang w:eastAsia="ru-RU"/>
        </w:rPr>
      </w:pPr>
      <w:r w:rsidRPr="00C916F4">
        <w:rPr>
          <w:rFonts w:ascii="Times New Roman" w:eastAsia="Times New Roman" w:hAnsi="Times New Roman" w:cs="Times New Roman"/>
          <w:b/>
          <w:sz w:val="28"/>
          <w:szCs w:val="28"/>
          <w:lang w:eastAsia="ru-RU"/>
        </w:rPr>
        <w:t>Legea nr.1569-XV din 20.12.2002 cu privire la modul de introducere şi scoatere a bunurilor de pe teritoriul Republicii Moldova de către persoanele fizice.</w:t>
      </w:r>
    </w:p>
    <w:p w:rsidR="00A753AB" w:rsidRPr="00C916F4" w:rsidRDefault="00A753AB" w:rsidP="00C916F4">
      <w:pPr>
        <w:pStyle w:val="ListParagraph"/>
        <w:tabs>
          <w:tab w:val="left" w:pos="567"/>
          <w:tab w:val="left" w:pos="993"/>
          <w:tab w:val="left" w:pos="1080"/>
          <w:tab w:val="left" w:pos="1134"/>
        </w:tabs>
        <w:spacing w:line="276" w:lineRule="auto"/>
        <w:ind w:left="0" w:firstLine="567"/>
        <w:jc w:val="both"/>
        <w:rPr>
          <w:rFonts w:ascii="Times New Roman" w:eastAsia="Times New Roman" w:hAnsi="Times New Roman" w:cs="Times New Roman"/>
          <w:b/>
          <w:sz w:val="28"/>
          <w:szCs w:val="28"/>
          <w:lang w:eastAsia="ru-RU"/>
        </w:rPr>
      </w:pPr>
    </w:p>
    <w:p w:rsidR="00A753AB" w:rsidRPr="00C916F4" w:rsidRDefault="00A753AB" w:rsidP="00C916F4">
      <w:pPr>
        <w:pStyle w:val="ListParagraph"/>
        <w:tabs>
          <w:tab w:val="left" w:pos="567"/>
          <w:tab w:val="left" w:pos="993"/>
          <w:tab w:val="left" w:pos="1080"/>
          <w:tab w:val="left" w:pos="1134"/>
        </w:tabs>
        <w:spacing w:after="0" w:line="276" w:lineRule="auto"/>
        <w:ind w:left="0" w:firstLine="567"/>
        <w:jc w:val="both"/>
        <w:rPr>
          <w:rFonts w:ascii="Times New Roman" w:eastAsia="Times New Roman" w:hAnsi="Times New Roman" w:cs="Times New Roman"/>
          <w:sz w:val="28"/>
          <w:szCs w:val="28"/>
          <w:lang w:eastAsia="ru-RU"/>
        </w:rPr>
      </w:pPr>
      <w:r w:rsidRPr="00C916F4">
        <w:rPr>
          <w:rFonts w:ascii="Times New Roman" w:eastAsia="Times New Roman" w:hAnsi="Times New Roman" w:cs="Times New Roman"/>
          <w:sz w:val="28"/>
          <w:szCs w:val="28"/>
          <w:lang w:eastAsia="ru-RU"/>
        </w:rPr>
        <w:t>Reieșind din necesitatea armonizării legislației naționale la prevederile Regulamentului (CE) nr.1186/2009 din 16 noiembrie 2009 de instituire a unui regim comunitar de scutiri de taxe vamale și la prevederile Directivei 2007/74/CE din 20.12.2007 privind scutirea de taxa pe valoarea adăugată și de accize pentru bunurile importate de către persoanele care călătoresc în țări terțe, se propune ca bunurile aflate în bagajele personale ale călătorilor care vin dintr-o ţară străină sunt scutite de T.V.A la import, cu condiţia ca acestea să nu fie introduse în scopuri comerciale şi valoarea acestora să nu depăşească 300 euro de persoană. În cazul călătorilor care folosesc transportul aerian şi al celor care folosesc transportul maritim, pragul financiar pentru bunurile aflate în bagajele personale ale călătorilor este de 430 euro.</w:t>
      </w:r>
    </w:p>
    <w:p w:rsidR="00A753AB" w:rsidRPr="004E219C" w:rsidRDefault="00A753AB" w:rsidP="004E219C">
      <w:pPr>
        <w:pStyle w:val="ListParagraph"/>
        <w:tabs>
          <w:tab w:val="left" w:pos="567"/>
          <w:tab w:val="left" w:pos="993"/>
          <w:tab w:val="left" w:pos="1080"/>
          <w:tab w:val="left" w:pos="1134"/>
        </w:tabs>
        <w:spacing w:after="0" w:line="276" w:lineRule="auto"/>
        <w:ind w:left="0" w:firstLine="567"/>
        <w:jc w:val="both"/>
        <w:rPr>
          <w:rFonts w:ascii="Times New Roman" w:eastAsia="Times New Roman" w:hAnsi="Times New Roman" w:cs="Times New Roman"/>
          <w:i/>
          <w:sz w:val="28"/>
          <w:szCs w:val="28"/>
          <w:lang w:eastAsia="ru-RU"/>
        </w:rPr>
      </w:pPr>
      <w:r w:rsidRPr="00C916F4">
        <w:rPr>
          <w:rFonts w:ascii="Times New Roman" w:eastAsia="Times New Roman" w:hAnsi="Times New Roman" w:cs="Times New Roman"/>
          <w:i/>
          <w:sz w:val="28"/>
          <w:szCs w:val="28"/>
          <w:lang w:eastAsia="ru-RU"/>
        </w:rPr>
        <w:t>Modificarea vizează Codul fiscal și Legea cu privire la tariful vamal ale proiectului de lege.</w:t>
      </w:r>
    </w:p>
    <w:p w:rsidR="00FC4464" w:rsidRPr="004E219C" w:rsidRDefault="00C916F4" w:rsidP="004E219C">
      <w:pPr>
        <w:pStyle w:val="subdiviziune"/>
        <w:shd w:val="clear" w:color="auto" w:fill="FCFDFE"/>
        <w:tabs>
          <w:tab w:val="left" w:pos="567"/>
          <w:tab w:val="left" w:pos="1080"/>
        </w:tabs>
        <w:spacing w:after="0" w:line="276" w:lineRule="auto"/>
        <w:jc w:val="center"/>
        <w:rPr>
          <w:b/>
          <w:color w:val="000000" w:themeColor="text1"/>
          <w:sz w:val="28"/>
          <w:szCs w:val="28"/>
          <w:lang w:val="ro-RO" w:eastAsia="en-US"/>
        </w:rPr>
      </w:pPr>
      <w:r>
        <w:rPr>
          <w:b/>
          <w:color w:val="000000" w:themeColor="text1"/>
          <w:sz w:val="28"/>
          <w:szCs w:val="28"/>
          <w:lang w:val="ro-RO" w:eastAsia="en-US"/>
        </w:rPr>
        <w:t>VICE</w:t>
      </w:r>
      <w:r w:rsidR="00C202A1" w:rsidRPr="00C916F4">
        <w:rPr>
          <w:b/>
          <w:color w:val="000000" w:themeColor="text1"/>
          <w:sz w:val="28"/>
          <w:szCs w:val="28"/>
          <w:lang w:val="ro-RO" w:eastAsia="en-US"/>
        </w:rPr>
        <w:t xml:space="preserve">MINISTRU                         </w:t>
      </w:r>
      <w:r>
        <w:rPr>
          <w:b/>
          <w:color w:val="000000" w:themeColor="text1"/>
          <w:sz w:val="28"/>
          <w:szCs w:val="28"/>
          <w:lang w:val="ro-RO" w:eastAsia="en-US"/>
        </w:rPr>
        <w:t xml:space="preserve">                               </w:t>
      </w:r>
      <w:r w:rsidR="00C202A1" w:rsidRPr="00C916F4">
        <w:rPr>
          <w:b/>
          <w:color w:val="000000" w:themeColor="text1"/>
          <w:sz w:val="28"/>
          <w:szCs w:val="28"/>
          <w:lang w:val="ro-RO" w:eastAsia="en-US"/>
        </w:rPr>
        <w:t xml:space="preserve">        </w:t>
      </w:r>
      <w:r>
        <w:rPr>
          <w:b/>
          <w:color w:val="000000" w:themeColor="text1"/>
          <w:sz w:val="28"/>
          <w:szCs w:val="28"/>
          <w:lang w:val="ro-RO" w:eastAsia="en-US"/>
        </w:rPr>
        <w:t>Veronica</w:t>
      </w:r>
      <w:r w:rsidR="00C202A1" w:rsidRPr="00C916F4">
        <w:rPr>
          <w:b/>
          <w:color w:val="000000" w:themeColor="text1"/>
          <w:sz w:val="28"/>
          <w:szCs w:val="28"/>
          <w:lang w:val="ro-RO" w:eastAsia="en-US"/>
        </w:rPr>
        <w:t xml:space="preserve"> </w:t>
      </w:r>
      <w:r>
        <w:rPr>
          <w:b/>
          <w:color w:val="000000" w:themeColor="text1"/>
          <w:sz w:val="28"/>
          <w:szCs w:val="28"/>
          <w:lang w:val="ro-RO" w:eastAsia="en-US"/>
        </w:rPr>
        <w:t>VRAGALEVA</w:t>
      </w:r>
    </w:p>
    <w:sectPr w:rsidR="00FC4464" w:rsidRPr="004E219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AE6"/>
    <w:multiLevelType w:val="hybridMultilevel"/>
    <w:tmpl w:val="4A82C0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381DEA"/>
    <w:multiLevelType w:val="hybridMultilevel"/>
    <w:tmpl w:val="BCAED618"/>
    <w:lvl w:ilvl="0" w:tplc="0419001B">
      <w:start w:val="1"/>
      <w:numFmt w:val="lowerRoman"/>
      <w:lvlText w:val="%1."/>
      <w:lvlJc w:val="righ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827BB"/>
    <w:multiLevelType w:val="hybridMultilevel"/>
    <w:tmpl w:val="3FB2E65C"/>
    <w:lvl w:ilvl="0" w:tplc="359AAAEA">
      <w:start w:val="1"/>
      <w:numFmt w:val="decimal"/>
      <w:lvlText w:val="%1."/>
      <w:lvlJc w:val="left"/>
      <w:pPr>
        <w:ind w:left="9149" w:hanging="360"/>
      </w:pPr>
      <w:rPr>
        <w:rFonts w:hint="default"/>
      </w:rPr>
    </w:lvl>
    <w:lvl w:ilvl="1" w:tplc="04190019" w:tentative="1">
      <w:start w:val="1"/>
      <w:numFmt w:val="lowerLetter"/>
      <w:lvlText w:val="%2."/>
      <w:lvlJc w:val="left"/>
      <w:pPr>
        <w:ind w:left="9869" w:hanging="360"/>
      </w:pPr>
    </w:lvl>
    <w:lvl w:ilvl="2" w:tplc="0419001B" w:tentative="1">
      <w:start w:val="1"/>
      <w:numFmt w:val="lowerRoman"/>
      <w:lvlText w:val="%3."/>
      <w:lvlJc w:val="right"/>
      <w:pPr>
        <w:ind w:left="10589" w:hanging="180"/>
      </w:pPr>
    </w:lvl>
    <w:lvl w:ilvl="3" w:tplc="0419000F" w:tentative="1">
      <w:start w:val="1"/>
      <w:numFmt w:val="decimal"/>
      <w:lvlText w:val="%4."/>
      <w:lvlJc w:val="left"/>
      <w:pPr>
        <w:ind w:left="11309" w:hanging="360"/>
      </w:pPr>
    </w:lvl>
    <w:lvl w:ilvl="4" w:tplc="04190019" w:tentative="1">
      <w:start w:val="1"/>
      <w:numFmt w:val="lowerLetter"/>
      <w:lvlText w:val="%5."/>
      <w:lvlJc w:val="left"/>
      <w:pPr>
        <w:ind w:left="12029" w:hanging="360"/>
      </w:pPr>
    </w:lvl>
    <w:lvl w:ilvl="5" w:tplc="0419001B" w:tentative="1">
      <w:start w:val="1"/>
      <w:numFmt w:val="lowerRoman"/>
      <w:lvlText w:val="%6."/>
      <w:lvlJc w:val="right"/>
      <w:pPr>
        <w:ind w:left="12749" w:hanging="180"/>
      </w:pPr>
    </w:lvl>
    <w:lvl w:ilvl="6" w:tplc="0419000F" w:tentative="1">
      <w:start w:val="1"/>
      <w:numFmt w:val="decimal"/>
      <w:lvlText w:val="%7."/>
      <w:lvlJc w:val="left"/>
      <w:pPr>
        <w:ind w:left="13469" w:hanging="360"/>
      </w:pPr>
    </w:lvl>
    <w:lvl w:ilvl="7" w:tplc="04190019" w:tentative="1">
      <w:start w:val="1"/>
      <w:numFmt w:val="lowerLetter"/>
      <w:lvlText w:val="%8."/>
      <w:lvlJc w:val="left"/>
      <w:pPr>
        <w:ind w:left="14189" w:hanging="360"/>
      </w:pPr>
    </w:lvl>
    <w:lvl w:ilvl="8" w:tplc="0419001B" w:tentative="1">
      <w:start w:val="1"/>
      <w:numFmt w:val="lowerRoman"/>
      <w:lvlText w:val="%9."/>
      <w:lvlJc w:val="right"/>
      <w:pPr>
        <w:ind w:left="14909" w:hanging="180"/>
      </w:pPr>
    </w:lvl>
  </w:abstractNum>
  <w:abstractNum w:abstractNumId="3" w15:restartNumberingAfterBreak="0">
    <w:nsid w:val="1B8B4D2B"/>
    <w:multiLevelType w:val="hybridMultilevel"/>
    <w:tmpl w:val="B74EE29C"/>
    <w:lvl w:ilvl="0" w:tplc="DE10AAF2">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15:restartNumberingAfterBreak="0">
    <w:nsid w:val="1E3F7DA5"/>
    <w:multiLevelType w:val="hybridMultilevel"/>
    <w:tmpl w:val="E4345834"/>
    <w:lvl w:ilvl="0" w:tplc="0419001B">
      <w:start w:val="1"/>
      <w:numFmt w:val="lowerRoman"/>
      <w:lvlText w:val="%1."/>
      <w:lvlJc w:val="right"/>
      <w:pPr>
        <w:ind w:left="1876" w:hanging="360"/>
      </w:p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5" w15:restartNumberingAfterBreak="0">
    <w:nsid w:val="23B519F3"/>
    <w:multiLevelType w:val="hybridMultilevel"/>
    <w:tmpl w:val="6BE8FD2E"/>
    <w:lvl w:ilvl="0" w:tplc="62BAE03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AAA7302"/>
    <w:multiLevelType w:val="hybridMultilevel"/>
    <w:tmpl w:val="1826E014"/>
    <w:lvl w:ilvl="0" w:tplc="D1985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16A82"/>
    <w:multiLevelType w:val="hybridMultilevel"/>
    <w:tmpl w:val="706C3F80"/>
    <w:lvl w:ilvl="0" w:tplc="821E4A02">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1B3290"/>
    <w:multiLevelType w:val="hybridMultilevel"/>
    <w:tmpl w:val="89645926"/>
    <w:lvl w:ilvl="0" w:tplc="681ECAF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31650D"/>
    <w:multiLevelType w:val="hybridMultilevel"/>
    <w:tmpl w:val="F1480B8E"/>
    <w:lvl w:ilvl="0" w:tplc="F698D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05328"/>
    <w:multiLevelType w:val="hybridMultilevel"/>
    <w:tmpl w:val="96C485FE"/>
    <w:lvl w:ilvl="0" w:tplc="821E4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58550B"/>
    <w:multiLevelType w:val="hybridMultilevel"/>
    <w:tmpl w:val="92401634"/>
    <w:lvl w:ilvl="0" w:tplc="168666B0">
      <w:start w:val="1"/>
      <w:numFmt w:val="bullet"/>
      <w:lvlText w:val=""/>
      <w:lvlJc w:val="left"/>
      <w:pPr>
        <w:tabs>
          <w:tab w:val="num" w:pos="1020"/>
        </w:tabs>
        <w:ind w:left="1020" w:hanging="6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D0433C"/>
    <w:multiLevelType w:val="hybridMultilevel"/>
    <w:tmpl w:val="82FA5646"/>
    <w:lvl w:ilvl="0" w:tplc="BB1EEAE8">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3E47DD1"/>
    <w:multiLevelType w:val="hybridMultilevel"/>
    <w:tmpl w:val="026C3054"/>
    <w:lvl w:ilvl="0" w:tplc="F698DBA6">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68B82D64"/>
    <w:multiLevelType w:val="hybridMultilevel"/>
    <w:tmpl w:val="EB0CC74E"/>
    <w:lvl w:ilvl="0" w:tplc="A6C8B812">
      <w:start w:val="1"/>
      <w:numFmt w:val="decimal"/>
      <w:lvlText w:val="%1."/>
      <w:lvlJc w:val="left"/>
      <w:pPr>
        <w:ind w:left="928" w:hanging="360"/>
      </w:pPr>
      <w:rPr>
        <w:rFonts w:ascii="Times New Roman" w:hAnsi="Times New Roman" w:cs="Times New Roman" w:hint="default"/>
        <w:b/>
        <w:i w:val="0"/>
        <w:color w:val="auto"/>
        <w:sz w:val="27"/>
        <w:szCs w:val="27"/>
        <w:lang w:val="ro-R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0C2480"/>
    <w:multiLevelType w:val="hybridMultilevel"/>
    <w:tmpl w:val="F22E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E5EF5"/>
    <w:multiLevelType w:val="hybridMultilevel"/>
    <w:tmpl w:val="25BAC4A8"/>
    <w:lvl w:ilvl="0" w:tplc="E9E0F994">
      <w:start w:val="13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6ED23D9"/>
    <w:multiLevelType w:val="hybridMultilevel"/>
    <w:tmpl w:val="06A40F04"/>
    <w:lvl w:ilvl="0" w:tplc="821E4A02">
      <w:start w:val="1"/>
      <w:numFmt w:val="decimal"/>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2"/>
  </w:num>
  <w:num w:numId="4">
    <w:abstractNumId w:val="0"/>
  </w:num>
  <w:num w:numId="5">
    <w:abstractNumId w:val="17"/>
  </w:num>
  <w:num w:numId="6">
    <w:abstractNumId w:val="10"/>
  </w:num>
  <w:num w:numId="7">
    <w:abstractNumId w:val="14"/>
  </w:num>
  <w:num w:numId="8">
    <w:abstractNumId w:val="11"/>
  </w:num>
  <w:num w:numId="9">
    <w:abstractNumId w:val="15"/>
  </w:num>
  <w:num w:numId="10">
    <w:abstractNumId w:val="9"/>
  </w:num>
  <w:num w:numId="11">
    <w:abstractNumId w:val="13"/>
  </w:num>
  <w:num w:numId="12">
    <w:abstractNumId w:val="7"/>
  </w:num>
  <w:num w:numId="13">
    <w:abstractNumId w:val="1"/>
  </w:num>
  <w:num w:numId="14">
    <w:abstractNumId w:val="4"/>
  </w:num>
  <w:num w:numId="15">
    <w:abstractNumId w:val="12"/>
  </w:num>
  <w:num w:numId="16">
    <w:abstractNumId w:val="3"/>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10"/>
    <w:rsid w:val="00120BFB"/>
    <w:rsid w:val="001B17A9"/>
    <w:rsid w:val="001C3260"/>
    <w:rsid w:val="00255467"/>
    <w:rsid w:val="003437AF"/>
    <w:rsid w:val="003C2C64"/>
    <w:rsid w:val="004471C6"/>
    <w:rsid w:val="00463727"/>
    <w:rsid w:val="004A27A9"/>
    <w:rsid w:val="004E219C"/>
    <w:rsid w:val="00592E61"/>
    <w:rsid w:val="00595DB6"/>
    <w:rsid w:val="005C420C"/>
    <w:rsid w:val="005E06F9"/>
    <w:rsid w:val="005F02E4"/>
    <w:rsid w:val="005F4029"/>
    <w:rsid w:val="006401CD"/>
    <w:rsid w:val="006A398E"/>
    <w:rsid w:val="007E0C86"/>
    <w:rsid w:val="008C2E4C"/>
    <w:rsid w:val="00902015"/>
    <w:rsid w:val="00A33CBE"/>
    <w:rsid w:val="00A40E4C"/>
    <w:rsid w:val="00A664DF"/>
    <w:rsid w:val="00A753AB"/>
    <w:rsid w:val="00A853B0"/>
    <w:rsid w:val="00AC2DF5"/>
    <w:rsid w:val="00AD6660"/>
    <w:rsid w:val="00B03EFA"/>
    <w:rsid w:val="00BB75E5"/>
    <w:rsid w:val="00C01433"/>
    <w:rsid w:val="00C202A1"/>
    <w:rsid w:val="00C50810"/>
    <w:rsid w:val="00C56614"/>
    <w:rsid w:val="00C6285D"/>
    <w:rsid w:val="00C8660D"/>
    <w:rsid w:val="00C916F4"/>
    <w:rsid w:val="00CD3F56"/>
    <w:rsid w:val="00D418DE"/>
    <w:rsid w:val="00D471A1"/>
    <w:rsid w:val="00D72748"/>
    <w:rsid w:val="00DA173C"/>
    <w:rsid w:val="00F01D99"/>
    <w:rsid w:val="00F2751E"/>
    <w:rsid w:val="00F37D40"/>
    <w:rsid w:val="00F755D1"/>
    <w:rsid w:val="00FC4464"/>
    <w:rsid w:val="00FC5BFB"/>
    <w:rsid w:val="00FE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57DF5-3FD4-4FCE-8E4D-1774D4C6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592E61"/>
    <w:pPr>
      <w:ind w:left="720"/>
      <w:contextualSpacing/>
    </w:pPr>
  </w:style>
  <w:style w:type="paragraph" w:customStyle="1" w:styleId="cb">
    <w:name w:val="cb"/>
    <w:basedOn w:val="Normal"/>
    <w:qFormat/>
    <w:rsid w:val="00FC4464"/>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apple-converted-space">
    <w:name w:val="apple-converted-space"/>
    <w:rsid w:val="00FC4464"/>
    <w:rPr>
      <w:rFonts w:cs="Times New Roman"/>
    </w:rPr>
  </w:style>
  <w:style w:type="character" w:styleId="Hyperlink">
    <w:name w:val="Hyperlink"/>
    <w:uiPriority w:val="99"/>
    <w:unhideWhenUsed/>
    <w:rsid w:val="00FC4464"/>
    <w:rPr>
      <w:color w:val="0000FF"/>
      <w:u w:val="single"/>
    </w:rPr>
  </w:style>
  <w:style w:type="paragraph" w:customStyle="1" w:styleId="subdiviziune">
    <w:name w:val="subdiviziune"/>
    <w:basedOn w:val="Normal"/>
    <w:rsid w:val="00FC44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dvig">
    <w:name w:val="sdvig"/>
    <w:basedOn w:val="Normal"/>
    <w:rsid w:val="00FC44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ne">
    <w:name w:val="line"/>
    <w:basedOn w:val="Normal"/>
    <w:rsid w:val="00FC44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rsid w:val="00FC4464"/>
  </w:style>
  <w:style w:type="character" w:customStyle="1" w:styleId="ListParagraphChar">
    <w:name w:val="List Paragraph Char"/>
    <w:aliases w:val="List Paragraph 1 Char"/>
    <w:link w:val="ListParagraph"/>
    <w:uiPriority w:val="99"/>
    <w:locked/>
    <w:rsid w:val="00FC4464"/>
    <w:rPr>
      <w:lang w:val="ro-RO"/>
    </w:rPr>
  </w:style>
  <w:style w:type="paragraph" w:customStyle="1" w:styleId="TipText">
    <w:name w:val="Tip Text"/>
    <w:basedOn w:val="Normal"/>
    <w:uiPriority w:val="99"/>
    <w:rsid w:val="00A753AB"/>
    <w:pPr>
      <w:spacing w:line="264" w:lineRule="auto"/>
      <w:ind w:right="576"/>
    </w:pPr>
    <w:rPr>
      <w:i/>
      <w:iCs/>
      <w:color w:val="7F7F7F" w:themeColor="text1" w:themeTint="80"/>
      <w:sz w:val="16"/>
      <w:szCs w:val="20"/>
      <w:lang w:val="en-US" w:eastAsia="ja-JP"/>
    </w:rPr>
  </w:style>
  <w:style w:type="table" w:styleId="PlainTable3">
    <w:name w:val="Plain Table 3"/>
    <w:basedOn w:val="TableNormal"/>
    <w:uiPriority w:val="43"/>
    <w:rsid w:val="00A40E4C"/>
    <w:pPr>
      <w:spacing w:after="0" w:line="240" w:lineRule="auto"/>
    </w:pPr>
    <w:rPr>
      <w:lang w:val="ro-R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36"/>
    <w:qFormat/>
    <w:rsid w:val="00A40E4C"/>
    <w:pPr>
      <w:spacing w:after="0" w:line="240" w:lineRule="auto"/>
    </w:pPr>
    <w:rPr>
      <w:rFonts w:ascii="Times New Roman" w:eastAsia="Calibri" w:hAnsi="Times New Roman" w:cs="Times New Roman"/>
      <w:sz w:val="24"/>
      <w:szCs w:val="24"/>
      <w:lang w:val="ro-RO" w:eastAsia="ru-RU"/>
    </w:rPr>
  </w:style>
  <w:style w:type="character" w:customStyle="1" w:styleId="NoSpacingChar">
    <w:name w:val="No Spacing Char"/>
    <w:link w:val="NoSpacing"/>
    <w:uiPriority w:val="1"/>
    <w:locked/>
    <w:rsid w:val="00A40E4C"/>
    <w:rPr>
      <w:rFonts w:ascii="Times New Roman" w:eastAsia="Calibri" w:hAnsi="Times New Roman" w:cs="Times New Roman"/>
      <w:sz w:val="24"/>
      <w:szCs w:val="24"/>
      <w:lang w:val="ro-RO" w:eastAsia="ru-RU"/>
    </w:rPr>
  </w:style>
  <w:style w:type="table" w:styleId="GridTable3-Accent5">
    <w:name w:val="Grid Table 3 Accent 5"/>
    <w:basedOn w:val="TableNormal"/>
    <w:uiPriority w:val="48"/>
    <w:rsid w:val="007E0C86"/>
    <w:pPr>
      <w:spacing w:after="0" w:line="240" w:lineRule="auto"/>
    </w:pPr>
    <w:rPr>
      <w:lang w:val="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E0C86"/>
    <w:pPr>
      <w:spacing w:after="0" w:line="240" w:lineRule="auto"/>
    </w:pPr>
    <w:rPr>
      <w:lang w:val="ro-RO"/>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4235</Words>
  <Characters>24146</Characters>
  <Application>Microsoft Office Word</Application>
  <DocSecurity>0</DocSecurity>
  <Lines>201</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Livia Graur</cp:lastModifiedBy>
  <cp:revision>2</cp:revision>
  <cp:lastPrinted>2017-06-27T13:31:00Z</cp:lastPrinted>
  <dcterms:created xsi:type="dcterms:W3CDTF">2017-06-30T06:06:00Z</dcterms:created>
  <dcterms:modified xsi:type="dcterms:W3CDTF">2017-06-30T06:06:00Z</dcterms:modified>
</cp:coreProperties>
</file>