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282" w:type="pct"/>
        <w:jc w:val="center"/>
        <w:tblLook w:val="04A0" w:firstRow="1" w:lastRow="0" w:firstColumn="1" w:lastColumn="0" w:noHBand="0" w:noVBand="1"/>
      </w:tblPr>
      <w:tblGrid>
        <w:gridCol w:w="6590"/>
        <w:gridCol w:w="4863"/>
      </w:tblGrid>
      <w:tr w:rsidR="0058391B">
        <w:trPr>
          <w:jc w:val="center"/>
        </w:trPr>
        <w:tc>
          <w:tcPr>
            <w:tcW w:w="5000" w:type="pct"/>
            <w:gridSpan w:val="2"/>
            <w:tcMar>
              <w:top w:w="15" w:type="dxa"/>
              <w:left w:w="45" w:type="dxa"/>
              <w:bottom w:w="15" w:type="dxa"/>
              <w:right w:w="45" w:type="dxa"/>
            </w:tcMar>
          </w:tcPr>
          <w:p w:rsidR="0058391B" w:rsidRPr="00A0494D" w:rsidRDefault="0058391B">
            <w:pPr>
              <w:pStyle w:val="cb"/>
              <w:rPr>
                <w:sz w:val="28"/>
                <w:szCs w:val="28"/>
                <w:lang w:val="ro-RO"/>
              </w:rPr>
            </w:pPr>
            <w:bookmarkStart w:id="0" w:name="_GoBack"/>
            <w:bookmarkEnd w:id="0"/>
            <w:r w:rsidRPr="00A0494D">
              <w:t> </w:t>
            </w:r>
            <w:r w:rsidRPr="00A0494D">
              <w:rPr>
                <w:sz w:val="28"/>
                <w:szCs w:val="28"/>
                <w:lang w:val="ro-RO"/>
              </w:rPr>
              <w:t xml:space="preserve">             ANALIZA IMPACTULUI DE REGLEMENTARE</w:t>
            </w:r>
          </w:p>
          <w:p w:rsidR="0058391B" w:rsidRPr="00A0494D" w:rsidRDefault="0058391B">
            <w:pPr>
              <w:jc w:val="center"/>
              <w:rPr>
                <w:b/>
                <w:bCs/>
                <w:sz w:val="28"/>
                <w:szCs w:val="28"/>
                <w:lang w:val="ro-RO"/>
              </w:rPr>
            </w:pPr>
            <w:r w:rsidRPr="00A0494D">
              <w:rPr>
                <w:sz w:val="28"/>
                <w:szCs w:val="28"/>
                <w:lang w:val="ro-RO"/>
              </w:rPr>
              <w:t xml:space="preserve">                 </w:t>
            </w:r>
            <w:r w:rsidRPr="00A0494D">
              <w:rPr>
                <w:b/>
                <w:sz w:val="28"/>
                <w:szCs w:val="28"/>
                <w:lang w:val="ro-RO"/>
              </w:rPr>
              <w:t xml:space="preserve">la proiectul Hotărârii Guvernului </w:t>
            </w:r>
            <w:r w:rsidRPr="00A0494D">
              <w:rPr>
                <w:b/>
                <w:bCs/>
                <w:sz w:val="28"/>
                <w:szCs w:val="28"/>
                <w:lang w:val="ro-RO"/>
              </w:rPr>
              <w:t xml:space="preserve">cu privire la aprobarea              </w:t>
            </w:r>
          </w:p>
          <w:p w:rsidR="0058391B" w:rsidRDefault="0058391B">
            <w:pPr>
              <w:jc w:val="center"/>
              <w:rPr>
                <w:rFonts w:eastAsia="Arial Unicode MS"/>
                <w:b/>
                <w:bCs/>
                <w:sz w:val="28"/>
                <w:szCs w:val="28"/>
                <w:lang w:val="ro-RO" w:eastAsia="ro-RO"/>
              </w:rPr>
            </w:pPr>
            <w:r w:rsidRPr="00A0494D">
              <w:rPr>
                <w:b/>
                <w:bCs/>
                <w:sz w:val="28"/>
                <w:szCs w:val="28"/>
                <w:lang w:val="ro-RO"/>
              </w:rPr>
              <w:t xml:space="preserve">                   Reglementării tehnice </w:t>
            </w:r>
            <w:r>
              <w:rPr>
                <w:rFonts w:eastAsia="Arial Unicode MS"/>
                <w:b/>
                <w:bCs/>
                <w:sz w:val="28"/>
                <w:szCs w:val="28"/>
                <w:lang w:val="ro-RO" w:eastAsia="ro-RO"/>
              </w:rPr>
              <w:t>privind echipamente sub presiune transportabile</w:t>
            </w:r>
          </w:p>
          <w:p w:rsidR="0058391B" w:rsidRPr="00A0494D" w:rsidRDefault="0058391B">
            <w:pPr>
              <w:pStyle w:val="NoSpacing"/>
              <w:jc w:val="center"/>
              <w:rPr>
                <w:rFonts w:ascii="Times New Roman" w:hAnsi="Times New Roman"/>
                <w:b/>
                <w:sz w:val="28"/>
                <w:szCs w:val="28"/>
                <w:lang w:val="ro-RO"/>
              </w:rPr>
            </w:pPr>
          </w:p>
        </w:tc>
      </w:tr>
      <w:tr w:rsidR="0058391B">
        <w:trPr>
          <w:jc w:val="center"/>
        </w:trPr>
        <w:tc>
          <w:tcPr>
            <w:tcW w:w="2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Default="0058391B">
            <w:pPr>
              <w:rPr>
                <w:sz w:val="28"/>
                <w:szCs w:val="28"/>
                <w:lang w:val="ro-RO"/>
              </w:rPr>
            </w:pPr>
            <w:r>
              <w:rPr>
                <w:b/>
                <w:bCs/>
                <w:sz w:val="28"/>
                <w:szCs w:val="28"/>
                <w:lang w:val="ro-RO"/>
              </w:rPr>
              <w:t>Titlul analizei impactului</w:t>
            </w:r>
            <w:r>
              <w:rPr>
                <w:b/>
                <w:bCs/>
                <w:sz w:val="28"/>
                <w:szCs w:val="28"/>
                <w:lang w:val="ro-RO"/>
              </w:rPr>
              <w:br/>
            </w:r>
            <w:r>
              <w:rPr>
                <w:sz w:val="28"/>
                <w:szCs w:val="28"/>
                <w:lang w:val="ro-RO"/>
              </w:rPr>
              <w:t>(poate conţine titlul propunerii de act normativ)</w:t>
            </w:r>
          </w:p>
        </w:tc>
        <w:tc>
          <w:tcPr>
            <w:tcW w:w="21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Default="0058391B">
            <w:pPr>
              <w:tabs>
                <w:tab w:val="left" w:pos="540"/>
                <w:tab w:val="left" w:pos="567"/>
              </w:tabs>
              <w:jc w:val="both"/>
              <w:rPr>
                <w:sz w:val="28"/>
                <w:szCs w:val="28"/>
                <w:lang w:val="ro-RO"/>
              </w:rPr>
            </w:pPr>
            <w:r w:rsidRPr="00A0494D">
              <w:rPr>
                <w:sz w:val="28"/>
                <w:szCs w:val="28"/>
                <w:lang w:val="ro-RO"/>
              </w:rPr>
              <w:t xml:space="preserve">proiectul Hotărârii Guvernului cu privire la aprobarea Reglementării tehnice privind </w:t>
            </w:r>
            <w:r>
              <w:rPr>
                <w:rFonts w:eastAsia="Arial Unicode MS"/>
                <w:bCs/>
                <w:sz w:val="28"/>
                <w:szCs w:val="28"/>
                <w:lang w:val="ro-RO" w:eastAsia="ro-RO"/>
              </w:rPr>
              <w:t>echipamentele sub presiune transportabile.</w:t>
            </w:r>
            <w:r w:rsidRPr="00A0494D">
              <w:rPr>
                <w:sz w:val="28"/>
                <w:szCs w:val="28"/>
                <w:lang w:val="ro-RO"/>
              </w:rPr>
              <w:t xml:space="preserve"> </w:t>
            </w:r>
          </w:p>
        </w:tc>
      </w:tr>
      <w:tr w:rsidR="0058391B">
        <w:trPr>
          <w:jc w:val="center"/>
        </w:trPr>
        <w:tc>
          <w:tcPr>
            <w:tcW w:w="2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Default="0058391B">
            <w:pPr>
              <w:rPr>
                <w:sz w:val="28"/>
                <w:szCs w:val="28"/>
                <w:lang w:val="ro-RO"/>
              </w:rPr>
            </w:pPr>
            <w:r>
              <w:rPr>
                <w:b/>
                <w:bCs/>
                <w:sz w:val="28"/>
                <w:szCs w:val="28"/>
                <w:lang w:val="ro-RO"/>
              </w:rPr>
              <w:t>Data:</w:t>
            </w:r>
          </w:p>
        </w:tc>
        <w:tc>
          <w:tcPr>
            <w:tcW w:w="21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Default="0058391B">
            <w:pPr>
              <w:rPr>
                <w:sz w:val="28"/>
                <w:szCs w:val="28"/>
                <w:lang w:val="ro-RO"/>
              </w:rPr>
            </w:pPr>
            <w:r>
              <w:rPr>
                <w:sz w:val="28"/>
                <w:szCs w:val="28"/>
                <w:lang w:val="ro-RO"/>
              </w:rPr>
              <w:t> 2017</w:t>
            </w:r>
          </w:p>
        </w:tc>
      </w:tr>
      <w:tr w:rsidR="0058391B">
        <w:trPr>
          <w:jc w:val="center"/>
        </w:trPr>
        <w:tc>
          <w:tcPr>
            <w:tcW w:w="2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Default="0058391B">
            <w:pPr>
              <w:rPr>
                <w:sz w:val="28"/>
                <w:szCs w:val="28"/>
                <w:lang w:val="ro-RO"/>
              </w:rPr>
            </w:pPr>
            <w:r>
              <w:rPr>
                <w:b/>
                <w:bCs/>
                <w:sz w:val="28"/>
                <w:szCs w:val="28"/>
                <w:lang w:val="ro-RO"/>
              </w:rPr>
              <w:t>Autoritatea administraţiei publice autor:</w:t>
            </w:r>
          </w:p>
        </w:tc>
        <w:tc>
          <w:tcPr>
            <w:tcW w:w="21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Default="0058391B">
            <w:pPr>
              <w:rPr>
                <w:sz w:val="28"/>
                <w:szCs w:val="28"/>
                <w:lang w:val="ro-RO"/>
              </w:rPr>
            </w:pPr>
            <w:r>
              <w:rPr>
                <w:sz w:val="28"/>
                <w:szCs w:val="28"/>
                <w:lang w:val="ro-RO"/>
              </w:rPr>
              <w:t> Ministerul Economiei</w:t>
            </w:r>
          </w:p>
        </w:tc>
      </w:tr>
      <w:tr w:rsidR="0058391B">
        <w:trPr>
          <w:jc w:val="center"/>
        </w:trPr>
        <w:tc>
          <w:tcPr>
            <w:tcW w:w="2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Default="0058391B">
            <w:pPr>
              <w:rPr>
                <w:sz w:val="28"/>
                <w:szCs w:val="28"/>
                <w:lang w:val="ro-RO"/>
              </w:rPr>
            </w:pPr>
            <w:r>
              <w:rPr>
                <w:b/>
                <w:bCs/>
                <w:sz w:val="28"/>
                <w:szCs w:val="28"/>
                <w:lang w:val="ro-RO"/>
              </w:rPr>
              <w:t>Subdiviziunea:</w:t>
            </w:r>
          </w:p>
        </w:tc>
        <w:tc>
          <w:tcPr>
            <w:tcW w:w="21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Default="0058391B">
            <w:pPr>
              <w:tabs>
                <w:tab w:val="left" w:pos="870"/>
              </w:tabs>
              <w:jc w:val="both"/>
              <w:rPr>
                <w:sz w:val="28"/>
                <w:szCs w:val="28"/>
                <w:lang w:val="ro-RO"/>
              </w:rPr>
            </w:pPr>
            <w:r>
              <w:rPr>
                <w:sz w:val="28"/>
                <w:szCs w:val="28"/>
                <w:lang w:val="ro-RO"/>
              </w:rPr>
              <w:t> </w:t>
            </w:r>
            <w:r w:rsidRPr="00A0494D">
              <w:rPr>
                <w:sz w:val="28"/>
                <w:szCs w:val="28"/>
                <w:lang w:val="ro-RO"/>
              </w:rPr>
              <w:t>Direcția generală infrastructura calității și supravegherea pieței/Direcția supravegherea pieței și securitate industrială.</w:t>
            </w:r>
          </w:p>
        </w:tc>
      </w:tr>
      <w:tr w:rsidR="0058391B">
        <w:trPr>
          <w:jc w:val="center"/>
        </w:trPr>
        <w:tc>
          <w:tcPr>
            <w:tcW w:w="2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Default="0058391B">
            <w:pPr>
              <w:rPr>
                <w:sz w:val="28"/>
                <w:szCs w:val="28"/>
                <w:lang w:val="ro-RO"/>
              </w:rPr>
            </w:pPr>
            <w:r>
              <w:rPr>
                <w:b/>
                <w:bCs/>
                <w:sz w:val="28"/>
                <w:szCs w:val="28"/>
                <w:lang w:val="ro-RO"/>
              </w:rPr>
              <w:t>Persoana responsabilă şi informaţia de contact:</w:t>
            </w:r>
          </w:p>
        </w:tc>
        <w:tc>
          <w:tcPr>
            <w:tcW w:w="21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Default="0058391B">
            <w:pPr>
              <w:rPr>
                <w:sz w:val="28"/>
                <w:szCs w:val="28"/>
                <w:lang w:val="ro-RO"/>
              </w:rPr>
            </w:pPr>
            <w:r>
              <w:rPr>
                <w:sz w:val="28"/>
                <w:szCs w:val="28"/>
                <w:lang w:val="ro-RO"/>
              </w:rPr>
              <w:t xml:space="preserve"> Larisa </w:t>
            </w:r>
            <w:proofErr w:type="spellStart"/>
            <w:r>
              <w:rPr>
                <w:sz w:val="28"/>
                <w:szCs w:val="28"/>
                <w:lang w:val="ro-RO"/>
              </w:rPr>
              <w:t>Sloninova</w:t>
            </w:r>
            <w:proofErr w:type="spellEnd"/>
            <w:r>
              <w:rPr>
                <w:sz w:val="28"/>
                <w:szCs w:val="28"/>
                <w:lang w:val="ro-RO"/>
              </w:rPr>
              <w:t>, consultant superior, tel. de contact: 0 22 250 683.</w:t>
            </w:r>
          </w:p>
        </w:tc>
      </w:tr>
      <w:tr w:rsidR="0058391B">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Default="0058391B">
            <w:pPr>
              <w:jc w:val="center"/>
              <w:rPr>
                <w:sz w:val="28"/>
                <w:szCs w:val="28"/>
                <w:lang w:val="ro-RO"/>
              </w:rPr>
            </w:pPr>
            <w:r>
              <w:rPr>
                <w:b/>
                <w:bCs/>
                <w:sz w:val="28"/>
                <w:szCs w:val="28"/>
                <w:lang w:val="ro-RO"/>
              </w:rPr>
              <w:t>Componentele analizei impactului de reglementare</w:t>
            </w:r>
          </w:p>
        </w:tc>
      </w:tr>
      <w:tr w:rsidR="0058391B">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Default="0058391B">
            <w:pPr>
              <w:rPr>
                <w:sz w:val="28"/>
                <w:szCs w:val="28"/>
                <w:lang w:val="ro-RO"/>
              </w:rPr>
            </w:pPr>
            <w:r>
              <w:rPr>
                <w:b/>
                <w:bCs/>
                <w:sz w:val="28"/>
                <w:szCs w:val="28"/>
                <w:lang w:val="ro-RO"/>
              </w:rPr>
              <w:t>1. Stabilirea complexităţii analizei impactului de reglementare </w:t>
            </w:r>
          </w:p>
        </w:tc>
      </w:tr>
      <w:tr w:rsidR="0058391B">
        <w:trPr>
          <w:jc w:val="center"/>
        </w:trPr>
        <w:tc>
          <w:tcPr>
            <w:tcW w:w="2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Default="0058391B">
            <w:pPr>
              <w:jc w:val="center"/>
              <w:rPr>
                <w:b/>
                <w:bCs/>
                <w:sz w:val="28"/>
                <w:szCs w:val="28"/>
                <w:lang w:val="ro-RO"/>
              </w:rPr>
            </w:pPr>
            <w:r>
              <w:rPr>
                <w:b/>
                <w:bCs/>
                <w:sz w:val="28"/>
                <w:szCs w:val="28"/>
                <w:lang w:val="ro-RO"/>
              </w:rPr>
              <w:t>Criteriul</w:t>
            </w:r>
          </w:p>
        </w:tc>
        <w:tc>
          <w:tcPr>
            <w:tcW w:w="21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Default="0058391B">
            <w:pPr>
              <w:jc w:val="center"/>
              <w:rPr>
                <w:b/>
                <w:bCs/>
                <w:sz w:val="28"/>
                <w:szCs w:val="28"/>
                <w:lang w:val="ro-RO"/>
              </w:rPr>
            </w:pPr>
            <w:r>
              <w:rPr>
                <w:b/>
                <w:bCs/>
                <w:sz w:val="28"/>
                <w:szCs w:val="28"/>
                <w:lang w:val="ro-RO"/>
              </w:rPr>
              <w:t>Punctajul (de la 1 la 3)</w:t>
            </w:r>
          </w:p>
        </w:tc>
      </w:tr>
      <w:tr w:rsidR="0058391B" w:rsidRPr="00600702">
        <w:trPr>
          <w:jc w:val="center"/>
        </w:trPr>
        <w:tc>
          <w:tcPr>
            <w:tcW w:w="2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600702" w:rsidRDefault="0058391B">
            <w:pPr>
              <w:rPr>
                <w:sz w:val="28"/>
                <w:szCs w:val="28"/>
                <w:lang w:val="ro-RO"/>
              </w:rPr>
            </w:pPr>
            <w:r w:rsidRPr="00600702">
              <w:rPr>
                <w:sz w:val="28"/>
                <w:szCs w:val="28"/>
                <w:lang w:val="ro-RO"/>
              </w:rPr>
              <w:t>Nivelul de interes public faţă de intervenţia propusă</w:t>
            </w:r>
          </w:p>
        </w:tc>
        <w:tc>
          <w:tcPr>
            <w:tcW w:w="21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600702" w:rsidRDefault="0058391B">
            <w:pPr>
              <w:jc w:val="center"/>
              <w:rPr>
                <w:sz w:val="28"/>
                <w:szCs w:val="28"/>
                <w:lang w:val="ro-RO"/>
              </w:rPr>
            </w:pPr>
            <w:r w:rsidRPr="00600702">
              <w:rPr>
                <w:sz w:val="28"/>
                <w:szCs w:val="28"/>
                <w:lang w:val="ro-RO"/>
              </w:rPr>
              <w:t>2</w:t>
            </w:r>
          </w:p>
        </w:tc>
      </w:tr>
      <w:tr w:rsidR="0058391B" w:rsidRPr="00600702">
        <w:trPr>
          <w:jc w:val="center"/>
        </w:trPr>
        <w:tc>
          <w:tcPr>
            <w:tcW w:w="2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600702" w:rsidRDefault="0058391B">
            <w:pPr>
              <w:rPr>
                <w:sz w:val="28"/>
                <w:szCs w:val="28"/>
                <w:lang w:val="ro-RO"/>
              </w:rPr>
            </w:pPr>
            <w:r w:rsidRPr="00600702">
              <w:rPr>
                <w:sz w:val="28"/>
                <w:szCs w:val="28"/>
                <w:lang w:val="ro-RO"/>
              </w:rPr>
              <w:t>Gradul de inovaţie al intervenţiei propuse</w:t>
            </w:r>
          </w:p>
        </w:tc>
        <w:tc>
          <w:tcPr>
            <w:tcW w:w="21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600702" w:rsidRDefault="004E3881">
            <w:pPr>
              <w:jc w:val="center"/>
              <w:rPr>
                <w:sz w:val="28"/>
                <w:szCs w:val="28"/>
                <w:lang w:val="ro-RO"/>
              </w:rPr>
            </w:pPr>
            <w:r w:rsidRPr="00600702">
              <w:rPr>
                <w:sz w:val="28"/>
                <w:szCs w:val="28"/>
                <w:lang w:val="ro-RO"/>
              </w:rPr>
              <w:t>1</w:t>
            </w:r>
          </w:p>
        </w:tc>
      </w:tr>
      <w:tr w:rsidR="0058391B" w:rsidRPr="00600702">
        <w:trPr>
          <w:jc w:val="center"/>
        </w:trPr>
        <w:tc>
          <w:tcPr>
            <w:tcW w:w="2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600702" w:rsidRDefault="0058391B">
            <w:pPr>
              <w:rPr>
                <w:sz w:val="28"/>
                <w:szCs w:val="28"/>
                <w:lang w:val="ro-RO"/>
              </w:rPr>
            </w:pPr>
            <w:r w:rsidRPr="00600702">
              <w:rPr>
                <w:sz w:val="28"/>
                <w:szCs w:val="28"/>
                <w:lang w:val="ro-RO"/>
              </w:rPr>
              <w:t>Mărimea potenţialelor impacturi ale iniţiativei propuse</w:t>
            </w:r>
          </w:p>
        </w:tc>
        <w:tc>
          <w:tcPr>
            <w:tcW w:w="21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600702" w:rsidRDefault="0058391B">
            <w:pPr>
              <w:jc w:val="center"/>
              <w:rPr>
                <w:sz w:val="28"/>
                <w:szCs w:val="28"/>
                <w:lang w:val="ro-RO"/>
              </w:rPr>
            </w:pPr>
            <w:r w:rsidRPr="00600702">
              <w:rPr>
                <w:sz w:val="28"/>
                <w:szCs w:val="28"/>
                <w:lang w:val="ro-RO"/>
              </w:rPr>
              <w:t>1</w:t>
            </w:r>
          </w:p>
        </w:tc>
      </w:tr>
      <w:tr w:rsidR="0058391B" w:rsidRPr="00600702">
        <w:trPr>
          <w:jc w:val="center"/>
        </w:trPr>
        <w:tc>
          <w:tcPr>
            <w:tcW w:w="2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600702" w:rsidRDefault="0058391B">
            <w:pPr>
              <w:rPr>
                <w:sz w:val="28"/>
                <w:szCs w:val="28"/>
                <w:lang w:val="ro-RO"/>
              </w:rPr>
            </w:pPr>
            <w:r w:rsidRPr="00600702">
              <w:rPr>
                <w:sz w:val="28"/>
                <w:szCs w:val="28"/>
                <w:lang w:val="ro-RO"/>
              </w:rPr>
              <w:t>TOTAL</w:t>
            </w:r>
          </w:p>
        </w:tc>
        <w:tc>
          <w:tcPr>
            <w:tcW w:w="21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600702" w:rsidRDefault="001723A2">
            <w:pPr>
              <w:jc w:val="center"/>
              <w:rPr>
                <w:sz w:val="28"/>
                <w:szCs w:val="28"/>
                <w:lang w:val="ro-RO"/>
              </w:rPr>
            </w:pPr>
            <w:r w:rsidRPr="00600702">
              <w:rPr>
                <w:sz w:val="28"/>
                <w:szCs w:val="28"/>
                <w:lang w:val="ro-RO"/>
              </w:rPr>
              <w:t>4</w:t>
            </w:r>
          </w:p>
        </w:tc>
      </w:tr>
      <w:tr w:rsidR="0058391B" w:rsidRPr="00600702">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600702" w:rsidRDefault="0058391B">
            <w:pPr>
              <w:jc w:val="both"/>
              <w:rPr>
                <w:sz w:val="28"/>
                <w:szCs w:val="28"/>
                <w:lang w:val="ro-RO"/>
              </w:rPr>
            </w:pPr>
            <w:r w:rsidRPr="00600702">
              <w:rPr>
                <w:sz w:val="28"/>
                <w:szCs w:val="28"/>
                <w:u w:val="single"/>
                <w:lang w:val="ro-RO"/>
              </w:rPr>
              <w:t>Argumentare/descifrarea succintă a punctajului atribuit:</w:t>
            </w:r>
            <w:r w:rsidRPr="00600702">
              <w:rPr>
                <w:sz w:val="28"/>
                <w:szCs w:val="28"/>
                <w:lang w:val="ro-RO"/>
              </w:rPr>
              <w:t xml:space="preserve"> </w:t>
            </w:r>
          </w:p>
          <w:p w:rsidR="0058391B" w:rsidRPr="00600702" w:rsidRDefault="0058391B">
            <w:pPr>
              <w:jc w:val="both"/>
              <w:rPr>
                <w:sz w:val="28"/>
                <w:szCs w:val="28"/>
                <w:lang w:val="ro-RO"/>
              </w:rPr>
            </w:pPr>
            <w:r w:rsidRPr="00600702">
              <w:rPr>
                <w:rFonts w:eastAsia="Calibri"/>
                <w:bCs/>
                <w:sz w:val="28"/>
                <w:szCs w:val="28"/>
                <w:lang w:val="ro-RO" w:eastAsia="ja-JP"/>
              </w:rPr>
              <w:t>Intervenția dată necesită o analiză complexă.</w:t>
            </w:r>
          </w:p>
          <w:p w:rsidR="0058391B" w:rsidRPr="00600702" w:rsidRDefault="0058391B">
            <w:pPr>
              <w:jc w:val="both"/>
              <w:rPr>
                <w:sz w:val="28"/>
                <w:szCs w:val="28"/>
              </w:rPr>
            </w:pPr>
            <w:r w:rsidRPr="00600702">
              <w:rPr>
                <w:sz w:val="28"/>
                <w:szCs w:val="28"/>
                <w:lang w:val="ro-RO"/>
              </w:rPr>
              <w:t xml:space="preserve">2 - </w:t>
            </w:r>
            <w:proofErr w:type="spellStart"/>
            <w:r w:rsidRPr="00600702">
              <w:rPr>
                <w:sz w:val="28"/>
                <w:szCs w:val="28"/>
              </w:rPr>
              <w:t>nivel</w:t>
            </w:r>
            <w:proofErr w:type="spellEnd"/>
            <w:r w:rsidRPr="00600702">
              <w:rPr>
                <w:sz w:val="28"/>
                <w:szCs w:val="28"/>
              </w:rPr>
              <w:t xml:space="preserve"> de </w:t>
            </w:r>
            <w:proofErr w:type="spellStart"/>
            <w:r w:rsidRPr="00600702">
              <w:rPr>
                <w:sz w:val="28"/>
                <w:szCs w:val="28"/>
              </w:rPr>
              <w:t>interes</w:t>
            </w:r>
            <w:proofErr w:type="spellEnd"/>
            <w:r w:rsidRPr="00600702">
              <w:rPr>
                <w:sz w:val="28"/>
                <w:szCs w:val="28"/>
              </w:rPr>
              <w:t xml:space="preserve"> public </w:t>
            </w:r>
            <w:proofErr w:type="spellStart"/>
            <w:r w:rsidRPr="00600702">
              <w:rPr>
                <w:sz w:val="28"/>
                <w:szCs w:val="28"/>
              </w:rPr>
              <w:t>mediu</w:t>
            </w:r>
            <w:proofErr w:type="spellEnd"/>
            <w:r w:rsidRPr="00600702">
              <w:rPr>
                <w:sz w:val="28"/>
                <w:szCs w:val="28"/>
              </w:rPr>
              <w:t xml:space="preserve">, </w:t>
            </w:r>
            <w:proofErr w:type="spellStart"/>
            <w:r w:rsidRPr="00600702">
              <w:rPr>
                <w:sz w:val="28"/>
                <w:szCs w:val="28"/>
              </w:rPr>
              <w:t>corespunzător</w:t>
            </w:r>
            <w:proofErr w:type="spellEnd"/>
            <w:r w:rsidRPr="00600702">
              <w:rPr>
                <w:sz w:val="28"/>
                <w:szCs w:val="28"/>
              </w:rPr>
              <w:t xml:space="preserve"> </w:t>
            </w:r>
            <w:proofErr w:type="spellStart"/>
            <w:r w:rsidRPr="00600702">
              <w:rPr>
                <w:sz w:val="28"/>
                <w:szCs w:val="28"/>
              </w:rPr>
              <w:t>unor</w:t>
            </w:r>
            <w:proofErr w:type="spellEnd"/>
            <w:r w:rsidRPr="00600702">
              <w:rPr>
                <w:sz w:val="28"/>
                <w:szCs w:val="28"/>
              </w:rPr>
              <w:t xml:space="preserve"> </w:t>
            </w:r>
            <w:proofErr w:type="spellStart"/>
            <w:r w:rsidRPr="00600702">
              <w:rPr>
                <w:sz w:val="28"/>
                <w:szCs w:val="28"/>
              </w:rPr>
              <w:t>grupuri</w:t>
            </w:r>
            <w:proofErr w:type="spellEnd"/>
            <w:r w:rsidRPr="00600702">
              <w:rPr>
                <w:sz w:val="28"/>
                <w:szCs w:val="28"/>
              </w:rPr>
              <w:t xml:space="preserve"> </w:t>
            </w:r>
            <w:proofErr w:type="spellStart"/>
            <w:r w:rsidRPr="00600702">
              <w:rPr>
                <w:sz w:val="28"/>
                <w:szCs w:val="28"/>
              </w:rPr>
              <w:t>sociale</w:t>
            </w:r>
            <w:proofErr w:type="spellEnd"/>
            <w:r w:rsidRPr="00600702">
              <w:rPr>
                <w:sz w:val="28"/>
                <w:szCs w:val="28"/>
              </w:rPr>
              <w:t xml:space="preserve"> </w:t>
            </w:r>
            <w:proofErr w:type="spellStart"/>
            <w:r w:rsidRPr="00600702">
              <w:rPr>
                <w:sz w:val="28"/>
                <w:szCs w:val="28"/>
              </w:rPr>
              <w:t>distincte</w:t>
            </w:r>
            <w:proofErr w:type="spellEnd"/>
            <w:r w:rsidRPr="00600702">
              <w:rPr>
                <w:sz w:val="28"/>
                <w:szCs w:val="28"/>
              </w:rPr>
              <w:t xml:space="preserve">, </w:t>
            </w:r>
            <w:proofErr w:type="spellStart"/>
            <w:r w:rsidRPr="00600702">
              <w:rPr>
                <w:sz w:val="28"/>
                <w:szCs w:val="28"/>
              </w:rPr>
              <w:t>restrînse</w:t>
            </w:r>
            <w:proofErr w:type="spellEnd"/>
            <w:r w:rsidRPr="00600702">
              <w:rPr>
                <w:sz w:val="28"/>
                <w:szCs w:val="28"/>
              </w:rPr>
              <w:t xml:space="preserve">, care nu </w:t>
            </w:r>
            <w:proofErr w:type="spellStart"/>
            <w:r w:rsidRPr="00600702">
              <w:rPr>
                <w:sz w:val="28"/>
                <w:szCs w:val="28"/>
              </w:rPr>
              <w:t>reprezintă</w:t>
            </w:r>
            <w:proofErr w:type="spellEnd"/>
            <w:r w:rsidRPr="00600702">
              <w:rPr>
                <w:sz w:val="28"/>
                <w:szCs w:val="28"/>
              </w:rPr>
              <w:t xml:space="preserve"> </w:t>
            </w:r>
            <w:proofErr w:type="spellStart"/>
            <w:r w:rsidRPr="00600702">
              <w:rPr>
                <w:sz w:val="28"/>
                <w:szCs w:val="28"/>
              </w:rPr>
              <w:t>majoritatea</w:t>
            </w:r>
            <w:proofErr w:type="spellEnd"/>
            <w:r w:rsidRPr="00600702">
              <w:rPr>
                <w:sz w:val="28"/>
                <w:szCs w:val="28"/>
              </w:rPr>
              <w:t xml:space="preserve"> </w:t>
            </w:r>
            <w:proofErr w:type="spellStart"/>
            <w:r w:rsidRPr="00600702">
              <w:rPr>
                <w:sz w:val="28"/>
                <w:szCs w:val="28"/>
              </w:rPr>
              <w:t>societăţii</w:t>
            </w:r>
            <w:proofErr w:type="spellEnd"/>
            <w:r w:rsidRPr="00600702">
              <w:rPr>
                <w:sz w:val="28"/>
                <w:szCs w:val="28"/>
              </w:rPr>
              <w:t xml:space="preserve"> </w:t>
            </w:r>
            <w:proofErr w:type="spellStart"/>
            <w:r w:rsidRPr="00600702">
              <w:rPr>
                <w:sz w:val="28"/>
                <w:szCs w:val="28"/>
              </w:rPr>
              <w:t>sau</w:t>
            </w:r>
            <w:proofErr w:type="spellEnd"/>
            <w:r w:rsidRPr="00600702">
              <w:rPr>
                <w:sz w:val="28"/>
                <w:szCs w:val="28"/>
              </w:rPr>
              <w:t xml:space="preserve"> o parte </w:t>
            </w:r>
            <w:proofErr w:type="spellStart"/>
            <w:r w:rsidRPr="00600702">
              <w:rPr>
                <w:sz w:val="28"/>
                <w:szCs w:val="28"/>
              </w:rPr>
              <w:t>importantă</w:t>
            </w:r>
            <w:proofErr w:type="spellEnd"/>
            <w:r w:rsidRPr="00600702">
              <w:rPr>
                <w:sz w:val="28"/>
                <w:szCs w:val="28"/>
              </w:rPr>
              <w:t xml:space="preserve"> a </w:t>
            </w:r>
            <w:proofErr w:type="spellStart"/>
            <w:r w:rsidRPr="00600702">
              <w:rPr>
                <w:sz w:val="28"/>
                <w:szCs w:val="28"/>
              </w:rPr>
              <w:t>unui</w:t>
            </w:r>
            <w:proofErr w:type="spellEnd"/>
            <w:r w:rsidRPr="00600702">
              <w:rPr>
                <w:sz w:val="28"/>
                <w:szCs w:val="28"/>
              </w:rPr>
              <w:t xml:space="preserve"> sector economic; </w:t>
            </w:r>
          </w:p>
          <w:p w:rsidR="00C54140" w:rsidRPr="00600702" w:rsidRDefault="0079787A" w:rsidP="001723A2">
            <w:pPr>
              <w:pStyle w:val="NormalWeb"/>
              <w:ind w:firstLine="0"/>
              <w:rPr>
                <w:sz w:val="28"/>
                <w:szCs w:val="28"/>
              </w:rPr>
            </w:pPr>
            <w:r w:rsidRPr="00600702">
              <w:rPr>
                <w:sz w:val="28"/>
                <w:szCs w:val="28"/>
              </w:rPr>
              <w:t xml:space="preserve">1- </w:t>
            </w:r>
            <w:proofErr w:type="spellStart"/>
            <w:r w:rsidRPr="00600702">
              <w:rPr>
                <w:sz w:val="28"/>
                <w:szCs w:val="28"/>
              </w:rPr>
              <w:t>intervenţia</w:t>
            </w:r>
            <w:proofErr w:type="spellEnd"/>
            <w:r w:rsidRPr="00600702">
              <w:rPr>
                <w:sz w:val="28"/>
                <w:szCs w:val="28"/>
              </w:rPr>
              <w:t xml:space="preserve"> nu </w:t>
            </w:r>
            <w:proofErr w:type="spellStart"/>
            <w:r w:rsidRPr="00600702">
              <w:rPr>
                <w:sz w:val="28"/>
                <w:szCs w:val="28"/>
              </w:rPr>
              <w:t>este</w:t>
            </w:r>
            <w:proofErr w:type="spellEnd"/>
            <w:r w:rsidRPr="00600702">
              <w:rPr>
                <w:sz w:val="28"/>
                <w:szCs w:val="28"/>
              </w:rPr>
              <w:t xml:space="preserve"> </w:t>
            </w:r>
            <w:proofErr w:type="spellStart"/>
            <w:r w:rsidRPr="00600702">
              <w:rPr>
                <w:sz w:val="28"/>
                <w:szCs w:val="28"/>
              </w:rPr>
              <w:t>nouă</w:t>
            </w:r>
            <w:proofErr w:type="spellEnd"/>
            <w:r w:rsidRPr="00600702">
              <w:rPr>
                <w:sz w:val="28"/>
                <w:szCs w:val="28"/>
              </w:rPr>
              <w:t xml:space="preserve">, </w:t>
            </w:r>
            <w:proofErr w:type="spellStart"/>
            <w:r w:rsidRPr="00600702">
              <w:rPr>
                <w:sz w:val="28"/>
                <w:szCs w:val="28"/>
              </w:rPr>
              <w:t>în</w:t>
            </w:r>
            <w:proofErr w:type="spellEnd"/>
            <w:r w:rsidRPr="00600702">
              <w:rPr>
                <w:sz w:val="28"/>
                <w:szCs w:val="28"/>
              </w:rPr>
              <w:t xml:space="preserve"> mare parte </w:t>
            </w:r>
            <w:proofErr w:type="spellStart"/>
            <w:r w:rsidRPr="00600702">
              <w:rPr>
                <w:sz w:val="28"/>
                <w:szCs w:val="28"/>
              </w:rPr>
              <w:t>deja</w:t>
            </w:r>
            <w:proofErr w:type="spellEnd"/>
            <w:r w:rsidRPr="00600702">
              <w:rPr>
                <w:sz w:val="28"/>
                <w:szCs w:val="28"/>
              </w:rPr>
              <w:t xml:space="preserve"> </w:t>
            </w:r>
            <w:proofErr w:type="spellStart"/>
            <w:r w:rsidRPr="00600702">
              <w:rPr>
                <w:sz w:val="28"/>
                <w:szCs w:val="28"/>
              </w:rPr>
              <w:t>existentă</w:t>
            </w:r>
            <w:proofErr w:type="spellEnd"/>
            <w:r w:rsidRPr="00600702">
              <w:rPr>
                <w:sz w:val="28"/>
                <w:szCs w:val="28"/>
              </w:rPr>
              <w:t xml:space="preserve"> </w:t>
            </w:r>
            <w:proofErr w:type="spellStart"/>
            <w:r w:rsidRPr="00600702">
              <w:rPr>
                <w:sz w:val="28"/>
                <w:szCs w:val="28"/>
              </w:rPr>
              <w:t>în</w:t>
            </w:r>
            <w:proofErr w:type="spellEnd"/>
            <w:r w:rsidRPr="00600702">
              <w:rPr>
                <w:sz w:val="28"/>
                <w:szCs w:val="28"/>
              </w:rPr>
              <w:t xml:space="preserve"> </w:t>
            </w:r>
            <w:proofErr w:type="spellStart"/>
            <w:r w:rsidRPr="00600702">
              <w:rPr>
                <w:sz w:val="28"/>
                <w:szCs w:val="28"/>
              </w:rPr>
              <w:t>cadrul</w:t>
            </w:r>
            <w:proofErr w:type="spellEnd"/>
            <w:r w:rsidRPr="00600702">
              <w:rPr>
                <w:sz w:val="28"/>
                <w:szCs w:val="28"/>
              </w:rPr>
              <w:t xml:space="preserve"> </w:t>
            </w:r>
            <w:proofErr w:type="spellStart"/>
            <w:r w:rsidR="00C54140" w:rsidRPr="00600702">
              <w:rPr>
                <w:sz w:val="28"/>
                <w:szCs w:val="28"/>
              </w:rPr>
              <w:t>normativ</w:t>
            </w:r>
            <w:proofErr w:type="spellEnd"/>
            <w:r w:rsidR="001723A2" w:rsidRPr="00600702">
              <w:rPr>
                <w:sz w:val="28"/>
                <w:szCs w:val="28"/>
                <w:lang w:val="ro-RO"/>
              </w:rPr>
              <w:t>;</w:t>
            </w:r>
            <w:r w:rsidRPr="00600702">
              <w:rPr>
                <w:sz w:val="28"/>
                <w:szCs w:val="28"/>
              </w:rPr>
              <w:t xml:space="preserve"> </w:t>
            </w:r>
          </w:p>
          <w:p w:rsidR="0058391B" w:rsidRPr="00600702" w:rsidRDefault="0058391B" w:rsidP="001723A2">
            <w:pPr>
              <w:pStyle w:val="NormalWeb"/>
              <w:ind w:firstLine="0"/>
              <w:rPr>
                <w:sz w:val="28"/>
                <w:szCs w:val="28"/>
                <w:lang w:val="ro-RO"/>
              </w:rPr>
            </w:pPr>
            <w:r w:rsidRPr="00600702">
              <w:rPr>
                <w:sz w:val="28"/>
                <w:szCs w:val="28"/>
              </w:rPr>
              <w:t xml:space="preserve">1 - </w:t>
            </w:r>
            <w:proofErr w:type="spellStart"/>
            <w:proofErr w:type="gramStart"/>
            <w:r w:rsidRPr="00600702">
              <w:rPr>
                <w:sz w:val="28"/>
                <w:szCs w:val="28"/>
              </w:rPr>
              <w:t>ar</w:t>
            </w:r>
            <w:proofErr w:type="spellEnd"/>
            <w:proofErr w:type="gramEnd"/>
            <w:r w:rsidRPr="00600702">
              <w:rPr>
                <w:sz w:val="28"/>
                <w:szCs w:val="28"/>
              </w:rPr>
              <w:t xml:space="preserve"> </w:t>
            </w:r>
            <w:proofErr w:type="spellStart"/>
            <w:r w:rsidRPr="00600702">
              <w:rPr>
                <w:sz w:val="28"/>
                <w:szCs w:val="28"/>
              </w:rPr>
              <w:t>putea</w:t>
            </w:r>
            <w:proofErr w:type="spellEnd"/>
            <w:r w:rsidRPr="00600702">
              <w:rPr>
                <w:sz w:val="28"/>
                <w:szCs w:val="28"/>
              </w:rPr>
              <w:t xml:space="preserve"> fi </w:t>
            </w:r>
            <w:proofErr w:type="spellStart"/>
            <w:r w:rsidRPr="00600702">
              <w:rPr>
                <w:sz w:val="28"/>
                <w:szCs w:val="28"/>
              </w:rPr>
              <w:t>afectată</w:t>
            </w:r>
            <w:proofErr w:type="spellEnd"/>
            <w:r w:rsidRPr="00600702">
              <w:rPr>
                <w:sz w:val="28"/>
                <w:szCs w:val="28"/>
              </w:rPr>
              <w:t xml:space="preserve"> </w:t>
            </w:r>
            <w:proofErr w:type="spellStart"/>
            <w:r w:rsidRPr="00600702">
              <w:rPr>
                <w:sz w:val="28"/>
                <w:szCs w:val="28"/>
              </w:rPr>
              <w:t>neesenţial</w:t>
            </w:r>
            <w:proofErr w:type="spellEnd"/>
            <w:r w:rsidRPr="00600702">
              <w:rPr>
                <w:sz w:val="28"/>
                <w:szCs w:val="28"/>
              </w:rPr>
              <w:t xml:space="preserve"> o parte </w:t>
            </w:r>
            <w:proofErr w:type="spellStart"/>
            <w:r w:rsidRPr="00600702">
              <w:rPr>
                <w:sz w:val="28"/>
                <w:szCs w:val="28"/>
              </w:rPr>
              <w:t>mică</w:t>
            </w:r>
            <w:proofErr w:type="spellEnd"/>
            <w:r w:rsidRPr="00600702">
              <w:rPr>
                <w:sz w:val="28"/>
                <w:szCs w:val="28"/>
              </w:rPr>
              <w:t xml:space="preserve"> a </w:t>
            </w:r>
            <w:proofErr w:type="spellStart"/>
            <w:r w:rsidRPr="00600702">
              <w:rPr>
                <w:sz w:val="28"/>
                <w:szCs w:val="28"/>
              </w:rPr>
              <w:t>societăţii</w:t>
            </w:r>
            <w:proofErr w:type="spellEnd"/>
            <w:r w:rsidRPr="00600702">
              <w:rPr>
                <w:sz w:val="28"/>
                <w:szCs w:val="28"/>
              </w:rPr>
              <w:t xml:space="preserve"> </w:t>
            </w:r>
            <w:proofErr w:type="spellStart"/>
            <w:r w:rsidRPr="00600702">
              <w:rPr>
                <w:sz w:val="28"/>
                <w:szCs w:val="28"/>
              </w:rPr>
              <w:t>sau</w:t>
            </w:r>
            <w:proofErr w:type="spellEnd"/>
            <w:r w:rsidRPr="00600702">
              <w:rPr>
                <w:sz w:val="28"/>
                <w:szCs w:val="28"/>
              </w:rPr>
              <w:t xml:space="preserve"> o parte </w:t>
            </w:r>
            <w:proofErr w:type="spellStart"/>
            <w:r w:rsidRPr="00600702">
              <w:rPr>
                <w:sz w:val="28"/>
                <w:szCs w:val="28"/>
              </w:rPr>
              <w:t>mică</w:t>
            </w:r>
            <w:proofErr w:type="spellEnd"/>
            <w:r w:rsidRPr="00600702">
              <w:rPr>
                <w:sz w:val="28"/>
                <w:szCs w:val="28"/>
              </w:rPr>
              <w:t xml:space="preserve"> a </w:t>
            </w:r>
            <w:proofErr w:type="spellStart"/>
            <w:r w:rsidRPr="00600702">
              <w:rPr>
                <w:sz w:val="28"/>
                <w:szCs w:val="28"/>
              </w:rPr>
              <w:t>unui</w:t>
            </w:r>
            <w:proofErr w:type="spellEnd"/>
            <w:r w:rsidRPr="00600702">
              <w:rPr>
                <w:sz w:val="28"/>
                <w:szCs w:val="28"/>
              </w:rPr>
              <w:t xml:space="preserve"> sector economic.</w:t>
            </w:r>
          </w:p>
        </w:tc>
      </w:tr>
      <w:tr w:rsidR="0058391B" w:rsidRPr="00600702">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600702" w:rsidRDefault="0058391B">
            <w:pPr>
              <w:rPr>
                <w:sz w:val="28"/>
                <w:szCs w:val="28"/>
                <w:lang w:val="ro-RO"/>
              </w:rPr>
            </w:pPr>
            <w:r w:rsidRPr="00600702">
              <w:rPr>
                <w:b/>
                <w:bCs/>
                <w:sz w:val="28"/>
                <w:szCs w:val="28"/>
                <w:lang w:val="ro-RO"/>
              </w:rPr>
              <w:t>2. Definirea problemei</w:t>
            </w:r>
          </w:p>
        </w:tc>
      </w:tr>
      <w:tr w:rsidR="0058391B" w:rsidRPr="00600702">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26751" w:rsidRPr="00600702" w:rsidRDefault="00426751" w:rsidP="00426751">
            <w:pPr>
              <w:tabs>
                <w:tab w:val="left" w:pos="554"/>
              </w:tabs>
              <w:jc w:val="both"/>
              <w:rPr>
                <w:b/>
                <w:bCs/>
                <w:i/>
                <w:sz w:val="28"/>
                <w:szCs w:val="28"/>
                <w:lang w:val="ro-MD"/>
              </w:rPr>
            </w:pPr>
            <w:r w:rsidRPr="00600702">
              <w:rPr>
                <w:b/>
                <w:sz w:val="28"/>
                <w:szCs w:val="28"/>
              </w:rPr>
              <w:t xml:space="preserve">        </w:t>
            </w:r>
            <w:r w:rsidR="000050D3" w:rsidRPr="00600702">
              <w:rPr>
                <w:b/>
                <w:sz w:val="28"/>
                <w:szCs w:val="28"/>
              </w:rPr>
              <w:t>a)</w:t>
            </w:r>
            <w:r w:rsidR="000050D3" w:rsidRPr="00600702">
              <w:rPr>
                <w:sz w:val="28"/>
                <w:szCs w:val="28"/>
              </w:rPr>
              <w:t xml:space="preserve"> </w:t>
            </w:r>
            <w:r w:rsidRPr="00600702">
              <w:rPr>
                <w:sz w:val="28"/>
                <w:szCs w:val="28"/>
                <w:lang w:val="ro-RO"/>
              </w:rPr>
              <w:t xml:space="preserve">Nivel scăzut de siguranță </w:t>
            </w:r>
            <w:proofErr w:type="gramStart"/>
            <w:r w:rsidRPr="00600702">
              <w:rPr>
                <w:sz w:val="28"/>
                <w:szCs w:val="28"/>
                <w:lang w:val="ro-RO"/>
              </w:rPr>
              <w:t>a</w:t>
            </w:r>
            <w:proofErr w:type="gramEnd"/>
            <w:r w:rsidRPr="00600702">
              <w:rPr>
                <w:sz w:val="28"/>
                <w:szCs w:val="28"/>
                <w:lang w:val="ro-RO"/>
              </w:rPr>
              <w:t xml:space="preserve"> echipamentelor sub presiune transportabile puse la dispoziție pe piață, precum și prejudicii aduse </w:t>
            </w:r>
            <w:proofErr w:type="spellStart"/>
            <w:r w:rsidRPr="00600702">
              <w:rPr>
                <w:sz w:val="28"/>
                <w:szCs w:val="28"/>
                <w:lang w:val="ro-RO"/>
              </w:rPr>
              <w:t>atît</w:t>
            </w:r>
            <w:proofErr w:type="spellEnd"/>
            <w:r w:rsidRPr="00600702">
              <w:rPr>
                <w:sz w:val="28"/>
                <w:szCs w:val="28"/>
                <w:lang w:val="ro-RO"/>
              </w:rPr>
              <w:t xml:space="preserve"> consumatorilor </w:t>
            </w:r>
            <w:proofErr w:type="spellStart"/>
            <w:r w:rsidRPr="00600702">
              <w:rPr>
                <w:sz w:val="28"/>
                <w:szCs w:val="28"/>
                <w:lang w:val="ro-RO"/>
              </w:rPr>
              <w:t>căt</w:t>
            </w:r>
            <w:proofErr w:type="spellEnd"/>
            <w:r w:rsidRPr="00600702">
              <w:rPr>
                <w:sz w:val="28"/>
                <w:szCs w:val="28"/>
                <w:lang w:val="ro-RO"/>
              </w:rPr>
              <w:t xml:space="preserve"> și utilizatorilor acestor echipamente.</w:t>
            </w:r>
          </w:p>
          <w:p w:rsidR="002063BC" w:rsidRPr="00600702" w:rsidRDefault="002063BC" w:rsidP="000050D3">
            <w:pPr>
              <w:pStyle w:val="ListParagraph"/>
              <w:tabs>
                <w:tab w:val="left" w:pos="522"/>
              </w:tabs>
              <w:ind w:left="0" w:firstLine="602"/>
              <w:jc w:val="both"/>
              <w:rPr>
                <w:b/>
                <w:sz w:val="28"/>
                <w:szCs w:val="28"/>
                <w:lang w:val="it-IT"/>
              </w:rPr>
            </w:pPr>
            <w:r w:rsidRPr="00600702">
              <w:rPr>
                <w:sz w:val="28"/>
                <w:szCs w:val="28"/>
                <w:lang w:val="ro-RO"/>
              </w:rPr>
              <w:t xml:space="preserve">Lipsa cadrului </w:t>
            </w:r>
            <w:r w:rsidR="00CA7761" w:rsidRPr="00600702">
              <w:rPr>
                <w:sz w:val="28"/>
                <w:szCs w:val="28"/>
                <w:lang w:val="ro-RO"/>
              </w:rPr>
              <w:t xml:space="preserve">normativ care stabilește cerințe de siguranță la punerea la dispoziție pe piață a </w:t>
            </w:r>
            <w:r w:rsidRPr="00600702">
              <w:rPr>
                <w:sz w:val="28"/>
                <w:szCs w:val="28"/>
                <w:lang w:val="ro-RO"/>
              </w:rPr>
              <w:t>echipamentel</w:t>
            </w:r>
            <w:r w:rsidR="00CA7761" w:rsidRPr="00600702">
              <w:rPr>
                <w:sz w:val="28"/>
                <w:szCs w:val="28"/>
                <w:lang w:val="ro-RO"/>
              </w:rPr>
              <w:t>or</w:t>
            </w:r>
            <w:r w:rsidRPr="00600702">
              <w:rPr>
                <w:sz w:val="28"/>
                <w:szCs w:val="28"/>
                <w:lang w:val="ro-RO"/>
              </w:rPr>
              <w:t xml:space="preserve"> sub presiune transportabile</w:t>
            </w:r>
            <w:r w:rsidR="00B408B7" w:rsidRPr="00600702">
              <w:rPr>
                <w:sz w:val="28"/>
                <w:szCs w:val="28"/>
                <w:lang w:val="ro-RO"/>
              </w:rPr>
              <w:t>, precum și care ar asigura libera circulație a acestor echipamente în cadrul unei piețe unice</w:t>
            </w:r>
            <w:r w:rsidRPr="00600702">
              <w:rPr>
                <w:sz w:val="28"/>
                <w:szCs w:val="28"/>
                <w:lang w:val="ro-RO"/>
              </w:rPr>
              <w:t>.</w:t>
            </w:r>
            <w:r w:rsidRPr="00600702">
              <w:rPr>
                <w:b/>
                <w:sz w:val="28"/>
                <w:szCs w:val="28"/>
                <w:lang w:val="it-IT"/>
              </w:rPr>
              <w:t xml:space="preserve"> </w:t>
            </w:r>
          </w:p>
          <w:p w:rsidR="001F367D" w:rsidRPr="00600702" w:rsidRDefault="000050D3" w:rsidP="000050D3">
            <w:pPr>
              <w:tabs>
                <w:tab w:val="left" w:pos="555"/>
              </w:tabs>
              <w:ind w:firstLine="602"/>
              <w:jc w:val="both"/>
              <w:rPr>
                <w:sz w:val="28"/>
                <w:szCs w:val="28"/>
                <w:lang w:val="ro-RO"/>
              </w:rPr>
            </w:pPr>
            <w:r w:rsidRPr="00600702">
              <w:rPr>
                <w:b/>
                <w:sz w:val="28"/>
                <w:szCs w:val="28"/>
                <w:lang w:val="it-IT"/>
              </w:rPr>
              <w:t xml:space="preserve">b) </w:t>
            </w:r>
            <w:r w:rsidRPr="00600702">
              <w:rPr>
                <w:sz w:val="28"/>
                <w:szCs w:val="28"/>
                <w:lang w:val="it-IT"/>
              </w:rPr>
              <w:t>P</w:t>
            </w:r>
            <w:r w:rsidR="00B408B7" w:rsidRPr="00600702">
              <w:rPr>
                <w:sz w:val="28"/>
                <w:szCs w:val="28"/>
                <w:lang w:val="it-IT"/>
              </w:rPr>
              <w:t xml:space="preserve">roiectul urmează sa acopere </w:t>
            </w:r>
            <w:r w:rsidR="00B408B7" w:rsidRPr="00600702">
              <w:rPr>
                <w:sz w:val="28"/>
                <w:szCs w:val="28"/>
                <w:lang w:val="ro-RO"/>
              </w:rPr>
              <w:t>noil</w:t>
            </w:r>
            <w:r w:rsidR="001F367D" w:rsidRPr="00600702">
              <w:rPr>
                <w:sz w:val="28"/>
                <w:szCs w:val="28"/>
                <w:lang w:val="ro-RO"/>
              </w:rPr>
              <w:t>e</w:t>
            </w:r>
            <w:r w:rsidR="00B408B7" w:rsidRPr="00600702">
              <w:rPr>
                <w:sz w:val="28"/>
                <w:szCs w:val="28"/>
                <w:lang w:val="ro-RO"/>
              </w:rPr>
              <w:t xml:space="preserve"> echipamente sub presiune transportabile (</w:t>
            </w:r>
            <w:r w:rsidR="001F367D" w:rsidRPr="00600702">
              <w:rPr>
                <w:sz w:val="28"/>
                <w:szCs w:val="28"/>
                <w:lang w:val="ro-RO"/>
              </w:rPr>
              <w:t xml:space="preserve">conform definiției </w:t>
            </w:r>
            <w:r w:rsidR="00B408B7" w:rsidRPr="00600702">
              <w:rPr>
                <w:sz w:val="28"/>
                <w:szCs w:val="28"/>
                <w:lang w:val="ro-RO"/>
              </w:rPr>
              <w:t xml:space="preserve">toate recipientele sub presiune, cisternele, vehiculele/vagoanele-baterie, containerele pentru gaze cu elemente multiple, sunt incluse și buteliile de gaz,  cu excepția, recipientele criogenice deschise, buteliile de gaz pentru aparate respiratorii, stingătoarele de incendii). </w:t>
            </w:r>
          </w:p>
          <w:p w:rsidR="00B408B7" w:rsidRPr="00600702" w:rsidRDefault="00B408B7" w:rsidP="001F367D">
            <w:pPr>
              <w:tabs>
                <w:tab w:val="left" w:pos="555"/>
              </w:tabs>
              <w:ind w:firstLine="602"/>
              <w:jc w:val="both"/>
              <w:rPr>
                <w:sz w:val="28"/>
                <w:szCs w:val="28"/>
                <w:lang w:val="ro-RO"/>
              </w:rPr>
            </w:pPr>
            <w:r w:rsidRPr="00600702">
              <w:rPr>
                <w:sz w:val="28"/>
                <w:szCs w:val="28"/>
                <w:lang w:val="ro-RO"/>
              </w:rPr>
              <w:t>Dacă să ne referim  doar la buteliile de gaz din gama respectivă de produse, Republica Moldova s</w:t>
            </w:r>
            <w:r w:rsidR="005D351E" w:rsidRPr="00600702">
              <w:rPr>
                <w:sz w:val="28"/>
                <w:szCs w:val="28"/>
                <w:lang w:val="ro-RO"/>
              </w:rPr>
              <w:t>e</w:t>
            </w:r>
            <w:r w:rsidRPr="00600702">
              <w:rPr>
                <w:sz w:val="28"/>
                <w:szCs w:val="28"/>
                <w:lang w:val="ro-RO"/>
              </w:rPr>
              <w:t xml:space="preserve"> confruntat cu probleme majore </w:t>
            </w:r>
            <w:r w:rsidR="001F367D" w:rsidRPr="00600702">
              <w:rPr>
                <w:sz w:val="28"/>
                <w:szCs w:val="28"/>
                <w:lang w:val="ro-RO"/>
              </w:rPr>
              <w:t xml:space="preserve">ce ține de exploatarea acestora </w:t>
            </w:r>
            <w:r w:rsidRPr="00600702">
              <w:rPr>
                <w:sz w:val="28"/>
                <w:szCs w:val="28"/>
                <w:lang w:val="ro-RO"/>
              </w:rPr>
              <w:t>care au dus la prejudicii materiale majore</w:t>
            </w:r>
            <w:r w:rsidR="005D351E" w:rsidRPr="00600702">
              <w:rPr>
                <w:sz w:val="28"/>
                <w:szCs w:val="28"/>
                <w:lang w:val="ro-RO"/>
              </w:rPr>
              <w:t xml:space="preserve">  și pierdere de vieți omenești. </w:t>
            </w:r>
            <w:r w:rsidR="005D351E" w:rsidRPr="00600702">
              <w:rPr>
                <w:sz w:val="28"/>
                <w:szCs w:val="28"/>
              </w:rPr>
              <w:t>L</w:t>
            </w:r>
            <w:proofErr w:type="spellStart"/>
            <w:r w:rsidRPr="00600702">
              <w:rPr>
                <w:sz w:val="28"/>
                <w:szCs w:val="28"/>
                <w:lang w:val="ro-RO"/>
              </w:rPr>
              <w:t>ips</w:t>
            </w:r>
            <w:r w:rsidR="005D351E" w:rsidRPr="00600702">
              <w:rPr>
                <w:sz w:val="28"/>
                <w:szCs w:val="28"/>
                <w:lang w:val="ro-RO"/>
              </w:rPr>
              <w:t>a</w:t>
            </w:r>
            <w:proofErr w:type="spellEnd"/>
            <w:r w:rsidRPr="00600702">
              <w:rPr>
                <w:sz w:val="28"/>
                <w:szCs w:val="28"/>
                <w:lang w:val="ro-RO"/>
              </w:rPr>
              <w:t xml:space="preserve"> </w:t>
            </w:r>
            <w:r w:rsidR="005D351E" w:rsidRPr="00600702">
              <w:rPr>
                <w:sz w:val="28"/>
                <w:szCs w:val="28"/>
                <w:lang w:val="ro-RO"/>
              </w:rPr>
              <w:t xml:space="preserve">unor </w:t>
            </w:r>
            <w:r w:rsidRPr="00600702">
              <w:rPr>
                <w:sz w:val="28"/>
                <w:szCs w:val="28"/>
                <w:lang w:val="ro-RO"/>
              </w:rPr>
              <w:t>prevederi în ceea ce privește modul de alimentare a populației cu gaze lichefiate, inclusiv prin intermediul buteliilor de uz casnic</w:t>
            </w:r>
            <w:r w:rsidR="005D351E" w:rsidRPr="00600702">
              <w:rPr>
                <w:sz w:val="28"/>
                <w:szCs w:val="28"/>
                <w:lang w:val="ro-RO"/>
              </w:rPr>
              <w:t xml:space="preserve"> și lipsa </w:t>
            </w:r>
            <w:r w:rsidRPr="00600702">
              <w:rPr>
                <w:sz w:val="28"/>
                <w:szCs w:val="28"/>
                <w:lang w:val="ro-RO"/>
              </w:rPr>
              <w:t xml:space="preserve">reglementarea activității agenților economici din lanțul de aprovizionare și exploatare. Astfel, cazurile exploziilor buteliilor de uz casnic în locuri cu posibile aglomerări de persoane, ca exemplu, ”La soacra”, amplasat pe teritoriul ÎM “Piața Centrală“, pe data de 09.01.2016, în urma cărui 13 persoane au primit arsuri cu diferite grade de afectare, dintre care 4 persoane au decedat ulterior în instituțiile </w:t>
            </w:r>
            <w:r w:rsidRPr="00600702">
              <w:rPr>
                <w:sz w:val="28"/>
                <w:szCs w:val="28"/>
                <w:lang w:val="ro-RO"/>
              </w:rPr>
              <w:lastRenderedPageBreak/>
              <w:t>medicale.</w:t>
            </w:r>
          </w:p>
          <w:p w:rsidR="00B408B7" w:rsidRPr="00600702" w:rsidRDefault="00B408B7" w:rsidP="00B408B7">
            <w:pPr>
              <w:pStyle w:val="NoSpacing"/>
              <w:tabs>
                <w:tab w:val="left" w:pos="562"/>
              </w:tabs>
              <w:jc w:val="both"/>
              <w:rPr>
                <w:rFonts w:ascii="Times New Roman" w:hAnsi="Times New Roman"/>
                <w:sz w:val="28"/>
                <w:szCs w:val="28"/>
                <w:lang w:val="ro-RO"/>
              </w:rPr>
            </w:pPr>
            <w:r w:rsidRPr="00600702">
              <w:rPr>
                <w:rFonts w:ascii="Times New Roman" w:hAnsi="Times New Roman"/>
                <w:sz w:val="28"/>
                <w:szCs w:val="28"/>
                <w:lang w:val="ro-RO"/>
              </w:rPr>
              <w:t xml:space="preserve">        La fel, este de menționat și cazul exploziei buteliei cu gaze în Centrul Comercial “JUMBO“, în bucătăria cafenelei “</w:t>
            </w:r>
            <w:proofErr w:type="spellStart"/>
            <w:r w:rsidRPr="00600702">
              <w:rPr>
                <w:rFonts w:ascii="Times New Roman" w:hAnsi="Times New Roman"/>
                <w:sz w:val="28"/>
                <w:szCs w:val="28"/>
                <w:lang w:val="ro-RO"/>
              </w:rPr>
              <w:t>Славянский</w:t>
            </w:r>
            <w:proofErr w:type="spellEnd"/>
            <w:r w:rsidRPr="00600702">
              <w:rPr>
                <w:rFonts w:ascii="Times New Roman" w:hAnsi="Times New Roman"/>
                <w:sz w:val="28"/>
                <w:szCs w:val="28"/>
                <w:lang w:val="ro-RO"/>
              </w:rPr>
              <w:t xml:space="preserve"> </w:t>
            </w:r>
            <w:proofErr w:type="spellStart"/>
            <w:r w:rsidRPr="00600702">
              <w:rPr>
                <w:rFonts w:ascii="Times New Roman" w:hAnsi="Times New Roman"/>
                <w:sz w:val="28"/>
                <w:szCs w:val="28"/>
                <w:lang w:val="ro-RO"/>
              </w:rPr>
              <w:t>Трактир</w:t>
            </w:r>
            <w:proofErr w:type="spellEnd"/>
            <w:r w:rsidRPr="00600702">
              <w:rPr>
                <w:rFonts w:ascii="Times New Roman" w:hAnsi="Times New Roman"/>
                <w:sz w:val="28"/>
                <w:szCs w:val="28"/>
                <w:lang w:val="ro-RO"/>
              </w:rPr>
              <w:t>“, pe data de 14.02.2008, care s-a finisat cu traumatizarea a 13 persoane, iar prejudiciul material a constituit 124250 lei.</w:t>
            </w:r>
          </w:p>
          <w:p w:rsidR="005D351E" w:rsidRPr="00600702" w:rsidRDefault="005D3208" w:rsidP="005D3208">
            <w:pPr>
              <w:pStyle w:val="NoSpacing"/>
              <w:ind w:firstLine="581"/>
              <w:jc w:val="both"/>
              <w:rPr>
                <w:rFonts w:ascii="Times New Roman" w:hAnsi="Times New Roman"/>
                <w:sz w:val="28"/>
                <w:szCs w:val="28"/>
                <w:lang w:val="ro-RO"/>
              </w:rPr>
            </w:pPr>
            <w:r w:rsidRPr="00600702">
              <w:rPr>
                <w:rFonts w:ascii="Times New Roman" w:hAnsi="Times New Roman"/>
                <w:sz w:val="28"/>
                <w:szCs w:val="28"/>
                <w:lang w:val="ro-RO"/>
              </w:rPr>
              <w:t>Putem menționa ca există și o cazuistică</w:t>
            </w:r>
            <w:r w:rsidR="001F367D" w:rsidRPr="00600702">
              <w:rPr>
                <w:rFonts w:ascii="Times New Roman" w:hAnsi="Times New Roman"/>
                <w:sz w:val="28"/>
                <w:szCs w:val="28"/>
                <w:lang w:val="ro-RO"/>
              </w:rPr>
              <w:t xml:space="preserve"> negativă de exploatare </w:t>
            </w:r>
            <w:r w:rsidRPr="00600702">
              <w:rPr>
                <w:rFonts w:ascii="Times New Roman" w:hAnsi="Times New Roman"/>
                <w:sz w:val="28"/>
                <w:szCs w:val="28"/>
                <w:lang w:val="ro-RO"/>
              </w:rPr>
              <w:t xml:space="preserve">a </w:t>
            </w:r>
            <w:r w:rsidR="001F367D" w:rsidRPr="00600702">
              <w:rPr>
                <w:rFonts w:ascii="Times New Roman" w:hAnsi="Times New Roman"/>
                <w:sz w:val="28"/>
                <w:szCs w:val="28"/>
                <w:lang w:val="ro-RO"/>
              </w:rPr>
              <w:t>echipamentelor</w:t>
            </w:r>
            <w:r w:rsidRPr="00600702">
              <w:rPr>
                <w:rFonts w:ascii="Times New Roman" w:hAnsi="Times New Roman"/>
                <w:sz w:val="28"/>
                <w:szCs w:val="28"/>
                <w:lang w:val="ro-RO"/>
              </w:rPr>
              <w:t xml:space="preserve"> su</w:t>
            </w:r>
            <w:r w:rsidR="001F367D" w:rsidRPr="00600702">
              <w:rPr>
                <w:rFonts w:ascii="Times New Roman" w:hAnsi="Times New Roman"/>
                <w:sz w:val="28"/>
                <w:szCs w:val="28"/>
                <w:lang w:val="ro-RO"/>
              </w:rPr>
              <w:t>b</w:t>
            </w:r>
            <w:r w:rsidRPr="00600702">
              <w:rPr>
                <w:rFonts w:ascii="Times New Roman" w:hAnsi="Times New Roman"/>
                <w:sz w:val="28"/>
                <w:szCs w:val="28"/>
                <w:lang w:val="ro-RO"/>
              </w:rPr>
              <w:t xml:space="preserve"> presiune transportabile utilizate de agenții economici. Astfel 2 </w:t>
            </w:r>
            <w:r w:rsidR="005D351E" w:rsidRPr="00600702">
              <w:rPr>
                <w:rFonts w:ascii="Times New Roman" w:hAnsi="Times New Roman"/>
                <w:sz w:val="28"/>
                <w:szCs w:val="28"/>
                <w:lang w:val="ro-RO"/>
              </w:rPr>
              <w:t>cazuri de avarii au fost provocate de starea tehnică avariată a autocisternelor, destinate pentru transportarea gazelor lichefiate. Autocisternele nu au trecut verificarea tehnică anuală periodică, prevăzută în instrucţiunile uzinei producătoare. La cisterna care aparţine</w:t>
            </w:r>
            <w:r w:rsidR="001F367D" w:rsidRPr="00600702">
              <w:rPr>
                <w:rFonts w:ascii="Times New Roman" w:hAnsi="Times New Roman"/>
                <w:sz w:val="28"/>
                <w:szCs w:val="28"/>
                <w:lang w:val="ro-RO"/>
              </w:rPr>
              <w:t>a</w:t>
            </w:r>
            <w:r w:rsidR="005D351E" w:rsidRPr="00600702">
              <w:rPr>
                <w:rFonts w:ascii="Times New Roman" w:hAnsi="Times New Roman"/>
                <w:sz w:val="28"/>
                <w:szCs w:val="28"/>
                <w:lang w:val="ro-RO"/>
              </w:rPr>
              <w:t xml:space="preserve"> întreprinderii SRL „</w:t>
            </w:r>
            <w:proofErr w:type="spellStart"/>
            <w:r w:rsidR="005D351E" w:rsidRPr="00600702">
              <w:rPr>
                <w:rFonts w:ascii="Times New Roman" w:hAnsi="Times New Roman"/>
                <w:sz w:val="28"/>
                <w:szCs w:val="28"/>
                <w:lang w:val="ro-RO"/>
              </w:rPr>
              <w:t>Rapira</w:t>
            </w:r>
            <w:proofErr w:type="spellEnd"/>
            <w:r w:rsidR="005D351E" w:rsidRPr="00600702">
              <w:rPr>
                <w:rFonts w:ascii="Times New Roman" w:hAnsi="Times New Roman"/>
                <w:sz w:val="28"/>
                <w:szCs w:val="28"/>
                <w:lang w:val="ro-RO"/>
              </w:rPr>
              <w:t xml:space="preserve"> Petrol” lipsesc clapete de siguranţă contra suprapresiunii. La cisterna</w:t>
            </w:r>
            <w:r w:rsidR="005D351E" w:rsidRPr="00600702">
              <w:rPr>
                <w:rFonts w:ascii="Times New Roman" w:hAnsi="Times New Roman"/>
                <w:b/>
                <w:sz w:val="28"/>
                <w:szCs w:val="28"/>
                <w:lang w:val="ro-RO"/>
              </w:rPr>
              <w:t xml:space="preserve"> </w:t>
            </w:r>
            <w:r w:rsidR="005D351E" w:rsidRPr="00600702">
              <w:rPr>
                <w:rFonts w:ascii="Times New Roman" w:hAnsi="Times New Roman"/>
                <w:sz w:val="28"/>
                <w:szCs w:val="28"/>
                <w:lang w:val="ro-RO"/>
              </w:rPr>
              <w:t>întreprinderii individuale „</w:t>
            </w:r>
            <w:proofErr w:type="spellStart"/>
            <w:r w:rsidR="005D351E" w:rsidRPr="00600702">
              <w:rPr>
                <w:rFonts w:ascii="Times New Roman" w:hAnsi="Times New Roman"/>
                <w:sz w:val="28"/>
                <w:szCs w:val="28"/>
                <w:lang w:val="ro-RO"/>
              </w:rPr>
              <w:t>Jomiru</w:t>
            </w:r>
            <w:proofErr w:type="spellEnd"/>
            <w:r w:rsidR="005D351E" w:rsidRPr="00600702">
              <w:rPr>
                <w:rFonts w:ascii="Times New Roman" w:hAnsi="Times New Roman"/>
                <w:sz w:val="28"/>
                <w:szCs w:val="28"/>
                <w:lang w:val="ro-RO"/>
              </w:rPr>
              <w:t xml:space="preserve"> I.N.” supapele au fost blocate şi nu s-au efectuat lucrările de reparaţie, profilaxie şi controlul utilajului tehnologic a autocisternelor.</w:t>
            </w:r>
          </w:p>
          <w:p w:rsidR="005D351E" w:rsidRPr="00600702" w:rsidRDefault="005D351E" w:rsidP="005D351E">
            <w:pPr>
              <w:pStyle w:val="PlainText"/>
              <w:tabs>
                <w:tab w:val="left" w:pos="574"/>
              </w:tabs>
              <w:jc w:val="both"/>
              <w:rPr>
                <w:rFonts w:ascii="Times New Roman" w:hAnsi="Times New Roman" w:cs="Times New Roman"/>
                <w:sz w:val="28"/>
                <w:szCs w:val="28"/>
              </w:rPr>
            </w:pPr>
            <w:r w:rsidRPr="00600702">
              <w:rPr>
                <w:rFonts w:ascii="Times New Roman" w:hAnsi="Times New Roman" w:cs="Times New Roman"/>
                <w:sz w:val="28"/>
                <w:szCs w:val="28"/>
              </w:rPr>
              <w:t xml:space="preserve">        Este de menţionat faptul că avaria din or. Cahul era la un pas de catastrofă </w:t>
            </w:r>
            <w:proofErr w:type="spellStart"/>
            <w:r w:rsidRPr="00600702">
              <w:rPr>
                <w:rFonts w:ascii="Times New Roman" w:hAnsi="Times New Roman" w:cs="Times New Roman"/>
                <w:sz w:val="28"/>
                <w:szCs w:val="28"/>
              </w:rPr>
              <w:t>tehnogenă</w:t>
            </w:r>
            <w:proofErr w:type="spellEnd"/>
            <w:r w:rsidRPr="00600702">
              <w:rPr>
                <w:rFonts w:ascii="Times New Roman" w:hAnsi="Times New Roman" w:cs="Times New Roman"/>
                <w:sz w:val="28"/>
                <w:szCs w:val="28"/>
              </w:rPr>
              <w:t>. Totodată, în rezultatul avariei din mun. Chişinău la Î.I. „</w:t>
            </w:r>
            <w:proofErr w:type="spellStart"/>
            <w:r w:rsidRPr="00600702">
              <w:rPr>
                <w:rFonts w:ascii="Times New Roman" w:hAnsi="Times New Roman" w:cs="Times New Roman"/>
                <w:sz w:val="28"/>
                <w:szCs w:val="28"/>
              </w:rPr>
              <w:t>Jomiru</w:t>
            </w:r>
            <w:proofErr w:type="spellEnd"/>
            <w:r w:rsidRPr="00600702">
              <w:rPr>
                <w:rFonts w:ascii="Times New Roman" w:hAnsi="Times New Roman" w:cs="Times New Roman"/>
                <w:sz w:val="28"/>
                <w:szCs w:val="28"/>
              </w:rPr>
              <w:t xml:space="preserve"> I.N.” doi oameni au căpătat arsuri şi efectiv s-au creat circumstanţe ce puteau duce la explozie.</w:t>
            </w:r>
          </w:p>
          <w:p w:rsidR="005D351E" w:rsidRPr="00600702" w:rsidRDefault="005D351E" w:rsidP="005D351E">
            <w:pPr>
              <w:pStyle w:val="PlainText"/>
              <w:tabs>
                <w:tab w:val="left" w:pos="529"/>
              </w:tabs>
              <w:jc w:val="both"/>
              <w:rPr>
                <w:rFonts w:ascii="Times New Roman" w:hAnsi="Times New Roman" w:cs="Times New Roman"/>
                <w:sz w:val="28"/>
                <w:szCs w:val="28"/>
              </w:rPr>
            </w:pPr>
            <w:r w:rsidRPr="00600702">
              <w:rPr>
                <w:rFonts w:ascii="Times New Roman" w:hAnsi="Times New Roman" w:cs="Times New Roman"/>
                <w:sz w:val="28"/>
                <w:szCs w:val="28"/>
              </w:rPr>
              <w:t xml:space="preserve">        La verificarea  autocisternei reţinute la postul vamal Cahul a fost depistat faptul decupării nervurilor de rigidizare în interiorul cisternei,  ce creează pericol real legat de reducerea esenţială a rezistenţei mecanice a acestui recipient sub presiune. </w:t>
            </w:r>
          </w:p>
          <w:p w:rsidR="005D351E" w:rsidRPr="00600702" w:rsidRDefault="005D351E" w:rsidP="005D351E">
            <w:pPr>
              <w:pStyle w:val="PlainText"/>
              <w:tabs>
                <w:tab w:val="left" w:pos="544"/>
              </w:tabs>
              <w:jc w:val="both"/>
              <w:rPr>
                <w:rFonts w:ascii="Times New Roman" w:hAnsi="Times New Roman"/>
                <w:sz w:val="28"/>
                <w:szCs w:val="28"/>
              </w:rPr>
            </w:pPr>
            <w:r w:rsidRPr="00600702">
              <w:rPr>
                <w:rFonts w:ascii="Times New Roman" w:hAnsi="Times New Roman"/>
                <w:sz w:val="28"/>
                <w:szCs w:val="28"/>
              </w:rPr>
              <w:t xml:space="preserve">       Urmează de constatat că faptele sus menţionate au devenit posibile în urma situaţiei, la care înregistrarea de </w:t>
            </w:r>
            <w:r w:rsidR="005D3208" w:rsidRPr="00600702">
              <w:rPr>
                <w:rFonts w:ascii="Times New Roman" w:hAnsi="Times New Roman"/>
                <w:sz w:val="28"/>
                <w:szCs w:val="28"/>
              </w:rPr>
              <w:t>s</w:t>
            </w:r>
            <w:r w:rsidRPr="00600702">
              <w:rPr>
                <w:rFonts w:ascii="Times New Roman" w:hAnsi="Times New Roman"/>
                <w:sz w:val="28"/>
                <w:szCs w:val="28"/>
              </w:rPr>
              <w:t>tat în inspecţia rutieră a vehiculelor, destinate pentru transportarea gazelor lichefiate şi eliberarea de către</w:t>
            </w:r>
            <w:r w:rsidRPr="00600702">
              <w:rPr>
                <w:rFonts w:ascii="Times New Roman" w:hAnsi="Times New Roman"/>
                <w:b/>
                <w:sz w:val="28"/>
                <w:szCs w:val="28"/>
              </w:rPr>
              <w:t xml:space="preserve"> </w:t>
            </w:r>
            <w:r w:rsidRPr="00600702">
              <w:rPr>
                <w:rFonts w:ascii="Times New Roman" w:hAnsi="Times New Roman"/>
                <w:sz w:val="28"/>
                <w:szCs w:val="28"/>
              </w:rPr>
              <w:t xml:space="preserve">Ministerul Transporturilor şi Infrastructurii Drumurilor a certificatelor de agreare pentru aceste vehicule </w:t>
            </w:r>
            <w:proofErr w:type="spellStart"/>
            <w:r w:rsidRPr="00600702">
              <w:rPr>
                <w:rFonts w:ascii="Times New Roman" w:hAnsi="Times New Roman"/>
                <w:sz w:val="28"/>
                <w:szCs w:val="28"/>
              </w:rPr>
              <w:t>sînt</w:t>
            </w:r>
            <w:proofErr w:type="spellEnd"/>
            <w:r w:rsidRPr="00600702">
              <w:rPr>
                <w:rFonts w:ascii="Times New Roman" w:hAnsi="Times New Roman"/>
                <w:sz w:val="28"/>
                <w:szCs w:val="28"/>
              </w:rPr>
              <w:t xml:space="preserve"> executate cu ignorarea de către proprietari a cerinţelor </w:t>
            </w:r>
            <w:r w:rsidRPr="00600702">
              <w:rPr>
                <w:rFonts w:ascii="Times New Roman" w:hAnsi="Times New Roman" w:cs="Times New Roman"/>
                <w:sz w:val="28"/>
                <w:szCs w:val="28"/>
              </w:rPr>
              <w:t>Legii nr.116 din 18.05.2012 privind securitatea industrială a obiectelor industriale periculoase.</w:t>
            </w:r>
          </w:p>
          <w:p w:rsidR="00B37483" w:rsidRPr="00600702" w:rsidRDefault="00B37483" w:rsidP="00B37483">
            <w:pPr>
              <w:pStyle w:val="PlainText"/>
              <w:tabs>
                <w:tab w:val="left" w:pos="574"/>
              </w:tabs>
              <w:jc w:val="both"/>
              <w:rPr>
                <w:rFonts w:ascii="Times New Roman" w:hAnsi="Times New Roman"/>
                <w:sz w:val="28"/>
                <w:szCs w:val="28"/>
              </w:rPr>
            </w:pPr>
            <w:r w:rsidRPr="00600702">
              <w:rPr>
                <w:rFonts w:ascii="Times New Roman" w:hAnsi="Times New Roman"/>
                <w:sz w:val="28"/>
                <w:szCs w:val="28"/>
              </w:rPr>
              <w:t xml:space="preserve">       Astfel, mişcarea liberă a autocisternelor cu gaze lichefiate fără executarea prealabilă a cerințelor obligatorii pentru OIP majorează gradul de risc la exploatarea lor şi transformă aceste obiecte în surse mobile de pericol sporit. </w:t>
            </w:r>
          </w:p>
          <w:p w:rsidR="00B37483" w:rsidRPr="00600702" w:rsidRDefault="00B37483" w:rsidP="00F875FB">
            <w:pPr>
              <w:pStyle w:val="NormalWeb"/>
              <w:rPr>
                <w:sz w:val="28"/>
                <w:szCs w:val="28"/>
                <w:lang w:val="ro-RO"/>
              </w:rPr>
            </w:pPr>
            <w:r w:rsidRPr="00600702">
              <w:rPr>
                <w:sz w:val="28"/>
                <w:szCs w:val="28"/>
                <w:lang w:val="ro-RO"/>
              </w:rPr>
              <w:t>Un alt aspect a problemei ar fi exploatarea echipamentelor sub presiune transportabile la limita termenului de exploatare sau termenul de exploatare depășit. Conform datelor prezentate de către IPSSTOIP pe parcursul a ultimilor 6 ani au fost înregistrate 82 de autocisterne pentru transportarea</w:t>
            </w:r>
            <w:r w:rsidRPr="00600702">
              <w:rPr>
                <w:sz w:val="28"/>
                <w:szCs w:val="28"/>
                <w:lang w:val="ro-RO" w:eastAsia="ro-RO"/>
              </w:rPr>
              <w:t xml:space="preserve"> gazelor petroliere lichefiate.</w:t>
            </w:r>
            <w:r w:rsidRPr="00600702">
              <w:rPr>
                <w:sz w:val="28"/>
                <w:szCs w:val="28"/>
                <w:lang w:val="ro-RO"/>
              </w:rPr>
              <w:t xml:space="preserve"> T</w:t>
            </w:r>
            <w:r w:rsidRPr="00600702">
              <w:rPr>
                <w:sz w:val="28"/>
                <w:szCs w:val="28"/>
                <w:lang w:val="ro-RO" w:eastAsia="ro-RO"/>
              </w:rPr>
              <w:t xml:space="preserve">ermenul de exploatare fiind de 20 ani. La 12 autocisterne termenul de exploatare a fost depășit și au fost scoase din uz. Termenul de exploatare nu poate fi prelungit din considerentul că pot provoca </w:t>
            </w:r>
            <w:r w:rsidRPr="00600702">
              <w:rPr>
                <w:sz w:val="28"/>
                <w:szCs w:val="28"/>
                <w:lang w:val="ro-RO"/>
              </w:rPr>
              <w:t xml:space="preserve">avarii și polua mediul înconjurător. În domeniul chimic și tehnologic </w:t>
            </w:r>
            <w:proofErr w:type="spellStart"/>
            <w:r w:rsidRPr="00600702">
              <w:rPr>
                <w:sz w:val="28"/>
                <w:szCs w:val="28"/>
                <w:lang w:val="ro-RO"/>
              </w:rPr>
              <w:t>sînt</w:t>
            </w:r>
            <w:proofErr w:type="spellEnd"/>
            <w:r w:rsidRPr="00600702">
              <w:rPr>
                <w:sz w:val="28"/>
                <w:szCs w:val="28"/>
                <w:lang w:val="ro-RO"/>
              </w:rPr>
              <w:t xml:space="preserve"> înregistrate 12 recipiente sub presiune (instalații cu amoniac transportabile).</w:t>
            </w:r>
          </w:p>
          <w:p w:rsidR="00B37483" w:rsidRPr="00600702" w:rsidRDefault="00B37483" w:rsidP="00B37483">
            <w:pPr>
              <w:pStyle w:val="NoSpacing"/>
              <w:tabs>
                <w:tab w:val="left" w:pos="585"/>
              </w:tabs>
              <w:jc w:val="both"/>
              <w:rPr>
                <w:rFonts w:ascii="Times New Roman" w:hAnsi="Times New Roman"/>
                <w:sz w:val="28"/>
                <w:szCs w:val="28"/>
                <w:lang w:val="ro-RO"/>
              </w:rPr>
            </w:pPr>
            <w:r w:rsidRPr="00600702">
              <w:rPr>
                <w:rFonts w:ascii="Times New Roman" w:hAnsi="Times New Roman"/>
                <w:sz w:val="28"/>
                <w:szCs w:val="28"/>
                <w:lang w:val="ro-RO"/>
              </w:rPr>
              <w:t xml:space="preserve">       Conform informației prezentate de Ministerul Transporturilor și Infrastructurii Drumurilor parvenite de la Î.S. ”Calea Ferată din Moldova” privind numărul vagoanelor cisterne aflate în proprietate și în gestiune putem concluziona următoarele:</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76"/>
              <w:gridCol w:w="1966"/>
              <w:gridCol w:w="1862"/>
              <w:gridCol w:w="1969"/>
              <w:gridCol w:w="2180"/>
            </w:tblGrid>
            <w:tr w:rsidR="00B37483" w:rsidRPr="00600702" w:rsidTr="00B37483">
              <w:trPr>
                <w:trHeight w:val="1020"/>
              </w:trPr>
              <w:tc>
                <w:tcPr>
                  <w:tcW w:w="1487" w:type="pct"/>
                  <w:tcBorders>
                    <w:top w:val="single" w:sz="4" w:space="0" w:color="A6A6A6"/>
                    <w:left w:val="single" w:sz="4" w:space="0" w:color="A6A6A6"/>
                    <w:bottom w:val="single" w:sz="4" w:space="0" w:color="A6A6A6"/>
                    <w:right w:val="single" w:sz="4" w:space="0" w:color="A6A6A6"/>
                  </w:tcBorders>
                  <w:vAlign w:val="center"/>
                  <w:hideMark/>
                </w:tcPr>
                <w:p w:rsidR="00B37483" w:rsidRPr="00600702" w:rsidRDefault="00B37483">
                  <w:pPr>
                    <w:jc w:val="center"/>
                    <w:rPr>
                      <w:sz w:val="28"/>
                      <w:szCs w:val="28"/>
                      <w:lang w:val="ro-RO" w:eastAsia="fr-FR"/>
                    </w:rPr>
                  </w:pPr>
                  <w:r w:rsidRPr="00600702">
                    <w:rPr>
                      <w:sz w:val="28"/>
                      <w:szCs w:val="28"/>
                      <w:lang w:val="ro-RO" w:eastAsia="fr-FR"/>
                    </w:rPr>
                    <w:t>Tipul vagonului</w:t>
                  </w:r>
                </w:p>
              </w:tc>
              <w:tc>
                <w:tcPr>
                  <w:tcW w:w="866" w:type="pct"/>
                  <w:tcBorders>
                    <w:top w:val="single" w:sz="4" w:space="0" w:color="A6A6A6"/>
                    <w:left w:val="single" w:sz="4" w:space="0" w:color="A6A6A6"/>
                    <w:bottom w:val="single" w:sz="4" w:space="0" w:color="A6A6A6"/>
                    <w:right w:val="single" w:sz="4" w:space="0" w:color="A6A6A6"/>
                  </w:tcBorders>
                  <w:vAlign w:val="center"/>
                  <w:hideMark/>
                </w:tcPr>
                <w:p w:rsidR="00B37483" w:rsidRPr="00600702" w:rsidRDefault="00B37483">
                  <w:pPr>
                    <w:jc w:val="center"/>
                    <w:rPr>
                      <w:sz w:val="28"/>
                      <w:szCs w:val="28"/>
                      <w:lang w:val="ro-RO" w:eastAsia="fr-FR"/>
                    </w:rPr>
                  </w:pPr>
                  <w:r w:rsidRPr="00600702">
                    <w:rPr>
                      <w:sz w:val="28"/>
                      <w:szCs w:val="28"/>
                      <w:lang w:val="ro-RO" w:eastAsia="fr-FR"/>
                    </w:rPr>
                    <w:t>Vârsta maxima</w:t>
                  </w:r>
                </w:p>
              </w:tc>
              <w:tc>
                <w:tcPr>
                  <w:tcW w:w="820" w:type="pct"/>
                  <w:tcBorders>
                    <w:top w:val="single" w:sz="4" w:space="0" w:color="A6A6A6"/>
                    <w:left w:val="single" w:sz="4" w:space="0" w:color="A6A6A6"/>
                    <w:bottom w:val="single" w:sz="4" w:space="0" w:color="A6A6A6"/>
                    <w:right w:val="single" w:sz="4" w:space="0" w:color="A6A6A6"/>
                  </w:tcBorders>
                  <w:vAlign w:val="center"/>
                  <w:hideMark/>
                </w:tcPr>
                <w:p w:rsidR="00B37483" w:rsidRPr="00600702" w:rsidRDefault="00B37483">
                  <w:pPr>
                    <w:jc w:val="center"/>
                    <w:rPr>
                      <w:sz w:val="28"/>
                      <w:szCs w:val="28"/>
                      <w:lang w:val="ro-RO" w:eastAsia="fr-FR"/>
                    </w:rPr>
                  </w:pPr>
                  <w:r w:rsidRPr="00600702">
                    <w:rPr>
                      <w:sz w:val="28"/>
                      <w:szCs w:val="28"/>
                      <w:lang w:val="ro-RO" w:eastAsia="fr-FR"/>
                    </w:rPr>
                    <w:t>Număr de vagoane</w:t>
                  </w:r>
                </w:p>
              </w:tc>
              <w:tc>
                <w:tcPr>
                  <w:tcW w:w="867" w:type="pct"/>
                  <w:tcBorders>
                    <w:top w:val="single" w:sz="4" w:space="0" w:color="A6A6A6"/>
                    <w:left w:val="single" w:sz="4" w:space="0" w:color="A6A6A6"/>
                    <w:bottom w:val="single" w:sz="4" w:space="0" w:color="A6A6A6"/>
                    <w:right w:val="single" w:sz="4" w:space="0" w:color="A6A6A6"/>
                  </w:tcBorders>
                  <w:vAlign w:val="center"/>
                  <w:hideMark/>
                </w:tcPr>
                <w:p w:rsidR="00B37483" w:rsidRPr="00600702" w:rsidRDefault="00B37483">
                  <w:pPr>
                    <w:jc w:val="center"/>
                    <w:rPr>
                      <w:sz w:val="28"/>
                      <w:szCs w:val="28"/>
                      <w:lang w:val="ro-RO" w:eastAsia="fr-FR"/>
                    </w:rPr>
                  </w:pPr>
                  <w:r w:rsidRPr="00600702">
                    <w:rPr>
                      <w:sz w:val="28"/>
                      <w:szCs w:val="28"/>
                      <w:lang w:val="ro-RO" w:eastAsia="fr-FR"/>
                    </w:rPr>
                    <w:t>Din care, in folosință</w:t>
                  </w:r>
                </w:p>
              </w:tc>
              <w:tc>
                <w:tcPr>
                  <w:tcW w:w="960" w:type="pct"/>
                  <w:tcBorders>
                    <w:top w:val="single" w:sz="4" w:space="0" w:color="A6A6A6"/>
                    <w:left w:val="single" w:sz="4" w:space="0" w:color="A6A6A6"/>
                    <w:bottom w:val="single" w:sz="4" w:space="0" w:color="A6A6A6"/>
                    <w:right w:val="single" w:sz="4" w:space="0" w:color="A6A6A6"/>
                  </w:tcBorders>
                  <w:vAlign w:val="center"/>
                  <w:hideMark/>
                </w:tcPr>
                <w:p w:rsidR="00B37483" w:rsidRPr="00600702" w:rsidRDefault="00B37483">
                  <w:pPr>
                    <w:jc w:val="center"/>
                    <w:rPr>
                      <w:sz w:val="28"/>
                      <w:szCs w:val="28"/>
                      <w:lang w:val="ro-RO" w:eastAsia="fr-FR"/>
                    </w:rPr>
                  </w:pPr>
                  <w:r w:rsidRPr="00600702">
                    <w:rPr>
                      <w:sz w:val="28"/>
                      <w:szCs w:val="28"/>
                      <w:lang w:val="ro-RO" w:eastAsia="fr-FR"/>
                    </w:rPr>
                    <w:t>Din care, peste durata normală de exploatare</w:t>
                  </w:r>
                </w:p>
              </w:tc>
            </w:tr>
            <w:tr w:rsidR="00B37483" w:rsidRPr="00600702" w:rsidTr="00B37483">
              <w:tc>
                <w:tcPr>
                  <w:tcW w:w="1487" w:type="pct"/>
                  <w:tcBorders>
                    <w:top w:val="single" w:sz="4" w:space="0" w:color="A6A6A6"/>
                    <w:left w:val="single" w:sz="4" w:space="0" w:color="A6A6A6"/>
                    <w:bottom w:val="single" w:sz="4" w:space="0" w:color="A6A6A6"/>
                    <w:right w:val="single" w:sz="4" w:space="0" w:color="A6A6A6"/>
                  </w:tcBorders>
                  <w:hideMark/>
                </w:tcPr>
                <w:p w:rsidR="00B37483" w:rsidRPr="00600702" w:rsidRDefault="00B37483">
                  <w:pPr>
                    <w:rPr>
                      <w:b/>
                      <w:sz w:val="28"/>
                      <w:szCs w:val="28"/>
                      <w:lang w:val="ro-RO" w:eastAsia="fr-FR"/>
                    </w:rPr>
                  </w:pPr>
                  <w:r w:rsidRPr="00600702">
                    <w:rPr>
                      <w:b/>
                      <w:sz w:val="28"/>
                      <w:szCs w:val="28"/>
                      <w:lang w:val="ro-RO" w:eastAsia="fr-FR"/>
                    </w:rPr>
                    <w:t>Cisterne</w:t>
                  </w:r>
                </w:p>
              </w:tc>
              <w:tc>
                <w:tcPr>
                  <w:tcW w:w="866" w:type="pct"/>
                  <w:tcBorders>
                    <w:top w:val="single" w:sz="4" w:space="0" w:color="A6A6A6"/>
                    <w:left w:val="single" w:sz="4" w:space="0" w:color="A6A6A6"/>
                    <w:bottom w:val="single" w:sz="4" w:space="0" w:color="A6A6A6"/>
                    <w:right w:val="single" w:sz="4" w:space="0" w:color="A6A6A6"/>
                  </w:tcBorders>
                  <w:hideMark/>
                </w:tcPr>
                <w:p w:rsidR="00B37483" w:rsidRPr="00600702" w:rsidRDefault="00B37483">
                  <w:pPr>
                    <w:jc w:val="center"/>
                    <w:rPr>
                      <w:b/>
                      <w:sz w:val="28"/>
                      <w:szCs w:val="28"/>
                      <w:lang w:val="ro-RO" w:eastAsia="fr-FR"/>
                    </w:rPr>
                  </w:pPr>
                  <w:r w:rsidRPr="00600702">
                    <w:rPr>
                      <w:b/>
                      <w:sz w:val="28"/>
                      <w:szCs w:val="28"/>
                      <w:lang w:val="ro-RO" w:eastAsia="fr-FR"/>
                    </w:rPr>
                    <w:t>30-32</w:t>
                  </w:r>
                </w:p>
              </w:tc>
              <w:tc>
                <w:tcPr>
                  <w:tcW w:w="820" w:type="pct"/>
                  <w:tcBorders>
                    <w:top w:val="single" w:sz="4" w:space="0" w:color="A6A6A6"/>
                    <w:left w:val="single" w:sz="4" w:space="0" w:color="A6A6A6"/>
                    <w:bottom w:val="single" w:sz="4" w:space="0" w:color="A6A6A6"/>
                    <w:right w:val="single" w:sz="4" w:space="0" w:color="A6A6A6"/>
                  </w:tcBorders>
                  <w:hideMark/>
                </w:tcPr>
                <w:p w:rsidR="00B37483" w:rsidRPr="00600702" w:rsidRDefault="00B37483">
                  <w:pPr>
                    <w:jc w:val="center"/>
                    <w:rPr>
                      <w:b/>
                      <w:sz w:val="28"/>
                      <w:szCs w:val="28"/>
                      <w:lang w:val="ro-RO" w:eastAsia="fr-FR"/>
                    </w:rPr>
                  </w:pPr>
                  <w:r w:rsidRPr="00600702">
                    <w:rPr>
                      <w:b/>
                      <w:sz w:val="28"/>
                      <w:szCs w:val="28"/>
                      <w:lang w:val="ro-RO" w:eastAsia="fr-FR"/>
                    </w:rPr>
                    <w:t>599</w:t>
                  </w:r>
                </w:p>
              </w:tc>
              <w:tc>
                <w:tcPr>
                  <w:tcW w:w="867" w:type="pct"/>
                  <w:tcBorders>
                    <w:top w:val="single" w:sz="4" w:space="0" w:color="A6A6A6"/>
                    <w:left w:val="single" w:sz="4" w:space="0" w:color="A6A6A6"/>
                    <w:bottom w:val="single" w:sz="4" w:space="0" w:color="A6A6A6"/>
                    <w:right w:val="single" w:sz="4" w:space="0" w:color="A6A6A6"/>
                  </w:tcBorders>
                  <w:hideMark/>
                </w:tcPr>
                <w:p w:rsidR="00B37483" w:rsidRPr="00600702" w:rsidRDefault="00B37483">
                  <w:pPr>
                    <w:jc w:val="center"/>
                    <w:rPr>
                      <w:b/>
                      <w:sz w:val="28"/>
                      <w:szCs w:val="28"/>
                      <w:lang w:val="ro-RO" w:eastAsia="fr-FR"/>
                    </w:rPr>
                  </w:pPr>
                  <w:r w:rsidRPr="00600702">
                    <w:rPr>
                      <w:b/>
                      <w:sz w:val="28"/>
                      <w:szCs w:val="28"/>
                      <w:lang w:val="ro-RO" w:eastAsia="fr-FR"/>
                    </w:rPr>
                    <w:t>430</w:t>
                  </w:r>
                </w:p>
              </w:tc>
              <w:tc>
                <w:tcPr>
                  <w:tcW w:w="960" w:type="pct"/>
                  <w:tcBorders>
                    <w:top w:val="single" w:sz="4" w:space="0" w:color="A6A6A6"/>
                    <w:left w:val="single" w:sz="4" w:space="0" w:color="A6A6A6"/>
                    <w:bottom w:val="single" w:sz="4" w:space="0" w:color="A6A6A6"/>
                    <w:right w:val="single" w:sz="4" w:space="0" w:color="A6A6A6"/>
                  </w:tcBorders>
                  <w:hideMark/>
                </w:tcPr>
                <w:p w:rsidR="00B37483" w:rsidRPr="00600702" w:rsidRDefault="00B37483">
                  <w:pPr>
                    <w:jc w:val="center"/>
                    <w:rPr>
                      <w:b/>
                      <w:sz w:val="28"/>
                      <w:szCs w:val="28"/>
                      <w:lang w:val="ro-RO" w:eastAsia="fr-FR"/>
                    </w:rPr>
                  </w:pPr>
                  <w:r w:rsidRPr="00600702">
                    <w:rPr>
                      <w:b/>
                      <w:sz w:val="28"/>
                      <w:szCs w:val="28"/>
                      <w:lang w:val="ro-RO" w:eastAsia="fr-FR"/>
                    </w:rPr>
                    <w:t>200</w:t>
                  </w:r>
                </w:p>
              </w:tc>
            </w:tr>
            <w:tr w:rsidR="00B37483" w:rsidRPr="00600702" w:rsidTr="00B37483">
              <w:tc>
                <w:tcPr>
                  <w:tcW w:w="1487" w:type="pct"/>
                  <w:tcBorders>
                    <w:top w:val="single" w:sz="4" w:space="0" w:color="A6A6A6"/>
                    <w:left w:val="single" w:sz="4" w:space="0" w:color="A6A6A6"/>
                    <w:bottom w:val="single" w:sz="4" w:space="0" w:color="A6A6A6"/>
                    <w:right w:val="single" w:sz="4" w:space="0" w:color="A6A6A6"/>
                  </w:tcBorders>
                  <w:hideMark/>
                </w:tcPr>
                <w:p w:rsidR="00B37483" w:rsidRPr="00600702" w:rsidRDefault="00B37483">
                  <w:pPr>
                    <w:rPr>
                      <w:sz w:val="28"/>
                      <w:szCs w:val="28"/>
                      <w:lang w:val="ro-RO" w:eastAsia="fr-FR"/>
                    </w:rPr>
                  </w:pPr>
                  <w:r w:rsidRPr="00600702">
                    <w:rPr>
                      <w:sz w:val="28"/>
                      <w:szCs w:val="28"/>
                      <w:lang w:val="ro-RO" w:eastAsia="fr-FR"/>
                    </w:rPr>
                    <w:t>Vagoane frigorifice</w:t>
                  </w:r>
                </w:p>
              </w:tc>
              <w:tc>
                <w:tcPr>
                  <w:tcW w:w="866" w:type="pct"/>
                  <w:tcBorders>
                    <w:top w:val="single" w:sz="4" w:space="0" w:color="A6A6A6"/>
                    <w:left w:val="single" w:sz="4" w:space="0" w:color="A6A6A6"/>
                    <w:bottom w:val="single" w:sz="4" w:space="0" w:color="A6A6A6"/>
                    <w:right w:val="single" w:sz="4" w:space="0" w:color="A6A6A6"/>
                  </w:tcBorders>
                  <w:hideMark/>
                </w:tcPr>
                <w:p w:rsidR="00B37483" w:rsidRPr="00600702" w:rsidRDefault="00B37483">
                  <w:pPr>
                    <w:jc w:val="center"/>
                    <w:rPr>
                      <w:sz w:val="28"/>
                      <w:szCs w:val="28"/>
                      <w:lang w:val="ro-RO" w:eastAsia="fr-FR"/>
                    </w:rPr>
                  </w:pPr>
                  <w:r w:rsidRPr="00600702">
                    <w:rPr>
                      <w:sz w:val="28"/>
                      <w:szCs w:val="28"/>
                      <w:lang w:val="ro-RO" w:eastAsia="fr-FR"/>
                    </w:rPr>
                    <w:t>25</w:t>
                  </w:r>
                </w:p>
              </w:tc>
              <w:tc>
                <w:tcPr>
                  <w:tcW w:w="820" w:type="pct"/>
                  <w:tcBorders>
                    <w:top w:val="single" w:sz="4" w:space="0" w:color="A6A6A6"/>
                    <w:left w:val="single" w:sz="4" w:space="0" w:color="A6A6A6"/>
                    <w:bottom w:val="single" w:sz="4" w:space="0" w:color="A6A6A6"/>
                    <w:right w:val="single" w:sz="4" w:space="0" w:color="A6A6A6"/>
                  </w:tcBorders>
                  <w:hideMark/>
                </w:tcPr>
                <w:p w:rsidR="00B37483" w:rsidRPr="00600702" w:rsidRDefault="00B37483">
                  <w:pPr>
                    <w:jc w:val="center"/>
                    <w:rPr>
                      <w:sz w:val="28"/>
                      <w:szCs w:val="28"/>
                      <w:lang w:val="ro-RO" w:eastAsia="fr-FR"/>
                    </w:rPr>
                  </w:pPr>
                  <w:r w:rsidRPr="00600702">
                    <w:rPr>
                      <w:sz w:val="28"/>
                      <w:szCs w:val="28"/>
                      <w:lang w:val="ro-RO" w:eastAsia="fr-FR"/>
                    </w:rPr>
                    <w:t>212</w:t>
                  </w:r>
                </w:p>
              </w:tc>
              <w:tc>
                <w:tcPr>
                  <w:tcW w:w="867" w:type="pct"/>
                  <w:tcBorders>
                    <w:top w:val="single" w:sz="4" w:space="0" w:color="A6A6A6"/>
                    <w:left w:val="single" w:sz="4" w:space="0" w:color="A6A6A6"/>
                    <w:bottom w:val="single" w:sz="4" w:space="0" w:color="A6A6A6"/>
                    <w:right w:val="single" w:sz="4" w:space="0" w:color="A6A6A6"/>
                  </w:tcBorders>
                  <w:hideMark/>
                </w:tcPr>
                <w:p w:rsidR="00B37483" w:rsidRPr="00600702" w:rsidRDefault="00B37483">
                  <w:pPr>
                    <w:jc w:val="center"/>
                    <w:rPr>
                      <w:sz w:val="28"/>
                      <w:szCs w:val="28"/>
                      <w:lang w:val="ro-RO" w:eastAsia="fr-FR"/>
                    </w:rPr>
                  </w:pPr>
                  <w:r w:rsidRPr="00600702">
                    <w:rPr>
                      <w:sz w:val="28"/>
                      <w:szCs w:val="28"/>
                      <w:lang w:val="ro-RO" w:eastAsia="fr-FR"/>
                    </w:rPr>
                    <w:t>20</w:t>
                  </w:r>
                </w:p>
              </w:tc>
              <w:tc>
                <w:tcPr>
                  <w:tcW w:w="960" w:type="pct"/>
                  <w:tcBorders>
                    <w:top w:val="single" w:sz="4" w:space="0" w:color="A6A6A6"/>
                    <w:left w:val="single" w:sz="4" w:space="0" w:color="A6A6A6"/>
                    <w:bottom w:val="single" w:sz="4" w:space="0" w:color="A6A6A6"/>
                    <w:right w:val="single" w:sz="4" w:space="0" w:color="A6A6A6"/>
                  </w:tcBorders>
                  <w:hideMark/>
                </w:tcPr>
                <w:p w:rsidR="00B37483" w:rsidRPr="00600702" w:rsidRDefault="00B37483">
                  <w:pPr>
                    <w:jc w:val="center"/>
                    <w:rPr>
                      <w:sz w:val="28"/>
                      <w:szCs w:val="28"/>
                      <w:lang w:val="ro-RO" w:eastAsia="fr-FR"/>
                    </w:rPr>
                  </w:pPr>
                  <w:r w:rsidRPr="00600702">
                    <w:rPr>
                      <w:sz w:val="28"/>
                      <w:szCs w:val="28"/>
                      <w:lang w:val="ro-RO" w:eastAsia="fr-FR"/>
                    </w:rPr>
                    <w:t>99</w:t>
                  </w:r>
                </w:p>
              </w:tc>
            </w:tr>
            <w:tr w:rsidR="00B37483" w:rsidRPr="00600702" w:rsidTr="00B37483">
              <w:tc>
                <w:tcPr>
                  <w:tcW w:w="1487" w:type="pct"/>
                  <w:tcBorders>
                    <w:top w:val="single" w:sz="4" w:space="0" w:color="A6A6A6"/>
                    <w:left w:val="single" w:sz="4" w:space="0" w:color="A6A6A6"/>
                    <w:bottom w:val="single" w:sz="4" w:space="0" w:color="A6A6A6"/>
                    <w:right w:val="single" w:sz="4" w:space="0" w:color="A6A6A6"/>
                  </w:tcBorders>
                  <w:hideMark/>
                </w:tcPr>
                <w:p w:rsidR="00B37483" w:rsidRPr="00600702" w:rsidRDefault="00B37483">
                  <w:pPr>
                    <w:rPr>
                      <w:sz w:val="28"/>
                      <w:szCs w:val="28"/>
                      <w:lang w:val="ro-RO" w:eastAsia="fr-FR"/>
                    </w:rPr>
                  </w:pPr>
                  <w:r w:rsidRPr="00600702">
                    <w:rPr>
                      <w:sz w:val="28"/>
                      <w:szCs w:val="28"/>
                      <w:lang w:val="ro-RO" w:eastAsia="fr-FR"/>
                    </w:rPr>
                    <w:t>Altele</w:t>
                  </w:r>
                </w:p>
              </w:tc>
              <w:tc>
                <w:tcPr>
                  <w:tcW w:w="866" w:type="pct"/>
                  <w:tcBorders>
                    <w:top w:val="single" w:sz="4" w:space="0" w:color="A6A6A6"/>
                    <w:left w:val="single" w:sz="4" w:space="0" w:color="A6A6A6"/>
                    <w:bottom w:val="single" w:sz="4" w:space="0" w:color="A6A6A6"/>
                    <w:right w:val="single" w:sz="4" w:space="0" w:color="A6A6A6"/>
                  </w:tcBorders>
                  <w:hideMark/>
                </w:tcPr>
                <w:p w:rsidR="00B37483" w:rsidRPr="00600702" w:rsidRDefault="00B37483">
                  <w:pPr>
                    <w:jc w:val="center"/>
                    <w:rPr>
                      <w:sz w:val="28"/>
                      <w:szCs w:val="28"/>
                      <w:lang w:val="ro-RO" w:eastAsia="fr-FR"/>
                    </w:rPr>
                  </w:pPr>
                  <w:r w:rsidRPr="00600702">
                    <w:rPr>
                      <w:sz w:val="28"/>
                      <w:szCs w:val="28"/>
                      <w:lang w:val="ro-RO" w:eastAsia="fr-FR"/>
                    </w:rPr>
                    <w:t>25</w:t>
                  </w:r>
                </w:p>
              </w:tc>
              <w:tc>
                <w:tcPr>
                  <w:tcW w:w="820" w:type="pct"/>
                  <w:tcBorders>
                    <w:top w:val="single" w:sz="4" w:space="0" w:color="A6A6A6"/>
                    <w:left w:val="single" w:sz="4" w:space="0" w:color="A6A6A6"/>
                    <w:bottom w:val="single" w:sz="4" w:space="0" w:color="A6A6A6"/>
                    <w:right w:val="single" w:sz="4" w:space="0" w:color="A6A6A6"/>
                  </w:tcBorders>
                  <w:hideMark/>
                </w:tcPr>
                <w:p w:rsidR="00B37483" w:rsidRPr="00600702" w:rsidRDefault="00B37483">
                  <w:pPr>
                    <w:jc w:val="center"/>
                    <w:rPr>
                      <w:sz w:val="28"/>
                      <w:szCs w:val="28"/>
                      <w:lang w:val="ro-RO" w:eastAsia="fr-FR"/>
                    </w:rPr>
                  </w:pPr>
                  <w:r w:rsidRPr="00600702">
                    <w:rPr>
                      <w:sz w:val="28"/>
                      <w:szCs w:val="28"/>
                      <w:lang w:val="ro-RO" w:eastAsia="fr-FR"/>
                    </w:rPr>
                    <w:t>253</w:t>
                  </w:r>
                </w:p>
              </w:tc>
              <w:tc>
                <w:tcPr>
                  <w:tcW w:w="867" w:type="pct"/>
                  <w:tcBorders>
                    <w:top w:val="single" w:sz="4" w:space="0" w:color="A6A6A6"/>
                    <w:left w:val="single" w:sz="4" w:space="0" w:color="A6A6A6"/>
                    <w:bottom w:val="single" w:sz="4" w:space="0" w:color="A6A6A6"/>
                    <w:right w:val="single" w:sz="4" w:space="0" w:color="A6A6A6"/>
                  </w:tcBorders>
                  <w:hideMark/>
                </w:tcPr>
                <w:p w:rsidR="00B37483" w:rsidRPr="00600702" w:rsidRDefault="00B37483">
                  <w:pPr>
                    <w:jc w:val="center"/>
                    <w:rPr>
                      <w:sz w:val="28"/>
                      <w:szCs w:val="28"/>
                      <w:lang w:val="ro-RO" w:eastAsia="fr-FR"/>
                    </w:rPr>
                  </w:pPr>
                  <w:r w:rsidRPr="00600702">
                    <w:rPr>
                      <w:sz w:val="28"/>
                      <w:szCs w:val="28"/>
                      <w:lang w:val="ro-RO" w:eastAsia="fr-FR"/>
                    </w:rPr>
                    <w:t>156</w:t>
                  </w:r>
                </w:p>
              </w:tc>
              <w:tc>
                <w:tcPr>
                  <w:tcW w:w="960" w:type="pct"/>
                  <w:tcBorders>
                    <w:top w:val="single" w:sz="4" w:space="0" w:color="A6A6A6"/>
                    <w:left w:val="single" w:sz="4" w:space="0" w:color="A6A6A6"/>
                    <w:bottom w:val="single" w:sz="4" w:space="0" w:color="A6A6A6"/>
                    <w:right w:val="single" w:sz="4" w:space="0" w:color="A6A6A6"/>
                  </w:tcBorders>
                  <w:hideMark/>
                </w:tcPr>
                <w:p w:rsidR="00B37483" w:rsidRPr="00600702" w:rsidRDefault="00B37483">
                  <w:pPr>
                    <w:jc w:val="center"/>
                    <w:rPr>
                      <w:sz w:val="28"/>
                      <w:szCs w:val="28"/>
                      <w:lang w:val="ro-RO" w:eastAsia="fr-FR"/>
                    </w:rPr>
                  </w:pPr>
                  <w:r w:rsidRPr="00600702">
                    <w:rPr>
                      <w:sz w:val="28"/>
                      <w:szCs w:val="28"/>
                      <w:lang w:val="ro-RO" w:eastAsia="fr-FR"/>
                    </w:rPr>
                    <w:t>97</w:t>
                  </w:r>
                </w:p>
              </w:tc>
            </w:tr>
            <w:tr w:rsidR="00B37483" w:rsidRPr="00600702" w:rsidTr="00B37483">
              <w:tc>
                <w:tcPr>
                  <w:tcW w:w="1487" w:type="pct"/>
                  <w:tcBorders>
                    <w:top w:val="single" w:sz="4" w:space="0" w:color="A6A6A6"/>
                    <w:left w:val="single" w:sz="4" w:space="0" w:color="A6A6A6"/>
                    <w:bottom w:val="single" w:sz="4" w:space="0" w:color="A6A6A6"/>
                    <w:right w:val="single" w:sz="4" w:space="0" w:color="A6A6A6"/>
                  </w:tcBorders>
                  <w:hideMark/>
                </w:tcPr>
                <w:p w:rsidR="00B37483" w:rsidRPr="00600702" w:rsidRDefault="00B37483">
                  <w:pPr>
                    <w:jc w:val="center"/>
                    <w:rPr>
                      <w:b/>
                      <w:sz w:val="28"/>
                      <w:szCs w:val="28"/>
                      <w:lang w:val="ro-RO" w:eastAsia="fr-FR"/>
                    </w:rPr>
                  </w:pPr>
                  <w:r w:rsidRPr="00600702">
                    <w:rPr>
                      <w:b/>
                      <w:sz w:val="28"/>
                      <w:szCs w:val="28"/>
                      <w:lang w:val="ro-RO" w:eastAsia="fr-FR"/>
                    </w:rPr>
                    <w:t>TOTAL</w:t>
                  </w:r>
                </w:p>
              </w:tc>
              <w:tc>
                <w:tcPr>
                  <w:tcW w:w="866" w:type="pct"/>
                  <w:tcBorders>
                    <w:top w:val="single" w:sz="4" w:space="0" w:color="A6A6A6"/>
                    <w:left w:val="single" w:sz="4" w:space="0" w:color="A6A6A6"/>
                    <w:bottom w:val="single" w:sz="4" w:space="0" w:color="A6A6A6"/>
                    <w:right w:val="single" w:sz="4" w:space="0" w:color="A6A6A6"/>
                  </w:tcBorders>
                </w:tcPr>
                <w:p w:rsidR="00B37483" w:rsidRPr="00600702" w:rsidRDefault="00B37483">
                  <w:pPr>
                    <w:jc w:val="center"/>
                    <w:rPr>
                      <w:b/>
                      <w:sz w:val="28"/>
                      <w:szCs w:val="28"/>
                      <w:lang w:val="ro-RO" w:eastAsia="fr-FR"/>
                    </w:rPr>
                  </w:pPr>
                </w:p>
              </w:tc>
              <w:tc>
                <w:tcPr>
                  <w:tcW w:w="820" w:type="pct"/>
                  <w:tcBorders>
                    <w:top w:val="single" w:sz="4" w:space="0" w:color="A6A6A6"/>
                    <w:left w:val="single" w:sz="4" w:space="0" w:color="A6A6A6"/>
                    <w:bottom w:val="single" w:sz="4" w:space="0" w:color="A6A6A6"/>
                    <w:right w:val="single" w:sz="4" w:space="0" w:color="A6A6A6"/>
                  </w:tcBorders>
                  <w:hideMark/>
                </w:tcPr>
                <w:p w:rsidR="00B37483" w:rsidRPr="00600702" w:rsidRDefault="00B37483">
                  <w:pPr>
                    <w:jc w:val="center"/>
                    <w:rPr>
                      <w:b/>
                      <w:sz w:val="28"/>
                      <w:szCs w:val="28"/>
                      <w:lang w:val="ro-RO" w:eastAsia="fr-FR"/>
                    </w:rPr>
                  </w:pPr>
                  <w:r w:rsidRPr="00600702">
                    <w:rPr>
                      <w:b/>
                      <w:sz w:val="28"/>
                      <w:szCs w:val="28"/>
                      <w:lang w:val="ro-RO" w:eastAsia="fr-FR"/>
                    </w:rPr>
                    <w:t>1064</w:t>
                  </w:r>
                </w:p>
              </w:tc>
              <w:tc>
                <w:tcPr>
                  <w:tcW w:w="867" w:type="pct"/>
                  <w:tcBorders>
                    <w:top w:val="single" w:sz="4" w:space="0" w:color="A6A6A6"/>
                    <w:left w:val="single" w:sz="4" w:space="0" w:color="A6A6A6"/>
                    <w:bottom w:val="single" w:sz="4" w:space="0" w:color="A6A6A6"/>
                    <w:right w:val="single" w:sz="4" w:space="0" w:color="A6A6A6"/>
                  </w:tcBorders>
                  <w:hideMark/>
                </w:tcPr>
                <w:p w:rsidR="00B37483" w:rsidRPr="00600702" w:rsidRDefault="00B37483">
                  <w:pPr>
                    <w:jc w:val="center"/>
                    <w:rPr>
                      <w:b/>
                      <w:sz w:val="28"/>
                      <w:szCs w:val="28"/>
                      <w:lang w:val="ro-RO" w:eastAsia="fr-FR"/>
                    </w:rPr>
                  </w:pPr>
                  <w:r w:rsidRPr="00600702">
                    <w:rPr>
                      <w:b/>
                      <w:sz w:val="28"/>
                      <w:szCs w:val="28"/>
                      <w:lang w:val="ro-RO" w:eastAsia="fr-FR"/>
                    </w:rPr>
                    <w:t>606</w:t>
                  </w:r>
                </w:p>
              </w:tc>
              <w:tc>
                <w:tcPr>
                  <w:tcW w:w="960" w:type="pct"/>
                  <w:tcBorders>
                    <w:top w:val="single" w:sz="4" w:space="0" w:color="A6A6A6"/>
                    <w:left w:val="single" w:sz="4" w:space="0" w:color="A6A6A6"/>
                    <w:bottom w:val="single" w:sz="4" w:space="0" w:color="A6A6A6"/>
                    <w:right w:val="single" w:sz="4" w:space="0" w:color="A6A6A6"/>
                  </w:tcBorders>
                  <w:hideMark/>
                </w:tcPr>
                <w:p w:rsidR="00B37483" w:rsidRPr="00600702" w:rsidRDefault="00B37483">
                  <w:pPr>
                    <w:jc w:val="center"/>
                    <w:rPr>
                      <w:b/>
                      <w:sz w:val="28"/>
                      <w:szCs w:val="28"/>
                      <w:lang w:val="ro-RO" w:eastAsia="fr-FR"/>
                    </w:rPr>
                  </w:pPr>
                  <w:r w:rsidRPr="00600702">
                    <w:rPr>
                      <w:b/>
                      <w:sz w:val="28"/>
                      <w:szCs w:val="28"/>
                      <w:lang w:val="ro-RO" w:eastAsia="fr-FR"/>
                    </w:rPr>
                    <w:t>396</w:t>
                  </w:r>
                </w:p>
              </w:tc>
            </w:tr>
          </w:tbl>
          <w:p w:rsidR="00B37483" w:rsidRPr="00600702" w:rsidRDefault="00B37483" w:rsidP="00B37483">
            <w:pPr>
              <w:rPr>
                <w:sz w:val="28"/>
                <w:szCs w:val="28"/>
                <w:lang w:val="ro-RO"/>
              </w:rPr>
            </w:pPr>
          </w:p>
          <w:p w:rsidR="00B37483" w:rsidRPr="00600702" w:rsidRDefault="00B37483" w:rsidP="00B37483">
            <w:pPr>
              <w:pStyle w:val="ListParagraph"/>
              <w:tabs>
                <w:tab w:val="left" w:pos="562"/>
              </w:tabs>
              <w:ind w:left="14" w:firstLine="346"/>
              <w:jc w:val="both"/>
              <w:rPr>
                <w:sz w:val="28"/>
                <w:szCs w:val="28"/>
                <w:lang w:val="ro-RO"/>
              </w:rPr>
            </w:pPr>
            <w:r w:rsidRPr="00600702">
              <w:rPr>
                <w:sz w:val="28"/>
                <w:szCs w:val="28"/>
                <w:lang w:val="ro-RO"/>
              </w:rPr>
              <w:t xml:space="preserve">  În prezent, în structura parcului rulant feroviar sunt înregistrate 599 vagoane cisterne, ceea ce constituie cca. 8,51%. Doar 430 vagoane cisternă sunt în exploatare, ce reprezintă cca. 72%.</w:t>
            </w:r>
          </w:p>
          <w:p w:rsidR="00B37483" w:rsidRPr="00600702" w:rsidRDefault="00B37483" w:rsidP="00B37483">
            <w:pPr>
              <w:jc w:val="both"/>
              <w:rPr>
                <w:sz w:val="28"/>
                <w:szCs w:val="28"/>
                <w:lang w:val="ro-RO"/>
              </w:rPr>
            </w:pPr>
            <w:r w:rsidRPr="00600702">
              <w:rPr>
                <w:sz w:val="28"/>
                <w:szCs w:val="28"/>
                <w:lang w:val="ro-RO"/>
              </w:rPr>
              <w:t xml:space="preserve">       În cazul a 200 vagoane cisternă termenul de exploatare depășește termenul normativ de exploatare, ce constituie cca. 33,4%. Menționăm că conform normativelor tehnice în vigoare termenul de exploatare al vagoanelor cisterne este de 30 ani.</w:t>
            </w:r>
          </w:p>
          <w:p w:rsidR="00B37483" w:rsidRPr="00600702" w:rsidRDefault="00B37483" w:rsidP="00B37483">
            <w:pPr>
              <w:tabs>
                <w:tab w:val="left" w:pos="577"/>
              </w:tabs>
              <w:ind w:firstLine="567"/>
              <w:jc w:val="both"/>
              <w:rPr>
                <w:bCs/>
                <w:sz w:val="28"/>
                <w:szCs w:val="28"/>
                <w:lang w:val="ro-RO"/>
              </w:rPr>
            </w:pPr>
            <w:r w:rsidRPr="00600702">
              <w:rPr>
                <w:rFonts w:eastAsia="MS Mincho"/>
                <w:sz w:val="28"/>
                <w:szCs w:val="28"/>
                <w:lang w:val="ro-RO" w:eastAsia="ja-JP"/>
              </w:rPr>
              <w:t xml:space="preserve">Conform datelor Î.S. ”CRIS ”REGISTRU” </w:t>
            </w:r>
            <w:r w:rsidRPr="00600702">
              <w:rPr>
                <w:sz w:val="28"/>
                <w:szCs w:val="28"/>
                <w:lang w:val="ro-RO"/>
              </w:rPr>
              <w:t xml:space="preserve">referitor la datele statistice cu privire la mijloacele </w:t>
            </w:r>
            <w:r w:rsidRPr="00600702">
              <w:rPr>
                <w:sz w:val="28"/>
                <w:szCs w:val="28"/>
                <w:lang w:val="ro-RO"/>
              </w:rPr>
              <w:lastRenderedPageBreak/>
              <w:t>de transport din registrul de stat al transporturilor, în perioada anilor 2005-2016</w:t>
            </w:r>
            <w:r w:rsidRPr="00600702">
              <w:rPr>
                <w:rFonts w:eastAsia="MS Mincho"/>
                <w:sz w:val="28"/>
                <w:szCs w:val="28"/>
                <w:lang w:val="ro-RO" w:eastAsia="ja-JP"/>
              </w:rPr>
              <w:t xml:space="preserve"> în Republica Moldova au fost înmatriculate </w:t>
            </w:r>
            <w:r w:rsidRPr="00600702">
              <w:rPr>
                <w:rFonts w:eastAsia="MS Mincho"/>
                <w:b/>
                <w:sz w:val="28"/>
                <w:szCs w:val="28"/>
                <w:lang w:val="ro-RO" w:eastAsia="ja-JP"/>
              </w:rPr>
              <w:t>65283</w:t>
            </w:r>
            <w:r w:rsidRPr="00600702">
              <w:rPr>
                <w:rFonts w:eastAsia="MS Mincho"/>
                <w:sz w:val="28"/>
                <w:szCs w:val="28"/>
                <w:lang w:val="ro-RO" w:eastAsia="ja-JP"/>
              </w:rPr>
              <w:t xml:space="preserve"> de a</w:t>
            </w:r>
            <w:r w:rsidRPr="00600702">
              <w:rPr>
                <w:bCs/>
                <w:sz w:val="28"/>
                <w:szCs w:val="28"/>
                <w:lang w:val="ro-RO"/>
              </w:rPr>
              <w:t>utovehicule dotate cu sisteme de alimentare cu gaze,</w:t>
            </w:r>
            <w:r w:rsidR="000050D3" w:rsidRPr="00600702">
              <w:rPr>
                <w:bCs/>
                <w:sz w:val="28"/>
                <w:szCs w:val="28"/>
                <w:lang w:val="ro-RO"/>
              </w:rPr>
              <w:t xml:space="preserve"> </w:t>
            </w:r>
            <w:r w:rsidRPr="00600702">
              <w:rPr>
                <w:b/>
                <w:bCs/>
                <w:sz w:val="28"/>
                <w:szCs w:val="28"/>
                <w:lang w:val="ro-RO"/>
              </w:rPr>
              <w:t xml:space="preserve">66 </w:t>
            </w:r>
            <w:r w:rsidRPr="00600702">
              <w:rPr>
                <w:bCs/>
                <w:sz w:val="28"/>
                <w:szCs w:val="28"/>
                <w:lang w:val="ro-RO"/>
              </w:rPr>
              <w:t xml:space="preserve">de cisterne și </w:t>
            </w:r>
            <w:r w:rsidRPr="00600702">
              <w:rPr>
                <w:b/>
                <w:bCs/>
                <w:sz w:val="28"/>
                <w:szCs w:val="28"/>
                <w:lang w:val="ro-RO"/>
              </w:rPr>
              <w:t>130</w:t>
            </w:r>
            <w:r w:rsidRPr="00600702">
              <w:rPr>
                <w:bCs/>
                <w:sz w:val="28"/>
                <w:szCs w:val="28"/>
                <w:lang w:val="ro-RO"/>
              </w:rPr>
              <w:t xml:space="preserve"> de autocisterne utilizate pentru transportarea gazelor petroliere lichefiate.</w:t>
            </w:r>
            <w:r w:rsidR="000050D3" w:rsidRPr="00600702">
              <w:rPr>
                <w:bCs/>
                <w:sz w:val="28"/>
                <w:szCs w:val="28"/>
                <w:lang w:val="ro-RO"/>
              </w:rPr>
              <w:t xml:space="preserve"> Este de menționat ca tendința de majorare</w:t>
            </w:r>
            <w:r w:rsidR="000050D3" w:rsidRPr="00600702">
              <w:rPr>
                <w:rFonts w:eastAsia="MS Mincho"/>
                <w:sz w:val="28"/>
                <w:szCs w:val="28"/>
                <w:lang w:val="ro-RO" w:eastAsia="ja-JP"/>
              </w:rPr>
              <w:t xml:space="preserve"> a n</w:t>
            </w:r>
            <w:r w:rsidR="000050D3" w:rsidRPr="00600702">
              <w:rPr>
                <w:bCs/>
                <w:sz w:val="28"/>
                <w:szCs w:val="28"/>
                <w:lang w:val="ro-RO"/>
              </w:rPr>
              <w:t>umărului de autovehicule dotate cu sisteme de alimentare cu gaze, înmatriculate pe teritoriul RM care în mare parte sunt reutilate în RM, precum și a  numărului de autocisterne utilizate pentru transportarea gazelor petroliere lichefiate</w:t>
            </w:r>
            <w:r w:rsidR="000A1852" w:rsidRPr="00600702">
              <w:rPr>
                <w:bCs/>
                <w:sz w:val="28"/>
                <w:szCs w:val="28"/>
                <w:lang w:val="ro-RO"/>
              </w:rPr>
              <w:t>.</w:t>
            </w:r>
          </w:p>
          <w:p w:rsidR="000A1852" w:rsidRPr="00600702" w:rsidRDefault="000A1852" w:rsidP="000A1852">
            <w:pPr>
              <w:tabs>
                <w:tab w:val="left" w:pos="577"/>
              </w:tabs>
              <w:ind w:firstLine="567"/>
              <w:jc w:val="both"/>
              <w:rPr>
                <w:sz w:val="28"/>
                <w:szCs w:val="28"/>
                <w:lang w:val="ro-RO"/>
              </w:rPr>
            </w:pPr>
            <w:r w:rsidRPr="00600702">
              <w:rPr>
                <w:bCs/>
                <w:sz w:val="28"/>
                <w:szCs w:val="28"/>
                <w:lang w:val="ro-RO"/>
              </w:rPr>
              <w:t>O analiza mai amplă a datelor statistice este prezentată în tabelul nr.1 și nr.2.</w:t>
            </w:r>
          </w:p>
          <w:p w:rsidR="000A1852" w:rsidRPr="00600702" w:rsidRDefault="000A1852" w:rsidP="000A1852">
            <w:pPr>
              <w:tabs>
                <w:tab w:val="left" w:pos="577"/>
              </w:tabs>
              <w:ind w:firstLine="567"/>
              <w:jc w:val="both"/>
              <w:rPr>
                <w:sz w:val="28"/>
                <w:szCs w:val="28"/>
                <w:lang w:val="ro-RO"/>
              </w:rPr>
            </w:pPr>
            <w:r w:rsidRPr="00600702">
              <w:rPr>
                <w:sz w:val="28"/>
                <w:szCs w:val="28"/>
                <w:lang w:val="ro-RO"/>
              </w:rPr>
              <w:t xml:space="preserve">                                                                                  </w:t>
            </w:r>
          </w:p>
          <w:p w:rsidR="000A1852" w:rsidRPr="00600702" w:rsidRDefault="000A1852" w:rsidP="000A1852">
            <w:pPr>
              <w:tabs>
                <w:tab w:val="left" w:pos="577"/>
              </w:tabs>
              <w:jc w:val="center"/>
              <w:rPr>
                <w:b/>
                <w:sz w:val="28"/>
                <w:szCs w:val="28"/>
                <w:lang w:val="ro-RO"/>
              </w:rPr>
            </w:pPr>
            <w:r w:rsidRPr="00600702">
              <w:rPr>
                <w:b/>
                <w:sz w:val="28"/>
                <w:szCs w:val="28"/>
                <w:lang w:val="ro-RO"/>
              </w:rPr>
              <w:t xml:space="preserve">                                                  Tabelul nr.1</w:t>
            </w:r>
          </w:p>
          <w:tbl>
            <w:tblPr>
              <w:tblW w:w="8588" w:type="dxa"/>
              <w:tblLook w:val="04A0" w:firstRow="1" w:lastRow="0" w:firstColumn="1" w:lastColumn="0" w:noHBand="0" w:noVBand="1"/>
            </w:tblPr>
            <w:tblGrid>
              <w:gridCol w:w="3330"/>
              <w:gridCol w:w="5258"/>
            </w:tblGrid>
            <w:tr w:rsidR="000A1852" w:rsidRPr="00600702" w:rsidTr="009C7E18">
              <w:trPr>
                <w:trHeight w:val="647"/>
              </w:trPr>
              <w:tc>
                <w:tcPr>
                  <w:tcW w:w="8588" w:type="dxa"/>
                  <w:gridSpan w:val="2"/>
                  <w:tcBorders>
                    <w:top w:val="single" w:sz="4" w:space="0" w:color="auto"/>
                    <w:left w:val="single" w:sz="4" w:space="0" w:color="auto"/>
                    <w:bottom w:val="single" w:sz="4" w:space="0" w:color="auto"/>
                    <w:right w:val="single" w:sz="4" w:space="0" w:color="auto"/>
                  </w:tcBorders>
                  <w:vAlign w:val="center"/>
                  <w:hideMark/>
                </w:tcPr>
                <w:p w:rsidR="000A1852" w:rsidRPr="00600702" w:rsidRDefault="000A1852" w:rsidP="000A1852">
                  <w:pPr>
                    <w:jc w:val="center"/>
                    <w:rPr>
                      <w:bCs/>
                      <w:sz w:val="28"/>
                      <w:szCs w:val="28"/>
                      <w:lang w:val="ro-RO"/>
                    </w:rPr>
                  </w:pPr>
                  <w:r w:rsidRPr="00600702">
                    <w:rPr>
                      <w:bCs/>
                      <w:sz w:val="28"/>
                      <w:szCs w:val="28"/>
                      <w:lang w:val="ro-RO"/>
                    </w:rPr>
                    <w:t>Numărul autovehiculelor dotate cu sisteme de alimentare cu gaze, înmatriculate pe teritoriul RM în perioada 2005-2016.</w:t>
                  </w:r>
                </w:p>
              </w:tc>
            </w:tr>
            <w:tr w:rsidR="000A1852" w:rsidRPr="00600702" w:rsidTr="009C7E18">
              <w:trPr>
                <w:trHeight w:val="506"/>
              </w:trPr>
              <w:tc>
                <w:tcPr>
                  <w:tcW w:w="3330" w:type="dxa"/>
                  <w:tcBorders>
                    <w:top w:val="single" w:sz="4" w:space="0" w:color="auto"/>
                    <w:left w:val="single" w:sz="4" w:space="0" w:color="auto"/>
                    <w:bottom w:val="single" w:sz="4" w:space="0" w:color="auto"/>
                    <w:right w:val="single" w:sz="4" w:space="0" w:color="auto"/>
                  </w:tcBorders>
                  <w:noWrap/>
                  <w:vAlign w:val="center"/>
                  <w:hideMark/>
                </w:tcPr>
                <w:p w:rsidR="000A1852" w:rsidRPr="00600702" w:rsidRDefault="000A1852" w:rsidP="000A1852">
                  <w:pPr>
                    <w:jc w:val="center"/>
                    <w:rPr>
                      <w:bCs/>
                      <w:sz w:val="28"/>
                      <w:szCs w:val="28"/>
                      <w:lang w:val="ro-RO"/>
                    </w:rPr>
                  </w:pPr>
                  <w:r w:rsidRPr="00600702">
                    <w:rPr>
                      <w:bCs/>
                      <w:sz w:val="28"/>
                      <w:szCs w:val="28"/>
                      <w:lang w:val="ro-RO"/>
                    </w:rPr>
                    <w:t>Anul înmatriculării</w:t>
                  </w:r>
                </w:p>
              </w:tc>
              <w:tc>
                <w:tcPr>
                  <w:tcW w:w="5257" w:type="dxa"/>
                  <w:tcBorders>
                    <w:top w:val="single" w:sz="4" w:space="0" w:color="auto"/>
                    <w:left w:val="nil"/>
                    <w:bottom w:val="single" w:sz="4" w:space="0" w:color="auto"/>
                    <w:right w:val="single" w:sz="4" w:space="0" w:color="auto"/>
                  </w:tcBorders>
                  <w:noWrap/>
                  <w:vAlign w:val="center"/>
                  <w:hideMark/>
                </w:tcPr>
                <w:p w:rsidR="000A1852" w:rsidRPr="00600702" w:rsidRDefault="000A1852" w:rsidP="000A1852">
                  <w:pPr>
                    <w:jc w:val="center"/>
                    <w:rPr>
                      <w:bCs/>
                      <w:sz w:val="28"/>
                      <w:szCs w:val="28"/>
                      <w:lang w:val="ro-RO"/>
                    </w:rPr>
                  </w:pPr>
                  <w:r w:rsidRPr="00600702">
                    <w:rPr>
                      <w:bCs/>
                      <w:sz w:val="28"/>
                      <w:szCs w:val="28"/>
                      <w:lang w:val="ro-RO"/>
                    </w:rPr>
                    <w:t xml:space="preserve">Numărul de autovehicule </w:t>
                  </w:r>
                </w:p>
              </w:tc>
            </w:tr>
            <w:tr w:rsidR="000A1852" w:rsidRPr="00600702" w:rsidTr="009C7E18">
              <w:trPr>
                <w:trHeight w:val="306"/>
              </w:trPr>
              <w:tc>
                <w:tcPr>
                  <w:tcW w:w="3330" w:type="dxa"/>
                  <w:tcBorders>
                    <w:top w:val="nil"/>
                    <w:left w:val="single" w:sz="4" w:space="0" w:color="auto"/>
                    <w:bottom w:val="single" w:sz="4" w:space="0" w:color="auto"/>
                    <w:right w:val="single" w:sz="4" w:space="0" w:color="auto"/>
                  </w:tcBorders>
                  <w:noWrap/>
                  <w:vAlign w:val="bottom"/>
                  <w:hideMark/>
                </w:tcPr>
                <w:p w:rsidR="000A1852" w:rsidRPr="00600702" w:rsidRDefault="000A1852" w:rsidP="000A1852">
                  <w:pPr>
                    <w:jc w:val="center"/>
                    <w:rPr>
                      <w:bCs/>
                      <w:sz w:val="28"/>
                      <w:szCs w:val="28"/>
                      <w:lang w:val="ro-RO"/>
                    </w:rPr>
                  </w:pPr>
                  <w:r w:rsidRPr="00600702">
                    <w:rPr>
                      <w:bCs/>
                      <w:sz w:val="28"/>
                      <w:szCs w:val="28"/>
                      <w:lang w:val="ro-RO"/>
                    </w:rPr>
                    <w:t>2005</w:t>
                  </w:r>
                </w:p>
              </w:tc>
              <w:tc>
                <w:tcPr>
                  <w:tcW w:w="5257" w:type="dxa"/>
                  <w:tcBorders>
                    <w:top w:val="nil"/>
                    <w:left w:val="nil"/>
                    <w:bottom w:val="single" w:sz="4" w:space="0" w:color="auto"/>
                    <w:right w:val="single" w:sz="4" w:space="0" w:color="auto"/>
                  </w:tcBorders>
                  <w:noWrap/>
                  <w:vAlign w:val="bottom"/>
                  <w:hideMark/>
                </w:tcPr>
                <w:p w:rsidR="000A1852" w:rsidRPr="00600702" w:rsidRDefault="000A1852" w:rsidP="000A1852">
                  <w:pPr>
                    <w:jc w:val="center"/>
                    <w:rPr>
                      <w:bCs/>
                      <w:sz w:val="28"/>
                      <w:szCs w:val="28"/>
                      <w:lang w:val="ro-RO"/>
                    </w:rPr>
                  </w:pPr>
                  <w:r w:rsidRPr="00600702">
                    <w:rPr>
                      <w:bCs/>
                      <w:sz w:val="28"/>
                      <w:szCs w:val="28"/>
                      <w:lang w:val="ro-RO"/>
                    </w:rPr>
                    <w:t>4559</w:t>
                  </w:r>
                </w:p>
              </w:tc>
            </w:tr>
            <w:tr w:rsidR="000A1852" w:rsidRPr="00600702" w:rsidTr="009C7E18">
              <w:trPr>
                <w:trHeight w:val="306"/>
              </w:trPr>
              <w:tc>
                <w:tcPr>
                  <w:tcW w:w="3330" w:type="dxa"/>
                  <w:tcBorders>
                    <w:top w:val="nil"/>
                    <w:left w:val="single" w:sz="4" w:space="0" w:color="auto"/>
                    <w:bottom w:val="single" w:sz="4" w:space="0" w:color="auto"/>
                    <w:right w:val="single" w:sz="4" w:space="0" w:color="auto"/>
                  </w:tcBorders>
                  <w:noWrap/>
                  <w:vAlign w:val="bottom"/>
                  <w:hideMark/>
                </w:tcPr>
                <w:p w:rsidR="000A1852" w:rsidRPr="00600702" w:rsidRDefault="000A1852" w:rsidP="000A1852">
                  <w:pPr>
                    <w:jc w:val="center"/>
                    <w:rPr>
                      <w:bCs/>
                      <w:sz w:val="28"/>
                      <w:szCs w:val="28"/>
                      <w:lang w:val="ro-RO"/>
                    </w:rPr>
                  </w:pPr>
                  <w:r w:rsidRPr="00600702">
                    <w:rPr>
                      <w:bCs/>
                      <w:sz w:val="28"/>
                      <w:szCs w:val="28"/>
                      <w:lang w:val="ro-RO"/>
                    </w:rPr>
                    <w:t>2006</w:t>
                  </w:r>
                </w:p>
              </w:tc>
              <w:tc>
                <w:tcPr>
                  <w:tcW w:w="5257" w:type="dxa"/>
                  <w:tcBorders>
                    <w:top w:val="nil"/>
                    <w:left w:val="nil"/>
                    <w:bottom w:val="single" w:sz="4" w:space="0" w:color="auto"/>
                    <w:right w:val="single" w:sz="4" w:space="0" w:color="auto"/>
                  </w:tcBorders>
                  <w:noWrap/>
                  <w:vAlign w:val="bottom"/>
                  <w:hideMark/>
                </w:tcPr>
                <w:p w:rsidR="000A1852" w:rsidRPr="00600702" w:rsidRDefault="000A1852" w:rsidP="000A1852">
                  <w:pPr>
                    <w:jc w:val="center"/>
                    <w:rPr>
                      <w:bCs/>
                      <w:sz w:val="28"/>
                      <w:szCs w:val="28"/>
                      <w:lang w:val="ro-RO"/>
                    </w:rPr>
                  </w:pPr>
                  <w:r w:rsidRPr="00600702">
                    <w:rPr>
                      <w:bCs/>
                      <w:sz w:val="28"/>
                      <w:szCs w:val="28"/>
                      <w:lang w:val="ro-RO"/>
                    </w:rPr>
                    <w:t>18224</w:t>
                  </w:r>
                </w:p>
              </w:tc>
            </w:tr>
            <w:tr w:rsidR="000A1852" w:rsidRPr="00600702" w:rsidTr="009C7E18">
              <w:trPr>
                <w:trHeight w:val="306"/>
              </w:trPr>
              <w:tc>
                <w:tcPr>
                  <w:tcW w:w="3330" w:type="dxa"/>
                  <w:tcBorders>
                    <w:top w:val="nil"/>
                    <w:left w:val="single" w:sz="4" w:space="0" w:color="auto"/>
                    <w:bottom w:val="single" w:sz="4" w:space="0" w:color="auto"/>
                    <w:right w:val="single" w:sz="4" w:space="0" w:color="auto"/>
                  </w:tcBorders>
                  <w:noWrap/>
                  <w:vAlign w:val="bottom"/>
                  <w:hideMark/>
                </w:tcPr>
                <w:p w:rsidR="000A1852" w:rsidRPr="00600702" w:rsidRDefault="000A1852" w:rsidP="000A1852">
                  <w:pPr>
                    <w:jc w:val="center"/>
                    <w:rPr>
                      <w:bCs/>
                      <w:sz w:val="28"/>
                      <w:szCs w:val="28"/>
                      <w:lang w:val="ro-RO"/>
                    </w:rPr>
                  </w:pPr>
                  <w:r w:rsidRPr="00600702">
                    <w:rPr>
                      <w:bCs/>
                      <w:sz w:val="28"/>
                      <w:szCs w:val="28"/>
                      <w:lang w:val="ro-RO"/>
                    </w:rPr>
                    <w:t>2007</w:t>
                  </w:r>
                </w:p>
              </w:tc>
              <w:tc>
                <w:tcPr>
                  <w:tcW w:w="5257" w:type="dxa"/>
                  <w:tcBorders>
                    <w:top w:val="nil"/>
                    <w:left w:val="nil"/>
                    <w:bottom w:val="single" w:sz="4" w:space="0" w:color="auto"/>
                    <w:right w:val="single" w:sz="4" w:space="0" w:color="auto"/>
                  </w:tcBorders>
                  <w:noWrap/>
                  <w:vAlign w:val="bottom"/>
                  <w:hideMark/>
                </w:tcPr>
                <w:p w:rsidR="000A1852" w:rsidRPr="00600702" w:rsidRDefault="000A1852" w:rsidP="000A1852">
                  <w:pPr>
                    <w:jc w:val="center"/>
                    <w:rPr>
                      <w:bCs/>
                      <w:sz w:val="28"/>
                      <w:szCs w:val="28"/>
                      <w:lang w:val="ro-RO"/>
                    </w:rPr>
                  </w:pPr>
                  <w:r w:rsidRPr="00600702">
                    <w:rPr>
                      <w:bCs/>
                      <w:sz w:val="28"/>
                      <w:szCs w:val="28"/>
                      <w:lang w:val="ro-RO"/>
                    </w:rPr>
                    <w:t>21072</w:t>
                  </w:r>
                </w:p>
              </w:tc>
            </w:tr>
            <w:tr w:rsidR="000A1852" w:rsidRPr="00600702" w:rsidTr="009C7E18">
              <w:trPr>
                <w:trHeight w:val="306"/>
              </w:trPr>
              <w:tc>
                <w:tcPr>
                  <w:tcW w:w="3330" w:type="dxa"/>
                  <w:tcBorders>
                    <w:top w:val="nil"/>
                    <w:left w:val="single" w:sz="4" w:space="0" w:color="auto"/>
                    <w:bottom w:val="single" w:sz="4" w:space="0" w:color="auto"/>
                    <w:right w:val="single" w:sz="4" w:space="0" w:color="auto"/>
                  </w:tcBorders>
                  <w:noWrap/>
                  <w:vAlign w:val="bottom"/>
                  <w:hideMark/>
                </w:tcPr>
                <w:p w:rsidR="000A1852" w:rsidRPr="00600702" w:rsidRDefault="000A1852" w:rsidP="000A1852">
                  <w:pPr>
                    <w:jc w:val="center"/>
                    <w:rPr>
                      <w:bCs/>
                      <w:sz w:val="28"/>
                      <w:szCs w:val="28"/>
                      <w:lang w:val="ro-RO"/>
                    </w:rPr>
                  </w:pPr>
                  <w:r w:rsidRPr="00600702">
                    <w:rPr>
                      <w:bCs/>
                      <w:sz w:val="28"/>
                      <w:szCs w:val="28"/>
                      <w:lang w:val="ro-RO"/>
                    </w:rPr>
                    <w:t>2008</w:t>
                  </w:r>
                </w:p>
              </w:tc>
              <w:tc>
                <w:tcPr>
                  <w:tcW w:w="5257" w:type="dxa"/>
                  <w:tcBorders>
                    <w:top w:val="nil"/>
                    <w:left w:val="nil"/>
                    <w:bottom w:val="single" w:sz="4" w:space="0" w:color="auto"/>
                    <w:right w:val="single" w:sz="4" w:space="0" w:color="auto"/>
                  </w:tcBorders>
                  <w:noWrap/>
                  <w:vAlign w:val="bottom"/>
                  <w:hideMark/>
                </w:tcPr>
                <w:p w:rsidR="000A1852" w:rsidRPr="00600702" w:rsidRDefault="000A1852" w:rsidP="000A1852">
                  <w:pPr>
                    <w:jc w:val="center"/>
                    <w:rPr>
                      <w:bCs/>
                      <w:sz w:val="28"/>
                      <w:szCs w:val="28"/>
                      <w:lang w:val="ro-RO"/>
                    </w:rPr>
                  </w:pPr>
                  <w:r w:rsidRPr="00600702">
                    <w:rPr>
                      <w:bCs/>
                      <w:sz w:val="28"/>
                      <w:szCs w:val="28"/>
                      <w:lang w:val="ro-RO"/>
                    </w:rPr>
                    <w:t>25624</w:t>
                  </w:r>
                </w:p>
              </w:tc>
            </w:tr>
            <w:tr w:rsidR="000A1852" w:rsidRPr="00600702" w:rsidTr="009C7E18">
              <w:trPr>
                <w:trHeight w:val="306"/>
              </w:trPr>
              <w:tc>
                <w:tcPr>
                  <w:tcW w:w="3330" w:type="dxa"/>
                  <w:tcBorders>
                    <w:top w:val="nil"/>
                    <w:left w:val="single" w:sz="4" w:space="0" w:color="auto"/>
                    <w:bottom w:val="single" w:sz="4" w:space="0" w:color="auto"/>
                    <w:right w:val="single" w:sz="4" w:space="0" w:color="auto"/>
                  </w:tcBorders>
                  <w:noWrap/>
                  <w:vAlign w:val="bottom"/>
                  <w:hideMark/>
                </w:tcPr>
                <w:p w:rsidR="000A1852" w:rsidRPr="00600702" w:rsidRDefault="000A1852" w:rsidP="000A1852">
                  <w:pPr>
                    <w:jc w:val="center"/>
                    <w:rPr>
                      <w:bCs/>
                      <w:sz w:val="28"/>
                      <w:szCs w:val="28"/>
                      <w:lang w:val="ro-RO"/>
                    </w:rPr>
                  </w:pPr>
                  <w:r w:rsidRPr="00600702">
                    <w:rPr>
                      <w:bCs/>
                      <w:sz w:val="28"/>
                      <w:szCs w:val="28"/>
                      <w:lang w:val="ro-RO"/>
                    </w:rPr>
                    <w:t>2009</w:t>
                  </w:r>
                </w:p>
              </w:tc>
              <w:tc>
                <w:tcPr>
                  <w:tcW w:w="5257" w:type="dxa"/>
                  <w:tcBorders>
                    <w:top w:val="nil"/>
                    <w:left w:val="nil"/>
                    <w:bottom w:val="single" w:sz="4" w:space="0" w:color="auto"/>
                    <w:right w:val="single" w:sz="4" w:space="0" w:color="auto"/>
                  </w:tcBorders>
                  <w:noWrap/>
                  <w:vAlign w:val="bottom"/>
                  <w:hideMark/>
                </w:tcPr>
                <w:p w:rsidR="000A1852" w:rsidRPr="00600702" w:rsidRDefault="000A1852" w:rsidP="000A1852">
                  <w:pPr>
                    <w:jc w:val="center"/>
                    <w:rPr>
                      <w:bCs/>
                      <w:sz w:val="28"/>
                      <w:szCs w:val="28"/>
                      <w:lang w:val="ro-RO"/>
                    </w:rPr>
                  </w:pPr>
                  <w:r w:rsidRPr="00600702">
                    <w:rPr>
                      <w:bCs/>
                      <w:sz w:val="28"/>
                      <w:szCs w:val="28"/>
                      <w:lang w:val="ro-RO"/>
                    </w:rPr>
                    <w:t>29294</w:t>
                  </w:r>
                </w:p>
              </w:tc>
            </w:tr>
            <w:tr w:rsidR="000A1852" w:rsidRPr="00600702" w:rsidTr="009C7E18">
              <w:trPr>
                <w:trHeight w:val="306"/>
              </w:trPr>
              <w:tc>
                <w:tcPr>
                  <w:tcW w:w="3330" w:type="dxa"/>
                  <w:tcBorders>
                    <w:top w:val="nil"/>
                    <w:left w:val="single" w:sz="4" w:space="0" w:color="auto"/>
                    <w:bottom w:val="single" w:sz="4" w:space="0" w:color="auto"/>
                    <w:right w:val="single" w:sz="4" w:space="0" w:color="auto"/>
                  </w:tcBorders>
                  <w:noWrap/>
                  <w:vAlign w:val="bottom"/>
                  <w:hideMark/>
                </w:tcPr>
                <w:p w:rsidR="000A1852" w:rsidRPr="00600702" w:rsidRDefault="000A1852" w:rsidP="000A1852">
                  <w:pPr>
                    <w:jc w:val="center"/>
                    <w:rPr>
                      <w:bCs/>
                      <w:sz w:val="28"/>
                      <w:szCs w:val="28"/>
                      <w:lang w:val="ro-RO"/>
                    </w:rPr>
                  </w:pPr>
                  <w:r w:rsidRPr="00600702">
                    <w:rPr>
                      <w:bCs/>
                      <w:sz w:val="28"/>
                      <w:szCs w:val="28"/>
                      <w:lang w:val="ro-RO"/>
                    </w:rPr>
                    <w:t>2010</w:t>
                  </w:r>
                </w:p>
              </w:tc>
              <w:tc>
                <w:tcPr>
                  <w:tcW w:w="5257" w:type="dxa"/>
                  <w:tcBorders>
                    <w:top w:val="nil"/>
                    <w:left w:val="nil"/>
                    <w:bottom w:val="single" w:sz="4" w:space="0" w:color="auto"/>
                    <w:right w:val="single" w:sz="4" w:space="0" w:color="auto"/>
                  </w:tcBorders>
                  <w:noWrap/>
                  <w:vAlign w:val="bottom"/>
                  <w:hideMark/>
                </w:tcPr>
                <w:p w:rsidR="000A1852" w:rsidRPr="00600702" w:rsidRDefault="000A1852" w:rsidP="000A1852">
                  <w:pPr>
                    <w:jc w:val="center"/>
                    <w:rPr>
                      <w:bCs/>
                      <w:sz w:val="28"/>
                      <w:szCs w:val="28"/>
                      <w:lang w:val="ro-RO"/>
                    </w:rPr>
                  </w:pPr>
                  <w:r w:rsidRPr="00600702">
                    <w:rPr>
                      <w:bCs/>
                      <w:sz w:val="28"/>
                      <w:szCs w:val="28"/>
                      <w:lang w:val="ro-RO"/>
                    </w:rPr>
                    <w:t>34313</w:t>
                  </w:r>
                </w:p>
              </w:tc>
            </w:tr>
            <w:tr w:rsidR="000A1852" w:rsidRPr="00600702" w:rsidTr="009C7E18">
              <w:trPr>
                <w:trHeight w:val="306"/>
              </w:trPr>
              <w:tc>
                <w:tcPr>
                  <w:tcW w:w="3330" w:type="dxa"/>
                  <w:tcBorders>
                    <w:top w:val="nil"/>
                    <w:left w:val="single" w:sz="4" w:space="0" w:color="auto"/>
                    <w:bottom w:val="single" w:sz="4" w:space="0" w:color="auto"/>
                    <w:right w:val="single" w:sz="4" w:space="0" w:color="auto"/>
                  </w:tcBorders>
                  <w:noWrap/>
                  <w:vAlign w:val="bottom"/>
                  <w:hideMark/>
                </w:tcPr>
                <w:p w:rsidR="000A1852" w:rsidRPr="00600702" w:rsidRDefault="000A1852" w:rsidP="000A1852">
                  <w:pPr>
                    <w:jc w:val="center"/>
                    <w:rPr>
                      <w:bCs/>
                      <w:sz w:val="28"/>
                      <w:szCs w:val="28"/>
                      <w:lang w:val="ro-RO"/>
                    </w:rPr>
                  </w:pPr>
                  <w:r w:rsidRPr="00600702">
                    <w:rPr>
                      <w:bCs/>
                      <w:sz w:val="28"/>
                      <w:szCs w:val="28"/>
                      <w:lang w:val="ro-RO"/>
                    </w:rPr>
                    <w:t>2011</w:t>
                  </w:r>
                </w:p>
              </w:tc>
              <w:tc>
                <w:tcPr>
                  <w:tcW w:w="5257" w:type="dxa"/>
                  <w:tcBorders>
                    <w:top w:val="nil"/>
                    <w:left w:val="nil"/>
                    <w:bottom w:val="single" w:sz="4" w:space="0" w:color="auto"/>
                    <w:right w:val="single" w:sz="4" w:space="0" w:color="auto"/>
                  </w:tcBorders>
                  <w:noWrap/>
                  <w:vAlign w:val="bottom"/>
                  <w:hideMark/>
                </w:tcPr>
                <w:p w:rsidR="000A1852" w:rsidRPr="00600702" w:rsidRDefault="000A1852" w:rsidP="000A1852">
                  <w:pPr>
                    <w:jc w:val="center"/>
                    <w:rPr>
                      <w:bCs/>
                      <w:sz w:val="28"/>
                      <w:szCs w:val="28"/>
                      <w:lang w:val="ro-RO"/>
                    </w:rPr>
                  </w:pPr>
                  <w:r w:rsidRPr="00600702">
                    <w:rPr>
                      <w:bCs/>
                      <w:sz w:val="28"/>
                      <w:szCs w:val="28"/>
                      <w:lang w:val="ro-RO"/>
                    </w:rPr>
                    <w:t>41742</w:t>
                  </w:r>
                </w:p>
              </w:tc>
            </w:tr>
            <w:tr w:rsidR="000A1852" w:rsidRPr="00600702" w:rsidTr="009C7E18">
              <w:trPr>
                <w:trHeight w:val="306"/>
              </w:trPr>
              <w:tc>
                <w:tcPr>
                  <w:tcW w:w="3330" w:type="dxa"/>
                  <w:tcBorders>
                    <w:top w:val="nil"/>
                    <w:left w:val="single" w:sz="4" w:space="0" w:color="auto"/>
                    <w:bottom w:val="single" w:sz="4" w:space="0" w:color="auto"/>
                    <w:right w:val="single" w:sz="4" w:space="0" w:color="auto"/>
                  </w:tcBorders>
                  <w:noWrap/>
                  <w:vAlign w:val="bottom"/>
                  <w:hideMark/>
                </w:tcPr>
                <w:p w:rsidR="000A1852" w:rsidRPr="00600702" w:rsidRDefault="000A1852" w:rsidP="000A1852">
                  <w:pPr>
                    <w:jc w:val="center"/>
                    <w:rPr>
                      <w:bCs/>
                      <w:sz w:val="28"/>
                      <w:szCs w:val="28"/>
                      <w:lang w:val="ro-RO"/>
                    </w:rPr>
                  </w:pPr>
                  <w:r w:rsidRPr="00600702">
                    <w:rPr>
                      <w:bCs/>
                      <w:sz w:val="28"/>
                      <w:szCs w:val="28"/>
                      <w:lang w:val="ro-RO"/>
                    </w:rPr>
                    <w:t>2012</w:t>
                  </w:r>
                </w:p>
              </w:tc>
              <w:tc>
                <w:tcPr>
                  <w:tcW w:w="5257" w:type="dxa"/>
                  <w:tcBorders>
                    <w:top w:val="nil"/>
                    <w:left w:val="nil"/>
                    <w:bottom w:val="single" w:sz="4" w:space="0" w:color="auto"/>
                    <w:right w:val="single" w:sz="4" w:space="0" w:color="auto"/>
                  </w:tcBorders>
                  <w:noWrap/>
                  <w:vAlign w:val="bottom"/>
                  <w:hideMark/>
                </w:tcPr>
                <w:p w:rsidR="000A1852" w:rsidRPr="00600702" w:rsidRDefault="000A1852" w:rsidP="000A1852">
                  <w:pPr>
                    <w:jc w:val="center"/>
                    <w:rPr>
                      <w:bCs/>
                      <w:sz w:val="28"/>
                      <w:szCs w:val="28"/>
                      <w:lang w:val="ro-RO"/>
                    </w:rPr>
                  </w:pPr>
                  <w:r w:rsidRPr="00600702">
                    <w:rPr>
                      <w:bCs/>
                      <w:sz w:val="28"/>
                      <w:szCs w:val="28"/>
                      <w:lang w:val="ro-RO"/>
                    </w:rPr>
                    <w:t>49170</w:t>
                  </w:r>
                </w:p>
              </w:tc>
            </w:tr>
            <w:tr w:rsidR="000A1852" w:rsidRPr="00600702" w:rsidTr="009C7E18">
              <w:trPr>
                <w:trHeight w:val="306"/>
              </w:trPr>
              <w:tc>
                <w:tcPr>
                  <w:tcW w:w="3330" w:type="dxa"/>
                  <w:tcBorders>
                    <w:top w:val="nil"/>
                    <w:left w:val="single" w:sz="4" w:space="0" w:color="auto"/>
                    <w:bottom w:val="single" w:sz="4" w:space="0" w:color="auto"/>
                    <w:right w:val="single" w:sz="4" w:space="0" w:color="auto"/>
                  </w:tcBorders>
                  <w:noWrap/>
                  <w:vAlign w:val="bottom"/>
                  <w:hideMark/>
                </w:tcPr>
                <w:p w:rsidR="000A1852" w:rsidRPr="00600702" w:rsidRDefault="000A1852" w:rsidP="000A1852">
                  <w:pPr>
                    <w:jc w:val="center"/>
                    <w:rPr>
                      <w:bCs/>
                      <w:sz w:val="28"/>
                      <w:szCs w:val="28"/>
                      <w:lang w:val="ro-RO"/>
                    </w:rPr>
                  </w:pPr>
                  <w:r w:rsidRPr="00600702">
                    <w:rPr>
                      <w:bCs/>
                      <w:sz w:val="28"/>
                      <w:szCs w:val="28"/>
                      <w:lang w:val="ro-RO"/>
                    </w:rPr>
                    <w:t>2013</w:t>
                  </w:r>
                </w:p>
              </w:tc>
              <w:tc>
                <w:tcPr>
                  <w:tcW w:w="5257" w:type="dxa"/>
                  <w:tcBorders>
                    <w:top w:val="nil"/>
                    <w:left w:val="nil"/>
                    <w:bottom w:val="single" w:sz="4" w:space="0" w:color="auto"/>
                    <w:right w:val="single" w:sz="4" w:space="0" w:color="auto"/>
                  </w:tcBorders>
                  <w:noWrap/>
                  <w:vAlign w:val="bottom"/>
                  <w:hideMark/>
                </w:tcPr>
                <w:p w:rsidR="000A1852" w:rsidRPr="00600702" w:rsidRDefault="000A1852" w:rsidP="000A1852">
                  <w:pPr>
                    <w:jc w:val="center"/>
                    <w:rPr>
                      <w:bCs/>
                      <w:sz w:val="28"/>
                      <w:szCs w:val="28"/>
                      <w:lang w:val="ro-RO"/>
                    </w:rPr>
                  </w:pPr>
                  <w:r w:rsidRPr="00600702">
                    <w:rPr>
                      <w:bCs/>
                      <w:sz w:val="28"/>
                      <w:szCs w:val="28"/>
                      <w:lang w:val="ro-RO"/>
                    </w:rPr>
                    <w:t>53994</w:t>
                  </w:r>
                </w:p>
              </w:tc>
            </w:tr>
            <w:tr w:rsidR="000A1852" w:rsidRPr="00600702" w:rsidTr="009C7E18">
              <w:trPr>
                <w:trHeight w:val="306"/>
              </w:trPr>
              <w:tc>
                <w:tcPr>
                  <w:tcW w:w="3330" w:type="dxa"/>
                  <w:tcBorders>
                    <w:top w:val="nil"/>
                    <w:left w:val="single" w:sz="4" w:space="0" w:color="auto"/>
                    <w:bottom w:val="single" w:sz="4" w:space="0" w:color="auto"/>
                    <w:right w:val="single" w:sz="4" w:space="0" w:color="auto"/>
                  </w:tcBorders>
                  <w:noWrap/>
                  <w:vAlign w:val="bottom"/>
                  <w:hideMark/>
                </w:tcPr>
                <w:p w:rsidR="000A1852" w:rsidRPr="00600702" w:rsidRDefault="000A1852" w:rsidP="000A1852">
                  <w:pPr>
                    <w:jc w:val="center"/>
                    <w:rPr>
                      <w:bCs/>
                      <w:sz w:val="28"/>
                      <w:szCs w:val="28"/>
                      <w:lang w:val="ro-RO"/>
                    </w:rPr>
                  </w:pPr>
                  <w:r w:rsidRPr="00600702">
                    <w:rPr>
                      <w:bCs/>
                      <w:sz w:val="28"/>
                      <w:szCs w:val="28"/>
                      <w:lang w:val="ro-RO"/>
                    </w:rPr>
                    <w:t>2014</w:t>
                  </w:r>
                </w:p>
              </w:tc>
              <w:tc>
                <w:tcPr>
                  <w:tcW w:w="5257" w:type="dxa"/>
                  <w:tcBorders>
                    <w:top w:val="nil"/>
                    <w:left w:val="nil"/>
                    <w:bottom w:val="single" w:sz="4" w:space="0" w:color="auto"/>
                    <w:right w:val="single" w:sz="4" w:space="0" w:color="auto"/>
                  </w:tcBorders>
                  <w:noWrap/>
                  <w:vAlign w:val="bottom"/>
                  <w:hideMark/>
                </w:tcPr>
                <w:p w:rsidR="000A1852" w:rsidRPr="00600702" w:rsidRDefault="000A1852" w:rsidP="000A1852">
                  <w:pPr>
                    <w:jc w:val="center"/>
                    <w:rPr>
                      <w:bCs/>
                      <w:sz w:val="28"/>
                      <w:szCs w:val="28"/>
                      <w:lang w:val="ro-RO"/>
                    </w:rPr>
                  </w:pPr>
                  <w:r w:rsidRPr="00600702">
                    <w:rPr>
                      <w:bCs/>
                      <w:sz w:val="28"/>
                      <w:szCs w:val="28"/>
                      <w:lang w:val="ro-RO"/>
                    </w:rPr>
                    <w:t>58499</w:t>
                  </w:r>
                </w:p>
              </w:tc>
            </w:tr>
            <w:tr w:rsidR="000A1852" w:rsidRPr="00600702" w:rsidTr="009C7E18">
              <w:trPr>
                <w:trHeight w:val="306"/>
              </w:trPr>
              <w:tc>
                <w:tcPr>
                  <w:tcW w:w="3330" w:type="dxa"/>
                  <w:tcBorders>
                    <w:top w:val="nil"/>
                    <w:left w:val="single" w:sz="4" w:space="0" w:color="auto"/>
                    <w:bottom w:val="single" w:sz="4" w:space="0" w:color="auto"/>
                    <w:right w:val="single" w:sz="4" w:space="0" w:color="auto"/>
                  </w:tcBorders>
                  <w:noWrap/>
                  <w:vAlign w:val="bottom"/>
                  <w:hideMark/>
                </w:tcPr>
                <w:p w:rsidR="000A1852" w:rsidRPr="00600702" w:rsidRDefault="000A1852" w:rsidP="000A1852">
                  <w:pPr>
                    <w:jc w:val="center"/>
                    <w:rPr>
                      <w:bCs/>
                      <w:sz w:val="28"/>
                      <w:szCs w:val="28"/>
                      <w:lang w:val="ro-RO"/>
                    </w:rPr>
                  </w:pPr>
                  <w:r w:rsidRPr="00600702">
                    <w:rPr>
                      <w:bCs/>
                      <w:sz w:val="28"/>
                      <w:szCs w:val="28"/>
                      <w:lang w:val="ro-RO"/>
                    </w:rPr>
                    <w:t>2015</w:t>
                  </w:r>
                </w:p>
              </w:tc>
              <w:tc>
                <w:tcPr>
                  <w:tcW w:w="5257" w:type="dxa"/>
                  <w:tcBorders>
                    <w:top w:val="nil"/>
                    <w:left w:val="nil"/>
                    <w:bottom w:val="single" w:sz="4" w:space="0" w:color="auto"/>
                    <w:right w:val="single" w:sz="4" w:space="0" w:color="auto"/>
                  </w:tcBorders>
                  <w:noWrap/>
                  <w:vAlign w:val="bottom"/>
                  <w:hideMark/>
                </w:tcPr>
                <w:p w:rsidR="000A1852" w:rsidRPr="00600702" w:rsidRDefault="000A1852" w:rsidP="000A1852">
                  <w:pPr>
                    <w:jc w:val="center"/>
                    <w:rPr>
                      <w:bCs/>
                      <w:sz w:val="28"/>
                      <w:szCs w:val="28"/>
                      <w:lang w:val="ro-RO"/>
                    </w:rPr>
                  </w:pPr>
                  <w:r w:rsidRPr="00600702">
                    <w:rPr>
                      <w:bCs/>
                      <w:sz w:val="28"/>
                      <w:szCs w:val="28"/>
                      <w:lang w:val="ro-RO"/>
                    </w:rPr>
                    <w:t>61809</w:t>
                  </w:r>
                </w:p>
              </w:tc>
            </w:tr>
            <w:tr w:rsidR="000A1852" w:rsidRPr="00600702" w:rsidTr="009C7E18">
              <w:trPr>
                <w:trHeight w:val="322"/>
              </w:trPr>
              <w:tc>
                <w:tcPr>
                  <w:tcW w:w="3330" w:type="dxa"/>
                  <w:tcBorders>
                    <w:top w:val="nil"/>
                    <w:left w:val="single" w:sz="4" w:space="0" w:color="auto"/>
                    <w:bottom w:val="single" w:sz="4" w:space="0" w:color="auto"/>
                    <w:right w:val="single" w:sz="4" w:space="0" w:color="auto"/>
                  </w:tcBorders>
                  <w:noWrap/>
                  <w:vAlign w:val="bottom"/>
                  <w:hideMark/>
                </w:tcPr>
                <w:p w:rsidR="000A1852" w:rsidRPr="00600702" w:rsidRDefault="000A1852" w:rsidP="000A1852">
                  <w:pPr>
                    <w:jc w:val="center"/>
                    <w:rPr>
                      <w:bCs/>
                      <w:sz w:val="28"/>
                      <w:szCs w:val="28"/>
                      <w:lang w:val="ro-RO"/>
                    </w:rPr>
                  </w:pPr>
                  <w:r w:rsidRPr="00600702">
                    <w:rPr>
                      <w:bCs/>
                      <w:sz w:val="28"/>
                      <w:szCs w:val="28"/>
                      <w:lang w:val="ro-RO"/>
                    </w:rPr>
                    <w:t>2016</w:t>
                  </w:r>
                </w:p>
              </w:tc>
              <w:tc>
                <w:tcPr>
                  <w:tcW w:w="5257" w:type="dxa"/>
                  <w:tcBorders>
                    <w:top w:val="nil"/>
                    <w:left w:val="nil"/>
                    <w:bottom w:val="single" w:sz="4" w:space="0" w:color="auto"/>
                    <w:right w:val="single" w:sz="4" w:space="0" w:color="auto"/>
                  </w:tcBorders>
                  <w:noWrap/>
                  <w:vAlign w:val="bottom"/>
                  <w:hideMark/>
                </w:tcPr>
                <w:p w:rsidR="000A1852" w:rsidRPr="00600702" w:rsidRDefault="000A1852" w:rsidP="000A1852">
                  <w:pPr>
                    <w:jc w:val="center"/>
                    <w:rPr>
                      <w:bCs/>
                      <w:sz w:val="28"/>
                      <w:szCs w:val="28"/>
                      <w:lang w:val="ro-RO"/>
                    </w:rPr>
                  </w:pPr>
                  <w:r w:rsidRPr="00600702">
                    <w:rPr>
                      <w:bCs/>
                      <w:sz w:val="28"/>
                      <w:szCs w:val="28"/>
                      <w:lang w:val="ro-RO"/>
                    </w:rPr>
                    <w:t>65283</w:t>
                  </w:r>
                </w:p>
              </w:tc>
            </w:tr>
          </w:tbl>
          <w:p w:rsidR="001723ED" w:rsidRPr="00600702" w:rsidRDefault="002E1073" w:rsidP="00AC7479">
            <w:pPr>
              <w:tabs>
                <w:tab w:val="left" w:pos="585"/>
              </w:tabs>
              <w:jc w:val="both"/>
              <w:rPr>
                <w:rFonts w:eastAsia="Calibri"/>
                <w:sz w:val="28"/>
                <w:szCs w:val="28"/>
                <w:lang w:val="ro-RO" w:eastAsia="en-US"/>
              </w:rPr>
            </w:pPr>
            <w:r w:rsidRPr="00600702">
              <w:rPr>
                <w:rFonts w:eastAsia="Calibri"/>
                <w:b/>
                <w:sz w:val="28"/>
                <w:szCs w:val="28"/>
                <w:lang w:val="ro-RO" w:eastAsia="en-US"/>
              </w:rPr>
              <w:t xml:space="preserve">                                                                           </w:t>
            </w:r>
            <w:r w:rsidR="009B349C" w:rsidRPr="00600702">
              <w:rPr>
                <w:rFonts w:eastAsia="Calibri"/>
                <w:sz w:val="28"/>
                <w:szCs w:val="28"/>
                <w:lang w:val="ro-RO" w:eastAsia="en-US"/>
              </w:rPr>
              <w:t xml:space="preserve">       </w:t>
            </w:r>
          </w:p>
          <w:p w:rsidR="001723ED" w:rsidRPr="00600702" w:rsidRDefault="001723ED" w:rsidP="00AC7479">
            <w:pPr>
              <w:tabs>
                <w:tab w:val="left" w:pos="585"/>
              </w:tabs>
              <w:jc w:val="both"/>
              <w:rPr>
                <w:rFonts w:eastAsia="Calibri"/>
                <w:sz w:val="28"/>
                <w:szCs w:val="28"/>
                <w:lang w:val="ro-RO" w:eastAsia="en-US"/>
              </w:rPr>
            </w:pPr>
          </w:p>
          <w:p w:rsidR="001723ED" w:rsidRPr="00600702" w:rsidRDefault="001723ED" w:rsidP="001723ED">
            <w:pPr>
              <w:tabs>
                <w:tab w:val="left" w:pos="585"/>
              </w:tabs>
              <w:jc w:val="both"/>
              <w:rPr>
                <w:rFonts w:eastAsia="Calibri"/>
                <w:b/>
                <w:sz w:val="28"/>
                <w:szCs w:val="28"/>
                <w:lang w:val="ro-RO" w:eastAsia="en-US"/>
              </w:rPr>
            </w:pPr>
            <w:r w:rsidRPr="00600702">
              <w:t xml:space="preserve">                                                                                                             </w:t>
            </w:r>
            <w:r w:rsidRPr="00600702">
              <w:rPr>
                <w:rFonts w:eastAsia="Calibri"/>
                <w:b/>
                <w:sz w:val="28"/>
                <w:szCs w:val="28"/>
                <w:lang w:val="ro-RO" w:eastAsia="en-US"/>
              </w:rPr>
              <w:t>Tabelul nr.2</w:t>
            </w:r>
          </w:p>
          <w:p w:rsidR="001723ED" w:rsidRPr="00600702" w:rsidRDefault="001723ED" w:rsidP="001723ED">
            <w:pPr>
              <w:tabs>
                <w:tab w:val="left" w:pos="585"/>
              </w:tabs>
              <w:jc w:val="both"/>
              <w:rPr>
                <w:rFonts w:eastAsia="Calibri"/>
                <w:b/>
                <w:sz w:val="28"/>
                <w:szCs w:val="28"/>
                <w:lang w:val="ro-RO" w:eastAsia="en-US"/>
              </w:rPr>
            </w:pPr>
          </w:p>
          <w:tbl>
            <w:tblPr>
              <w:tblW w:w="8160" w:type="dxa"/>
              <w:tblLook w:val="04A0" w:firstRow="1" w:lastRow="0" w:firstColumn="1" w:lastColumn="0" w:noHBand="0" w:noVBand="1"/>
            </w:tblPr>
            <w:tblGrid>
              <w:gridCol w:w="2467"/>
              <w:gridCol w:w="2572"/>
              <w:gridCol w:w="3121"/>
            </w:tblGrid>
            <w:tr w:rsidR="001723ED" w:rsidRPr="00600702" w:rsidTr="00630056">
              <w:trPr>
                <w:trHeight w:val="855"/>
              </w:trPr>
              <w:tc>
                <w:tcPr>
                  <w:tcW w:w="8160" w:type="dxa"/>
                  <w:gridSpan w:val="3"/>
                  <w:tcBorders>
                    <w:top w:val="single" w:sz="4" w:space="0" w:color="auto"/>
                    <w:left w:val="single" w:sz="4" w:space="0" w:color="auto"/>
                    <w:bottom w:val="single" w:sz="4" w:space="0" w:color="auto"/>
                    <w:right w:val="single" w:sz="4" w:space="0" w:color="auto"/>
                  </w:tcBorders>
                  <w:vAlign w:val="center"/>
                  <w:hideMark/>
                </w:tcPr>
                <w:p w:rsidR="001723ED" w:rsidRPr="00600702" w:rsidRDefault="001723ED" w:rsidP="001723ED">
                  <w:pPr>
                    <w:jc w:val="center"/>
                    <w:rPr>
                      <w:bCs/>
                      <w:sz w:val="28"/>
                      <w:szCs w:val="28"/>
                      <w:lang w:val="ro-RO"/>
                    </w:rPr>
                  </w:pPr>
                  <w:r w:rsidRPr="00600702">
                    <w:rPr>
                      <w:bCs/>
                      <w:sz w:val="28"/>
                      <w:szCs w:val="28"/>
                      <w:lang w:val="ro-RO"/>
                    </w:rPr>
                    <w:t>Numărul de cisterne, autocisterne utilizate pentru transportarea gazelor petroliere lichefiate, înmatriculate pe teritoriul RM în perioada 2005-2016.</w:t>
                  </w:r>
                </w:p>
              </w:tc>
            </w:tr>
            <w:tr w:rsidR="001723ED" w:rsidRPr="00600702" w:rsidTr="00630056">
              <w:trPr>
                <w:trHeight w:val="300"/>
              </w:trPr>
              <w:tc>
                <w:tcPr>
                  <w:tcW w:w="2467" w:type="dxa"/>
                  <w:tcBorders>
                    <w:top w:val="single" w:sz="4" w:space="0" w:color="auto"/>
                    <w:left w:val="single" w:sz="4" w:space="0" w:color="auto"/>
                    <w:bottom w:val="single" w:sz="4" w:space="0" w:color="auto"/>
                    <w:right w:val="single" w:sz="4" w:space="0" w:color="auto"/>
                  </w:tcBorders>
                  <w:noWrap/>
                  <w:vAlign w:val="bottom"/>
                  <w:hideMark/>
                </w:tcPr>
                <w:p w:rsidR="001723ED" w:rsidRPr="00600702" w:rsidRDefault="001723ED" w:rsidP="001723ED">
                  <w:pPr>
                    <w:jc w:val="center"/>
                    <w:rPr>
                      <w:bCs/>
                      <w:sz w:val="28"/>
                      <w:szCs w:val="28"/>
                      <w:lang w:val="ro-RO"/>
                    </w:rPr>
                  </w:pPr>
                  <w:r w:rsidRPr="00600702">
                    <w:rPr>
                      <w:bCs/>
                      <w:sz w:val="28"/>
                      <w:szCs w:val="28"/>
                      <w:lang w:val="ro-RO"/>
                    </w:rPr>
                    <w:t>Anul înmatriculării</w:t>
                  </w:r>
                </w:p>
              </w:tc>
              <w:tc>
                <w:tcPr>
                  <w:tcW w:w="2572" w:type="dxa"/>
                  <w:tcBorders>
                    <w:top w:val="single" w:sz="4" w:space="0" w:color="auto"/>
                    <w:left w:val="nil"/>
                    <w:bottom w:val="single" w:sz="4" w:space="0" w:color="auto"/>
                    <w:right w:val="single" w:sz="4" w:space="0" w:color="auto"/>
                  </w:tcBorders>
                  <w:noWrap/>
                  <w:vAlign w:val="bottom"/>
                  <w:hideMark/>
                </w:tcPr>
                <w:p w:rsidR="001723ED" w:rsidRPr="00600702" w:rsidRDefault="001723ED" w:rsidP="001723ED">
                  <w:pPr>
                    <w:jc w:val="center"/>
                    <w:rPr>
                      <w:bCs/>
                      <w:sz w:val="28"/>
                      <w:szCs w:val="28"/>
                      <w:lang w:val="ro-RO"/>
                    </w:rPr>
                  </w:pPr>
                  <w:r w:rsidRPr="00600702">
                    <w:rPr>
                      <w:bCs/>
                      <w:sz w:val="28"/>
                      <w:szCs w:val="28"/>
                      <w:lang w:val="ro-RO"/>
                    </w:rPr>
                    <w:t xml:space="preserve">Numărul de cisterne </w:t>
                  </w:r>
                </w:p>
              </w:tc>
              <w:tc>
                <w:tcPr>
                  <w:tcW w:w="3121" w:type="dxa"/>
                  <w:tcBorders>
                    <w:top w:val="single" w:sz="4" w:space="0" w:color="auto"/>
                    <w:left w:val="nil"/>
                    <w:bottom w:val="single" w:sz="4" w:space="0" w:color="auto"/>
                    <w:right w:val="single" w:sz="4" w:space="0" w:color="auto"/>
                  </w:tcBorders>
                  <w:noWrap/>
                  <w:vAlign w:val="bottom"/>
                  <w:hideMark/>
                </w:tcPr>
                <w:p w:rsidR="001723ED" w:rsidRPr="00600702" w:rsidRDefault="001723ED" w:rsidP="001723ED">
                  <w:pPr>
                    <w:jc w:val="center"/>
                    <w:rPr>
                      <w:bCs/>
                      <w:sz w:val="28"/>
                      <w:szCs w:val="28"/>
                      <w:lang w:val="ro-RO"/>
                    </w:rPr>
                  </w:pPr>
                  <w:r w:rsidRPr="00600702">
                    <w:rPr>
                      <w:bCs/>
                      <w:sz w:val="28"/>
                      <w:szCs w:val="28"/>
                      <w:lang w:val="ro-RO"/>
                    </w:rPr>
                    <w:t xml:space="preserve">Numărul de autocisterne </w:t>
                  </w:r>
                </w:p>
              </w:tc>
            </w:tr>
            <w:tr w:rsidR="001723ED" w:rsidRPr="00600702" w:rsidTr="00630056">
              <w:trPr>
                <w:trHeight w:val="300"/>
              </w:trPr>
              <w:tc>
                <w:tcPr>
                  <w:tcW w:w="2467" w:type="dxa"/>
                  <w:tcBorders>
                    <w:top w:val="nil"/>
                    <w:left w:val="single" w:sz="4" w:space="0" w:color="auto"/>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2005</w:t>
                  </w:r>
                </w:p>
              </w:tc>
              <w:tc>
                <w:tcPr>
                  <w:tcW w:w="2572" w:type="dxa"/>
                  <w:tcBorders>
                    <w:top w:val="nil"/>
                    <w:left w:val="nil"/>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3</w:t>
                  </w:r>
                </w:p>
              </w:tc>
              <w:tc>
                <w:tcPr>
                  <w:tcW w:w="3121" w:type="dxa"/>
                  <w:tcBorders>
                    <w:top w:val="nil"/>
                    <w:left w:val="nil"/>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4</w:t>
                  </w:r>
                </w:p>
              </w:tc>
            </w:tr>
            <w:tr w:rsidR="001723ED" w:rsidRPr="00600702" w:rsidTr="00630056">
              <w:trPr>
                <w:trHeight w:val="300"/>
              </w:trPr>
              <w:tc>
                <w:tcPr>
                  <w:tcW w:w="2467" w:type="dxa"/>
                  <w:tcBorders>
                    <w:top w:val="nil"/>
                    <w:left w:val="single" w:sz="4" w:space="0" w:color="auto"/>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2006</w:t>
                  </w:r>
                </w:p>
              </w:tc>
              <w:tc>
                <w:tcPr>
                  <w:tcW w:w="2572" w:type="dxa"/>
                  <w:tcBorders>
                    <w:top w:val="nil"/>
                    <w:left w:val="nil"/>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4</w:t>
                  </w:r>
                </w:p>
              </w:tc>
              <w:tc>
                <w:tcPr>
                  <w:tcW w:w="3121" w:type="dxa"/>
                  <w:tcBorders>
                    <w:top w:val="nil"/>
                    <w:left w:val="nil"/>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4</w:t>
                  </w:r>
                </w:p>
              </w:tc>
            </w:tr>
            <w:tr w:rsidR="001723ED" w:rsidRPr="00600702" w:rsidTr="00630056">
              <w:trPr>
                <w:trHeight w:val="300"/>
              </w:trPr>
              <w:tc>
                <w:tcPr>
                  <w:tcW w:w="2467" w:type="dxa"/>
                  <w:tcBorders>
                    <w:top w:val="nil"/>
                    <w:left w:val="single" w:sz="4" w:space="0" w:color="auto"/>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2007</w:t>
                  </w:r>
                </w:p>
              </w:tc>
              <w:tc>
                <w:tcPr>
                  <w:tcW w:w="2572" w:type="dxa"/>
                  <w:tcBorders>
                    <w:top w:val="nil"/>
                    <w:left w:val="nil"/>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2</w:t>
                  </w:r>
                </w:p>
              </w:tc>
              <w:tc>
                <w:tcPr>
                  <w:tcW w:w="3121" w:type="dxa"/>
                  <w:tcBorders>
                    <w:top w:val="nil"/>
                    <w:left w:val="nil"/>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6</w:t>
                  </w:r>
                </w:p>
              </w:tc>
            </w:tr>
            <w:tr w:rsidR="001723ED" w:rsidRPr="00600702" w:rsidTr="00630056">
              <w:trPr>
                <w:trHeight w:val="300"/>
              </w:trPr>
              <w:tc>
                <w:tcPr>
                  <w:tcW w:w="2467" w:type="dxa"/>
                  <w:tcBorders>
                    <w:top w:val="nil"/>
                    <w:left w:val="single" w:sz="4" w:space="0" w:color="auto"/>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2008</w:t>
                  </w:r>
                </w:p>
              </w:tc>
              <w:tc>
                <w:tcPr>
                  <w:tcW w:w="2572" w:type="dxa"/>
                  <w:tcBorders>
                    <w:top w:val="nil"/>
                    <w:left w:val="nil"/>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4</w:t>
                  </w:r>
                </w:p>
              </w:tc>
              <w:tc>
                <w:tcPr>
                  <w:tcW w:w="3121" w:type="dxa"/>
                  <w:tcBorders>
                    <w:top w:val="nil"/>
                    <w:left w:val="nil"/>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8</w:t>
                  </w:r>
                </w:p>
              </w:tc>
            </w:tr>
            <w:tr w:rsidR="001723ED" w:rsidRPr="00600702" w:rsidTr="00630056">
              <w:trPr>
                <w:trHeight w:val="300"/>
              </w:trPr>
              <w:tc>
                <w:tcPr>
                  <w:tcW w:w="2467" w:type="dxa"/>
                  <w:tcBorders>
                    <w:top w:val="nil"/>
                    <w:left w:val="single" w:sz="4" w:space="0" w:color="auto"/>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2009</w:t>
                  </w:r>
                </w:p>
              </w:tc>
              <w:tc>
                <w:tcPr>
                  <w:tcW w:w="2572" w:type="dxa"/>
                  <w:tcBorders>
                    <w:top w:val="nil"/>
                    <w:left w:val="nil"/>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4</w:t>
                  </w:r>
                </w:p>
              </w:tc>
              <w:tc>
                <w:tcPr>
                  <w:tcW w:w="3121" w:type="dxa"/>
                  <w:tcBorders>
                    <w:top w:val="nil"/>
                    <w:left w:val="nil"/>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8</w:t>
                  </w:r>
                </w:p>
              </w:tc>
            </w:tr>
            <w:tr w:rsidR="001723ED" w:rsidRPr="00600702" w:rsidTr="00630056">
              <w:trPr>
                <w:trHeight w:val="300"/>
              </w:trPr>
              <w:tc>
                <w:tcPr>
                  <w:tcW w:w="2467" w:type="dxa"/>
                  <w:tcBorders>
                    <w:top w:val="nil"/>
                    <w:left w:val="single" w:sz="4" w:space="0" w:color="auto"/>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2010</w:t>
                  </w:r>
                </w:p>
              </w:tc>
              <w:tc>
                <w:tcPr>
                  <w:tcW w:w="2572" w:type="dxa"/>
                  <w:tcBorders>
                    <w:top w:val="nil"/>
                    <w:left w:val="nil"/>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4</w:t>
                  </w:r>
                </w:p>
              </w:tc>
              <w:tc>
                <w:tcPr>
                  <w:tcW w:w="3121" w:type="dxa"/>
                  <w:tcBorders>
                    <w:top w:val="nil"/>
                    <w:left w:val="nil"/>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8</w:t>
                  </w:r>
                </w:p>
              </w:tc>
            </w:tr>
            <w:tr w:rsidR="001723ED" w:rsidRPr="00600702" w:rsidTr="00630056">
              <w:trPr>
                <w:trHeight w:val="300"/>
              </w:trPr>
              <w:tc>
                <w:tcPr>
                  <w:tcW w:w="2467" w:type="dxa"/>
                  <w:tcBorders>
                    <w:top w:val="nil"/>
                    <w:left w:val="single" w:sz="4" w:space="0" w:color="auto"/>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2011</w:t>
                  </w:r>
                </w:p>
              </w:tc>
              <w:tc>
                <w:tcPr>
                  <w:tcW w:w="2572" w:type="dxa"/>
                  <w:tcBorders>
                    <w:top w:val="nil"/>
                    <w:left w:val="nil"/>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4</w:t>
                  </w:r>
                </w:p>
              </w:tc>
              <w:tc>
                <w:tcPr>
                  <w:tcW w:w="3121" w:type="dxa"/>
                  <w:tcBorders>
                    <w:top w:val="nil"/>
                    <w:left w:val="nil"/>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9</w:t>
                  </w:r>
                </w:p>
              </w:tc>
            </w:tr>
            <w:tr w:rsidR="001723ED" w:rsidRPr="00600702" w:rsidTr="00630056">
              <w:trPr>
                <w:trHeight w:val="300"/>
              </w:trPr>
              <w:tc>
                <w:tcPr>
                  <w:tcW w:w="2467" w:type="dxa"/>
                  <w:tcBorders>
                    <w:top w:val="nil"/>
                    <w:left w:val="single" w:sz="4" w:space="0" w:color="auto"/>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2012</w:t>
                  </w:r>
                </w:p>
              </w:tc>
              <w:tc>
                <w:tcPr>
                  <w:tcW w:w="2572" w:type="dxa"/>
                  <w:tcBorders>
                    <w:top w:val="nil"/>
                    <w:left w:val="nil"/>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5</w:t>
                  </w:r>
                </w:p>
              </w:tc>
              <w:tc>
                <w:tcPr>
                  <w:tcW w:w="3121" w:type="dxa"/>
                  <w:tcBorders>
                    <w:top w:val="nil"/>
                    <w:left w:val="nil"/>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11</w:t>
                  </w:r>
                </w:p>
              </w:tc>
            </w:tr>
            <w:tr w:rsidR="001723ED" w:rsidRPr="00600702" w:rsidTr="00630056">
              <w:trPr>
                <w:trHeight w:val="300"/>
              </w:trPr>
              <w:tc>
                <w:tcPr>
                  <w:tcW w:w="2467" w:type="dxa"/>
                  <w:tcBorders>
                    <w:top w:val="nil"/>
                    <w:left w:val="single" w:sz="4" w:space="0" w:color="auto"/>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2013</w:t>
                  </w:r>
                </w:p>
              </w:tc>
              <w:tc>
                <w:tcPr>
                  <w:tcW w:w="2572" w:type="dxa"/>
                  <w:tcBorders>
                    <w:top w:val="nil"/>
                    <w:left w:val="nil"/>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5</w:t>
                  </w:r>
                </w:p>
              </w:tc>
              <w:tc>
                <w:tcPr>
                  <w:tcW w:w="3121" w:type="dxa"/>
                  <w:tcBorders>
                    <w:top w:val="nil"/>
                    <w:left w:val="nil"/>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14</w:t>
                  </w:r>
                </w:p>
              </w:tc>
            </w:tr>
            <w:tr w:rsidR="001723ED" w:rsidRPr="00600702" w:rsidTr="00630056">
              <w:trPr>
                <w:trHeight w:val="300"/>
              </w:trPr>
              <w:tc>
                <w:tcPr>
                  <w:tcW w:w="2467" w:type="dxa"/>
                  <w:tcBorders>
                    <w:top w:val="nil"/>
                    <w:left w:val="single" w:sz="4" w:space="0" w:color="auto"/>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2014</w:t>
                  </w:r>
                </w:p>
              </w:tc>
              <w:tc>
                <w:tcPr>
                  <w:tcW w:w="2572" w:type="dxa"/>
                  <w:tcBorders>
                    <w:top w:val="nil"/>
                    <w:left w:val="nil"/>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6</w:t>
                  </w:r>
                </w:p>
              </w:tc>
              <w:tc>
                <w:tcPr>
                  <w:tcW w:w="3121" w:type="dxa"/>
                  <w:tcBorders>
                    <w:top w:val="nil"/>
                    <w:left w:val="nil"/>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14</w:t>
                  </w:r>
                </w:p>
              </w:tc>
            </w:tr>
            <w:tr w:rsidR="001723ED" w:rsidRPr="00600702" w:rsidTr="00630056">
              <w:trPr>
                <w:trHeight w:val="300"/>
              </w:trPr>
              <w:tc>
                <w:tcPr>
                  <w:tcW w:w="2467" w:type="dxa"/>
                  <w:tcBorders>
                    <w:top w:val="nil"/>
                    <w:left w:val="single" w:sz="4" w:space="0" w:color="auto"/>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2015</w:t>
                  </w:r>
                </w:p>
              </w:tc>
              <w:tc>
                <w:tcPr>
                  <w:tcW w:w="2572" w:type="dxa"/>
                  <w:tcBorders>
                    <w:top w:val="nil"/>
                    <w:left w:val="nil"/>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10</w:t>
                  </w:r>
                </w:p>
              </w:tc>
              <w:tc>
                <w:tcPr>
                  <w:tcW w:w="3121" w:type="dxa"/>
                  <w:tcBorders>
                    <w:top w:val="nil"/>
                    <w:left w:val="nil"/>
                    <w:bottom w:val="single" w:sz="4" w:space="0" w:color="auto"/>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20</w:t>
                  </w:r>
                </w:p>
              </w:tc>
            </w:tr>
            <w:tr w:rsidR="001723ED" w:rsidRPr="00600702" w:rsidTr="00630056">
              <w:trPr>
                <w:trHeight w:val="315"/>
              </w:trPr>
              <w:tc>
                <w:tcPr>
                  <w:tcW w:w="2467" w:type="dxa"/>
                  <w:tcBorders>
                    <w:top w:val="nil"/>
                    <w:left w:val="single" w:sz="4" w:space="0" w:color="auto"/>
                    <w:bottom w:val="nil"/>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2016</w:t>
                  </w:r>
                </w:p>
              </w:tc>
              <w:tc>
                <w:tcPr>
                  <w:tcW w:w="2572" w:type="dxa"/>
                  <w:tcBorders>
                    <w:top w:val="nil"/>
                    <w:left w:val="nil"/>
                    <w:bottom w:val="nil"/>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15</w:t>
                  </w:r>
                </w:p>
              </w:tc>
              <w:tc>
                <w:tcPr>
                  <w:tcW w:w="3121" w:type="dxa"/>
                  <w:tcBorders>
                    <w:top w:val="nil"/>
                    <w:left w:val="nil"/>
                    <w:bottom w:val="nil"/>
                    <w:right w:val="single" w:sz="4" w:space="0" w:color="auto"/>
                  </w:tcBorders>
                  <w:noWrap/>
                  <w:vAlign w:val="bottom"/>
                  <w:hideMark/>
                </w:tcPr>
                <w:p w:rsidR="001723ED" w:rsidRPr="00600702" w:rsidRDefault="001723ED" w:rsidP="001723ED">
                  <w:pPr>
                    <w:jc w:val="center"/>
                    <w:rPr>
                      <w:bCs/>
                      <w:sz w:val="28"/>
                      <w:szCs w:val="28"/>
                    </w:rPr>
                  </w:pPr>
                  <w:r w:rsidRPr="00600702">
                    <w:rPr>
                      <w:bCs/>
                      <w:sz w:val="28"/>
                      <w:szCs w:val="28"/>
                    </w:rPr>
                    <w:t>24</w:t>
                  </w:r>
                </w:p>
              </w:tc>
            </w:tr>
            <w:tr w:rsidR="001723ED" w:rsidRPr="00600702" w:rsidTr="00630056">
              <w:trPr>
                <w:trHeight w:val="315"/>
              </w:trPr>
              <w:tc>
                <w:tcPr>
                  <w:tcW w:w="2467" w:type="dxa"/>
                  <w:tcBorders>
                    <w:top w:val="single" w:sz="8" w:space="0" w:color="auto"/>
                    <w:left w:val="single" w:sz="8" w:space="0" w:color="auto"/>
                    <w:bottom w:val="single" w:sz="8" w:space="0" w:color="auto"/>
                    <w:right w:val="single" w:sz="8" w:space="0" w:color="auto"/>
                  </w:tcBorders>
                  <w:noWrap/>
                  <w:vAlign w:val="bottom"/>
                  <w:hideMark/>
                </w:tcPr>
                <w:p w:rsidR="001723ED" w:rsidRPr="00600702" w:rsidRDefault="001723ED" w:rsidP="001723ED">
                  <w:pPr>
                    <w:jc w:val="center"/>
                    <w:rPr>
                      <w:b/>
                      <w:bCs/>
                      <w:sz w:val="28"/>
                      <w:szCs w:val="28"/>
                    </w:rPr>
                  </w:pPr>
                  <w:r w:rsidRPr="00600702">
                    <w:rPr>
                      <w:b/>
                      <w:bCs/>
                      <w:sz w:val="28"/>
                      <w:szCs w:val="28"/>
                    </w:rPr>
                    <w:t>Total</w:t>
                  </w:r>
                </w:p>
              </w:tc>
              <w:tc>
                <w:tcPr>
                  <w:tcW w:w="2572" w:type="dxa"/>
                  <w:tcBorders>
                    <w:top w:val="single" w:sz="8" w:space="0" w:color="auto"/>
                    <w:left w:val="nil"/>
                    <w:bottom w:val="single" w:sz="8" w:space="0" w:color="auto"/>
                    <w:right w:val="single" w:sz="8" w:space="0" w:color="auto"/>
                  </w:tcBorders>
                  <w:noWrap/>
                  <w:vAlign w:val="bottom"/>
                  <w:hideMark/>
                </w:tcPr>
                <w:p w:rsidR="001723ED" w:rsidRPr="00600702" w:rsidRDefault="001723ED" w:rsidP="001723ED">
                  <w:pPr>
                    <w:jc w:val="center"/>
                    <w:rPr>
                      <w:b/>
                      <w:sz w:val="28"/>
                      <w:szCs w:val="28"/>
                    </w:rPr>
                  </w:pPr>
                  <w:r w:rsidRPr="00600702">
                    <w:rPr>
                      <w:b/>
                      <w:sz w:val="28"/>
                      <w:szCs w:val="28"/>
                    </w:rPr>
                    <w:t>66</w:t>
                  </w:r>
                </w:p>
              </w:tc>
              <w:tc>
                <w:tcPr>
                  <w:tcW w:w="3121" w:type="dxa"/>
                  <w:tcBorders>
                    <w:top w:val="single" w:sz="8" w:space="0" w:color="auto"/>
                    <w:left w:val="nil"/>
                    <w:bottom w:val="single" w:sz="8" w:space="0" w:color="auto"/>
                    <w:right w:val="single" w:sz="8" w:space="0" w:color="auto"/>
                  </w:tcBorders>
                  <w:noWrap/>
                  <w:vAlign w:val="bottom"/>
                  <w:hideMark/>
                </w:tcPr>
                <w:p w:rsidR="001723ED" w:rsidRPr="00600702" w:rsidRDefault="001723ED" w:rsidP="001723ED">
                  <w:pPr>
                    <w:jc w:val="center"/>
                    <w:rPr>
                      <w:b/>
                      <w:sz w:val="28"/>
                      <w:szCs w:val="28"/>
                    </w:rPr>
                  </w:pPr>
                  <w:r w:rsidRPr="00600702">
                    <w:rPr>
                      <w:b/>
                      <w:sz w:val="28"/>
                      <w:szCs w:val="28"/>
                    </w:rPr>
                    <w:t>130</w:t>
                  </w:r>
                </w:p>
              </w:tc>
            </w:tr>
          </w:tbl>
          <w:p w:rsidR="001723ED" w:rsidRPr="00600702" w:rsidRDefault="001723ED" w:rsidP="001723ED">
            <w:pPr>
              <w:tabs>
                <w:tab w:val="left" w:pos="585"/>
              </w:tabs>
              <w:jc w:val="both"/>
              <w:rPr>
                <w:rFonts w:eastAsia="Calibri"/>
                <w:sz w:val="28"/>
                <w:szCs w:val="28"/>
                <w:lang w:val="ro-RO" w:eastAsia="en-US"/>
              </w:rPr>
            </w:pPr>
            <w:r w:rsidRPr="00600702">
              <w:rPr>
                <w:rFonts w:eastAsia="Calibri"/>
                <w:sz w:val="28"/>
                <w:szCs w:val="28"/>
                <w:lang w:val="ro-RO" w:eastAsia="en-US"/>
              </w:rPr>
              <w:t xml:space="preserve">       </w:t>
            </w:r>
          </w:p>
          <w:p w:rsidR="00095777" w:rsidRPr="00600702" w:rsidRDefault="00095777" w:rsidP="00AC7479">
            <w:pPr>
              <w:tabs>
                <w:tab w:val="left" w:pos="585"/>
              </w:tabs>
              <w:jc w:val="both"/>
              <w:rPr>
                <w:sz w:val="28"/>
                <w:szCs w:val="28"/>
                <w:lang w:val="ro-RO"/>
              </w:rPr>
            </w:pPr>
            <w:proofErr w:type="spellStart"/>
            <w:r w:rsidRPr="00600702">
              <w:rPr>
                <w:sz w:val="28"/>
                <w:szCs w:val="28"/>
                <w:shd w:val="clear" w:color="auto" w:fill="FFFFFF"/>
              </w:rPr>
              <w:t>Agenţia</w:t>
            </w:r>
            <w:proofErr w:type="spellEnd"/>
            <w:r w:rsidRPr="00600702">
              <w:rPr>
                <w:sz w:val="28"/>
                <w:szCs w:val="28"/>
                <w:shd w:val="clear" w:color="auto" w:fill="FFFFFF"/>
              </w:rPr>
              <w:t xml:space="preserve"> </w:t>
            </w:r>
            <w:proofErr w:type="spellStart"/>
            <w:r w:rsidRPr="00600702">
              <w:rPr>
                <w:sz w:val="28"/>
                <w:szCs w:val="28"/>
                <w:shd w:val="clear" w:color="auto" w:fill="FFFFFF"/>
              </w:rPr>
              <w:t>Naţională</w:t>
            </w:r>
            <w:proofErr w:type="spellEnd"/>
            <w:r w:rsidRPr="00600702">
              <w:rPr>
                <w:sz w:val="28"/>
                <w:szCs w:val="28"/>
                <w:shd w:val="clear" w:color="auto" w:fill="FFFFFF"/>
              </w:rPr>
              <w:t xml:space="preserve"> Transport Auto </w:t>
            </w:r>
            <w:r w:rsidRPr="00600702">
              <w:rPr>
                <w:sz w:val="28"/>
                <w:szCs w:val="28"/>
                <w:lang w:val="ro-RO"/>
              </w:rPr>
              <w:t>a autorizat în anul 2014 - 77 stații de inspecție periodică;</w:t>
            </w:r>
          </w:p>
          <w:p w:rsidR="00095777" w:rsidRPr="00600702" w:rsidRDefault="00095777" w:rsidP="00095777">
            <w:pPr>
              <w:tabs>
                <w:tab w:val="left" w:pos="544"/>
              </w:tabs>
              <w:jc w:val="both"/>
              <w:rPr>
                <w:sz w:val="28"/>
                <w:szCs w:val="28"/>
              </w:rPr>
            </w:pPr>
            <w:r w:rsidRPr="00600702">
              <w:rPr>
                <w:sz w:val="28"/>
                <w:szCs w:val="28"/>
                <w:lang w:val="ro-RO"/>
              </w:rPr>
              <w:lastRenderedPageBreak/>
              <w:t xml:space="preserve"> în anul 2015 - 80 stații și respectiv în primele 8 luni ale anului 2016 - 75 stații. În anul 2015 au fost supuse inspecției tehnice periodice 497 611 unități de transport, dintre care au susținut doar 475 522 unități, ceea ce constituie cca. 54,78% din parcul rulant național. Analiza informației date denotă că cca. 1 500 unități de transport sunt antrenate la prestarea serviciilor de transport rutier de mărfuri periculoase (care este de fapt capacitatea medie a pieței în cazul Republicii Moldova) pot cădea sub prevederile </w:t>
            </w:r>
            <w:proofErr w:type="spellStart"/>
            <w:r w:rsidRPr="00600702">
              <w:rPr>
                <w:sz w:val="28"/>
                <w:szCs w:val="28"/>
              </w:rPr>
              <w:t>proiectului</w:t>
            </w:r>
            <w:proofErr w:type="spellEnd"/>
            <w:r w:rsidRPr="00600702">
              <w:rPr>
                <w:sz w:val="28"/>
                <w:szCs w:val="28"/>
              </w:rPr>
              <w:t>.</w:t>
            </w:r>
          </w:p>
          <w:p w:rsidR="00095777" w:rsidRPr="00600702" w:rsidRDefault="00095777" w:rsidP="00095777">
            <w:pPr>
              <w:tabs>
                <w:tab w:val="left" w:pos="589"/>
              </w:tabs>
              <w:ind w:firstLine="602"/>
              <w:jc w:val="both"/>
              <w:rPr>
                <w:sz w:val="28"/>
                <w:szCs w:val="28"/>
                <w:lang w:val="ro-RO"/>
              </w:rPr>
            </w:pPr>
            <w:r w:rsidRPr="00600702">
              <w:rPr>
                <w:rFonts w:eastAsia="MS Mincho"/>
                <w:sz w:val="28"/>
                <w:szCs w:val="28"/>
                <w:lang w:val="ro-RO" w:eastAsia="ja-JP"/>
              </w:rPr>
              <w:t xml:space="preserve">Numărul companiilor implicate în transportul rutier de mărfuri periculoase în perioada anilor 2014 – 2016: a) 150 agenți economici – în anul 2014, b) 168 agenți economici – în anul 2015 și c) 145 agenți economici - </w:t>
            </w:r>
            <w:r w:rsidRPr="00600702">
              <w:rPr>
                <w:sz w:val="28"/>
                <w:szCs w:val="28"/>
                <w:lang w:val="ro-RO"/>
              </w:rPr>
              <w:t>în primele 8 luni ale anului 2016.</w:t>
            </w:r>
          </w:p>
          <w:p w:rsidR="005C05B7" w:rsidRPr="00600702" w:rsidRDefault="0058391B" w:rsidP="000050D3">
            <w:pPr>
              <w:ind w:firstLine="602"/>
              <w:jc w:val="both"/>
              <w:rPr>
                <w:sz w:val="28"/>
                <w:szCs w:val="28"/>
                <w:lang w:val="ro-RO" w:eastAsia="ru-RU"/>
              </w:rPr>
            </w:pPr>
            <w:r w:rsidRPr="00600702">
              <w:rPr>
                <w:b/>
                <w:sz w:val="28"/>
                <w:szCs w:val="28"/>
                <w:lang w:val="ro-RO"/>
              </w:rPr>
              <w:t>c)</w:t>
            </w:r>
            <w:r w:rsidRPr="00600702">
              <w:rPr>
                <w:sz w:val="28"/>
                <w:szCs w:val="28"/>
                <w:lang w:val="ro-RO" w:eastAsia="ru-RU"/>
              </w:rPr>
              <w:t xml:space="preserve"> </w:t>
            </w:r>
            <w:r w:rsidR="000050D3" w:rsidRPr="00600702">
              <w:rPr>
                <w:sz w:val="28"/>
                <w:szCs w:val="28"/>
                <w:lang w:val="ro-RO" w:eastAsia="ru-RU"/>
              </w:rPr>
              <w:t xml:space="preserve"> Am pute menționa unele cauze  care au dus </w:t>
            </w:r>
            <w:r w:rsidR="005C05B7" w:rsidRPr="00600702">
              <w:rPr>
                <w:sz w:val="28"/>
                <w:szCs w:val="28"/>
                <w:lang w:val="ro-RO" w:eastAsia="ru-RU"/>
              </w:rPr>
              <w:t>la apariția problemei:</w:t>
            </w:r>
          </w:p>
          <w:p w:rsidR="005C05B7" w:rsidRPr="00600702" w:rsidRDefault="005C05B7" w:rsidP="000050D3">
            <w:pPr>
              <w:ind w:firstLine="602"/>
              <w:jc w:val="both"/>
              <w:rPr>
                <w:rFonts w:eastAsia="Arial Unicode MS"/>
                <w:sz w:val="28"/>
                <w:szCs w:val="28"/>
                <w:lang w:val="ro-RO" w:eastAsia="ro-RO"/>
              </w:rPr>
            </w:pPr>
            <w:r w:rsidRPr="00600702">
              <w:rPr>
                <w:b/>
                <w:sz w:val="28"/>
                <w:szCs w:val="28"/>
                <w:lang w:val="ro-RO" w:eastAsia="ru-RU"/>
              </w:rPr>
              <w:t>1)</w:t>
            </w:r>
            <w:r w:rsidRPr="00600702">
              <w:rPr>
                <w:sz w:val="28"/>
                <w:szCs w:val="28"/>
                <w:lang w:val="ro-RO" w:eastAsia="ru-RU"/>
              </w:rPr>
              <w:t xml:space="preserve"> Lipsa unor cerințe </w:t>
            </w:r>
            <w:r w:rsidR="000050D3" w:rsidRPr="00600702">
              <w:rPr>
                <w:rFonts w:eastAsia="EUAlbertina-Regular-Identity-H"/>
                <w:sz w:val="28"/>
                <w:szCs w:val="28"/>
                <w:lang w:val="ro-RO" w:eastAsia="en-US"/>
              </w:rPr>
              <w:t xml:space="preserve">la </w:t>
            </w:r>
            <w:r w:rsidR="000050D3" w:rsidRPr="00600702">
              <w:rPr>
                <w:rFonts w:eastAsia="Arial Unicode MS"/>
                <w:sz w:val="28"/>
                <w:szCs w:val="28"/>
                <w:lang w:val="ro-RO" w:eastAsia="ro-RO"/>
              </w:rPr>
              <w:t>proiecta</w:t>
            </w:r>
            <w:r w:rsidRPr="00600702">
              <w:rPr>
                <w:rFonts w:eastAsia="Arial Unicode MS"/>
                <w:sz w:val="28"/>
                <w:szCs w:val="28"/>
                <w:lang w:val="ro-RO" w:eastAsia="ro-RO"/>
              </w:rPr>
              <w:t>rea, fabricare</w:t>
            </w:r>
            <w:r w:rsidR="000050D3" w:rsidRPr="00600702">
              <w:rPr>
                <w:rFonts w:eastAsia="Arial Unicode MS"/>
                <w:sz w:val="28"/>
                <w:szCs w:val="28"/>
                <w:lang w:val="ro-RO" w:eastAsia="ro-RO"/>
              </w:rPr>
              <w:t>,</w:t>
            </w:r>
            <w:r w:rsidRPr="00600702">
              <w:rPr>
                <w:rFonts w:eastAsia="Arial Unicode MS"/>
                <w:sz w:val="28"/>
                <w:szCs w:val="28"/>
                <w:lang w:val="ro-RO" w:eastAsia="ro-RO"/>
              </w:rPr>
              <w:t xml:space="preserve"> exploatarea și utilizare echipamentelor sub presiune transportabile care</w:t>
            </w:r>
            <w:r w:rsidR="000050D3" w:rsidRPr="00600702">
              <w:rPr>
                <w:rFonts w:eastAsia="Arial Unicode MS"/>
                <w:sz w:val="28"/>
                <w:szCs w:val="28"/>
                <w:lang w:val="ro-RO" w:eastAsia="ro-RO"/>
              </w:rPr>
              <w:t xml:space="preserve"> se garanteze securitatea </w:t>
            </w:r>
            <w:r w:rsidR="001F367D" w:rsidRPr="00600702">
              <w:rPr>
                <w:rFonts w:eastAsia="Arial Unicode MS"/>
                <w:sz w:val="28"/>
                <w:szCs w:val="28"/>
                <w:lang w:val="ro-RO" w:eastAsia="ro-RO"/>
              </w:rPr>
              <w:t xml:space="preserve">la exploatarea </w:t>
            </w:r>
            <w:r w:rsidR="000050D3" w:rsidRPr="00600702">
              <w:rPr>
                <w:rFonts w:eastAsia="Arial Unicode MS"/>
                <w:sz w:val="28"/>
                <w:szCs w:val="28"/>
                <w:lang w:val="ro-RO" w:eastAsia="ro-RO"/>
              </w:rPr>
              <w:t xml:space="preserve">lor atunci când </w:t>
            </w:r>
            <w:proofErr w:type="spellStart"/>
            <w:r w:rsidR="000050D3" w:rsidRPr="00600702">
              <w:rPr>
                <w:rFonts w:eastAsia="Arial Unicode MS"/>
                <w:sz w:val="28"/>
                <w:szCs w:val="28"/>
                <w:lang w:val="ro-RO" w:eastAsia="ro-RO"/>
              </w:rPr>
              <w:t>sînt</w:t>
            </w:r>
            <w:proofErr w:type="spellEnd"/>
            <w:r w:rsidR="000050D3" w:rsidRPr="00600702">
              <w:rPr>
                <w:rFonts w:eastAsia="Arial Unicode MS"/>
                <w:sz w:val="28"/>
                <w:szCs w:val="28"/>
                <w:lang w:val="ro-RO" w:eastAsia="ro-RO"/>
              </w:rPr>
              <w:t xml:space="preserve"> puse în funcțiune în conformitate cu instrucțiunile producătorului sau în condiții care pot fi în mod rezonabil prevăzute</w:t>
            </w:r>
            <w:r w:rsidRPr="00600702">
              <w:rPr>
                <w:rFonts w:eastAsia="Arial Unicode MS"/>
                <w:sz w:val="28"/>
                <w:szCs w:val="28"/>
                <w:lang w:val="ro-RO" w:eastAsia="ro-RO"/>
              </w:rPr>
              <w:t>.</w:t>
            </w:r>
          </w:p>
          <w:p w:rsidR="00095777" w:rsidRPr="00600702" w:rsidRDefault="00095777" w:rsidP="000050D3">
            <w:pPr>
              <w:ind w:firstLine="602"/>
              <w:jc w:val="both"/>
              <w:rPr>
                <w:rFonts w:eastAsia="Arial Unicode MS"/>
                <w:sz w:val="28"/>
                <w:szCs w:val="28"/>
                <w:lang w:val="ro-RO" w:eastAsia="ro-RO"/>
              </w:rPr>
            </w:pPr>
            <w:r w:rsidRPr="00600702">
              <w:rPr>
                <w:rFonts w:eastAsia="Arial Unicode MS"/>
                <w:sz w:val="28"/>
                <w:szCs w:val="28"/>
                <w:lang w:val="ro-RO" w:eastAsia="ro-RO"/>
              </w:rPr>
              <w:t>Este de menționat că, î</w:t>
            </w:r>
            <w:r w:rsidRPr="00600702">
              <w:rPr>
                <w:sz w:val="28"/>
                <w:szCs w:val="28"/>
                <w:lang w:val="ro-RO"/>
              </w:rPr>
              <w:t xml:space="preserve">n prezent, recipientele sub presiune este reglementat de </w:t>
            </w:r>
            <w:r w:rsidR="007B6DD0" w:rsidRPr="00600702">
              <w:rPr>
                <w:sz w:val="28"/>
                <w:szCs w:val="28"/>
                <w:lang w:val="ro-RO"/>
              </w:rPr>
              <w:t>mai multe Norme și Reguli de Securitate</w:t>
            </w:r>
            <w:r w:rsidR="00B1083C" w:rsidRPr="00600702">
              <w:rPr>
                <w:sz w:val="28"/>
                <w:szCs w:val="28"/>
                <w:lang w:val="ro-RO"/>
              </w:rPr>
              <w:t xml:space="preserve"> (NRS)</w:t>
            </w:r>
            <w:r w:rsidR="007B6DD0" w:rsidRPr="00600702">
              <w:rPr>
                <w:sz w:val="28"/>
                <w:szCs w:val="28"/>
                <w:lang w:val="ro-RO"/>
              </w:rPr>
              <w:t xml:space="preserve">, </w:t>
            </w:r>
            <w:r w:rsidR="00B1083C" w:rsidRPr="00600702">
              <w:rPr>
                <w:sz w:val="28"/>
                <w:szCs w:val="28"/>
                <w:lang w:val="ro-RO"/>
              </w:rPr>
              <w:t>ase vedea pct. e)</w:t>
            </w:r>
            <w:r w:rsidRPr="00600702">
              <w:rPr>
                <w:sz w:val="28"/>
                <w:szCs w:val="28"/>
                <w:lang w:val="ro-RO"/>
              </w:rPr>
              <w:t>, care funcționează sub presiune excedentară ce nu fac diferența între cele transportabile și cele staționare.</w:t>
            </w:r>
            <w:r w:rsidR="001F367D" w:rsidRPr="00600702">
              <w:rPr>
                <w:sz w:val="28"/>
                <w:szCs w:val="28"/>
                <w:lang w:val="ro-RO"/>
              </w:rPr>
              <w:t xml:space="preserve"> Dar nu sunt clar stabilite cerințe pentru</w:t>
            </w:r>
            <w:r w:rsidR="001F367D" w:rsidRPr="00600702">
              <w:rPr>
                <w:rFonts w:eastAsia="Arial Unicode MS"/>
                <w:sz w:val="28"/>
                <w:szCs w:val="28"/>
                <w:lang w:val="ro-RO" w:eastAsia="ro-RO"/>
              </w:rPr>
              <w:t xml:space="preserve"> echipamentelor sub presiune transportabile pentru introducerea lor pe piață, precum și pentru exploatarea ulterioară după punerea în </w:t>
            </w:r>
            <w:r w:rsidR="00CF7CD6" w:rsidRPr="00600702">
              <w:rPr>
                <w:rFonts w:eastAsia="Arial Unicode MS"/>
                <w:sz w:val="28"/>
                <w:szCs w:val="28"/>
                <w:lang w:val="ro-RO" w:eastAsia="ro-RO"/>
              </w:rPr>
              <w:t>funcțiune</w:t>
            </w:r>
            <w:r w:rsidR="001F367D" w:rsidRPr="00600702">
              <w:rPr>
                <w:rFonts w:eastAsia="Arial Unicode MS"/>
                <w:sz w:val="28"/>
                <w:szCs w:val="28"/>
                <w:lang w:val="ro-RO" w:eastAsia="ro-RO"/>
              </w:rPr>
              <w:t xml:space="preserve"> la utilizator.</w:t>
            </w:r>
            <w:r w:rsidR="001F367D" w:rsidRPr="00600702">
              <w:rPr>
                <w:sz w:val="28"/>
                <w:szCs w:val="28"/>
                <w:lang w:val="ro-RO"/>
              </w:rPr>
              <w:t xml:space="preserve"> </w:t>
            </w:r>
            <w:r w:rsidR="007B6DD0" w:rsidRPr="00600702">
              <w:rPr>
                <w:sz w:val="28"/>
                <w:szCs w:val="28"/>
                <w:lang w:val="ro-RO"/>
              </w:rPr>
              <w:t xml:space="preserve"> </w:t>
            </w:r>
          </w:p>
          <w:p w:rsidR="00204916" w:rsidRPr="00600702" w:rsidRDefault="005C05B7" w:rsidP="000050D3">
            <w:pPr>
              <w:ind w:firstLine="602"/>
              <w:jc w:val="both"/>
              <w:rPr>
                <w:rFonts w:eastAsia="Arial Unicode MS"/>
                <w:sz w:val="28"/>
                <w:szCs w:val="28"/>
                <w:lang w:val="ro-RO" w:eastAsia="ro-RO"/>
              </w:rPr>
            </w:pPr>
            <w:r w:rsidRPr="00600702">
              <w:rPr>
                <w:rFonts w:eastAsia="Arial Unicode MS"/>
                <w:b/>
                <w:sz w:val="28"/>
                <w:szCs w:val="28"/>
                <w:lang w:val="ro-RO" w:eastAsia="ro-RO"/>
              </w:rPr>
              <w:t>2)</w:t>
            </w:r>
            <w:r w:rsidRPr="00600702">
              <w:rPr>
                <w:rFonts w:eastAsia="Arial Unicode MS"/>
                <w:sz w:val="28"/>
                <w:szCs w:val="28"/>
                <w:lang w:val="ro-RO" w:eastAsia="ro-RO"/>
              </w:rPr>
              <w:t xml:space="preserve"> Lipsa unor </w:t>
            </w:r>
            <w:r w:rsidRPr="00600702">
              <w:rPr>
                <w:sz w:val="28"/>
                <w:szCs w:val="28"/>
                <w:lang w:val="ro-RO"/>
              </w:rPr>
              <w:t>norme cu privire la obligațiile producătorilor și utilizatorilor și cerințele care ar trebui îndeplinite de echipamentele utilizate pentru transportul interior de mărfuri periculoase și pentru a asigura libera circulație a echipamentelor respective, inclusiv introducerea pe piață și punerea la dispoziție pe piață</w:t>
            </w:r>
            <w:r w:rsidR="000050D3" w:rsidRPr="00600702">
              <w:rPr>
                <w:rFonts w:eastAsia="Arial Unicode MS"/>
                <w:sz w:val="28"/>
                <w:szCs w:val="28"/>
                <w:lang w:val="ro-RO" w:eastAsia="ro-RO"/>
              </w:rPr>
              <w:t>.</w:t>
            </w:r>
            <w:r w:rsidR="007B6DD0" w:rsidRPr="00600702">
              <w:rPr>
                <w:rFonts w:eastAsia="Arial Unicode MS"/>
                <w:sz w:val="28"/>
                <w:szCs w:val="28"/>
                <w:lang w:val="ro-RO" w:eastAsia="ro-RO"/>
              </w:rPr>
              <w:t xml:space="preserve"> </w:t>
            </w:r>
          </w:p>
          <w:p w:rsidR="000050D3" w:rsidRPr="00600702" w:rsidRDefault="00B1083C" w:rsidP="000050D3">
            <w:pPr>
              <w:ind w:firstLine="602"/>
              <w:jc w:val="both"/>
              <w:rPr>
                <w:sz w:val="28"/>
                <w:szCs w:val="28"/>
                <w:lang w:val="ro-RO" w:eastAsia="ru-RU"/>
              </w:rPr>
            </w:pPr>
            <w:r w:rsidRPr="00600702">
              <w:rPr>
                <w:rFonts w:eastAsia="Arial Unicode MS"/>
                <w:sz w:val="28"/>
                <w:szCs w:val="28"/>
                <w:lang w:val="ro-RO" w:eastAsia="ro-RO"/>
              </w:rPr>
              <w:t>Deși echipamentelor sub presiune transportabile cad sub incidența</w:t>
            </w:r>
            <w:r w:rsidR="00204916" w:rsidRPr="00600702">
              <w:rPr>
                <w:sz w:val="28"/>
                <w:szCs w:val="28"/>
                <w:lang w:val="ro-RO"/>
              </w:rPr>
              <w:t xml:space="preserve"> Legii nr.116 din 18.05.2012 privind securitatea industrială a obiectelor industriale periculoase,</w:t>
            </w:r>
            <w:r w:rsidR="00204916" w:rsidRPr="00600702">
              <w:rPr>
                <w:b/>
                <w:sz w:val="28"/>
                <w:szCs w:val="28"/>
                <w:lang w:val="ro-RO"/>
              </w:rPr>
              <w:t xml:space="preserve"> </w:t>
            </w:r>
            <w:r w:rsidR="00204916" w:rsidRPr="00600702">
              <w:rPr>
                <w:sz w:val="28"/>
                <w:szCs w:val="28"/>
                <w:lang w:val="ro-RO"/>
              </w:rPr>
              <w:t xml:space="preserve">cisternele destinate pentru transportarea gazelor lichefiate </w:t>
            </w:r>
            <w:proofErr w:type="spellStart"/>
            <w:r w:rsidR="00204916" w:rsidRPr="00600702">
              <w:rPr>
                <w:sz w:val="28"/>
                <w:szCs w:val="28"/>
                <w:lang w:val="ro-RO"/>
              </w:rPr>
              <w:t>sînt</w:t>
            </w:r>
            <w:proofErr w:type="spellEnd"/>
            <w:r w:rsidR="00204916" w:rsidRPr="00600702">
              <w:rPr>
                <w:sz w:val="28"/>
                <w:szCs w:val="28"/>
                <w:lang w:val="ro-RO"/>
              </w:rPr>
              <w:t xml:space="preserve"> considerate obiecte industriale periculoase (OIP) nu toți agenții economici utilizator ai acestor echipamente cunosc și respectă cerințele de securitate la exploatarea acestora, deoarece nu le consider OIP.</w:t>
            </w:r>
            <w:r w:rsidRPr="00600702">
              <w:rPr>
                <w:rFonts w:eastAsia="Arial Unicode MS"/>
                <w:sz w:val="28"/>
                <w:szCs w:val="28"/>
                <w:lang w:val="ro-RO" w:eastAsia="ro-RO"/>
              </w:rPr>
              <w:t xml:space="preserve">  </w:t>
            </w:r>
          </w:p>
          <w:p w:rsidR="000050D3" w:rsidRPr="00600702" w:rsidRDefault="005C05B7" w:rsidP="005D3208">
            <w:pPr>
              <w:ind w:firstLine="602"/>
              <w:jc w:val="both"/>
              <w:rPr>
                <w:sz w:val="28"/>
                <w:szCs w:val="28"/>
                <w:lang w:val="ro-RO" w:eastAsia="ru-RU"/>
              </w:rPr>
            </w:pPr>
            <w:r w:rsidRPr="00600702">
              <w:rPr>
                <w:b/>
                <w:sz w:val="28"/>
                <w:szCs w:val="28"/>
                <w:lang w:val="ro-RO" w:eastAsia="ru-RU"/>
              </w:rPr>
              <w:t>3)</w:t>
            </w:r>
            <w:r w:rsidRPr="00600702">
              <w:rPr>
                <w:sz w:val="28"/>
                <w:szCs w:val="28"/>
                <w:lang w:val="ro-RO" w:eastAsia="ru-RU"/>
              </w:rPr>
              <w:t xml:space="preserve"> Termenul de exploatarea a unei bunei părți a </w:t>
            </w:r>
            <w:r w:rsidRPr="00600702">
              <w:rPr>
                <w:rFonts w:eastAsia="Arial Unicode MS"/>
                <w:sz w:val="28"/>
                <w:szCs w:val="28"/>
                <w:lang w:val="ro-RO" w:eastAsia="ro-RO"/>
              </w:rPr>
              <w:t>echipamentelor sub presiune transportabile utilizate în RM este la limita stabilită de producător.</w:t>
            </w:r>
            <w:r w:rsidR="00204916" w:rsidRPr="00600702">
              <w:rPr>
                <w:rFonts w:eastAsia="Arial Unicode MS"/>
                <w:sz w:val="28"/>
                <w:szCs w:val="28"/>
                <w:lang w:val="ro-RO" w:eastAsia="ro-RO"/>
              </w:rPr>
              <w:t xml:space="preserve"> Nivelul scăzut a înnoirii parcului de echipamentelor sub presiune transportabile datorită costurilor mari.</w:t>
            </w:r>
          </w:p>
          <w:p w:rsidR="000050D3" w:rsidRPr="00600702" w:rsidRDefault="00095777" w:rsidP="005D3208">
            <w:pPr>
              <w:ind w:firstLine="602"/>
              <w:jc w:val="both"/>
              <w:rPr>
                <w:b/>
                <w:sz w:val="28"/>
                <w:szCs w:val="28"/>
                <w:lang w:val="ro-RO" w:eastAsia="ru-RU"/>
              </w:rPr>
            </w:pPr>
            <w:r w:rsidRPr="00600702">
              <w:rPr>
                <w:b/>
                <w:sz w:val="28"/>
                <w:szCs w:val="28"/>
                <w:lang w:val="ro-RO" w:eastAsia="ru-RU"/>
              </w:rPr>
              <w:t>d)</w:t>
            </w:r>
            <w:r w:rsidR="00F875FB" w:rsidRPr="00600702">
              <w:rPr>
                <w:b/>
                <w:sz w:val="28"/>
                <w:szCs w:val="28"/>
                <w:lang w:val="ro-RO" w:eastAsia="ru-RU"/>
              </w:rPr>
              <w:t xml:space="preserve"> </w:t>
            </w:r>
            <w:r w:rsidR="00E6568A" w:rsidRPr="00600702">
              <w:rPr>
                <w:sz w:val="28"/>
                <w:szCs w:val="28"/>
                <w:lang w:val="ro-RO" w:eastAsia="ru-RU"/>
              </w:rPr>
              <w:t>N</w:t>
            </w:r>
            <w:r w:rsidR="00F875FB" w:rsidRPr="00600702">
              <w:rPr>
                <w:sz w:val="28"/>
                <w:szCs w:val="28"/>
                <w:lang w:val="ro-RO" w:eastAsia="ru-RU"/>
              </w:rPr>
              <w:t>e soluționarea problemei în marea sa parte va menține situația actuală</w:t>
            </w:r>
            <w:r w:rsidR="00E6568A" w:rsidRPr="00600702">
              <w:rPr>
                <w:sz w:val="28"/>
                <w:szCs w:val="28"/>
                <w:lang w:val="ro-RO" w:eastAsia="ru-RU"/>
              </w:rPr>
              <w:t>,</w:t>
            </w:r>
            <w:r w:rsidR="002A2AD8" w:rsidRPr="00600702">
              <w:rPr>
                <w:sz w:val="28"/>
                <w:szCs w:val="28"/>
                <w:lang w:val="ro-RO" w:eastAsia="ru-RU"/>
              </w:rPr>
              <w:t xml:space="preserve"> </w:t>
            </w:r>
            <w:r w:rsidR="00E6568A" w:rsidRPr="00600702">
              <w:rPr>
                <w:sz w:val="28"/>
                <w:szCs w:val="28"/>
                <w:lang w:val="ro-RO" w:eastAsia="ru-RU"/>
              </w:rPr>
              <w:t xml:space="preserve">a se vedea </w:t>
            </w:r>
            <w:proofErr w:type="spellStart"/>
            <w:r w:rsidR="00E6568A" w:rsidRPr="00600702">
              <w:rPr>
                <w:sz w:val="28"/>
                <w:szCs w:val="28"/>
                <w:lang w:val="ro-RO" w:eastAsia="ru-RU"/>
              </w:rPr>
              <w:t>pct.b</w:t>
            </w:r>
            <w:proofErr w:type="spellEnd"/>
            <w:r w:rsidR="00E6568A" w:rsidRPr="00600702">
              <w:rPr>
                <w:sz w:val="28"/>
                <w:szCs w:val="28"/>
                <w:lang w:val="ro-RO" w:eastAsia="ru-RU"/>
              </w:rPr>
              <w:t>),</w:t>
            </w:r>
            <w:r w:rsidR="00F875FB" w:rsidRPr="00600702">
              <w:rPr>
                <w:sz w:val="28"/>
                <w:szCs w:val="28"/>
                <w:lang w:val="ro-RO" w:eastAsia="ru-RU"/>
              </w:rPr>
              <w:t xml:space="preserve">  dar care nu poate fi caracterizată ca una sigură, </w:t>
            </w:r>
            <w:proofErr w:type="spellStart"/>
            <w:r w:rsidR="00F875FB" w:rsidRPr="00600702">
              <w:rPr>
                <w:sz w:val="28"/>
                <w:szCs w:val="28"/>
                <w:lang w:val="ro-RO" w:eastAsia="ru-RU"/>
              </w:rPr>
              <w:t>avînd</w:t>
            </w:r>
            <w:proofErr w:type="spellEnd"/>
            <w:r w:rsidR="00F875FB" w:rsidRPr="00600702">
              <w:rPr>
                <w:sz w:val="28"/>
                <w:szCs w:val="28"/>
                <w:lang w:val="ro-RO" w:eastAsia="ru-RU"/>
              </w:rPr>
              <w:t xml:space="preserve"> în vedere cazuistica incidentelor și accidentelor care au avut loc deja în RM</w:t>
            </w:r>
            <w:r w:rsidR="00E6568A" w:rsidRPr="00600702">
              <w:rPr>
                <w:sz w:val="28"/>
                <w:szCs w:val="28"/>
                <w:lang w:val="ro-RO" w:eastAsia="ru-RU"/>
              </w:rPr>
              <w:t xml:space="preserve"> cu implicarea </w:t>
            </w:r>
            <w:r w:rsidR="00E6568A" w:rsidRPr="00600702">
              <w:rPr>
                <w:rFonts w:eastAsia="Arial Unicode MS"/>
                <w:sz w:val="28"/>
                <w:szCs w:val="28"/>
                <w:lang w:val="ro-RO" w:eastAsia="ro-RO"/>
              </w:rPr>
              <w:t>echipamentelor sub presiune transportabile</w:t>
            </w:r>
            <w:r w:rsidR="00F875FB" w:rsidRPr="00600702">
              <w:rPr>
                <w:sz w:val="28"/>
                <w:szCs w:val="28"/>
                <w:lang w:val="ro-RO" w:eastAsia="ru-RU"/>
              </w:rPr>
              <w:t xml:space="preserve">. Și nu este garanție </w:t>
            </w:r>
            <w:r w:rsidR="00E6568A" w:rsidRPr="00600702">
              <w:rPr>
                <w:sz w:val="28"/>
                <w:szCs w:val="28"/>
                <w:lang w:val="ro-RO" w:eastAsia="ru-RU"/>
              </w:rPr>
              <w:t>ca</w:t>
            </w:r>
            <w:r w:rsidR="00F875FB" w:rsidRPr="00600702">
              <w:rPr>
                <w:sz w:val="28"/>
                <w:szCs w:val="28"/>
                <w:lang w:val="ro-RO" w:eastAsia="ru-RU"/>
              </w:rPr>
              <w:t xml:space="preserve"> numărul</w:t>
            </w:r>
            <w:r w:rsidR="00E6568A" w:rsidRPr="00600702">
              <w:rPr>
                <w:sz w:val="28"/>
                <w:szCs w:val="28"/>
                <w:lang w:val="ro-RO" w:eastAsia="ru-RU"/>
              </w:rPr>
              <w:t xml:space="preserve"> </w:t>
            </w:r>
            <w:r w:rsidR="00CF7CD6" w:rsidRPr="00600702">
              <w:rPr>
                <w:sz w:val="28"/>
                <w:szCs w:val="28"/>
                <w:lang w:val="ro-RO" w:eastAsia="ru-RU"/>
              </w:rPr>
              <w:t>accidentelor</w:t>
            </w:r>
            <w:r w:rsidR="00E6568A" w:rsidRPr="00600702">
              <w:rPr>
                <w:sz w:val="28"/>
                <w:szCs w:val="28"/>
                <w:lang w:val="ro-RO" w:eastAsia="ru-RU"/>
              </w:rPr>
              <w:t xml:space="preserve"> să fie în creștere.</w:t>
            </w:r>
          </w:p>
          <w:p w:rsidR="0058391B" w:rsidRPr="00600702" w:rsidRDefault="00E6568A" w:rsidP="005D3208">
            <w:pPr>
              <w:ind w:firstLine="602"/>
              <w:jc w:val="both"/>
              <w:rPr>
                <w:sz w:val="28"/>
                <w:szCs w:val="28"/>
                <w:lang w:val="ro-RO"/>
              </w:rPr>
            </w:pPr>
            <w:r w:rsidRPr="00600702">
              <w:rPr>
                <w:sz w:val="28"/>
                <w:szCs w:val="28"/>
                <w:lang w:val="ro-RO"/>
              </w:rPr>
              <w:t>Este necesar să se prevadă norme cu privire la obligațiile diverșilor operatori și cerințele care ar trebui îndeplinite de echipamentele în cauză p</w:t>
            </w:r>
            <w:r w:rsidR="0058391B" w:rsidRPr="00600702">
              <w:rPr>
                <w:sz w:val="28"/>
                <w:szCs w:val="28"/>
                <w:lang w:val="ro-RO"/>
              </w:rPr>
              <w:t xml:space="preserve">entru a îmbunătăți siguranța echipamentelor sub presiune transportabile aprobate pentru transportul interior de mărfuri periculoase și pentru a asigura libera circulație a echipamentelor respective, inclusiv introducerea pe piață, punerea la dispoziție pe piață și utilizarea acestora pe teritoriul Uniunii,. </w:t>
            </w:r>
          </w:p>
          <w:p w:rsidR="005D3208" w:rsidRPr="00600702" w:rsidRDefault="0058391B" w:rsidP="000050D3">
            <w:pPr>
              <w:tabs>
                <w:tab w:val="left" w:pos="540"/>
              </w:tabs>
              <w:ind w:firstLine="602"/>
              <w:jc w:val="both"/>
              <w:rPr>
                <w:sz w:val="28"/>
                <w:szCs w:val="28"/>
                <w:lang w:val="ro-RO"/>
              </w:rPr>
            </w:pPr>
            <w:r w:rsidRPr="00600702">
              <w:rPr>
                <w:b/>
                <w:sz w:val="28"/>
                <w:szCs w:val="28"/>
                <w:lang w:val="ro-RO"/>
              </w:rPr>
              <w:t>e)</w:t>
            </w:r>
            <w:r w:rsidR="005D3208" w:rsidRPr="00600702">
              <w:rPr>
                <w:sz w:val="28"/>
                <w:szCs w:val="28"/>
                <w:lang w:val="ro-RO"/>
              </w:rPr>
              <w:t xml:space="preserve"> Dacă să ne referim la practica europeană, există cadru normativ pentru astfel de produse, şi anume Directiva 2010/35/UE a Parlamentului European şi a Consiliului din 16 iunie 2010 privind echipamentele sub presiune transportabile. </w:t>
            </w:r>
          </w:p>
          <w:p w:rsidR="005D3208" w:rsidRPr="00600702" w:rsidRDefault="005D3208" w:rsidP="005D3208">
            <w:pPr>
              <w:jc w:val="both"/>
              <w:rPr>
                <w:sz w:val="28"/>
                <w:szCs w:val="28"/>
                <w:lang w:val="ro-RO" w:eastAsia="ru-RU"/>
              </w:rPr>
            </w:pPr>
            <w:r w:rsidRPr="00600702">
              <w:rPr>
                <w:sz w:val="28"/>
                <w:szCs w:val="28"/>
                <w:lang w:val="ro-RO"/>
              </w:rPr>
              <w:t xml:space="preserve">        </w:t>
            </w:r>
            <w:r w:rsidRPr="00600702">
              <w:rPr>
                <w:sz w:val="28"/>
                <w:szCs w:val="28"/>
                <w:lang w:val="ro-RO"/>
              </w:rPr>
              <w:tab/>
            </w:r>
            <w:r w:rsidRPr="00600702">
              <w:rPr>
                <w:sz w:val="28"/>
                <w:szCs w:val="28"/>
                <w:lang w:val="ro-RO" w:eastAsia="ru-RU"/>
              </w:rPr>
              <w:t xml:space="preserve">Activitatea de reglementare tehnică constituie prerogativa statului şi reprezintă un ansamblu de acţiuni întreprinse de autorităţile abilitate, în scopul stabilirii cerinţelor  </w:t>
            </w:r>
            <w:r w:rsidRPr="00600702">
              <w:rPr>
                <w:rFonts w:eastAsia="EUAlbertina-Regular-Identity-H"/>
                <w:sz w:val="28"/>
                <w:szCs w:val="28"/>
                <w:lang w:val="ro-RO" w:eastAsia="en-US"/>
              </w:rPr>
              <w:t xml:space="preserve">care se aplică la </w:t>
            </w:r>
            <w:r w:rsidRPr="00600702">
              <w:rPr>
                <w:rFonts w:eastAsia="Arial Unicode MS"/>
                <w:sz w:val="28"/>
                <w:szCs w:val="28"/>
                <w:lang w:val="ro-RO" w:eastAsia="ro-RO"/>
              </w:rPr>
              <w:t xml:space="preserve">proiectate, fabricate și documentate în așa fel </w:t>
            </w:r>
            <w:proofErr w:type="spellStart"/>
            <w:r w:rsidRPr="00600702">
              <w:rPr>
                <w:rFonts w:eastAsia="Arial Unicode MS"/>
                <w:sz w:val="28"/>
                <w:szCs w:val="28"/>
                <w:lang w:val="ro-RO" w:eastAsia="ro-RO"/>
              </w:rPr>
              <w:t>încît</w:t>
            </w:r>
            <w:proofErr w:type="spellEnd"/>
            <w:r w:rsidRPr="00600702">
              <w:rPr>
                <w:rFonts w:eastAsia="Arial Unicode MS"/>
                <w:sz w:val="28"/>
                <w:szCs w:val="28"/>
                <w:lang w:val="ro-RO" w:eastAsia="ro-RO"/>
              </w:rPr>
              <w:t xml:space="preserve"> să se garanteze securitatea lor atunci când </w:t>
            </w:r>
            <w:proofErr w:type="spellStart"/>
            <w:r w:rsidRPr="00600702">
              <w:rPr>
                <w:rFonts w:eastAsia="Arial Unicode MS"/>
                <w:sz w:val="28"/>
                <w:szCs w:val="28"/>
                <w:lang w:val="ro-RO" w:eastAsia="ro-RO"/>
              </w:rPr>
              <w:t>sînt</w:t>
            </w:r>
            <w:proofErr w:type="spellEnd"/>
            <w:r w:rsidRPr="00600702">
              <w:rPr>
                <w:rFonts w:eastAsia="Arial Unicode MS"/>
                <w:sz w:val="28"/>
                <w:szCs w:val="28"/>
                <w:lang w:val="ro-RO" w:eastAsia="ro-RO"/>
              </w:rPr>
              <w:t xml:space="preserve"> puse în funcțiune în conformitate cu instrucțiunile producătorului sau în condiții care pot fi în mod rezonabil prevăzute.</w:t>
            </w:r>
          </w:p>
          <w:p w:rsidR="005D3208" w:rsidRPr="00600702" w:rsidRDefault="005D3208" w:rsidP="005D3208">
            <w:pPr>
              <w:tabs>
                <w:tab w:val="left" w:pos="567"/>
              </w:tabs>
              <w:jc w:val="both"/>
              <w:rPr>
                <w:sz w:val="28"/>
                <w:szCs w:val="28"/>
                <w:lang w:val="it-IT" w:eastAsia="ru-RU"/>
              </w:rPr>
            </w:pPr>
            <w:r w:rsidRPr="00600702">
              <w:rPr>
                <w:sz w:val="28"/>
                <w:szCs w:val="28"/>
                <w:lang w:val="it-IT" w:eastAsia="ru-RU"/>
              </w:rPr>
              <w:t xml:space="preserve">       </w:t>
            </w:r>
            <w:r w:rsidRPr="00600702">
              <w:rPr>
                <w:sz w:val="28"/>
                <w:szCs w:val="28"/>
                <w:lang w:val="ro-RO" w:eastAsia="ru-RU"/>
              </w:rPr>
              <w:t xml:space="preserve">Legea nr.235 din 1 decembrie 2011 privind activităţile de acreditare si de evaluare a </w:t>
            </w:r>
            <w:r w:rsidRPr="00600702">
              <w:rPr>
                <w:sz w:val="28"/>
                <w:szCs w:val="28"/>
                <w:lang w:val="ro-RO" w:eastAsia="ru-RU"/>
              </w:rPr>
              <w:lastRenderedPageBreak/>
              <w:t xml:space="preserve">conformităţii </w:t>
            </w:r>
            <w:r w:rsidRPr="00600702">
              <w:rPr>
                <w:sz w:val="28"/>
                <w:szCs w:val="28"/>
                <w:lang w:val="it-IT" w:eastAsia="ru-RU"/>
              </w:rPr>
              <w:t xml:space="preserve">stabileşte cadrul legal pentru activitatea de acreditare a organismelor de evaluare a conformităţii, realizată cu titlu obligatoriu sau voluntar, pentru plasarea produselor pe piaţă şi pentru activitatea de evaluare a conformităţii, indiferent de faptul că această evaluare este obligatorie sau nu la produsele introduse pe piaţă şi/sau utilizate în Republica Moldova. </w:t>
            </w:r>
          </w:p>
          <w:p w:rsidR="005D3208" w:rsidRPr="00600702" w:rsidRDefault="005D3208" w:rsidP="005D3208">
            <w:pPr>
              <w:tabs>
                <w:tab w:val="left" w:pos="567"/>
              </w:tabs>
              <w:ind w:left="360"/>
              <w:jc w:val="both"/>
              <w:rPr>
                <w:sz w:val="28"/>
                <w:szCs w:val="28"/>
                <w:lang w:val="it-IT" w:eastAsia="ru-RU"/>
              </w:rPr>
            </w:pPr>
            <w:r w:rsidRPr="00600702">
              <w:rPr>
                <w:bCs/>
                <w:sz w:val="28"/>
                <w:szCs w:val="28"/>
                <w:lang w:val="it-IT" w:eastAsia="ru-RU"/>
              </w:rPr>
              <w:t xml:space="preserve">  La articolul 18 al </w:t>
            </w:r>
            <w:r w:rsidRPr="00600702">
              <w:rPr>
                <w:sz w:val="28"/>
                <w:szCs w:val="28"/>
                <w:lang w:val="ro-RO" w:eastAsia="ru-RU"/>
              </w:rPr>
              <w:t xml:space="preserve">Legii nr.235 din 1 decembrie 2011: </w:t>
            </w:r>
          </w:p>
          <w:p w:rsidR="005D3208" w:rsidRPr="00600702" w:rsidRDefault="005D3208" w:rsidP="005D3208">
            <w:pPr>
              <w:tabs>
                <w:tab w:val="left" w:pos="567"/>
                <w:tab w:val="left" w:pos="851"/>
              </w:tabs>
              <w:jc w:val="both"/>
              <w:rPr>
                <w:sz w:val="28"/>
                <w:szCs w:val="28"/>
                <w:lang w:val="it-IT" w:eastAsia="ru-RU"/>
              </w:rPr>
            </w:pPr>
            <w:r w:rsidRPr="00600702">
              <w:rPr>
                <w:sz w:val="28"/>
                <w:szCs w:val="28"/>
                <w:lang w:val="it-IT" w:eastAsia="ru-RU"/>
              </w:rPr>
              <w:t xml:space="preserve">„(1) Evaluarea conformităţii cu titlu obligatoriu se realizează pentru produsele din domeniile prevăzute la anexa nr.3, care este parte integrantă din prezenta lege, precum şi pentru produsele neincluse în domeniile din această anexă, pentru care există cerinţe esenţiale prevăzute în reglementările tehnice respective, în conformitate cu art.4 alin.(6) din Legea nr.420-XVI din 22 decembrie 2006 privind activitatea de reglementare tehnică.” </w:t>
            </w:r>
          </w:p>
          <w:p w:rsidR="005D3208" w:rsidRPr="00600702" w:rsidRDefault="005D3208" w:rsidP="005D3208">
            <w:pPr>
              <w:tabs>
                <w:tab w:val="left" w:pos="567"/>
              </w:tabs>
              <w:jc w:val="both"/>
              <w:rPr>
                <w:sz w:val="28"/>
                <w:szCs w:val="28"/>
                <w:lang w:val="en-US" w:eastAsia="ru-RU"/>
              </w:rPr>
            </w:pPr>
            <w:r w:rsidRPr="00600702">
              <w:rPr>
                <w:bCs/>
                <w:sz w:val="28"/>
                <w:szCs w:val="28"/>
                <w:lang w:val="it-IT" w:eastAsia="ru-RU"/>
              </w:rPr>
              <w:t xml:space="preserve">        </w:t>
            </w:r>
            <w:r w:rsidRPr="00600702">
              <w:rPr>
                <w:sz w:val="28"/>
                <w:szCs w:val="28"/>
                <w:lang w:val="it-IT" w:eastAsia="ru-RU"/>
              </w:rPr>
              <w:t xml:space="preserve">Anexa nr.3 la </w:t>
            </w:r>
            <w:r w:rsidRPr="00600702">
              <w:rPr>
                <w:sz w:val="28"/>
                <w:szCs w:val="28"/>
                <w:lang w:val="ro-RO" w:eastAsia="ru-RU"/>
              </w:rPr>
              <w:t xml:space="preserve">Legea nr.235 din 1 decembrie 2011 stabileşte expres  </w:t>
            </w:r>
            <w:r w:rsidRPr="00600702">
              <w:rPr>
                <w:sz w:val="28"/>
                <w:szCs w:val="28"/>
                <w:lang w:val="pt-BR" w:eastAsia="ru-RU"/>
              </w:rPr>
              <w:t xml:space="preserve">Lista domeniilor reglementate, unde la pct. </w:t>
            </w:r>
            <w:r w:rsidRPr="00600702">
              <w:rPr>
                <w:bCs/>
                <w:sz w:val="28"/>
                <w:szCs w:val="28"/>
                <w:lang w:val="pt-BR" w:eastAsia="ru-RU"/>
              </w:rPr>
              <w:t>25</w:t>
            </w:r>
            <w:r w:rsidRPr="00600702">
              <w:rPr>
                <w:sz w:val="28"/>
                <w:szCs w:val="28"/>
                <w:lang w:val="pt-BR" w:eastAsia="ru-RU"/>
              </w:rPr>
              <w:t xml:space="preserve"> este specificat “E</w:t>
            </w:r>
            <w:proofErr w:type="spellStart"/>
            <w:r w:rsidRPr="00600702">
              <w:rPr>
                <w:rFonts w:eastAsia="Arial Unicode MS"/>
                <w:bCs/>
                <w:sz w:val="28"/>
                <w:szCs w:val="28"/>
                <w:lang w:val="ro-RO" w:eastAsia="ro-RO"/>
              </w:rPr>
              <w:t>chipamente</w:t>
            </w:r>
            <w:proofErr w:type="spellEnd"/>
            <w:r w:rsidRPr="00600702">
              <w:rPr>
                <w:rFonts w:eastAsia="Arial Unicode MS"/>
                <w:bCs/>
                <w:sz w:val="28"/>
                <w:szCs w:val="28"/>
                <w:lang w:val="ro-RO" w:eastAsia="ro-RO"/>
              </w:rPr>
              <w:t xml:space="preserve"> sub presiune transportabile</w:t>
            </w:r>
            <w:r w:rsidRPr="00600702">
              <w:rPr>
                <w:sz w:val="28"/>
                <w:szCs w:val="28"/>
                <w:lang w:val="en-US" w:eastAsia="ru-RU"/>
              </w:rPr>
              <w:t>”.</w:t>
            </w:r>
          </w:p>
          <w:p w:rsidR="005D3208" w:rsidRPr="00600702" w:rsidRDefault="005D3208" w:rsidP="005D3208">
            <w:pPr>
              <w:tabs>
                <w:tab w:val="left" w:pos="567"/>
              </w:tabs>
              <w:jc w:val="both"/>
              <w:rPr>
                <w:sz w:val="28"/>
                <w:szCs w:val="28"/>
              </w:rPr>
            </w:pPr>
            <w:r w:rsidRPr="00600702">
              <w:rPr>
                <w:bCs/>
                <w:sz w:val="28"/>
                <w:szCs w:val="28"/>
                <w:lang w:val="ro-RO" w:eastAsia="ru-RU"/>
              </w:rPr>
              <w:t xml:space="preserve">        În acest context se poate de menţionat și Legea nr.7 din 26.02.2016</w:t>
            </w:r>
            <w:r w:rsidRPr="00600702">
              <w:rPr>
                <w:sz w:val="28"/>
                <w:szCs w:val="28"/>
                <w:lang w:val="ro-RO"/>
              </w:rPr>
              <w:t xml:space="preserve"> </w:t>
            </w:r>
            <w:proofErr w:type="spellStart"/>
            <w:r w:rsidRPr="00600702">
              <w:rPr>
                <w:sz w:val="28"/>
                <w:szCs w:val="28"/>
              </w:rPr>
              <w:t>privind</w:t>
            </w:r>
            <w:proofErr w:type="spellEnd"/>
            <w:r w:rsidRPr="00600702">
              <w:rPr>
                <w:sz w:val="28"/>
                <w:szCs w:val="28"/>
              </w:rPr>
              <w:t xml:space="preserve"> </w:t>
            </w:r>
            <w:proofErr w:type="spellStart"/>
            <w:r w:rsidRPr="00600702">
              <w:rPr>
                <w:sz w:val="28"/>
                <w:szCs w:val="28"/>
              </w:rPr>
              <w:t>supravegherea</w:t>
            </w:r>
            <w:proofErr w:type="spellEnd"/>
            <w:r w:rsidRPr="00600702">
              <w:rPr>
                <w:sz w:val="28"/>
                <w:szCs w:val="28"/>
              </w:rPr>
              <w:t xml:space="preserve"> </w:t>
            </w:r>
            <w:proofErr w:type="spellStart"/>
            <w:r w:rsidRPr="00600702">
              <w:rPr>
                <w:sz w:val="28"/>
                <w:szCs w:val="28"/>
              </w:rPr>
              <w:t>pieţei</w:t>
            </w:r>
            <w:proofErr w:type="spellEnd"/>
            <w:r w:rsidRPr="00600702">
              <w:rPr>
                <w:sz w:val="28"/>
                <w:szCs w:val="28"/>
              </w:rPr>
              <w:t xml:space="preserve"> </w:t>
            </w:r>
            <w:proofErr w:type="spellStart"/>
            <w:r w:rsidRPr="00600702">
              <w:rPr>
                <w:sz w:val="28"/>
                <w:szCs w:val="28"/>
              </w:rPr>
              <w:t>în</w:t>
            </w:r>
            <w:proofErr w:type="spellEnd"/>
            <w:r w:rsidRPr="00600702">
              <w:rPr>
                <w:sz w:val="28"/>
                <w:szCs w:val="28"/>
              </w:rPr>
              <w:t xml:space="preserve"> </w:t>
            </w:r>
            <w:proofErr w:type="spellStart"/>
            <w:r w:rsidRPr="00600702">
              <w:rPr>
                <w:sz w:val="28"/>
                <w:szCs w:val="28"/>
              </w:rPr>
              <w:t>ceea</w:t>
            </w:r>
            <w:proofErr w:type="spellEnd"/>
            <w:r w:rsidRPr="00600702">
              <w:rPr>
                <w:sz w:val="28"/>
                <w:szCs w:val="28"/>
              </w:rPr>
              <w:t xml:space="preserve"> </w:t>
            </w:r>
            <w:proofErr w:type="spellStart"/>
            <w:r w:rsidRPr="00600702">
              <w:rPr>
                <w:sz w:val="28"/>
                <w:szCs w:val="28"/>
              </w:rPr>
              <w:t>ce</w:t>
            </w:r>
            <w:proofErr w:type="spellEnd"/>
            <w:r w:rsidRPr="00600702">
              <w:rPr>
                <w:sz w:val="28"/>
                <w:szCs w:val="28"/>
              </w:rPr>
              <w:t xml:space="preserve"> </w:t>
            </w:r>
            <w:proofErr w:type="spellStart"/>
            <w:r w:rsidRPr="00600702">
              <w:rPr>
                <w:sz w:val="28"/>
                <w:szCs w:val="28"/>
              </w:rPr>
              <w:t>priveşte</w:t>
            </w:r>
            <w:proofErr w:type="spellEnd"/>
            <w:r w:rsidRPr="00600702">
              <w:rPr>
                <w:sz w:val="28"/>
                <w:szCs w:val="28"/>
              </w:rPr>
              <w:t xml:space="preserve"> </w:t>
            </w:r>
            <w:proofErr w:type="spellStart"/>
            <w:r w:rsidRPr="00600702">
              <w:rPr>
                <w:sz w:val="28"/>
                <w:szCs w:val="28"/>
              </w:rPr>
              <w:t>comercializarea</w:t>
            </w:r>
            <w:proofErr w:type="spellEnd"/>
            <w:r w:rsidRPr="00600702">
              <w:rPr>
                <w:sz w:val="28"/>
                <w:szCs w:val="28"/>
              </w:rPr>
              <w:t xml:space="preserve"> </w:t>
            </w:r>
            <w:proofErr w:type="spellStart"/>
            <w:r w:rsidRPr="00600702">
              <w:rPr>
                <w:sz w:val="28"/>
                <w:szCs w:val="28"/>
              </w:rPr>
              <w:t>produselor</w:t>
            </w:r>
            <w:proofErr w:type="spellEnd"/>
            <w:r w:rsidRPr="00600702">
              <w:rPr>
                <w:sz w:val="28"/>
                <w:szCs w:val="28"/>
              </w:rPr>
              <w:t xml:space="preserve"> </w:t>
            </w:r>
            <w:proofErr w:type="spellStart"/>
            <w:r w:rsidRPr="00600702">
              <w:rPr>
                <w:sz w:val="28"/>
                <w:szCs w:val="28"/>
              </w:rPr>
              <w:t>nealimentare</w:t>
            </w:r>
            <w:proofErr w:type="spellEnd"/>
            <w:r w:rsidRPr="00600702">
              <w:rPr>
                <w:sz w:val="28"/>
                <w:szCs w:val="28"/>
              </w:rPr>
              <w:t xml:space="preserve">, care </w:t>
            </w:r>
            <w:proofErr w:type="spellStart"/>
            <w:r w:rsidRPr="00600702">
              <w:rPr>
                <w:sz w:val="28"/>
                <w:szCs w:val="28"/>
              </w:rPr>
              <w:t>stabileşte</w:t>
            </w:r>
            <w:proofErr w:type="spellEnd"/>
            <w:r w:rsidRPr="00600702">
              <w:rPr>
                <w:sz w:val="28"/>
                <w:szCs w:val="28"/>
              </w:rPr>
              <w:t xml:space="preserve"> </w:t>
            </w:r>
            <w:proofErr w:type="spellStart"/>
            <w:r w:rsidRPr="00600702">
              <w:rPr>
                <w:sz w:val="28"/>
                <w:szCs w:val="28"/>
              </w:rPr>
              <w:t>cadrul</w:t>
            </w:r>
            <w:proofErr w:type="spellEnd"/>
            <w:r w:rsidRPr="00600702">
              <w:rPr>
                <w:sz w:val="28"/>
                <w:szCs w:val="28"/>
              </w:rPr>
              <w:t xml:space="preserve"> legal </w:t>
            </w:r>
            <w:proofErr w:type="spellStart"/>
            <w:r w:rsidRPr="00600702">
              <w:rPr>
                <w:sz w:val="28"/>
                <w:szCs w:val="28"/>
              </w:rPr>
              <w:t>pentru</w:t>
            </w:r>
            <w:proofErr w:type="spellEnd"/>
            <w:r w:rsidRPr="00600702">
              <w:rPr>
                <w:sz w:val="28"/>
                <w:szCs w:val="28"/>
              </w:rPr>
              <w:t xml:space="preserve"> </w:t>
            </w:r>
            <w:proofErr w:type="spellStart"/>
            <w:r w:rsidRPr="00600702">
              <w:rPr>
                <w:sz w:val="28"/>
                <w:szCs w:val="28"/>
              </w:rPr>
              <w:t>supravegherea</w:t>
            </w:r>
            <w:proofErr w:type="spellEnd"/>
            <w:r w:rsidRPr="00600702">
              <w:rPr>
                <w:sz w:val="28"/>
                <w:szCs w:val="28"/>
              </w:rPr>
              <w:t xml:space="preserve"> </w:t>
            </w:r>
            <w:proofErr w:type="spellStart"/>
            <w:r w:rsidRPr="00600702">
              <w:rPr>
                <w:sz w:val="28"/>
                <w:szCs w:val="28"/>
              </w:rPr>
              <w:t>pieţei</w:t>
            </w:r>
            <w:proofErr w:type="spellEnd"/>
            <w:r w:rsidRPr="00600702">
              <w:rPr>
                <w:sz w:val="28"/>
                <w:szCs w:val="28"/>
              </w:rPr>
              <w:t xml:space="preserve"> </w:t>
            </w:r>
            <w:proofErr w:type="spellStart"/>
            <w:r w:rsidRPr="00600702">
              <w:rPr>
                <w:sz w:val="28"/>
                <w:szCs w:val="28"/>
              </w:rPr>
              <w:t>în</w:t>
            </w:r>
            <w:proofErr w:type="spellEnd"/>
            <w:r w:rsidRPr="00600702">
              <w:rPr>
                <w:sz w:val="28"/>
                <w:szCs w:val="28"/>
              </w:rPr>
              <w:t xml:space="preserve"> </w:t>
            </w:r>
            <w:proofErr w:type="spellStart"/>
            <w:r w:rsidRPr="00600702">
              <w:rPr>
                <w:sz w:val="28"/>
                <w:szCs w:val="28"/>
              </w:rPr>
              <w:t>ceea</w:t>
            </w:r>
            <w:proofErr w:type="spellEnd"/>
            <w:r w:rsidRPr="00600702">
              <w:rPr>
                <w:sz w:val="28"/>
                <w:szCs w:val="28"/>
              </w:rPr>
              <w:t xml:space="preserve"> </w:t>
            </w:r>
            <w:proofErr w:type="spellStart"/>
            <w:r w:rsidRPr="00600702">
              <w:rPr>
                <w:sz w:val="28"/>
                <w:szCs w:val="28"/>
              </w:rPr>
              <w:t>ce</w:t>
            </w:r>
            <w:proofErr w:type="spellEnd"/>
            <w:r w:rsidRPr="00600702">
              <w:rPr>
                <w:sz w:val="28"/>
                <w:szCs w:val="28"/>
              </w:rPr>
              <w:t xml:space="preserve"> </w:t>
            </w:r>
            <w:proofErr w:type="spellStart"/>
            <w:r w:rsidRPr="00600702">
              <w:rPr>
                <w:sz w:val="28"/>
                <w:szCs w:val="28"/>
              </w:rPr>
              <w:t>priveşte</w:t>
            </w:r>
            <w:proofErr w:type="spellEnd"/>
            <w:r w:rsidRPr="00600702">
              <w:rPr>
                <w:sz w:val="28"/>
                <w:szCs w:val="28"/>
              </w:rPr>
              <w:t xml:space="preserve"> </w:t>
            </w:r>
            <w:proofErr w:type="spellStart"/>
            <w:r w:rsidRPr="00600702">
              <w:rPr>
                <w:sz w:val="28"/>
                <w:szCs w:val="28"/>
              </w:rPr>
              <w:t>produsele</w:t>
            </w:r>
            <w:proofErr w:type="spellEnd"/>
            <w:r w:rsidRPr="00600702">
              <w:rPr>
                <w:sz w:val="28"/>
                <w:szCs w:val="28"/>
              </w:rPr>
              <w:t xml:space="preserve"> </w:t>
            </w:r>
            <w:proofErr w:type="spellStart"/>
            <w:r w:rsidRPr="00600702">
              <w:rPr>
                <w:sz w:val="28"/>
                <w:szCs w:val="28"/>
              </w:rPr>
              <w:t>nealimentare</w:t>
            </w:r>
            <w:proofErr w:type="spellEnd"/>
            <w:r w:rsidRPr="00600702">
              <w:rPr>
                <w:sz w:val="28"/>
                <w:szCs w:val="28"/>
              </w:rPr>
              <w:t xml:space="preserve"> </w:t>
            </w:r>
            <w:proofErr w:type="spellStart"/>
            <w:r w:rsidRPr="00600702">
              <w:rPr>
                <w:sz w:val="28"/>
                <w:szCs w:val="28"/>
              </w:rPr>
              <w:t>pentru</w:t>
            </w:r>
            <w:proofErr w:type="spellEnd"/>
            <w:r w:rsidRPr="00600702">
              <w:rPr>
                <w:sz w:val="28"/>
                <w:szCs w:val="28"/>
              </w:rPr>
              <w:t xml:space="preserve"> a </w:t>
            </w:r>
            <w:proofErr w:type="spellStart"/>
            <w:r w:rsidRPr="00600702">
              <w:rPr>
                <w:sz w:val="28"/>
                <w:szCs w:val="28"/>
              </w:rPr>
              <w:t>asigura</w:t>
            </w:r>
            <w:proofErr w:type="spellEnd"/>
            <w:r w:rsidRPr="00600702">
              <w:rPr>
                <w:sz w:val="28"/>
                <w:szCs w:val="28"/>
              </w:rPr>
              <w:t xml:space="preserve"> </w:t>
            </w:r>
            <w:proofErr w:type="spellStart"/>
            <w:r w:rsidRPr="00600702">
              <w:rPr>
                <w:sz w:val="28"/>
                <w:szCs w:val="28"/>
              </w:rPr>
              <w:t>că</w:t>
            </w:r>
            <w:proofErr w:type="spellEnd"/>
            <w:r w:rsidRPr="00600702">
              <w:rPr>
                <w:sz w:val="28"/>
                <w:szCs w:val="28"/>
              </w:rPr>
              <w:t xml:space="preserve"> </w:t>
            </w:r>
            <w:proofErr w:type="spellStart"/>
            <w:r w:rsidRPr="00600702">
              <w:rPr>
                <w:sz w:val="28"/>
                <w:szCs w:val="28"/>
              </w:rPr>
              <w:t>respectivele</w:t>
            </w:r>
            <w:proofErr w:type="spellEnd"/>
            <w:r w:rsidRPr="00600702">
              <w:rPr>
                <w:sz w:val="28"/>
                <w:szCs w:val="28"/>
              </w:rPr>
              <w:t xml:space="preserve"> </w:t>
            </w:r>
            <w:proofErr w:type="spellStart"/>
            <w:r w:rsidRPr="00600702">
              <w:rPr>
                <w:sz w:val="28"/>
                <w:szCs w:val="28"/>
              </w:rPr>
              <w:t>produse</w:t>
            </w:r>
            <w:proofErr w:type="spellEnd"/>
            <w:r w:rsidRPr="00600702">
              <w:rPr>
                <w:sz w:val="28"/>
                <w:szCs w:val="28"/>
              </w:rPr>
              <w:t xml:space="preserve"> </w:t>
            </w:r>
            <w:proofErr w:type="spellStart"/>
            <w:r w:rsidRPr="00600702">
              <w:rPr>
                <w:sz w:val="28"/>
                <w:szCs w:val="28"/>
              </w:rPr>
              <w:t>îndeplinesc</w:t>
            </w:r>
            <w:proofErr w:type="spellEnd"/>
            <w:r w:rsidRPr="00600702">
              <w:rPr>
                <w:sz w:val="28"/>
                <w:szCs w:val="28"/>
              </w:rPr>
              <w:t xml:space="preserve"> </w:t>
            </w:r>
            <w:proofErr w:type="spellStart"/>
            <w:r w:rsidRPr="00600702">
              <w:rPr>
                <w:sz w:val="28"/>
                <w:szCs w:val="28"/>
              </w:rPr>
              <w:t>cerinţele</w:t>
            </w:r>
            <w:proofErr w:type="spellEnd"/>
            <w:r w:rsidRPr="00600702">
              <w:rPr>
                <w:sz w:val="28"/>
                <w:szCs w:val="28"/>
              </w:rPr>
              <w:t xml:space="preserve"> care </w:t>
            </w:r>
            <w:proofErr w:type="spellStart"/>
            <w:r w:rsidRPr="00600702">
              <w:rPr>
                <w:sz w:val="28"/>
                <w:szCs w:val="28"/>
              </w:rPr>
              <w:t>oferă</w:t>
            </w:r>
            <w:proofErr w:type="spellEnd"/>
            <w:r w:rsidRPr="00600702">
              <w:rPr>
                <w:sz w:val="28"/>
                <w:szCs w:val="28"/>
              </w:rPr>
              <w:t xml:space="preserve"> un </w:t>
            </w:r>
            <w:proofErr w:type="spellStart"/>
            <w:r w:rsidRPr="00600702">
              <w:rPr>
                <w:sz w:val="28"/>
                <w:szCs w:val="28"/>
              </w:rPr>
              <w:t>nivel</w:t>
            </w:r>
            <w:proofErr w:type="spellEnd"/>
            <w:r w:rsidRPr="00600702">
              <w:rPr>
                <w:sz w:val="28"/>
                <w:szCs w:val="28"/>
              </w:rPr>
              <w:t xml:space="preserve"> </w:t>
            </w:r>
            <w:proofErr w:type="spellStart"/>
            <w:r w:rsidRPr="00600702">
              <w:rPr>
                <w:sz w:val="28"/>
                <w:szCs w:val="28"/>
              </w:rPr>
              <w:t>înalt</w:t>
            </w:r>
            <w:proofErr w:type="spellEnd"/>
            <w:r w:rsidRPr="00600702">
              <w:rPr>
                <w:sz w:val="28"/>
                <w:szCs w:val="28"/>
              </w:rPr>
              <w:t xml:space="preserve"> de </w:t>
            </w:r>
            <w:proofErr w:type="spellStart"/>
            <w:r w:rsidRPr="00600702">
              <w:rPr>
                <w:sz w:val="28"/>
                <w:szCs w:val="28"/>
              </w:rPr>
              <w:t>protecţie</w:t>
            </w:r>
            <w:proofErr w:type="spellEnd"/>
            <w:r w:rsidRPr="00600702">
              <w:rPr>
                <w:sz w:val="28"/>
                <w:szCs w:val="28"/>
              </w:rPr>
              <w:t xml:space="preserve"> a </w:t>
            </w:r>
            <w:proofErr w:type="spellStart"/>
            <w:r w:rsidRPr="00600702">
              <w:rPr>
                <w:sz w:val="28"/>
                <w:szCs w:val="28"/>
              </w:rPr>
              <w:t>intereselor</w:t>
            </w:r>
            <w:proofErr w:type="spellEnd"/>
            <w:r w:rsidRPr="00600702">
              <w:rPr>
                <w:sz w:val="28"/>
                <w:szCs w:val="28"/>
              </w:rPr>
              <w:t xml:space="preserve"> </w:t>
            </w:r>
            <w:proofErr w:type="spellStart"/>
            <w:r w:rsidRPr="00600702">
              <w:rPr>
                <w:sz w:val="28"/>
                <w:szCs w:val="28"/>
              </w:rPr>
              <w:t>publice</w:t>
            </w:r>
            <w:proofErr w:type="spellEnd"/>
            <w:r w:rsidRPr="00600702">
              <w:rPr>
                <w:sz w:val="28"/>
                <w:szCs w:val="28"/>
              </w:rPr>
              <w:t xml:space="preserve">, </w:t>
            </w:r>
            <w:proofErr w:type="spellStart"/>
            <w:r w:rsidRPr="00600702">
              <w:rPr>
                <w:sz w:val="28"/>
                <w:szCs w:val="28"/>
              </w:rPr>
              <w:t>precum</w:t>
            </w:r>
            <w:proofErr w:type="spellEnd"/>
            <w:r w:rsidRPr="00600702">
              <w:rPr>
                <w:sz w:val="28"/>
                <w:szCs w:val="28"/>
              </w:rPr>
              <w:t xml:space="preserve"> </w:t>
            </w:r>
            <w:proofErr w:type="spellStart"/>
            <w:r w:rsidRPr="00600702">
              <w:rPr>
                <w:sz w:val="28"/>
                <w:szCs w:val="28"/>
              </w:rPr>
              <w:t>sănătatea</w:t>
            </w:r>
            <w:proofErr w:type="spellEnd"/>
            <w:r w:rsidRPr="00600702">
              <w:rPr>
                <w:sz w:val="28"/>
                <w:szCs w:val="28"/>
              </w:rPr>
              <w:t xml:space="preserve"> </w:t>
            </w:r>
            <w:proofErr w:type="spellStart"/>
            <w:r w:rsidRPr="00600702">
              <w:rPr>
                <w:sz w:val="28"/>
                <w:szCs w:val="28"/>
              </w:rPr>
              <w:t>şi</w:t>
            </w:r>
            <w:proofErr w:type="spellEnd"/>
            <w:r w:rsidRPr="00600702">
              <w:rPr>
                <w:sz w:val="28"/>
                <w:szCs w:val="28"/>
              </w:rPr>
              <w:t xml:space="preserve"> </w:t>
            </w:r>
            <w:proofErr w:type="spellStart"/>
            <w:r w:rsidRPr="00600702">
              <w:rPr>
                <w:sz w:val="28"/>
                <w:szCs w:val="28"/>
              </w:rPr>
              <w:t>siguranţa</w:t>
            </w:r>
            <w:proofErr w:type="spellEnd"/>
            <w:r w:rsidRPr="00600702">
              <w:rPr>
                <w:sz w:val="28"/>
                <w:szCs w:val="28"/>
              </w:rPr>
              <w:t xml:space="preserve"> </w:t>
            </w:r>
            <w:proofErr w:type="spellStart"/>
            <w:r w:rsidRPr="00600702">
              <w:rPr>
                <w:sz w:val="28"/>
                <w:szCs w:val="28"/>
              </w:rPr>
              <w:t>în</w:t>
            </w:r>
            <w:proofErr w:type="spellEnd"/>
            <w:r w:rsidRPr="00600702">
              <w:rPr>
                <w:sz w:val="28"/>
                <w:szCs w:val="28"/>
              </w:rPr>
              <w:t xml:space="preserve"> general, </w:t>
            </w:r>
            <w:proofErr w:type="spellStart"/>
            <w:r w:rsidRPr="00600702">
              <w:rPr>
                <w:sz w:val="28"/>
                <w:szCs w:val="28"/>
              </w:rPr>
              <w:t>sănătatea</w:t>
            </w:r>
            <w:proofErr w:type="spellEnd"/>
            <w:r w:rsidRPr="00600702">
              <w:rPr>
                <w:sz w:val="28"/>
                <w:szCs w:val="28"/>
              </w:rPr>
              <w:t xml:space="preserve"> </w:t>
            </w:r>
            <w:proofErr w:type="spellStart"/>
            <w:r w:rsidRPr="00600702">
              <w:rPr>
                <w:sz w:val="28"/>
                <w:szCs w:val="28"/>
              </w:rPr>
              <w:t>şi</w:t>
            </w:r>
            <w:proofErr w:type="spellEnd"/>
            <w:r w:rsidRPr="00600702">
              <w:rPr>
                <w:sz w:val="28"/>
                <w:szCs w:val="28"/>
              </w:rPr>
              <w:t xml:space="preserve"> </w:t>
            </w:r>
            <w:proofErr w:type="spellStart"/>
            <w:r w:rsidRPr="00600702">
              <w:rPr>
                <w:sz w:val="28"/>
                <w:szCs w:val="28"/>
              </w:rPr>
              <w:t>siguranţa</w:t>
            </w:r>
            <w:proofErr w:type="spellEnd"/>
            <w:r w:rsidRPr="00600702">
              <w:rPr>
                <w:sz w:val="28"/>
                <w:szCs w:val="28"/>
              </w:rPr>
              <w:t xml:space="preserve"> la </w:t>
            </w:r>
            <w:proofErr w:type="spellStart"/>
            <w:r w:rsidRPr="00600702">
              <w:rPr>
                <w:sz w:val="28"/>
                <w:szCs w:val="28"/>
              </w:rPr>
              <w:t>locul</w:t>
            </w:r>
            <w:proofErr w:type="spellEnd"/>
            <w:r w:rsidRPr="00600702">
              <w:rPr>
                <w:sz w:val="28"/>
                <w:szCs w:val="28"/>
              </w:rPr>
              <w:t xml:space="preserve"> de </w:t>
            </w:r>
            <w:proofErr w:type="spellStart"/>
            <w:r w:rsidRPr="00600702">
              <w:rPr>
                <w:sz w:val="28"/>
                <w:szCs w:val="28"/>
              </w:rPr>
              <w:t>muncă</w:t>
            </w:r>
            <w:proofErr w:type="spellEnd"/>
            <w:r w:rsidRPr="00600702">
              <w:rPr>
                <w:sz w:val="28"/>
                <w:szCs w:val="28"/>
              </w:rPr>
              <w:t xml:space="preserve">, </w:t>
            </w:r>
            <w:proofErr w:type="spellStart"/>
            <w:r w:rsidRPr="00600702">
              <w:rPr>
                <w:sz w:val="28"/>
                <w:szCs w:val="28"/>
              </w:rPr>
              <w:t>protecţia</w:t>
            </w:r>
            <w:proofErr w:type="spellEnd"/>
            <w:r w:rsidRPr="00600702">
              <w:rPr>
                <w:sz w:val="28"/>
                <w:szCs w:val="28"/>
              </w:rPr>
              <w:t xml:space="preserve"> </w:t>
            </w:r>
            <w:proofErr w:type="spellStart"/>
            <w:r w:rsidRPr="00600702">
              <w:rPr>
                <w:sz w:val="28"/>
                <w:szCs w:val="28"/>
              </w:rPr>
              <w:t>consumatorilor</w:t>
            </w:r>
            <w:proofErr w:type="spellEnd"/>
            <w:r w:rsidRPr="00600702">
              <w:rPr>
                <w:sz w:val="28"/>
                <w:szCs w:val="28"/>
              </w:rPr>
              <w:t xml:space="preserve">, </w:t>
            </w:r>
            <w:proofErr w:type="spellStart"/>
            <w:r w:rsidRPr="00600702">
              <w:rPr>
                <w:sz w:val="28"/>
                <w:szCs w:val="28"/>
              </w:rPr>
              <w:t>protecţia</w:t>
            </w:r>
            <w:proofErr w:type="spellEnd"/>
            <w:r w:rsidRPr="00600702">
              <w:rPr>
                <w:sz w:val="28"/>
                <w:szCs w:val="28"/>
              </w:rPr>
              <w:t xml:space="preserve"> </w:t>
            </w:r>
            <w:proofErr w:type="spellStart"/>
            <w:r w:rsidRPr="00600702">
              <w:rPr>
                <w:sz w:val="28"/>
                <w:szCs w:val="28"/>
              </w:rPr>
              <w:t>mediului</w:t>
            </w:r>
            <w:proofErr w:type="spellEnd"/>
            <w:r w:rsidRPr="00600702">
              <w:rPr>
                <w:sz w:val="28"/>
                <w:szCs w:val="28"/>
              </w:rPr>
              <w:t xml:space="preserve"> </w:t>
            </w:r>
            <w:proofErr w:type="spellStart"/>
            <w:r w:rsidRPr="00600702">
              <w:rPr>
                <w:sz w:val="28"/>
                <w:szCs w:val="28"/>
              </w:rPr>
              <w:t>şi</w:t>
            </w:r>
            <w:proofErr w:type="spellEnd"/>
            <w:r w:rsidRPr="00600702">
              <w:rPr>
                <w:sz w:val="28"/>
                <w:szCs w:val="28"/>
              </w:rPr>
              <w:t xml:space="preserve"> </w:t>
            </w:r>
            <w:proofErr w:type="spellStart"/>
            <w:r w:rsidRPr="00600702">
              <w:rPr>
                <w:sz w:val="28"/>
                <w:szCs w:val="28"/>
              </w:rPr>
              <w:t>securitatea</w:t>
            </w:r>
            <w:proofErr w:type="spellEnd"/>
            <w:r w:rsidRPr="00600702">
              <w:rPr>
                <w:sz w:val="28"/>
                <w:szCs w:val="28"/>
              </w:rPr>
              <w:t>.</w:t>
            </w:r>
          </w:p>
          <w:p w:rsidR="005D3208" w:rsidRPr="00600702" w:rsidRDefault="005D3208" w:rsidP="005D3208">
            <w:pPr>
              <w:tabs>
                <w:tab w:val="left" w:pos="540"/>
              </w:tabs>
              <w:ind w:firstLine="522"/>
              <w:jc w:val="both"/>
              <w:rPr>
                <w:sz w:val="28"/>
                <w:szCs w:val="28"/>
                <w:lang w:val="ro-RO" w:eastAsia="ru-RU"/>
              </w:rPr>
            </w:pPr>
            <w:r w:rsidRPr="00600702">
              <w:rPr>
                <w:sz w:val="28"/>
                <w:szCs w:val="28"/>
                <w:lang w:val="ro-RO" w:eastAsia="ru-RU"/>
              </w:rPr>
              <w:t>În Anexă proiectului Legii menționate este specificat „</w:t>
            </w:r>
            <w:r w:rsidRPr="00600702">
              <w:rPr>
                <w:caps/>
                <w:sz w:val="28"/>
                <w:szCs w:val="28"/>
                <w:lang w:val="ro-RO" w:eastAsia="ru-RU"/>
              </w:rPr>
              <w:t xml:space="preserve">Lista </w:t>
            </w:r>
            <w:r w:rsidRPr="00600702">
              <w:rPr>
                <w:sz w:val="28"/>
                <w:szCs w:val="28"/>
                <w:lang w:val="ro-RO" w:eastAsia="ru-RU"/>
              </w:rPr>
              <w:t>autorităţilor responsabile de supraveghere a pieţei în domeniile reglementate”</w:t>
            </w:r>
            <w:r w:rsidR="00095777" w:rsidRPr="00600702">
              <w:rPr>
                <w:sz w:val="28"/>
                <w:szCs w:val="28"/>
                <w:lang w:val="ro-RO" w:eastAsia="ru-RU"/>
              </w:rPr>
              <w:t xml:space="preserve"> și la domeniul „</w:t>
            </w:r>
            <w:r w:rsidR="00095777" w:rsidRPr="00600702">
              <w:rPr>
                <w:sz w:val="28"/>
                <w:szCs w:val="28"/>
                <w:lang w:val="pt-BR" w:eastAsia="ru-RU"/>
              </w:rPr>
              <w:t>E</w:t>
            </w:r>
            <w:proofErr w:type="spellStart"/>
            <w:r w:rsidR="00095777" w:rsidRPr="00600702">
              <w:rPr>
                <w:rFonts w:eastAsia="Arial Unicode MS"/>
                <w:bCs/>
                <w:sz w:val="28"/>
                <w:szCs w:val="28"/>
                <w:lang w:val="ro-RO" w:eastAsia="ro-RO"/>
              </w:rPr>
              <w:t>chipamente</w:t>
            </w:r>
            <w:proofErr w:type="spellEnd"/>
            <w:r w:rsidR="00095777" w:rsidRPr="00600702">
              <w:rPr>
                <w:rFonts w:eastAsia="Arial Unicode MS"/>
                <w:bCs/>
                <w:sz w:val="28"/>
                <w:szCs w:val="28"/>
                <w:lang w:val="ro-RO" w:eastAsia="ro-RO"/>
              </w:rPr>
              <w:t xml:space="preserve"> sub presiune transportabile</w:t>
            </w:r>
            <w:r w:rsidR="00095777" w:rsidRPr="00600702">
              <w:rPr>
                <w:sz w:val="28"/>
                <w:szCs w:val="28"/>
                <w:lang w:val="ro-RO" w:eastAsia="ru-RU"/>
              </w:rPr>
              <w:t>” este responsabil „</w:t>
            </w:r>
            <w:r w:rsidR="00095777" w:rsidRPr="00600702">
              <w:rPr>
                <w:sz w:val="28"/>
                <w:szCs w:val="28"/>
                <w:lang w:val="ro-RO" w:eastAsia="ro-RO"/>
              </w:rPr>
              <w:t>Inspectoratul Principal de Stat pentru Supravegherea Tehnică a Obiectelor Industriale Periculoase</w:t>
            </w:r>
            <w:r w:rsidR="00095777" w:rsidRPr="00600702">
              <w:rPr>
                <w:sz w:val="28"/>
                <w:szCs w:val="28"/>
                <w:lang w:val="ro-RO" w:eastAsia="ru-RU"/>
              </w:rPr>
              <w:t>”</w:t>
            </w:r>
            <w:r w:rsidRPr="00600702">
              <w:rPr>
                <w:sz w:val="28"/>
                <w:szCs w:val="28"/>
                <w:lang w:val="ro-RO" w:eastAsia="ru-RU"/>
              </w:rPr>
              <w:t>.</w:t>
            </w:r>
          </w:p>
          <w:p w:rsidR="0058391B" w:rsidRPr="00600702" w:rsidRDefault="0058391B" w:rsidP="005D3208">
            <w:pPr>
              <w:tabs>
                <w:tab w:val="left" w:pos="510"/>
              </w:tabs>
              <w:ind w:firstLine="602"/>
              <w:jc w:val="both"/>
              <w:rPr>
                <w:sz w:val="28"/>
                <w:szCs w:val="28"/>
              </w:rPr>
            </w:pPr>
            <w:r w:rsidRPr="00600702">
              <w:rPr>
                <w:sz w:val="28"/>
                <w:szCs w:val="28"/>
                <w:lang w:val="ro-RO"/>
              </w:rPr>
              <w:t xml:space="preserve"> În prezent,  recipientele sub presiune este reglementat de Reglementarea tehnică NRS 35-03-67:2004</w:t>
            </w:r>
            <w:r w:rsidRPr="00600702">
              <w:rPr>
                <w:bCs/>
                <w:sz w:val="28"/>
                <w:szCs w:val="28"/>
                <w:lang w:val="ro-RO"/>
              </w:rPr>
              <w:t xml:space="preserve"> Reguli de construire și exploatare inofensivă a recipientelor sub presiune.</w:t>
            </w:r>
            <w:r w:rsidRPr="00600702">
              <w:rPr>
                <w:sz w:val="28"/>
                <w:szCs w:val="28"/>
                <w:lang w:val="ro-RO"/>
              </w:rPr>
              <w:t xml:space="preserve"> Prezentele Reguli stabilesc cerințele pentru proiectarea, construirea, materiale, fabricarea, reconstruirea, reglarea, montarea, repararea, deservirea, diagnosticarea tehnică, controlul şi testarea metalului şi îmbinărilor sudate, întocmirea cărților tehnice, exploatarea recipientelor, cisternelor, butoaielor, buteliilor, </w:t>
            </w:r>
            <w:proofErr w:type="spellStart"/>
            <w:r w:rsidRPr="00600702">
              <w:rPr>
                <w:sz w:val="28"/>
                <w:szCs w:val="28"/>
                <w:lang w:val="ro-RO"/>
              </w:rPr>
              <w:t>barocamerelor</w:t>
            </w:r>
            <w:proofErr w:type="spellEnd"/>
            <w:r w:rsidRPr="00600702">
              <w:rPr>
                <w:sz w:val="28"/>
                <w:szCs w:val="28"/>
                <w:lang w:val="ro-RO"/>
              </w:rPr>
              <w:t xml:space="preserve">, care funcționează sub presiune excedentară.  </w:t>
            </w:r>
            <w:r w:rsidRPr="00600702">
              <w:rPr>
                <w:sz w:val="28"/>
                <w:szCs w:val="28"/>
                <w:lang w:val="ro-RO" w:eastAsia="ro-RO"/>
              </w:rPr>
              <w:t xml:space="preserve">Este de menţionat faptul că în cazul în </w:t>
            </w:r>
            <w:r w:rsidRPr="00600702">
              <w:rPr>
                <w:sz w:val="28"/>
                <w:szCs w:val="28"/>
              </w:rPr>
              <w:t xml:space="preserve">care o </w:t>
            </w:r>
            <w:proofErr w:type="spellStart"/>
            <w:r w:rsidRPr="00600702">
              <w:rPr>
                <w:sz w:val="28"/>
                <w:szCs w:val="28"/>
              </w:rPr>
              <w:t>staţie</w:t>
            </w:r>
            <w:proofErr w:type="spellEnd"/>
            <w:r w:rsidRPr="00600702">
              <w:rPr>
                <w:sz w:val="28"/>
                <w:szCs w:val="28"/>
              </w:rPr>
              <w:t xml:space="preserve"> de </w:t>
            </w:r>
            <w:proofErr w:type="spellStart"/>
            <w:r w:rsidRPr="00600702">
              <w:rPr>
                <w:sz w:val="28"/>
                <w:szCs w:val="28"/>
              </w:rPr>
              <w:t>alimentare</w:t>
            </w:r>
            <w:proofErr w:type="spellEnd"/>
            <w:r w:rsidRPr="00600702">
              <w:rPr>
                <w:sz w:val="28"/>
                <w:szCs w:val="28"/>
              </w:rPr>
              <w:t xml:space="preserve"> cu gaze </w:t>
            </w:r>
            <w:proofErr w:type="spellStart"/>
            <w:r w:rsidRPr="00600702">
              <w:rPr>
                <w:sz w:val="28"/>
                <w:szCs w:val="28"/>
              </w:rPr>
              <w:t>petroliere</w:t>
            </w:r>
            <w:proofErr w:type="spellEnd"/>
            <w:r w:rsidRPr="00600702">
              <w:rPr>
                <w:sz w:val="28"/>
                <w:szCs w:val="28"/>
              </w:rPr>
              <w:t xml:space="preserve"> </w:t>
            </w:r>
            <w:proofErr w:type="spellStart"/>
            <w:r w:rsidRPr="00600702">
              <w:rPr>
                <w:sz w:val="28"/>
                <w:szCs w:val="28"/>
              </w:rPr>
              <w:t>lichefiate</w:t>
            </w:r>
            <w:proofErr w:type="spellEnd"/>
            <w:r w:rsidRPr="00600702">
              <w:rPr>
                <w:sz w:val="28"/>
                <w:szCs w:val="28"/>
              </w:rPr>
              <w:t xml:space="preserve"> (GPL) </w:t>
            </w:r>
            <w:proofErr w:type="spellStart"/>
            <w:r w:rsidRPr="00600702">
              <w:rPr>
                <w:sz w:val="28"/>
                <w:szCs w:val="28"/>
              </w:rPr>
              <w:t>furnizează</w:t>
            </w:r>
            <w:proofErr w:type="spellEnd"/>
            <w:r w:rsidRPr="00600702">
              <w:rPr>
                <w:sz w:val="28"/>
                <w:szCs w:val="28"/>
              </w:rPr>
              <w:t xml:space="preserve"> </w:t>
            </w:r>
            <w:proofErr w:type="spellStart"/>
            <w:r w:rsidRPr="00600702">
              <w:rPr>
                <w:sz w:val="28"/>
                <w:szCs w:val="28"/>
              </w:rPr>
              <w:t>servicii</w:t>
            </w:r>
            <w:proofErr w:type="spellEnd"/>
            <w:r w:rsidRPr="00600702">
              <w:rPr>
                <w:sz w:val="28"/>
                <w:szCs w:val="28"/>
              </w:rPr>
              <w:t xml:space="preserve"> de </w:t>
            </w:r>
            <w:proofErr w:type="spellStart"/>
            <w:r w:rsidRPr="00600702">
              <w:rPr>
                <w:sz w:val="28"/>
                <w:szCs w:val="28"/>
              </w:rPr>
              <w:t>alimentare</w:t>
            </w:r>
            <w:proofErr w:type="spellEnd"/>
            <w:r w:rsidRPr="00600702">
              <w:rPr>
                <w:sz w:val="28"/>
                <w:szCs w:val="28"/>
              </w:rPr>
              <w:t xml:space="preserve"> cu </w:t>
            </w:r>
            <w:proofErr w:type="spellStart"/>
            <w:r w:rsidRPr="00600702">
              <w:rPr>
                <w:sz w:val="28"/>
                <w:szCs w:val="28"/>
              </w:rPr>
              <w:t>gaz</w:t>
            </w:r>
            <w:proofErr w:type="spellEnd"/>
            <w:r w:rsidRPr="00600702">
              <w:rPr>
                <w:sz w:val="28"/>
                <w:szCs w:val="28"/>
              </w:rPr>
              <w:t xml:space="preserve"> </w:t>
            </w:r>
            <w:proofErr w:type="spellStart"/>
            <w:r w:rsidRPr="00600702">
              <w:rPr>
                <w:sz w:val="28"/>
                <w:szCs w:val="28"/>
              </w:rPr>
              <w:t>lichefiat</w:t>
            </w:r>
            <w:proofErr w:type="spellEnd"/>
            <w:r w:rsidRPr="00600702">
              <w:rPr>
                <w:sz w:val="28"/>
                <w:szCs w:val="28"/>
              </w:rPr>
              <w:t xml:space="preserve"> a </w:t>
            </w:r>
            <w:proofErr w:type="spellStart"/>
            <w:r w:rsidRPr="00600702">
              <w:rPr>
                <w:sz w:val="28"/>
                <w:szCs w:val="28"/>
              </w:rPr>
              <w:t>buteliilor</w:t>
            </w:r>
            <w:proofErr w:type="spellEnd"/>
            <w:r w:rsidRPr="00600702">
              <w:rPr>
                <w:sz w:val="28"/>
                <w:szCs w:val="28"/>
              </w:rPr>
              <w:t xml:space="preserve"> de </w:t>
            </w:r>
            <w:proofErr w:type="spellStart"/>
            <w:r w:rsidRPr="00600702">
              <w:rPr>
                <w:sz w:val="28"/>
                <w:szCs w:val="28"/>
              </w:rPr>
              <w:t>uz</w:t>
            </w:r>
            <w:proofErr w:type="spellEnd"/>
            <w:r w:rsidRPr="00600702">
              <w:rPr>
                <w:sz w:val="28"/>
                <w:szCs w:val="28"/>
              </w:rPr>
              <w:t xml:space="preserve"> </w:t>
            </w:r>
            <w:proofErr w:type="spellStart"/>
            <w:r w:rsidRPr="00600702">
              <w:rPr>
                <w:sz w:val="28"/>
                <w:szCs w:val="28"/>
              </w:rPr>
              <w:t>casnic</w:t>
            </w:r>
            <w:proofErr w:type="spellEnd"/>
            <w:r w:rsidRPr="00600702">
              <w:rPr>
                <w:sz w:val="28"/>
                <w:szCs w:val="28"/>
              </w:rPr>
              <w:t xml:space="preserve">, </w:t>
            </w:r>
            <w:proofErr w:type="spellStart"/>
            <w:r w:rsidRPr="00600702">
              <w:rPr>
                <w:sz w:val="28"/>
                <w:szCs w:val="28"/>
              </w:rPr>
              <w:t>această</w:t>
            </w:r>
            <w:proofErr w:type="spellEnd"/>
            <w:r w:rsidRPr="00600702">
              <w:rPr>
                <w:sz w:val="28"/>
                <w:szCs w:val="28"/>
              </w:rPr>
              <w:t xml:space="preserve"> </w:t>
            </w:r>
            <w:proofErr w:type="spellStart"/>
            <w:r w:rsidRPr="00600702">
              <w:rPr>
                <w:sz w:val="28"/>
                <w:szCs w:val="28"/>
              </w:rPr>
              <w:t>staţie</w:t>
            </w:r>
            <w:proofErr w:type="spellEnd"/>
            <w:r w:rsidRPr="00600702">
              <w:rPr>
                <w:sz w:val="28"/>
                <w:szCs w:val="28"/>
              </w:rPr>
              <w:t xml:space="preserve"> </w:t>
            </w:r>
            <w:proofErr w:type="spellStart"/>
            <w:r w:rsidRPr="00600702">
              <w:rPr>
                <w:sz w:val="28"/>
                <w:szCs w:val="28"/>
              </w:rPr>
              <w:t>trebuie</w:t>
            </w:r>
            <w:proofErr w:type="spellEnd"/>
            <w:r w:rsidRPr="00600702">
              <w:rPr>
                <w:sz w:val="28"/>
                <w:szCs w:val="28"/>
              </w:rPr>
              <w:t xml:space="preserve"> </w:t>
            </w:r>
            <w:proofErr w:type="spellStart"/>
            <w:r w:rsidRPr="00600702">
              <w:rPr>
                <w:sz w:val="28"/>
                <w:szCs w:val="28"/>
              </w:rPr>
              <w:t>să</w:t>
            </w:r>
            <w:proofErr w:type="spellEnd"/>
            <w:r w:rsidRPr="00600702">
              <w:rPr>
                <w:sz w:val="28"/>
                <w:szCs w:val="28"/>
              </w:rPr>
              <w:t xml:space="preserve"> </w:t>
            </w:r>
            <w:proofErr w:type="spellStart"/>
            <w:r w:rsidRPr="00600702">
              <w:rPr>
                <w:sz w:val="28"/>
                <w:szCs w:val="28"/>
              </w:rPr>
              <w:t>respecte</w:t>
            </w:r>
            <w:proofErr w:type="spellEnd"/>
            <w:r w:rsidRPr="00600702">
              <w:rPr>
                <w:sz w:val="28"/>
                <w:szCs w:val="28"/>
              </w:rPr>
              <w:t xml:space="preserve"> o </w:t>
            </w:r>
            <w:proofErr w:type="spellStart"/>
            <w:r w:rsidRPr="00600702">
              <w:rPr>
                <w:sz w:val="28"/>
                <w:szCs w:val="28"/>
              </w:rPr>
              <w:t>serie</w:t>
            </w:r>
            <w:proofErr w:type="spellEnd"/>
            <w:r w:rsidRPr="00600702">
              <w:rPr>
                <w:sz w:val="28"/>
                <w:szCs w:val="28"/>
              </w:rPr>
              <w:t xml:space="preserve"> de </w:t>
            </w:r>
            <w:proofErr w:type="spellStart"/>
            <w:r w:rsidRPr="00600702">
              <w:rPr>
                <w:sz w:val="28"/>
                <w:szCs w:val="28"/>
              </w:rPr>
              <w:t>cerinţe</w:t>
            </w:r>
            <w:proofErr w:type="spellEnd"/>
            <w:r w:rsidRPr="00600702">
              <w:rPr>
                <w:sz w:val="28"/>
                <w:szCs w:val="28"/>
              </w:rPr>
              <w:t xml:space="preserve"> </w:t>
            </w:r>
            <w:proofErr w:type="spellStart"/>
            <w:r w:rsidRPr="00600702">
              <w:rPr>
                <w:sz w:val="28"/>
                <w:szCs w:val="28"/>
              </w:rPr>
              <w:t>privind</w:t>
            </w:r>
            <w:proofErr w:type="spellEnd"/>
            <w:r w:rsidRPr="00600702">
              <w:rPr>
                <w:sz w:val="28"/>
                <w:szCs w:val="28"/>
              </w:rPr>
              <w:t xml:space="preserve"> </w:t>
            </w:r>
            <w:proofErr w:type="spellStart"/>
            <w:r w:rsidRPr="00600702">
              <w:rPr>
                <w:sz w:val="28"/>
                <w:szCs w:val="28"/>
              </w:rPr>
              <w:t>verificarea</w:t>
            </w:r>
            <w:proofErr w:type="spellEnd"/>
            <w:r w:rsidRPr="00600702">
              <w:rPr>
                <w:sz w:val="28"/>
                <w:szCs w:val="28"/>
              </w:rPr>
              <w:t xml:space="preserve"> </w:t>
            </w:r>
            <w:proofErr w:type="spellStart"/>
            <w:r w:rsidRPr="00600702">
              <w:rPr>
                <w:sz w:val="28"/>
                <w:szCs w:val="28"/>
              </w:rPr>
              <w:t>tehnică</w:t>
            </w:r>
            <w:proofErr w:type="spellEnd"/>
            <w:r w:rsidRPr="00600702">
              <w:rPr>
                <w:sz w:val="28"/>
                <w:szCs w:val="28"/>
              </w:rPr>
              <w:t xml:space="preserve"> a </w:t>
            </w:r>
            <w:proofErr w:type="spellStart"/>
            <w:r w:rsidRPr="00600702">
              <w:rPr>
                <w:sz w:val="28"/>
                <w:szCs w:val="28"/>
              </w:rPr>
              <w:t>buteliilor</w:t>
            </w:r>
            <w:proofErr w:type="spellEnd"/>
            <w:r w:rsidRPr="00600702">
              <w:rPr>
                <w:sz w:val="28"/>
                <w:szCs w:val="28"/>
              </w:rPr>
              <w:t xml:space="preserve">, </w:t>
            </w:r>
            <w:proofErr w:type="spellStart"/>
            <w:r w:rsidRPr="00600702">
              <w:rPr>
                <w:sz w:val="28"/>
                <w:szCs w:val="28"/>
              </w:rPr>
              <w:t>precum</w:t>
            </w:r>
            <w:proofErr w:type="spellEnd"/>
            <w:r w:rsidRPr="00600702">
              <w:rPr>
                <w:sz w:val="28"/>
                <w:szCs w:val="28"/>
              </w:rPr>
              <w:t xml:space="preserve"> </w:t>
            </w:r>
            <w:proofErr w:type="spellStart"/>
            <w:r w:rsidRPr="00600702">
              <w:rPr>
                <w:sz w:val="28"/>
                <w:szCs w:val="28"/>
              </w:rPr>
              <w:t>şi</w:t>
            </w:r>
            <w:proofErr w:type="spellEnd"/>
            <w:r w:rsidRPr="00600702">
              <w:rPr>
                <w:sz w:val="28"/>
                <w:szCs w:val="28"/>
              </w:rPr>
              <w:t xml:space="preserve"> </w:t>
            </w:r>
            <w:proofErr w:type="spellStart"/>
            <w:r w:rsidRPr="00600702">
              <w:rPr>
                <w:sz w:val="28"/>
                <w:szCs w:val="28"/>
              </w:rPr>
              <w:t>să</w:t>
            </w:r>
            <w:proofErr w:type="spellEnd"/>
            <w:r w:rsidRPr="00600702">
              <w:rPr>
                <w:sz w:val="28"/>
                <w:szCs w:val="28"/>
              </w:rPr>
              <w:t xml:space="preserve"> </w:t>
            </w:r>
            <w:proofErr w:type="spellStart"/>
            <w:r w:rsidRPr="00600702">
              <w:rPr>
                <w:sz w:val="28"/>
                <w:szCs w:val="28"/>
              </w:rPr>
              <w:t>deţină</w:t>
            </w:r>
            <w:proofErr w:type="spellEnd"/>
            <w:r w:rsidRPr="00600702">
              <w:rPr>
                <w:sz w:val="28"/>
                <w:szCs w:val="28"/>
              </w:rPr>
              <w:t xml:space="preserve"> </w:t>
            </w:r>
            <w:proofErr w:type="spellStart"/>
            <w:r w:rsidRPr="00600702">
              <w:rPr>
                <w:sz w:val="28"/>
                <w:szCs w:val="28"/>
              </w:rPr>
              <w:t>cîntar</w:t>
            </w:r>
            <w:proofErr w:type="spellEnd"/>
            <w:r w:rsidRPr="00600702">
              <w:rPr>
                <w:sz w:val="28"/>
                <w:szCs w:val="28"/>
              </w:rPr>
              <w:t xml:space="preserve"> de control </w:t>
            </w:r>
            <w:proofErr w:type="spellStart"/>
            <w:r w:rsidRPr="00600702">
              <w:rPr>
                <w:sz w:val="28"/>
                <w:szCs w:val="28"/>
              </w:rPr>
              <w:t>pentru</w:t>
            </w:r>
            <w:proofErr w:type="spellEnd"/>
            <w:r w:rsidRPr="00600702">
              <w:rPr>
                <w:sz w:val="28"/>
                <w:szCs w:val="28"/>
              </w:rPr>
              <w:t xml:space="preserve"> </w:t>
            </w:r>
            <w:proofErr w:type="spellStart"/>
            <w:r w:rsidRPr="00600702">
              <w:rPr>
                <w:sz w:val="28"/>
                <w:szCs w:val="28"/>
              </w:rPr>
              <w:t>verificarea</w:t>
            </w:r>
            <w:proofErr w:type="spellEnd"/>
            <w:r w:rsidRPr="00600702">
              <w:rPr>
                <w:sz w:val="28"/>
                <w:szCs w:val="28"/>
              </w:rPr>
              <w:t xml:space="preserve"> </w:t>
            </w:r>
            <w:proofErr w:type="spellStart"/>
            <w:r w:rsidRPr="00600702">
              <w:rPr>
                <w:sz w:val="28"/>
                <w:szCs w:val="28"/>
              </w:rPr>
              <w:t>gradului</w:t>
            </w:r>
            <w:proofErr w:type="spellEnd"/>
            <w:r w:rsidRPr="00600702">
              <w:rPr>
                <w:sz w:val="28"/>
                <w:szCs w:val="28"/>
              </w:rPr>
              <w:t xml:space="preserve"> de </w:t>
            </w:r>
            <w:proofErr w:type="spellStart"/>
            <w:r w:rsidRPr="00600702">
              <w:rPr>
                <w:sz w:val="28"/>
                <w:szCs w:val="28"/>
              </w:rPr>
              <w:t>umplere</w:t>
            </w:r>
            <w:proofErr w:type="spellEnd"/>
            <w:r w:rsidRPr="00600702">
              <w:rPr>
                <w:sz w:val="28"/>
                <w:szCs w:val="28"/>
              </w:rPr>
              <w:t xml:space="preserve">. </w:t>
            </w:r>
            <w:proofErr w:type="spellStart"/>
            <w:r w:rsidRPr="00600702">
              <w:rPr>
                <w:sz w:val="28"/>
                <w:szCs w:val="28"/>
              </w:rPr>
              <w:t>Aceste</w:t>
            </w:r>
            <w:proofErr w:type="spellEnd"/>
            <w:r w:rsidRPr="00600702">
              <w:rPr>
                <w:sz w:val="28"/>
                <w:szCs w:val="28"/>
              </w:rPr>
              <w:t xml:space="preserve"> </w:t>
            </w:r>
            <w:proofErr w:type="spellStart"/>
            <w:r w:rsidRPr="00600702">
              <w:rPr>
                <w:sz w:val="28"/>
                <w:szCs w:val="28"/>
              </w:rPr>
              <w:t>cerinţe</w:t>
            </w:r>
            <w:proofErr w:type="spellEnd"/>
            <w:r w:rsidRPr="00600702">
              <w:rPr>
                <w:sz w:val="28"/>
                <w:szCs w:val="28"/>
              </w:rPr>
              <w:t xml:space="preserve"> </w:t>
            </w:r>
            <w:proofErr w:type="spellStart"/>
            <w:r w:rsidRPr="00600702">
              <w:rPr>
                <w:sz w:val="28"/>
                <w:szCs w:val="28"/>
              </w:rPr>
              <w:t>sunt</w:t>
            </w:r>
            <w:proofErr w:type="spellEnd"/>
            <w:r w:rsidRPr="00600702">
              <w:rPr>
                <w:sz w:val="28"/>
                <w:szCs w:val="28"/>
              </w:rPr>
              <w:t xml:space="preserve"> </w:t>
            </w:r>
            <w:proofErr w:type="spellStart"/>
            <w:r w:rsidRPr="00600702">
              <w:rPr>
                <w:sz w:val="28"/>
                <w:szCs w:val="28"/>
              </w:rPr>
              <w:t>stabilite</w:t>
            </w:r>
            <w:proofErr w:type="spellEnd"/>
            <w:r w:rsidRPr="00600702">
              <w:rPr>
                <w:sz w:val="28"/>
                <w:szCs w:val="28"/>
              </w:rPr>
              <w:t xml:space="preserve"> </w:t>
            </w:r>
            <w:proofErr w:type="spellStart"/>
            <w:r w:rsidRPr="00600702">
              <w:rPr>
                <w:sz w:val="28"/>
                <w:szCs w:val="28"/>
              </w:rPr>
              <w:t>în</w:t>
            </w:r>
            <w:proofErr w:type="spellEnd"/>
            <w:r w:rsidRPr="00600702">
              <w:rPr>
                <w:sz w:val="28"/>
                <w:szCs w:val="28"/>
              </w:rPr>
              <w:t xml:space="preserve"> </w:t>
            </w:r>
            <w:proofErr w:type="spellStart"/>
            <w:r w:rsidRPr="00600702">
              <w:rPr>
                <w:sz w:val="28"/>
                <w:szCs w:val="28"/>
              </w:rPr>
              <w:t>documentul</w:t>
            </w:r>
            <w:proofErr w:type="spellEnd"/>
            <w:r w:rsidRPr="00600702">
              <w:rPr>
                <w:sz w:val="28"/>
                <w:szCs w:val="28"/>
              </w:rPr>
              <w:t xml:space="preserve"> </w:t>
            </w:r>
            <w:proofErr w:type="spellStart"/>
            <w:r w:rsidRPr="00600702">
              <w:rPr>
                <w:sz w:val="28"/>
                <w:szCs w:val="28"/>
              </w:rPr>
              <w:t>normativ-tehnic</w:t>
            </w:r>
            <w:proofErr w:type="spellEnd"/>
            <w:r w:rsidRPr="00600702">
              <w:rPr>
                <w:sz w:val="28"/>
                <w:szCs w:val="28"/>
              </w:rPr>
              <w:t xml:space="preserve"> </w:t>
            </w:r>
            <w:proofErr w:type="spellStart"/>
            <w:r w:rsidRPr="00600702">
              <w:rPr>
                <w:sz w:val="28"/>
                <w:szCs w:val="28"/>
              </w:rPr>
              <w:t>în</w:t>
            </w:r>
            <w:proofErr w:type="spellEnd"/>
            <w:r w:rsidRPr="00600702">
              <w:rPr>
                <w:sz w:val="28"/>
                <w:szCs w:val="28"/>
              </w:rPr>
              <w:t xml:space="preserve"> </w:t>
            </w:r>
            <w:proofErr w:type="spellStart"/>
            <w:r w:rsidRPr="00600702">
              <w:rPr>
                <w:sz w:val="28"/>
                <w:szCs w:val="28"/>
              </w:rPr>
              <w:t>domeniul</w:t>
            </w:r>
            <w:proofErr w:type="spellEnd"/>
            <w:r w:rsidRPr="00600702">
              <w:rPr>
                <w:sz w:val="28"/>
                <w:szCs w:val="28"/>
              </w:rPr>
              <w:t xml:space="preserve"> </w:t>
            </w:r>
            <w:proofErr w:type="spellStart"/>
            <w:r w:rsidRPr="00600702">
              <w:rPr>
                <w:sz w:val="28"/>
                <w:szCs w:val="28"/>
              </w:rPr>
              <w:t>securităţii</w:t>
            </w:r>
            <w:proofErr w:type="spellEnd"/>
            <w:r w:rsidRPr="00600702">
              <w:rPr>
                <w:sz w:val="28"/>
                <w:szCs w:val="28"/>
              </w:rPr>
              <w:t xml:space="preserve"> </w:t>
            </w:r>
            <w:proofErr w:type="spellStart"/>
            <w:r w:rsidRPr="00600702">
              <w:rPr>
                <w:sz w:val="28"/>
                <w:szCs w:val="28"/>
              </w:rPr>
              <w:t>industriale</w:t>
            </w:r>
            <w:proofErr w:type="spellEnd"/>
            <w:r w:rsidRPr="00600702">
              <w:rPr>
                <w:sz w:val="28"/>
                <w:szCs w:val="28"/>
              </w:rPr>
              <w:t xml:space="preserve"> </w:t>
            </w:r>
            <w:proofErr w:type="spellStart"/>
            <w:r w:rsidRPr="00600702">
              <w:rPr>
                <w:sz w:val="28"/>
                <w:szCs w:val="28"/>
              </w:rPr>
              <w:t>mai</w:t>
            </w:r>
            <w:proofErr w:type="spellEnd"/>
            <w:r w:rsidRPr="00600702">
              <w:rPr>
                <w:sz w:val="28"/>
                <w:szCs w:val="28"/>
              </w:rPr>
              <w:t xml:space="preserve"> sus </w:t>
            </w:r>
            <w:proofErr w:type="spellStart"/>
            <w:r w:rsidRPr="00600702">
              <w:rPr>
                <w:sz w:val="28"/>
                <w:szCs w:val="28"/>
              </w:rPr>
              <w:t>menționat</w:t>
            </w:r>
            <w:proofErr w:type="spellEnd"/>
            <w:r w:rsidRPr="00600702">
              <w:rPr>
                <w:sz w:val="28"/>
                <w:szCs w:val="28"/>
              </w:rPr>
              <w:t xml:space="preserve">. </w:t>
            </w:r>
          </w:p>
          <w:p w:rsidR="0058391B" w:rsidRPr="00600702" w:rsidRDefault="0058391B">
            <w:pPr>
              <w:tabs>
                <w:tab w:val="left" w:pos="510"/>
              </w:tabs>
              <w:jc w:val="both"/>
              <w:rPr>
                <w:sz w:val="28"/>
                <w:szCs w:val="28"/>
              </w:rPr>
            </w:pPr>
            <w:r w:rsidRPr="00600702">
              <w:rPr>
                <w:sz w:val="28"/>
                <w:szCs w:val="28"/>
              </w:rPr>
              <w:t xml:space="preserve">       </w:t>
            </w:r>
            <w:proofErr w:type="spellStart"/>
            <w:r w:rsidRPr="00600702">
              <w:rPr>
                <w:sz w:val="28"/>
                <w:szCs w:val="28"/>
              </w:rPr>
              <w:t>Reglementarea</w:t>
            </w:r>
            <w:proofErr w:type="spellEnd"/>
            <w:r w:rsidRPr="00600702">
              <w:rPr>
                <w:sz w:val="28"/>
                <w:szCs w:val="28"/>
              </w:rPr>
              <w:t xml:space="preserve"> </w:t>
            </w:r>
            <w:proofErr w:type="spellStart"/>
            <w:r w:rsidRPr="00600702">
              <w:rPr>
                <w:sz w:val="28"/>
                <w:szCs w:val="28"/>
              </w:rPr>
              <w:t>tehnică</w:t>
            </w:r>
            <w:proofErr w:type="spellEnd"/>
            <w:r w:rsidRPr="00600702">
              <w:rPr>
                <w:sz w:val="28"/>
                <w:szCs w:val="28"/>
              </w:rPr>
              <w:t xml:space="preserve"> NRS 35-04-09:2002 </w:t>
            </w:r>
            <w:proofErr w:type="spellStart"/>
            <w:r w:rsidRPr="00600702">
              <w:rPr>
                <w:sz w:val="28"/>
                <w:szCs w:val="28"/>
              </w:rPr>
              <w:t>Reguli</w:t>
            </w:r>
            <w:proofErr w:type="spellEnd"/>
            <w:r w:rsidRPr="00600702">
              <w:rPr>
                <w:sz w:val="28"/>
                <w:szCs w:val="28"/>
              </w:rPr>
              <w:t xml:space="preserve"> de </w:t>
            </w:r>
            <w:proofErr w:type="spellStart"/>
            <w:r w:rsidRPr="00600702">
              <w:rPr>
                <w:sz w:val="28"/>
                <w:szCs w:val="28"/>
              </w:rPr>
              <w:t>securitate</w:t>
            </w:r>
            <w:proofErr w:type="spellEnd"/>
            <w:r w:rsidRPr="00600702">
              <w:rPr>
                <w:sz w:val="28"/>
                <w:szCs w:val="28"/>
              </w:rPr>
              <w:t xml:space="preserve"> </w:t>
            </w:r>
            <w:proofErr w:type="spellStart"/>
            <w:r w:rsidRPr="00600702">
              <w:rPr>
                <w:sz w:val="28"/>
                <w:szCs w:val="28"/>
              </w:rPr>
              <w:t>în</w:t>
            </w:r>
            <w:proofErr w:type="spellEnd"/>
            <w:r w:rsidRPr="00600702">
              <w:rPr>
                <w:sz w:val="28"/>
                <w:szCs w:val="28"/>
              </w:rPr>
              <w:t xml:space="preserve"> </w:t>
            </w:r>
            <w:proofErr w:type="spellStart"/>
            <w:r w:rsidRPr="00600702">
              <w:rPr>
                <w:sz w:val="28"/>
                <w:szCs w:val="28"/>
              </w:rPr>
              <w:t>ramura</w:t>
            </w:r>
            <w:proofErr w:type="spellEnd"/>
            <w:r w:rsidRPr="00600702">
              <w:rPr>
                <w:sz w:val="28"/>
                <w:szCs w:val="28"/>
              </w:rPr>
              <w:t xml:space="preserve"> </w:t>
            </w:r>
            <w:proofErr w:type="spellStart"/>
            <w:r w:rsidRPr="00600702">
              <w:rPr>
                <w:sz w:val="28"/>
                <w:szCs w:val="28"/>
              </w:rPr>
              <w:t>gazificării</w:t>
            </w:r>
            <w:proofErr w:type="spellEnd"/>
            <w:r w:rsidRPr="00600702">
              <w:rPr>
                <w:sz w:val="28"/>
                <w:szCs w:val="28"/>
              </w:rPr>
              <w:t xml:space="preserve"> </w:t>
            </w:r>
            <w:proofErr w:type="spellStart"/>
            <w:r w:rsidRPr="00600702">
              <w:rPr>
                <w:sz w:val="28"/>
                <w:szCs w:val="28"/>
              </w:rPr>
              <w:t>stabilește</w:t>
            </w:r>
            <w:proofErr w:type="spellEnd"/>
            <w:r w:rsidRPr="00600702">
              <w:rPr>
                <w:sz w:val="28"/>
                <w:szCs w:val="28"/>
              </w:rPr>
              <w:t xml:space="preserve"> </w:t>
            </w:r>
            <w:proofErr w:type="spellStart"/>
            <w:r w:rsidRPr="00600702">
              <w:rPr>
                <w:sz w:val="28"/>
                <w:szCs w:val="28"/>
              </w:rPr>
              <w:t>cerințele</w:t>
            </w:r>
            <w:proofErr w:type="spellEnd"/>
            <w:r w:rsidRPr="00600702">
              <w:rPr>
                <w:sz w:val="28"/>
                <w:szCs w:val="28"/>
              </w:rPr>
              <w:t xml:space="preserve"> de </w:t>
            </w:r>
            <w:proofErr w:type="spellStart"/>
            <w:r w:rsidRPr="00600702">
              <w:rPr>
                <w:sz w:val="28"/>
                <w:szCs w:val="28"/>
              </w:rPr>
              <w:t>securitate</w:t>
            </w:r>
            <w:proofErr w:type="spellEnd"/>
            <w:r w:rsidRPr="00600702">
              <w:rPr>
                <w:sz w:val="28"/>
                <w:szCs w:val="28"/>
              </w:rPr>
              <w:t xml:space="preserve"> </w:t>
            </w:r>
            <w:proofErr w:type="spellStart"/>
            <w:r w:rsidRPr="00600702">
              <w:rPr>
                <w:sz w:val="28"/>
                <w:szCs w:val="28"/>
              </w:rPr>
              <w:t>industrială</w:t>
            </w:r>
            <w:proofErr w:type="spellEnd"/>
            <w:r w:rsidRPr="00600702">
              <w:rPr>
                <w:sz w:val="28"/>
                <w:szCs w:val="28"/>
              </w:rPr>
              <w:t xml:space="preserve"> </w:t>
            </w:r>
            <w:proofErr w:type="spellStart"/>
            <w:r w:rsidRPr="00600702">
              <w:rPr>
                <w:sz w:val="28"/>
                <w:szCs w:val="28"/>
              </w:rPr>
              <w:t>pentru</w:t>
            </w:r>
            <w:proofErr w:type="spellEnd"/>
            <w:r w:rsidRPr="00600702">
              <w:rPr>
                <w:sz w:val="28"/>
                <w:szCs w:val="28"/>
              </w:rPr>
              <w:t xml:space="preserve"> </w:t>
            </w:r>
            <w:proofErr w:type="spellStart"/>
            <w:r w:rsidRPr="00600702">
              <w:rPr>
                <w:sz w:val="28"/>
                <w:szCs w:val="28"/>
              </w:rPr>
              <w:t>proiectarea</w:t>
            </w:r>
            <w:proofErr w:type="spellEnd"/>
            <w:r w:rsidRPr="00600702">
              <w:rPr>
                <w:sz w:val="28"/>
                <w:szCs w:val="28"/>
              </w:rPr>
              <w:t xml:space="preserve">, </w:t>
            </w:r>
            <w:proofErr w:type="spellStart"/>
            <w:r w:rsidRPr="00600702">
              <w:rPr>
                <w:sz w:val="28"/>
                <w:szCs w:val="28"/>
              </w:rPr>
              <w:t>construcția</w:t>
            </w:r>
            <w:proofErr w:type="spellEnd"/>
            <w:r w:rsidRPr="00600702">
              <w:rPr>
                <w:sz w:val="28"/>
                <w:szCs w:val="28"/>
              </w:rPr>
              <w:t xml:space="preserve"> </w:t>
            </w:r>
            <w:proofErr w:type="spellStart"/>
            <w:r w:rsidRPr="00600702">
              <w:rPr>
                <w:sz w:val="28"/>
                <w:szCs w:val="28"/>
              </w:rPr>
              <w:t>și</w:t>
            </w:r>
            <w:proofErr w:type="spellEnd"/>
            <w:r w:rsidRPr="00600702">
              <w:rPr>
                <w:sz w:val="28"/>
                <w:szCs w:val="28"/>
              </w:rPr>
              <w:t xml:space="preserve"> </w:t>
            </w:r>
            <w:proofErr w:type="spellStart"/>
            <w:r w:rsidRPr="00600702">
              <w:rPr>
                <w:sz w:val="28"/>
                <w:szCs w:val="28"/>
              </w:rPr>
              <w:t>exploatarea</w:t>
            </w:r>
            <w:proofErr w:type="spellEnd"/>
            <w:r w:rsidRPr="00600702">
              <w:rPr>
                <w:sz w:val="28"/>
                <w:szCs w:val="28"/>
              </w:rPr>
              <w:t xml:space="preserve"> </w:t>
            </w:r>
            <w:proofErr w:type="spellStart"/>
            <w:r w:rsidRPr="00600702">
              <w:rPr>
                <w:sz w:val="28"/>
                <w:szCs w:val="28"/>
              </w:rPr>
              <w:t>sistemelor</w:t>
            </w:r>
            <w:proofErr w:type="spellEnd"/>
            <w:r w:rsidRPr="00600702">
              <w:rPr>
                <w:sz w:val="28"/>
                <w:szCs w:val="28"/>
              </w:rPr>
              <w:t xml:space="preserve"> de </w:t>
            </w:r>
            <w:proofErr w:type="spellStart"/>
            <w:r w:rsidRPr="00600702">
              <w:rPr>
                <w:sz w:val="28"/>
                <w:szCs w:val="28"/>
              </w:rPr>
              <w:t>gazificare</w:t>
            </w:r>
            <w:proofErr w:type="spellEnd"/>
            <w:r w:rsidRPr="00600702">
              <w:rPr>
                <w:sz w:val="28"/>
                <w:szCs w:val="28"/>
              </w:rPr>
              <w:t xml:space="preserve">. </w:t>
            </w:r>
            <w:proofErr w:type="spellStart"/>
            <w:r w:rsidRPr="00600702">
              <w:rPr>
                <w:sz w:val="28"/>
                <w:szCs w:val="28"/>
              </w:rPr>
              <w:t>Regulile</w:t>
            </w:r>
            <w:proofErr w:type="spellEnd"/>
            <w:r w:rsidRPr="00600702">
              <w:rPr>
                <w:sz w:val="28"/>
                <w:szCs w:val="28"/>
              </w:rPr>
              <w:t xml:space="preserve"> </w:t>
            </w:r>
            <w:proofErr w:type="spellStart"/>
            <w:r w:rsidRPr="00600702">
              <w:rPr>
                <w:sz w:val="28"/>
                <w:szCs w:val="28"/>
              </w:rPr>
              <w:t>menționate</w:t>
            </w:r>
            <w:proofErr w:type="spellEnd"/>
            <w:r w:rsidRPr="00600702">
              <w:rPr>
                <w:sz w:val="28"/>
                <w:szCs w:val="28"/>
              </w:rPr>
              <w:t xml:space="preserve"> nu se </w:t>
            </w:r>
            <w:proofErr w:type="spellStart"/>
            <w:r w:rsidRPr="00600702">
              <w:rPr>
                <w:sz w:val="28"/>
                <w:szCs w:val="28"/>
              </w:rPr>
              <w:t>aplică</w:t>
            </w:r>
            <w:proofErr w:type="spellEnd"/>
            <w:r w:rsidRPr="00600702">
              <w:rPr>
                <w:sz w:val="28"/>
                <w:szCs w:val="28"/>
              </w:rPr>
              <w:t xml:space="preserve"> </w:t>
            </w:r>
            <w:proofErr w:type="spellStart"/>
            <w:r w:rsidRPr="00600702">
              <w:rPr>
                <w:sz w:val="28"/>
                <w:szCs w:val="28"/>
              </w:rPr>
              <w:t>pentru</w:t>
            </w:r>
            <w:proofErr w:type="spellEnd"/>
            <w:proofErr w:type="gramStart"/>
            <w:r w:rsidRPr="00600702">
              <w:rPr>
                <w:sz w:val="28"/>
                <w:szCs w:val="28"/>
              </w:rPr>
              <w:t>: ,,</w:t>
            </w:r>
            <w:proofErr w:type="spellStart"/>
            <w:proofErr w:type="gramEnd"/>
            <w:r w:rsidRPr="00600702">
              <w:rPr>
                <w:sz w:val="28"/>
                <w:szCs w:val="28"/>
              </w:rPr>
              <w:t>instalaţii</w:t>
            </w:r>
            <w:proofErr w:type="spellEnd"/>
            <w:r w:rsidRPr="00600702">
              <w:rPr>
                <w:sz w:val="28"/>
                <w:szCs w:val="28"/>
              </w:rPr>
              <w:t xml:space="preserve"> mobile </w:t>
            </w:r>
            <w:proofErr w:type="spellStart"/>
            <w:r w:rsidRPr="00600702">
              <w:rPr>
                <w:sz w:val="28"/>
                <w:szCs w:val="28"/>
              </w:rPr>
              <w:t>utilizatoare</w:t>
            </w:r>
            <w:proofErr w:type="spellEnd"/>
            <w:r w:rsidRPr="00600702">
              <w:rPr>
                <w:sz w:val="28"/>
                <w:szCs w:val="28"/>
              </w:rPr>
              <w:t xml:space="preserve"> de gaze, </w:t>
            </w:r>
            <w:proofErr w:type="spellStart"/>
            <w:r w:rsidRPr="00600702">
              <w:rPr>
                <w:sz w:val="28"/>
                <w:szCs w:val="28"/>
              </w:rPr>
              <w:t>inclusiv</w:t>
            </w:r>
            <w:proofErr w:type="spellEnd"/>
            <w:r w:rsidRPr="00600702">
              <w:rPr>
                <w:sz w:val="28"/>
                <w:szCs w:val="28"/>
              </w:rPr>
              <w:t xml:space="preserve"> </w:t>
            </w:r>
            <w:proofErr w:type="spellStart"/>
            <w:r w:rsidRPr="00600702">
              <w:rPr>
                <w:sz w:val="28"/>
                <w:szCs w:val="28"/>
              </w:rPr>
              <w:t>utilajul</w:t>
            </w:r>
            <w:proofErr w:type="spellEnd"/>
            <w:r w:rsidRPr="00600702">
              <w:rPr>
                <w:sz w:val="28"/>
                <w:szCs w:val="28"/>
              </w:rPr>
              <w:t xml:space="preserve"> de gaze </w:t>
            </w:r>
            <w:proofErr w:type="spellStart"/>
            <w:r w:rsidRPr="00600702">
              <w:rPr>
                <w:sz w:val="28"/>
                <w:szCs w:val="28"/>
              </w:rPr>
              <w:t>pentru</w:t>
            </w:r>
            <w:proofErr w:type="spellEnd"/>
            <w:r w:rsidRPr="00600702">
              <w:rPr>
                <w:sz w:val="28"/>
                <w:szCs w:val="28"/>
              </w:rPr>
              <w:t xml:space="preserve"> </w:t>
            </w:r>
            <w:proofErr w:type="spellStart"/>
            <w:r w:rsidRPr="00600702">
              <w:rPr>
                <w:sz w:val="28"/>
                <w:szCs w:val="28"/>
              </w:rPr>
              <w:t>transportul</w:t>
            </w:r>
            <w:proofErr w:type="spellEnd"/>
            <w:r w:rsidRPr="00600702">
              <w:rPr>
                <w:sz w:val="28"/>
                <w:szCs w:val="28"/>
              </w:rPr>
              <w:t xml:space="preserve"> </w:t>
            </w:r>
            <w:proofErr w:type="spellStart"/>
            <w:r w:rsidRPr="00600702">
              <w:rPr>
                <w:sz w:val="28"/>
                <w:szCs w:val="28"/>
              </w:rPr>
              <w:t>feroviar</w:t>
            </w:r>
            <w:proofErr w:type="spellEnd"/>
            <w:r w:rsidRPr="00600702">
              <w:rPr>
                <w:sz w:val="28"/>
                <w:szCs w:val="28"/>
              </w:rPr>
              <w:t xml:space="preserve">, fluvial </w:t>
            </w:r>
            <w:proofErr w:type="spellStart"/>
            <w:r w:rsidRPr="00600702">
              <w:rPr>
                <w:sz w:val="28"/>
                <w:szCs w:val="28"/>
              </w:rPr>
              <w:t>şi</w:t>
            </w:r>
            <w:proofErr w:type="spellEnd"/>
            <w:r w:rsidRPr="00600702">
              <w:rPr>
                <w:sz w:val="28"/>
                <w:szCs w:val="28"/>
              </w:rPr>
              <w:t xml:space="preserve"> </w:t>
            </w:r>
            <w:proofErr w:type="spellStart"/>
            <w:r w:rsidRPr="00600702">
              <w:rPr>
                <w:sz w:val="28"/>
                <w:szCs w:val="28"/>
              </w:rPr>
              <w:t>aerian</w:t>
            </w:r>
            <w:proofErr w:type="spellEnd"/>
            <w:r w:rsidRPr="00600702">
              <w:rPr>
                <w:sz w:val="28"/>
                <w:szCs w:val="28"/>
              </w:rPr>
              <w:t>,,.</w:t>
            </w:r>
          </w:p>
          <w:p w:rsidR="0058391B" w:rsidRPr="00600702" w:rsidRDefault="0058391B">
            <w:pPr>
              <w:tabs>
                <w:tab w:val="left" w:pos="510"/>
              </w:tabs>
              <w:jc w:val="both"/>
              <w:rPr>
                <w:sz w:val="28"/>
                <w:szCs w:val="28"/>
              </w:rPr>
            </w:pPr>
            <w:r w:rsidRPr="00600702">
              <w:rPr>
                <w:sz w:val="28"/>
                <w:szCs w:val="28"/>
              </w:rPr>
              <w:t xml:space="preserve">       </w:t>
            </w:r>
            <w:proofErr w:type="spellStart"/>
            <w:r w:rsidRPr="00600702">
              <w:rPr>
                <w:sz w:val="28"/>
                <w:szCs w:val="28"/>
              </w:rPr>
              <w:t>Cerinţele</w:t>
            </w:r>
            <w:proofErr w:type="spellEnd"/>
            <w:r w:rsidRPr="00600702">
              <w:rPr>
                <w:sz w:val="28"/>
                <w:szCs w:val="28"/>
              </w:rPr>
              <w:t xml:space="preserve"> </w:t>
            </w:r>
            <w:proofErr w:type="spellStart"/>
            <w:r w:rsidRPr="00600702">
              <w:rPr>
                <w:sz w:val="28"/>
                <w:szCs w:val="28"/>
              </w:rPr>
              <w:t>pentru</w:t>
            </w:r>
            <w:proofErr w:type="spellEnd"/>
            <w:r w:rsidRPr="00600702">
              <w:rPr>
                <w:sz w:val="28"/>
                <w:szCs w:val="28"/>
              </w:rPr>
              <w:t xml:space="preserve"> </w:t>
            </w:r>
            <w:proofErr w:type="spellStart"/>
            <w:r w:rsidRPr="00600702">
              <w:rPr>
                <w:sz w:val="28"/>
                <w:szCs w:val="28"/>
              </w:rPr>
              <w:t>staţiile</w:t>
            </w:r>
            <w:proofErr w:type="spellEnd"/>
            <w:r w:rsidRPr="00600702">
              <w:rPr>
                <w:sz w:val="28"/>
                <w:szCs w:val="28"/>
              </w:rPr>
              <w:t xml:space="preserve"> de </w:t>
            </w:r>
            <w:proofErr w:type="spellStart"/>
            <w:r w:rsidRPr="00600702">
              <w:rPr>
                <w:sz w:val="28"/>
                <w:szCs w:val="28"/>
              </w:rPr>
              <w:t>alimentare</w:t>
            </w:r>
            <w:proofErr w:type="spellEnd"/>
            <w:r w:rsidRPr="00600702">
              <w:rPr>
                <w:sz w:val="28"/>
                <w:szCs w:val="28"/>
              </w:rPr>
              <w:t xml:space="preserve"> </w:t>
            </w:r>
            <w:proofErr w:type="gramStart"/>
            <w:r w:rsidRPr="00600702">
              <w:rPr>
                <w:sz w:val="28"/>
                <w:szCs w:val="28"/>
              </w:rPr>
              <w:t>a</w:t>
            </w:r>
            <w:proofErr w:type="gramEnd"/>
            <w:r w:rsidRPr="00600702">
              <w:rPr>
                <w:sz w:val="28"/>
                <w:szCs w:val="28"/>
              </w:rPr>
              <w:t xml:space="preserve"> </w:t>
            </w:r>
            <w:proofErr w:type="spellStart"/>
            <w:r w:rsidRPr="00600702">
              <w:rPr>
                <w:sz w:val="28"/>
                <w:szCs w:val="28"/>
              </w:rPr>
              <w:t>automobilelor</w:t>
            </w:r>
            <w:proofErr w:type="spellEnd"/>
            <w:r w:rsidRPr="00600702">
              <w:rPr>
                <w:sz w:val="28"/>
                <w:szCs w:val="28"/>
              </w:rPr>
              <w:t xml:space="preserve"> cu gaze </w:t>
            </w:r>
            <w:proofErr w:type="spellStart"/>
            <w:r w:rsidRPr="00600702">
              <w:rPr>
                <w:sz w:val="28"/>
                <w:szCs w:val="28"/>
              </w:rPr>
              <w:t>lichefiate</w:t>
            </w:r>
            <w:proofErr w:type="spellEnd"/>
            <w:r w:rsidRPr="00600702">
              <w:rPr>
                <w:sz w:val="28"/>
                <w:szCs w:val="28"/>
              </w:rPr>
              <w:t xml:space="preserve"> </w:t>
            </w:r>
            <w:proofErr w:type="spellStart"/>
            <w:r w:rsidRPr="00600702">
              <w:rPr>
                <w:sz w:val="28"/>
                <w:szCs w:val="28"/>
              </w:rPr>
              <w:t>sunt</w:t>
            </w:r>
            <w:proofErr w:type="spellEnd"/>
            <w:r w:rsidRPr="00600702">
              <w:rPr>
                <w:sz w:val="28"/>
                <w:szCs w:val="28"/>
              </w:rPr>
              <w:t xml:space="preserve"> </w:t>
            </w:r>
            <w:proofErr w:type="spellStart"/>
            <w:r w:rsidRPr="00600702">
              <w:rPr>
                <w:sz w:val="28"/>
                <w:szCs w:val="28"/>
              </w:rPr>
              <w:t>stabilite</w:t>
            </w:r>
            <w:proofErr w:type="spellEnd"/>
            <w:r w:rsidRPr="00600702">
              <w:rPr>
                <w:sz w:val="28"/>
                <w:szCs w:val="28"/>
              </w:rPr>
              <w:t xml:space="preserve"> </w:t>
            </w:r>
            <w:proofErr w:type="spellStart"/>
            <w:r w:rsidRPr="00600702">
              <w:rPr>
                <w:sz w:val="28"/>
                <w:szCs w:val="28"/>
              </w:rPr>
              <w:t>în</w:t>
            </w:r>
            <w:proofErr w:type="spellEnd"/>
            <w:r w:rsidRPr="00600702">
              <w:rPr>
                <w:sz w:val="28"/>
                <w:szCs w:val="28"/>
              </w:rPr>
              <w:t xml:space="preserve"> </w:t>
            </w:r>
            <w:proofErr w:type="spellStart"/>
            <w:r w:rsidRPr="00600702">
              <w:rPr>
                <w:sz w:val="28"/>
                <w:szCs w:val="28"/>
              </w:rPr>
              <w:t>reglementarea</w:t>
            </w:r>
            <w:proofErr w:type="spellEnd"/>
            <w:r w:rsidRPr="00600702">
              <w:rPr>
                <w:sz w:val="28"/>
                <w:szCs w:val="28"/>
              </w:rPr>
              <w:t xml:space="preserve"> </w:t>
            </w:r>
            <w:proofErr w:type="spellStart"/>
            <w:r w:rsidRPr="00600702">
              <w:rPr>
                <w:sz w:val="28"/>
                <w:szCs w:val="28"/>
              </w:rPr>
              <w:t>tehnică</w:t>
            </w:r>
            <w:proofErr w:type="spellEnd"/>
            <w:r w:rsidRPr="00600702">
              <w:rPr>
                <w:sz w:val="28"/>
                <w:szCs w:val="28"/>
              </w:rPr>
              <w:t xml:space="preserve"> NRS 35-04-69: 2005 „</w:t>
            </w:r>
            <w:proofErr w:type="spellStart"/>
            <w:r w:rsidRPr="00600702">
              <w:rPr>
                <w:sz w:val="28"/>
                <w:szCs w:val="28"/>
              </w:rPr>
              <w:t>Reguli</w:t>
            </w:r>
            <w:proofErr w:type="spellEnd"/>
            <w:r w:rsidRPr="00600702">
              <w:rPr>
                <w:sz w:val="28"/>
                <w:szCs w:val="28"/>
              </w:rPr>
              <w:t xml:space="preserve"> </w:t>
            </w:r>
            <w:proofErr w:type="spellStart"/>
            <w:r w:rsidRPr="00600702">
              <w:rPr>
                <w:sz w:val="28"/>
                <w:szCs w:val="28"/>
              </w:rPr>
              <w:t>privind</w:t>
            </w:r>
            <w:proofErr w:type="spellEnd"/>
            <w:r w:rsidRPr="00600702">
              <w:rPr>
                <w:sz w:val="28"/>
                <w:szCs w:val="28"/>
              </w:rPr>
              <w:t xml:space="preserve"> </w:t>
            </w:r>
            <w:proofErr w:type="spellStart"/>
            <w:r w:rsidRPr="00600702">
              <w:rPr>
                <w:sz w:val="28"/>
                <w:szCs w:val="28"/>
              </w:rPr>
              <w:t>securitatea</w:t>
            </w:r>
            <w:proofErr w:type="spellEnd"/>
            <w:r w:rsidRPr="00600702">
              <w:rPr>
                <w:sz w:val="28"/>
                <w:szCs w:val="28"/>
              </w:rPr>
              <w:t xml:space="preserve"> </w:t>
            </w:r>
            <w:proofErr w:type="spellStart"/>
            <w:r w:rsidRPr="00600702">
              <w:rPr>
                <w:sz w:val="28"/>
                <w:szCs w:val="28"/>
              </w:rPr>
              <w:t>industrială</w:t>
            </w:r>
            <w:proofErr w:type="spellEnd"/>
            <w:r w:rsidRPr="00600702">
              <w:rPr>
                <w:sz w:val="28"/>
                <w:szCs w:val="28"/>
              </w:rPr>
              <w:t xml:space="preserve"> la </w:t>
            </w:r>
            <w:proofErr w:type="spellStart"/>
            <w:r w:rsidRPr="00600702">
              <w:rPr>
                <w:sz w:val="28"/>
                <w:szCs w:val="28"/>
              </w:rPr>
              <w:t>exploatarea</w:t>
            </w:r>
            <w:proofErr w:type="spellEnd"/>
            <w:r w:rsidRPr="00600702">
              <w:rPr>
                <w:sz w:val="28"/>
                <w:szCs w:val="28"/>
              </w:rPr>
              <w:t xml:space="preserve"> </w:t>
            </w:r>
            <w:proofErr w:type="spellStart"/>
            <w:r w:rsidRPr="00600702">
              <w:rPr>
                <w:sz w:val="28"/>
                <w:szCs w:val="28"/>
              </w:rPr>
              <w:t>staţiilor</w:t>
            </w:r>
            <w:proofErr w:type="spellEnd"/>
            <w:r w:rsidRPr="00600702">
              <w:rPr>
                <w:sz w:val="28"/>
                <w:szCs w:val="28"/>
              </w:rPr>
              <w:t xml:space="preserve"> de </w:t>
            </w:r>
            <w:proofErr w:type="spellStart"/>
            <w:r w:rsidRPr="00600702">
              <w:rPr>
                <w:sz w:val="28"/>
                <w:szCs w:val="28"/>
              </w:rPr>
              <w:t>alimentare</w:t>
            </w:r>
            <w:proofErr w:type="spellEnd"/>
            <w:r w:rsidRPr="00600702">
              <w:rPr>
                <w:sz w:val="28"/>
                <w:szCs w:val="28"/>
              </w:rPr>
              <w:t xml:space="preserve"> a </w:t>
            </w:r>
            <w:proofErr w:type="spellStart"/>
            <w:r w:rsidRPr="00600702">
              <w:rPr>
                <w:sz w:val="28"/>
                <w:szCs w:val="28"/>
              </w:rPr>
              <w:t>automobilelor</w:t>
            </w:r>
            <w:proofErr w:type="spellEnd"/>
            <w:r w:rsidRPr="00600702">
              <w:rPr>
                <w:sz w:val="28"/>
                <w:szCs w:val="28"/>
              </w:rPr>
              <w:t xml:space="preserve"> cu gaze </w:t>
            </w:r>
            <w:proofErr w:type="spellStart"/>
            <w:r w:rsidRPr="00600702">
              <w:rPr>
                <w:sz w:val="28"/>
                <w:szCs w:val="28"/>
              </w:rPr>
              <w:t>lichefiate</w:t>
            </w:r>
            <w:proofErr w:type="spellEnd"/>
            <w:r w:rsidRPr="00600702">
              <w:rPr>
                <w:sz w:val="28"/>
                <w:szCs w:val="28"/>
              </w:rPr>
              <w:t xml:space="preserve">". </w:t>
            </w:r>
            <w:proofErr w:type="spellStart"/>
            <w:r w:rsidRPr="00600702">
              <w:rPr>
                <w:sz w:val="28"/>
                <w:szCs w:val="28"/>
              </w:rPr>
              <w:t>Totodată</w:t>
            </w:r>
            <w:proofErr w:type="spellEnd"/>
            <w:r w:rsidRPr="00600702">
              <w:rPr>
                <w:sz w:val="28"/>
                <w:szCs w:val="28"/>
              </w:rPr>
              <w:t xml:space="preserve">, </w:t>
            </w:r>
            <w:proofErr w:type="spellStart"/>
            <w:r w:rsidRPr="00600702">
              <w:rPr>
                <w:sz w:val="28"/>
                <w:szCs w:val="28"/>
              </w:rPr>
              <w:t>acest</w:t>
            </w:r>
            <w:proofErr w:type="spellEnd"/>
            <w:r w:rsidRPr="00600702">
              <w:rPr>
                <w:sz w:val="28"/>
                <w:szCs w:val="28"/>
              </w:rPr>
              <w:t xml:space="preserve"> document </w:t>
            </w:r>
            <w:proofErr w:type="spellStart"/>
            <w:r w:rsidRPr="00600702">
              <w:rPr>
                <w:sz w:val="28"/>
                <w:szCs w:val="28"/>
              </w:rPr>
              <w:t>normativ-tehnic</w:t>
            </w:r>
            <w:proofErr w:type="spellEnd"/>
            <w:r w:rsidRPr="00600702">
              <w:rPr>
                <w:sz w:val="28"/>
                <w:szCs w:val="28"/>
              </w:rPr>
              <w:t xml:space="preserve"> nu </w:t>
            </w:r>
            <w:proofErr w:type="spellStart"/>
            <w:r w:rsidRPr="00600702">
              <w:rPr>
                <w:sz w:val="28"/>
                <w:szCs w:val="28"/>
              </w:rPr>
              <w:t>prevede</w:t>
            </w:r>
            <w:proofErr w:type="spellEnd"/>
            <w:r w:rsidRPr="00600702">
              <w:rPr>
                <w:sz w:val="28"/>
                <w:szCs w:val="28"/>
              </w:rPr>
              <w:t xml:space="preserve"> </w:t>
            </w:r>
            <w:proofErr w:type="spellStart"/>
            <w:r w:rsidRPr="00600702">
              <w:rPr>
                <w:sz w:val="28"/>
                <w:szCs w:val="28"/>
              </w:rPr>
              <w:t>situaţia</w:t>
            </w:r>
            <w:proofErr w:type="spellEnd"/>
            <w:r w:rsidRPr="00600702">
              <w:rPr>
                <w:sz w:val="28"/>
                <w:szCs w:val="28"/>
              </w:rPr>
              <w:t xml:space="preserve"> </w:t>
            </w:r>
            <w:proofErr w:type="spellStart"/>
            <w:r w:rsidRPr="00600702">
              <w:rPr>
                <w:sz w:val="28"/>
                <w:szCs w:val="28"/>
              </w:rPr>
              <w:t>cînd</w:t>
            </w:r>
            <w:proofErr w:type="spellEnd"/>
            <w:r w:rsidRPr="00600702">
              <w:rPr>
                <w:sz w:val="28"/>
                <w:szCs w:val="28"/>
              </w:rPr>
              <w:t xml:space="preserve"> la </w:t>
            </w:r>
            <w:proofErr w:type="spellStart"/>
            <w:r w:rsidRPr="00600702">
              <w:rPr>
                <w:sz w:val="28"/>
                <w:szCs w:val="28"/>
              </w:rPr>
              <w:t>aceeaşi</w:t>
            </w:r>
            <w:proofErr w:type="spellEnd"/>
            <w:r w:rsidRPr="00600702">
              <w:rPr>
                <w:sz w:val="28"/>
                <w:szCs w:val="28"/>
              </w:rPr>
              <w:t xml:space="preserve"> </w:t>
            </w:r>
            <w:proofErr w:type="spellStart"/>
            <w:r w:rsidRPr="00600702">
              <w:rPr>
                <w:sz w:val="28"/>
                <w:szCs w:val="28"/>
              </w:rPr>
              <w:t>staţie</w:t>
            </w:r>
            <w:proofErr w:type="spellEnd"/>
            <w:r w:rsidRPr="00600702">
              <w:rPr>
                <w:sz w:val="28"/>
                <w:szCs w:val="28"/>
              </w:rPr>
              <w:t xml:space="preserve"> de </w:t>
            </w:r>
            <w:proofErr w:type="spellStart"/>
            <w:r w:rsidRPr="00600702">
              <w:rPr>
                <w:sz w:val="28"/>
                <w:szCs w:val="28"/>
              </w:rPr>
              <w:t>alimentare</w:t>
            </w:r>
            <w:proofErr w:type="spellEnd"/>
            <w:r w:rsidRPr="00600702">
              <w:rPr>
                <w:sz w:val="28"/>
                <w:szCs w:val="28"/>
              </w:rPr>
              <w:t xml:space="preserve"> se </w:t>
            </w:r>
            <w:proofErr w:type="spellStart"/>
            <w:r w:rsidRPr="00600702">
              <w:rPr>
                <w:sz w:val="28"/>
                <w:szCs w:val="28"/>
              </w:rPr>
              <w:t>alimentează</w:t>
            </w:r>
            <w:proofErr w:type="spellEnd"/>
            <w:r w:rsidRPr="00600702">
              <w:rPr>
                <w:sz w:val="28"/>
                <w:szCs w:val="28"/>
              </w:rPr>
              <w:t xml:space="preserve"> </w:t>
            </w:r>
            <w:proofErr w:type="spellStart"/>
            <w:r w:rsidRPr="00600702">
              <w:rPr>
                <w:sz w:val="28"/>
                <w:szCs w:val="28"/>
              </w:rPr>
              <w:t>şi</w:t>
            </w:r>
            <w:proofErr w:type="spellEnd"/>
            <w:r w:rsidRPr="00600702">
              <w:rPr>
                <w:sz w:val="28"/>
                <w:szCs w:val="28"/>
              </w:rPr>
              <w:t xml:space="preserve"> </w:t>
            </w:r>
            <w:proofErr w:type="spellStart"/>
            <w:r w:rsidRPr="00600702">
              <w:rPr>
                <w:sz w:val="28"/>
                <w:szCs w:val="28"/>
              </w:rPr>
              <w:t>buteliile</w:t>
            </w:r>
            <w:proofErr w:type="spellEnd"/>
            <w:r w:rsidRPr="00600702">
              <w:rPr>
                <w:sz w:val="28"/>
                <w:szCs w:val="28"/>
              </w:rPr>
              <w:t xml:space="preserve"> de </w:t>
            </w:r>
            <w:proofErr w:type="spellStart"/>
            <w:r w:rsidRPr="00600702">
              <w:rPr>
                <w:sz w:val="28"/>
                <w:szCs w:val="28"/>
              </w:rPr>
              <w:t>uz</w:t>
            </w:r>
            <w:proofErr w:type="spellEnd"/>
            <w:r w:rsidRPr="00600702">
              <w:rPr>
                <w:sz w:val="28"/>
                <w:szCs w:val="28"/>
              </w:rPr>
              <w:t xml:space="preserve"> </w:t>
            </w:r>
            <w:proofErr w:type="spellStart"/>
            <w:r w:rsidRPr="00600702">
              <w:rPr>
                <w:sz w:val="28"/>
                <w:szCs w:val="28"/>
              </w:rPr>
              <w:t>casnic</w:t>
            </w:r>
            <w:proofErr w:type="spellEnd"/>
            <w:r w:rsidRPr="00600702">
              <w:rPr>
                <w:sz w:val="28"/>
                <w:szCs w:val="28"/>
              </w:rPr>
              <w:t xml:space="preserve">. Dar </w:t>
            </w:r>
            <w:proofErr w:type="spellStart"/>
            <w:r w:rsidRPr="00600702">
              <w:rPr>
                <w:sz w:val="28"/>
                <w:szCs w:val="28"/>
              </w:rPr>
              <w:t>situaţia</w:t>
            </w:r>
            <w:proofErr w:type="spellEnd"/>
            <w:r w:rsidRPr="00600702">
              <w:rPr>
                <w:sz w:val="28"/>
                <w:szCs w:val="28"/>
              </w:rPr>
              <w:t xml:space="preserve"> </w:t>
            </w:r>
            <w:proofErr w:type="spellStart"/>
            <w:r w:rsidRPr="00600702">
              <w:rPr>
                <w:sz w:val="28"/>
                <w:szCs w:val="28"/>
              </w:rPr>
              <w:t>reală</w:t>
            </w:r>
            <w:proofErr w:type="spellEnd"/>
            <w:r w:rsidRPr="00600702">
              <w:rPr>
                <w:sz w:val="28"/>
                <w:szCs w:val="28"/>
              </w:rPr>
              <w:t xml:space="preserve"> </w:t>
            </w:r>
            <w:proofErr w:type="spellStart"/>
            <w:r w:rsidRPr="00600702">
              <w:rPr>
                <w:sz w:val="28"/>
                <w:szCs w:val="28"/>
              </w:rPr>
              <w:t>arată</w:t>
            </w:r>
            <w:proofErr w:type="spellEnd"/>
            <w:r w:rsidRPr="00600702">
              <w:rPr>
                <w:sz w:val="28"/>
                <w:szCs w:val="28"/>
              </w:rPr>
              <w:t xml:space="preserve"> </w:t>
            </w:r>
            <w:proofErr w:type="spellStart"/>
            <w:r w:rsidRPr="00600702">
              <w:rPr>
                <w:sz w:val="28"/>
                <w:szCs w:val="28"/>
              </w:rPr>
              <w:t>că</w:t>
            </w:r>
            <w:proofErr w:type="spellEnd"/>
            <w:r w:rsidRPr="00600702">
              <w:rPr>
                <w:sz w:val="28"/>
                <w:szCs w:val="28"/>
              </w:rPr>
              <w:t xml:space="preserve"> </w:t>
            </w:r>
            <w:proofErr w:type="spellStart"/>
            <w:r w:rsidRPr="00600702">
              <w:rPr>
                <w:sz w:val="28"/>
                <w:szCs w:val="28"/>
              </w:rPr>
              <w:t>marea</w:t>
            </w:r>
            <w:proofErr w:type="spellEnd"/>
            <w:r w:rsidRPr="00600702">
              <w:rPr>
                <w:sz w:val="28"/>
                <w:szCs w:val="28"/>
              </w:rPr>
              <w:t xml:space="preserve"> parte a </w:t>
            </w:r>
            <w:proofErr w:type="spellStart"/>
            <w:r w:rsidRPr="00600702">
              <w:rPr>
                <w:sz w:val="28"/>
                <w:szCs w:val="28"/>
              </w:rPr>
              <w:t>staţiilor</w:t>
            </w:r>
            <w:proofErr w:type="spellEnd"/>
            <w:r w:rsidRPr="00600702">
              <w:rPr>
                <w:sz w:val="28"/>
                <w:szCs w:val="28"/>
              </w:rPr>
              <w:t xml:space="preserve"> de </w:t>
            </w:r>
            <w:proofErr w:type="spellStart"/>
            <w:r w:rsidRPr="00600702">
              <w:rPr>
                <w:sz w:val="28"/>
                <w:szCs w:val="28"/>
              </w:rPr>
              <w:t>alimentare</w:t>
            </w:r>
            <w:proofErr w:type="spellEnd"/>
            <w:r w:rsidRPr="00600702">
              <w:rPr>
                <w:sz w:val="28"/>
                <w:szCs w:val="28"/>
              </w:rPr>
              <w:t xml:space="preserve"> a </w:t>
            </w:r>
            <w:proofErr w:type="spellStart"/>
            <w:r w:rsidRPr="00600702">
              <w:rPr>
                <w:sz w:val="28"/>
                <w:szCs w:val="28"/>
              </w:rPr>
              <w:t>automobilelor</w:t>
            </w:r>
            <w:proofErr w:type="spellEnd"/>
            <w:r w:rsidRPr="00600702">
              <w:rPr>
                <w:sz w:val="28"/>
                <w:szCs w:val="28"/>
              </w:rPr>
              <w:t xml:space="preserve"> cu gaze </w:t>
            </w:r>
            <w:proofErr w:type="spellStart"/>
            <w:r w:rsidRPr="00600702">
              <w:rPr>
                <w:sz w:val="28"/>
                <w:szCs w:val="28"/>
              </w:rPr>
              <w:t>lichefiate</w:t>
            </w:r>
            <w:proofErr w:type="spellEnd"/>
            <w:r w:rsidRPr="00600702">
              <w:rPr>
                <w:sz w:val="28"/>
                <w:szCs w:val="28"/>
              </w:rPr>
              <w:t xml:space="preserve"> </w:t>
            </w:r>
            <w:proofErr w:type="spellStart"/>
            <w:r w:rsidRPr="00600702">
              <w:rPr>
                <w:sz w:val="28"/>
                <w:szCs w:val="28"/>
              </w:rPr>
              <w:t>alimentează</w:t>
            </w:r>
            <w:proofErr w:type="spellEnd"/>
            <w:r w:rsidRPr="00600702">
              <w:rPr>
                <w:sz w:val="28"/>
                <w:szCs w:val="28"/>
              </w:rPr>
              <w:t xml:space="preserve"> </w:t>
            </w:r>
            <w:proofErr w:type="spellStart"/>
            <w:r w:rsidRPr="00600702">
              <w:rPr>
                <w:sz w:val="28"/>
                <w:szCs w:val="28"/>
              </w:rPr>
              <w:t>şi</w:t>
            </w:r>
            <w:proofErr w:type="spellEnd"/>
            <w:r w:rsidRPr="00600702">
              <w:rPr>
                <w:sz w:val="28"/>
                <w:szCs w:val="28"/>
              </w:rPr>
              <w:t xml:space="preserve"> </w:t>
            </w:r>
            <w:proofErr w:type="spellStart"/>
            <w:r w:rsidRPr="00600702">
              <w:rPr>
                <w:sz w:val="28"/>
                <w:szCs w:val="28"/>
              </w:rPr>
              <w:t>buteliile</w:t>
            </w:r>
            <w:proofErr w:type="spellEnd"/>
            <w:r w:rsidRPr="00600702">
              <w:rPr>
                <w:sz w:val="28"/>
                <w:szCs w:val="28"/>
              </w:rPr>
              <w:t xml:space="preserve"> de </w:t>
            </w:r>
            <w:proofErr w:type="spellStart"/>
            <w:r w:rsidRPr="00600702">
              <w:rPr>
                <w:sz w:val="28"/>
                <w:szCs w:val="28"/>
              </w:rPr>
              <w:t>uz</w:t>
            </w:r>
            <w:proofErr w:type="spellEnd"/>
            <w:r w:rsidRPr="00600702">
              <w:rPr>
                <w:sz w:val="28"/>
                <w:szCs w:val="28"/>
              </w:rPr>
              <w:t xml:space="preserve"> </w:t>
            </w:r>
            <w:proofErr w:type="spellStart"/>
            <w:r w:rsidRPr="00600702">
              <w:rPr>
                <w:sz w:val="28"/>
                <w:szCs w:val="28"/>
              </w:rPr>
              <w:t>casnic</w:t>
            </w:r>
            <w:proofErr w:type="spellEnd"/>
            <w:r w:rsidRPr="00600702">
              <w:rPr>
                <w:sz w:val="28"/>
                <w:szCs w:val="28"/>
              </w:rPr>
              <w:t xml:space="preserve"> la </w:t>
            </w:r>
            <w:proofErr w:type="spellStart"/>
            <w:r w:rsidRPr="00600702">
              <w:rPr>
                <w:sz w:val="28"/>
                <w:szCs w:val="28"/>
              </w:rPr>
              <w:t>solicitarea</w:t>
            </w:r>
            <w:proofErr w:type="spellEnd"/>
            <w:r w:rsidRPr="00600702">
              <w:rPr>
                <w:sz w:val="28"/>
                <w:szCs w:val="28"/>
              </w:rPr>
              <w:t xml:space="preserve"> </w:t>
            </w:r>
            <w:proofErr w:type="spellStart"/>
            <w:r w:rsidRPr="00600702">
              <w:rPr>
                <w:sz w:val="28"/>
                <w:szCs w:val="28"/>
              </w:rPr>
              <w:t>persoanelor</w:t>
            </w:r>
            <w:proofErr w:type="spellEnd"/>
            <w:r w:rsidRPr="00600702">
              <w:rPr>
                <w:sz w:val="28"/>
                <w:szCs w:val="28"/>
              </w:rPr>
              <w:t xml:space="preserve"> </w:t>
            </w:r>
            <w:proofErr w:type="spellStart"/>
            <w:r w:rsidRPr="00600702">
              <w:rPr>
                <w:sz w:val="28"/>
                <w:szCs w:val="28"/>
              </w:rPr>
              <w:t>particulare</w:t>
            </w:r>
            <w:proofErr w:type="spellEnd"/>
            <w:r w:rsidRPr="00600702">
              <w:rPr>
                <w:sz w:val="28"/>
                <w:szCs w:val="28"/>
              </w:rPr>
              <w:t xml:space="preserve">, </w:t>
            </w:r>
            <w:proofErr w:type="spellStart"/>
            <w:r w:rsidRPr="00600702">
              <w:rPr>
                <w:sz w:val="28"/>
                <w:szCs w:val="28"/>
              </w:rPr>
              <w:t>necătînd</w:t>
            </w:r>
            <w:proofErr w:type="spellEnd"/>
            <w:r w:rsidRPr="00600702">
              <w:rPr>
                <w:sz w:val="28"/>
                <w:szCs w:val="28"/>
              </w:rPr>
              <w:t xml:space="preserve"> </w:t>
            </w:r>
            <w:proofErr w:type="spellStart"/>
            <w:r w:rsidRPr="00600702">
              <w:rPr>
                <w:sz w:val="28"/>
                <w:szCs w:val="28"/>
              </w:rPr>
              <w:t>că</w:t>
            </w:r>
            <w:proofErr w:type="spellEnd"/>
            <w:r w:rsidRPr="00600702">
              <w:rPr>
                <w:sz w:val="28"/>
                <w:szCs w:val="28"/>
              </w:rPr>
              <w:t xml:space="preserve">, </w:t>
            </w:r>
            <w:proofErr w:type="spellStart"/>
            <w:r w:rsidRPr="00600702">
              <w:rPr>
                <w:sz w:val="28"/>
                <w:szCs w:val="28"/>
              </w:rPr>
              <w:t>în</w:t>
            </w:r>
            <w:proofErr w:type="spellEnd"/>
            <w:r w:rsidRPr="00600702">
              <w:rPr>
                <w:sz w:val="28"/>
                <w:szCs w:val="28"/>
              </w:rPr>
              <w:t xml:space="preserve"> </w:t>
            </w:r>
            <w:proofErr w:type="spellStart"/>
            <w:r w:rsidRPr="00600702">
              <w:rPr>
                <w:sz w:val="28"/>
                <w:szCs w:val="28"/>
              </w:rPr>
              <w:t>autorizaţia</w:t>
            </w:r>
            <w:proofErr w:type="spellEnd"/>
            <w:r w:rsidRPr="00600702">
              <w:rPr>
                <w:sz w:val="28"/>
                <w:szCs w:val="28"/>
              </w:rPr>
              <w:t xml:space="preserve"> </w:t>
            </w:r>
            <w:proofErr w:type="spellStart"/>
            <w:r w:rsidRPr="00600702">
              <w:rPr>
                <w:sz w:val="28"/>
                <w:szCs w:val="28"/>
              </w:rPr>
              <w:t>tehnică</w:t>
            </w:r>
            <w:proofErr w:type="spellEnd"/>
            <w:r w:rsidRPr="00600702">
              <w:rPr>
                <w:sz w:val="28"/>
                <w:szCs w:val="28"/>
              </w:rPr>
              <w:t xml:space="preserve"> </w:t>
            </w:r>
            <w:proofErr w:type="spellStart"/>
            <w:r w:rsidRPr="00600702">
              <w:rPr>
                <w:sz w:val="28"/>
                <w:szCs w:val="28"/>
              </w:rPr>
              <w:t>este</w:t>
            </w:r>
            <w:proofErr w:type="spellEnd"/>
            <w:r w:rsidRPr="00600702">
              <w:rPr>
                <w:sz w:val="28"/>
                <w:szCs w:val="28"/>
              </w:rPr>
              <w:t xml:space="preserve"> </w:t>
            </w:r>
            <w:proofErr w:type="spellStart"/>
            <w:r w:rsidRPr="00600702">
              <w:rPr>
                <w:sz w:val="28"/>
                <w:szCs w:val="28"/>
              </w:rPr>
              <w:t>indicat</w:t>
            </w:r>
            <w:proofErr w:type="spellEnd"/>
            <w:r w:rsidRPr="00600702">
              <w:rPr>
                <w:sz w:val="28"/>
                <w:szCs w:val="28"/>
              </w:rPr>
              <w:t xml:space="preserve"> </w:t>
            </w:r>
            <w:proofErr w:type="spellStart"/>
            <w:r w:rsidRPr="00600702">
              <w:rPr>
                <w:sz w:val="28"/>
                <w:szCs w:val="28"/>
              </w:rPr>
              <w:t>fără</w:t>
            </w:r>
            <w:proofErr w:type="spellEnd"/>
            <w:r w:rsidRPr="00600702">
              <w:rPr>
                <w:sz w:val="28"/>
                <w:szCs w:val="28"/>
              </w:rPr>
              <w:t xml:space="preserve"> </w:t>
            </w:r>
            <w:proofErr w:type="spellStart"/>
            <w:r w:rsidRPr="00600702">
              <w:rPr>
                <w:sz w:val="28"/>
                <w:szCs w:val="28"/>
              </w:rPr>
              <w:t>îmbutelierea</w:t>
            </w:r>
            <w:proofErr w:type="spellEnd"/>
            <w:r w:rsidRPr="00600702">
              <w:rPr>
                <w:sz w:val="28"/>
                <w:szCs w:val="28"/>
              </w:rPr>
              <w:t xml:space="preserve"> </w:t>
            </w:r>
            <w:proofErr w:type="spellStart"/>
            <w:r w:rsidRPr="00600702">
              <w:rPr>
                <w:sz w:val="28"/>
                <w:szCs w:val="28"/>
              </w:rPr>
              <w:t>buteliilor</w:t>
            </w:r>
            <w:proofErr w:type="spellEnd"/>
            <w:r w:rsidRPr="00600702">
              <w:rPr>
                <w:sz w:val="28"/>
                <w:szCs w:val="28"/>
              </w:rPr>
              <w:t xml:space="preserve"> de </w:t>
            </w:r>
            <w:proofErr w:type="spellStart"/>
            <w:r w:rsidRPr="00600702">
              <w:rPr>
                <w:sz w:val="28"/>
                <w:szCs w:val="28"/>
              </w:rPr>
              <w:t>uz</w:t>
            </w:r>
            <w:proofErr w:type="spellEnd"/>
            <w:r w:rsidRPr="00600702">
              <w:rPr>
                <w:sz w:val="28"/>
                <w:szCs w:val="28"/>
              </w:rPr>
              <w:t xml:space="preserve"> </w:t>
            </w:r>
            <w:proofErr w:type="spellStart"/>
            <w:r w:rsidRPr="00600702">
              <w:rPr>
                <w:sz w:val="28"/>
                <w:szCs w:val="28"/>
              </w:rPr>
              <w:t>casnic</w:t>
            </w:r>
            <w:proofErr w:type="spellEnd"/>
            <w:r w:rsidRPr="00600702">
              <w:rPr>
                <w:sz w:val="28"/>
                <w:szCs w:val="28"/>
              </w:rPr>
              <w:t>.</w:t>
            </w:r>
          </w:p>
          <w:p w:rsidR="0058391B" w:rsidRPr="00600702" w:rsidRDefault="0058391B">
            <w:pPr>
              <w:pStyle w:val="NoSpacing"/>
              <w:jc w:val="both"/>
              <w:rPr>
                <w:rFonts w:ascii="Times New Roman" w:hAnsi="Times New Roman"/>
                <w:sz w:val="28"/>
                <w:szCs w:val="28"/>
                <w:lang w:val="ro-RO"/>
              </w:rPr>
            </w:pPr>
            <w:r w:rsidRPr="00600702">
              <w:rPr>
                <w:rFonts w:ascii="Times New Roman" w:hAnsi="Times New Roman"/>
                <w:sz w:val="28"/>
                <w:szCs w:val="28"/>
                <w:lang w:val="ro-RO"/>
              </w:rPr>
              <w:t xml:space="preserve">          Din </w:t>
            </w:r>
            <w:proofErr w:type="spellStart"/>
            <w:r w:rsidRPr="00600702">
              <w:rPr>
                <w:rFonts w:ascii="Times New Roman" w:hAnsi="Times New Roman"/>
                <w:sz w:val="28"/>
                <w:szCs w:val="28"/>
                <w:lang w:val="ro-RO"/>
              </w:rPr>
              <w:t>cîte</w:t>
            </w:r>
            <w:proofErr w:type="spellEnd"/>
            <w:r w:rsidRPr="00600702">
              <w:rPr>
                <w:rFonts w:ascii="Times New Roman" w:hAnsi="Times New Roman"/>
                <w:sz w:val="28"/>
                <w:szCs w:val="28"/>
                <w:lang w:val="ro-RO"/>
              </w:rPr>
              <w:t xml:space="preserve"> se vede, documentele normativ-tehnice, care prevăd cerințele privind</w:t>
            </w:r>
            <w:r w:rsidRPr="00600702">
              <w:rPr>
                <w:rFonts w:ascii="Times New Roman" w:hAnsi="Times New Roman"/>
                <w:bCs/>
                <w:sz w:val="28"/>
                <w:lang w:val="ro-RO"/>
              </w:rPr>
              <w:t xml:space="preserve"> reguli de construire și exploatare inofensivă a recipientelor sub presiune, r</w:t>
            </w:r>
            <w:proofErr w:type="spellStart"/>
            <w:r w:rsidRPr="00600702">
              <w:rPr>
                <w:rFonts w:ascii="Times New Roman" w:hAnsi="Times New Roman"/>
                <w:sz w:val="28"/>
                <w:szCs w:val="28"/>
              </w:rPr>
              <w:t>eguli</w:t>
            </w:r>
            <w:proofErr w:type="spellEnd"/>
            <w:r w:rsidRPr="00600702">
              <w:rPr>
                <w:rFonts w:ascii="Times New Roman" w:hAnsi="Times New Roman"/>
                <w:sz w:val="28"/>
                <w:szCs w:val="28"/>
              </w:rPr>
              <w:t xml:space="preserve"> de </w:t>
            </w:r>
            <w:proofErr w:type="spellStart"/>
            <w:r w:rsidRPr="00600702">
              <w:rPr>
                <w:rFonts w:ascii="Times New Roman" w:hAnsi="Times New Roman"/>
                <w:sz w:val="28"/>
                <w:szCs w:val="28"/>
              </w:rPr>
              <w:t>securitate</w:t>
            </w:r>
            <w:proofErr w:type="spellEnd"/>
            <w:r w:rsidRPr="00600702">
              <w:rPr>
                <w:rFonts w:ascii="Times New Roman" w:hAnsi="Times New Roman"/>
                <w:sz w:val="28"/>
                <w:szCs w:val="28"/>
              </w:rPr>
              <w:t xml:space="preserve"> </w:t>
            </w:r>
            <w:proofErr w:type="spellStart"/>
            <w:r w:rsidRPr="00600702">
              <w:rPr>
                <w:rFonts w:ascii="Times New Roman" w:hAnsi="Times New Roman"/>
                <w:sz w:val="28"/>
                <w:szCs w:val="28"/>
              </w:rPr>
              <w:t>în</w:t>
            </w:r>
            <w:proofErr w:type="spellEnd"/>
            <w:r w:rsidRPr="00600702">
              <w:rPr>
                <w:rFonts w:ascii="Times New Roman" w:hAnsi="Times New Roman"/>
                <w:sz w:val="28"/>
                <w:szCs w:val="28"/>
              </w:rPr>
              <w:t xml:space="preserve"> </w:t>
            </w:r>
            <w:proofErr w:type="spellStart"/>
            <w:r w:rsidRPr="00600702">
              <w:rPr>
                <w:rFonts w:ascii="Times New Roman" w:hAnsi="Times New Roman"/>
                <w:sz w:val="28"/>
                <w:szCs w:val="28"/>
              </w:rPr>
              <w:t>ramura</w:t>
            </w:r>
            <w:proofErr w:type="spellEnd"/>
            <w:r w:rsidRPr="00600702">
              <w:rPr>
                <w:rFonts w:ascii="Times New Roman" w:hAnsi="Times New Roman"/>
                <w:sz w:val="28"/>
                <w:szCs w:val="28"/>
              </w:rPr>
              <w:t xml:space="preserve"> </w:t>
            </w:r>
            <w:proofErr w:type="spellStart"/>
            <w:r w:rsidRPr="00600702">
              <w:rPr>
                <w:rFonts w:ascii="Times New Roman" w:hAnsi="Times New Roman"/>
                <w:sz w:val="28"/>
                <w:szCs w:val="28"/>
              </w:rPr>
              <w:t>gazificării</w:t>
            </w:r>
            <w:proofErr w:type="spellEnd"/>
            <w:r w:rsidRPr="00600702">
              <w:rPr>
                <w:rFonts w:ascii="Times New Roman" w:hAnsi="Times New Roman"/>
                <w:sz w:val="28"/>
                <w:szCs w:val="28"/>
                <w:lang w:val="ro-RO"/>
              </w:rPr>
              <w:t xml:space="preserve"> și </w:t>
            </w:r>
            <w:proofErr w:type="spellStart"/>
            <w:r w:rsidRPr="00600702">
              <w:rPr>
                <w:rFonts w:ascii="Times New Roman" w:hAnsi="Times New Roman"/>
                <w:sz w:val="28"/>
                <w:szCs w:val="28"/>
              </w:rPr>
              <w:t>reguli</w:t>
            </w:r>
            <w:proofErr w:type="spellEnd"/>
            <w:r w:rsidRPr="00600702">
              <w:rPr>
                <w:rFonts w:ascii="Times New Roman" w:hAnsi="Times New Roman"/>
                <w:sz w:val="28"/>
                <w:szCs w:val="28"/>
              </w:rPr>
              <w:t xml:space="preserve"> </w:t>
            </w:r>
            <w:proofErr w:type="spellStart"/>
            <w:r w:rsidRPr="00600702">
              <w:rPr>
                <w:rFonts w:ascii="Times New Roman" w:hAnsi="Times New Roman"/>
                <w:sz w:val="28"/>
                <w:szCs w:val="28"/>
              </w:rPr>
              <w:t>privind</w:t>
            </w:r>
            <w:proofErr w:type="spellEnd"/>
            <w:r w:rsidRPr="00600702">
              <w:rPr>
                <w:rFonts w:ascii="Times New Roman" w:hAnsi="Times New Roman"/>
                <w:sz w:val="28"/>
                <w:szCs w:val="28"/>
              </w:rPr>
              <w:t xml:space="preserve"> </w:t>
            </w:r>
            <w:proofErr w:type="spellStart"/>
            <w:r w:rsidRPr="00600702">
              <w:rPr>
                <w:rFonts w:ascii="Times New Roman" w:hAnsi="Times New Roman"/>
                <w:sz w:val="28"/>
                <w:szCs w:val="28"/>
              </w:rPr>
              <w:t>securitatea</w:t>
            </w:r>
            <w:proofErr w:type="spellEnd"/>
            <w:r w:rsidRPr="00600702">
              <w:rPr>
                <w:rFonts w:ascii="Times New Roman" w:hAnsi="Times New Roman"/>
                <w:sz w:val="28"/>
                <w:szCs w:val="28"/>
              </w:rPr>
              <w:t xml:space="preserve"> </w:t>
            </w:r>
            <w:proofErr w:type="spellStart"/>
            <w:r w:rsidRPr="00600702">
              <w:rPr>
                <w:rFonts w:ascii="Times New Roman" w:hAnsi="Times New Roman"/>
                <w:sz w:val="28"/>
                <w:szCs w:val="28"/>
              </w:rPr>
              <w:t>industrială</w:t>
            </w:r>
            <w:proofErr w:type="spellEnd"/>
            <w:r w:rsidRPr="00600702">
              <w:rPr>
                <w:rFonts w:ascii="Times New Roman" w:hAnsi="Times New Roman"/>
                <w:sz w:val="28"/>
                <w:szCs w:val="28"/>
              </w:rPr>
              <w:t xml:space="preserve"> la </w:t>
            </w:r>
            <w:proofErr w:type="spellStart"/>
            <w:r w:rsidRPr="00600702">
              <w:rPr>
                <w:rFonts w:ascii="Times New Roman" w:hAnsi="Times New Roman"/>
                <w:sz w:val="28"/>
                <w:szCs w:val="28"/>
              </w:rPr>
              <w:t>exploatarea</w:t>
            </w:r>
            <w:proofErr w:type="spellEnd"/>
            <w:r w:rsidRPr="00600702">
              <w:rPr>
                <w:rFonts w:ascii="Times New Roman" w:hAnsi="Times New Roman"/>
                <w:sz w:val="28"/>
                <w:szCs w:val="28"/>
              </w:rPr>
              <w:t xml:space="preserve"> </w:t>
            </w:r>
            <w:proofErr w:type="spellStart"/>
            <w:r w:rsidRPr="00600702">
              <w:rPr>
                <w:rFonts w:ascii="Times New Roman" w:hAnsi="Times New Roman"/>
                <w:sz w:val="28"/>
                <w:szCs w:val="28"/>
              </w:rPr>
              <w:t>staţiilor</w:t>
            </w:r>
            <w:proofErr w:type="spellEnd"/>
            <w:r w:rsidRPr="00600702">
              <w:rPr>
                <w:rFonts w:ascii="Times New Roman" w:hAnsi="Times New Roman"/>
                <w:sz w:val="28"/>
                <w:szCs w:val="28"/>
              </w:rPr>
              <w:t xml:space="preserve"> de </w:t>
            </w:r>
            <w:proofErr w:type="spellStart"/>
            <w:r w:rsidRPr="00600702">
              <w:rPr>
                <w:rFonts w:ascii="Times New Roman" w:hAnsi="Times New Roman"/>
                <w:sz w:val="28"/>
                <w:szCs w:val="28"/>
              </w:rPr>
              <w:t>alimentare</w:t>
            </w:r>
            <w:proofErr w:type="spellEnd"/>
            <w:r w:rsidRPr="00600702">
              <w:rPr>
                <w:rFonts w:ascii="Times New Roman" w:hAnsi="Times New Roman"/>
                <w:sz w:val="28"/>
                <w:szCs w:val="28"/>
              </w:rPr>
              <w:t xml:space="preserve"> a </w:t>
            </w:r>
            <w:proofErr w:type="spellStart"/>
            <w:r w:rsidRPr="00600702">
              <w:rPr>
                <w:rFonts w:ascii="Times New Roman" w:hAnsi="Times New Roman"/>
                <w:sz w:val="28"/>
                <w:szCs w:val="28"/>
              </w:rPr>
              <w:t>automobilelor</w:t>
            </w:r>
            <w:proofErr w:type="spellEnd"/>
            <w:r w:rsidRPr="00600702">
              <w:rPr>
                <w:rFonts w:ascii="Times New Roman" w:hAnsi="Times New Roman"/>
                <w:sz w:val="28"/>
                <w:szCs w:val="28"/>
              </w:rPr>
              <w:t xml:space="preserve"> cu gaze </w:t>
            </w:r>
            <w:proofErr w:type="spellStart"/>
            <w:r w:rsidRPr="00600702">
              <w:rPr>
                <w:rFonts w:ascii="Times New Roman" w:hAnsi="Times New Roman"/>
                <w:sz w:val="28"/>
                <w:szCs w:val="28"/>
              </w:rPr>
              <w:t>lichefiate</w:t>
            </w:r>
            <w:proofErr w:type="spellEnd"/>
            <w:r w:rsidRPr="00600702">
              <w:rPr>
                <w:rFonts w:ascii="Times New Roman" w:hAnsi="Times New Roman"/>
                <w:sz w:val="28"/>
                <w:szCs w:val="28"/>
                <w:lang w:val="ro-RO"/>
              </w:rPr>
              <w:t xml:space="preserve"> au fost aprobate încă în anii 2002, 2004 2005 și referințele în el sunt la un șir de GOST-uri, NCM, </w:t>
            </w:r>
            <w:proofErr w:type="spellStart"/>
            <w:r w:rsidRPr="00600702">
              <w:rPr>
                <w:rFonts w:ascii="Times New Roman" w:hAnsi="Times New Roman"/>
                <w:sz w:val="28"/>
                <w:szCs w:val="28"/>
                <w:lang w:val="ro-RO"/>
              </w:rPr>
              <w:t>SNiP</w:t>
            </w:r>
            <w:proofErr w:type="spellEnd"/>
            <w:r w:rsidRPr="00600702">
              <w:rPr>
                <w:rFonts w:ascii="Times New Roman" w:hAnsi="Times New Roman"/>
                <w:sz w:val="28"/>
                <w:szCs w:val="28"/>
                <w:lang w:val="ro-RO"/>
              </w:rPr>
              <w:t xml:space="preserve">, RD, ONTR și RG (Reguli Generale) și PG (Proceduri Generale). </w:t>
            </w:r>
            <w:r w:rsidRPr="00600702">
              <w:rPr>
                <w:rFonts w:ascii="Times New Roman" w:hAnsi="Times New Roman"/>
                <w:sz w:val="28"/>
                <w:szCs w:val="28"/>
                <w:lang w:val="ro-RO"/>
              </w:rPr>
              <w:lastRenderedPageBreak/>
              <w:t xml:space="preserve">Deci având în vedere aspirațiile Republicii Moldova de a se alinia la practicile europene și standardele europene și internaționale, este necesar excluderea acestor RG, PG și GOST-uri. </w:t>
            </w:r>
          </w:p>
          <w:p w:rsidR="0058391B" w:rsidRPr="00600702" w:rsidRDefault="0058391B">
            <w:pPr>
              <w:pStyle w:val="PlainText"/>
              <w:tabs>
                <w:tab w:val="left" w:pos="555"/>
              </w:tabs>
              <w:jc w:val="both"/>
              <w:rPr>
                <w:rFonts w:ascii="Times New Roman" w:hAnsi="Times New Roman"/>
                <w:sz w:val="28"/>
                <w:szCs w:val="28"/>
              </w:rPr>
            </w:pPr>
            <w:r w:rsidRPr="00600702">
              <w:rPr>
                <w:rFonts w:ascii="Times New Roman" w:hAnsi="Times New Roman"/>
                <w:sz w:val="28"/>
                <w:szCs w:val="28"/>
              </w:rPr>
              <w:t xml:space="preserve">        În conformitate cu anexa nr.1 al Legii nr.116 din 18.05.2012 p</w:t>
            </w:r>
            <w:r w:rsidRPr="00600702">
              <w:rPr>
                <w:rFonts w:ascii="Times New Roman" w:hAnsi="Times New Roman" w:cs="Times New Roman"/>
                <w:sz w:val="28"/>
                <w:szCs w:val="28"/>
              </w:rPr>
              <w:t>rivind securitatea industrială a obiectelor industriale periculoase,</w:t>
            </w:r>
            <w:r w:rsidRPr="00600702">
              <w:rPr>
                <w:rFonts w:ascii="Times New Roman" w:hAnsi="Times New Roman" w:cs="Times New Roman"/>
                <w:b/>
                <w:sz w:val="28"/>
                <w:szCs w:val="28"/>
              </w:rPr>
              <w:t xml:space="preserve"> </w:t>
            </w:r>
            <w:r w:rsidRPr="00600702">
              <w:rPr>
                <w:rFonts w:ascii="Times New Roman" w:hAnsi="Times New Roman" w:cs="Times New Roman"/>
                <w:sz w:val="28"/>
                <w:szCs w:val="28"/>
              </w:rPr>
              <w:t xml:space="preserve">cisternele destinate pentru transportarea gazelor lichefiate </w:t>
            </w:r>
            <w:proofErr w:type="spellStart"/>
            <w:r w:rsidRPr="00600702">
              <w:rPr>
                <w:rFonts w:ascii="Times New Roman" w:hAnsi="Times New Roman" w:cs="Times New Roman"/>
                <w:sz w:val="28"/>
                <w:szCs w:val="28"/>
              </w:rPr>
              <w:t>sînt</w:t>
            </w:r>
            <w:proofErr w:type="spellEnd"/>
            <w:r w:rsidRPr="00600702">
              <w:rPr>
                <w:rFonts w:ascii="Times New Roman" w:hAnsi="Times New Roman" w:cs="Times New Roman"/>
                <w:sz w:val="28"/>
                <w:szCs w:val="28"/>
              </w:rPr>
              <w:t xml:space="preserve"> considerate obiecte industriale periculoase (OIP) şi </w:t>
            </w:r>
            <w:r w:rsidRPr="00600702">
              <w:rPr>
                <w:rFonts w:ascii="Times New Roman" w:hAnsi="Times New Roman"/>
                <w:sz w:val="28"/>
                <w:szCs w:val="28"/>
              </w:rPr>
              <w:t xml:space="preserve">conform art.5, alin.(2) al aceleiași legi, OIP sunt supuse înregistrării de stat de către organul de control și supraveghere tehnică de stat în domeniul securității industriale. </w:t>
            </w:r>
            <w:r w:rsidRPr="00600702">
              <w:rPr>
                <w:rFonts w:ascii="Times New Roman" w:hAnsi="Times New Roman" w:cs="Times New Roman"/>
                <w:sz w:val="28"/>
                <w:szCs w:val="28"/>
              </w:rPr>
              <w:t xml:space="preserve">Totodată în art.8 alin.(11) și </w:t>
            </w:r>
            <w:r w:rsidRPr="00600702">
              <w:rPr>
                <w:rFonts w:ascii="Times New Roman" w:hAnsi="Times New Roman"/>
                <w:sz w:val="28"/>
                <w:szCs w:val="28"/>
              </w:rPr>
              <w:t xml:space="preserve">(12 ) </w:t>
            </w:r>
            <w:r w:rsidRPr="00600702">
              <w:rPr>
                <w:rFonts w:ascii="Times New Roman" w:hAnsi="Times New Roman" w:cs="Times New Roman"/>
                <w:sz w:val="28"/>
                <w:szCs w:val="28"/>
              </w:rPr>
              <w:t xml:space="preserve">al </w:t>
            </w:r>
            <w:proofErr w:type="spellStart"/>
            <w:r w:rsidRPr="00600702">
              <w:rPr>
                <w:rFonts w:ascii="Times New Roman" w:hAnsi="Times New Roman" w:cs="Times New Roman"/>
                <w:sz w:val="28"/>
                <w:szCs w:val="28"/>
              </w:rPr>
              <w:t>legeii</w:t>
            </w:r>
            <w:proofErr w:type="spellEnd"/>
            <w:r w:rsidRPr="00600702">
              <w:rPr>
                <w:rFonts w:ascii="Times New Roman" w:hAnsi="Times New Roman" w:cs="Times New Roman"/>
                <w:sz w:val="28"/>
                <w:szCs w:val="28"/>
              </w:rPr>
              <w:t xml:space="preserve"> menționate: </w:t>
            </w:r>
          </w:p>
          <w:p w:rsidR="0058391B" w:rsidRPr="00600702" w:rsidRDefault="0058391B">
            <w:pPr>
              <w:pStyle w:val="PlainText"/>
              <w:tabs>
                <w:tab w:val="left" w:pos="555"/>
              </w:tabs>
              <w:jc w:val="both"/>
              <w:rPr>
                <w:rFonts w:ascii="Times New Roman" w:hAnsi="Times New Roman" w:cs="Times New Roman"/>
                <w:sz w:val="28"/>
                <w:szCs w:val="28"/>
              </w:rPr>
            </w:pPr>
            <w:r w:rsidRPr="00600702">
              <w:rPr>
                <w:rFonts w:ascii="Times New Roman" w:hAnsi="Times New Roman"/>
                <w:sz w:val="28"/>
                <w:szCs w:val="28"/>
              </w:rPr>
              <w:t xml:space="preserve">       (11 ) </w:t>
            </w:r>
            <w:r w:rsidRPr="00600702">
              <w:rPr>
                <w:rFonts w:ascii="Times New Roman" w:hAnsi="Times New Roman" w:cs="Times New Roman"/>
                <w:i/>
                <w:sz w:val="28"/>
                <w:szCs w:val="28"/>
              </w:rPr>
              <w:t>,,umplerea, transportul, verificarea tehnică periodică, repararea, utilizarea, scoaterea din uz şi casarea buteliilor, inclusiv a buteliilor de gaze de uz casnic,,,</w:t>
            </w:r>
            <w:r w:rsidRPr="00600702">
              <w:rPr>
                <w:rFonts w:ascii="Times New Roman" w:hAnsi="Times New Roman" w:cs="Times New Roman"/>
                <w:sz w:val="28"/>
                <w:szCs w:val="28"/>
              </w:rPr>
              <w:t xml:space="preserve"> se efectuează de întreprinderi specializate care deţin avizul pozitiv de expertiză eliberat de către organismul de expertiză în domeniul securităţii industriale; </w:t>
            </w:r>
          </w:p>
          <w:p w:rsidR="0058391B" w:rsidRPr="00600702" w:rsidRDefault="0058391B">
            <w:pPr>
              <w:ind w:firstLine="567"/>
              <w:jc w:val="both"/>
              <w:rPr>
                <w:sz w:val="28"/>
                <w:szCs w:val="28"/>
                <w:lang w:val="ro-RO" w:eastAsia="ru-RU"/>
              </w:rPr>
            </w:pPr>
            <w:r w:rsidRPr="00600702">
              <w:rPr>
                <w:sz w:val="28"/>
                <w:szCs w:val="28"/>
                <w:lang w:val="ro-RO" w:eastAsia="ru-RU"/>
              </w:rPr>
              <w:t>După aprobarea reglementării tehnice urmează a fi aprobată Lista standardelor armonizate care conține cerințe obligatorii şi esențiale. Pentru a facilita stabilirea conformităţii cu cerinţele esenţiale, este necesară existenţa standardelor armonizate, în special cu privire la proiectarea și fabricarea.</w:t>
            </w:r>
          </w:p>
          <w:p w:rsidR="0058391B" w:rsidRPr="00600702" w:rsidRDefault="0058391B">
            <w:pPr>
              <w:tabs>
                <w:tab w:val="left" w:pos="600"/>
              </w:tabs>
              <w:jc w:val="both"/>
              <w:rPr>
                <w:b/>
                <w:sz w:val="28"/>
                <w:szCs w:val="28"/>
              </w:rPr>
            </w:pPr>
            <w:r w:rsidRPr="00600702">
              <w:rPr>
                <w:sz w:val="28"/>
                <w:szCs w:val="28"/>
              </w:rPr>
              <w:t xml:space="preserve">        In </w:t>
            </w:r>
            <w:proofErr w:type="spellStart"/>
            <w:r w:rsidRPr="00600702">
              <w:rPr>
                <w:sz w:val="28"/>
                <w:szCs w:val="28"/>
              </w:rPr>
              <w:t>acest</w:t>
            </w:r>
            <w:proofErr w:type="spellEnd"/>
            <w:r w:rsidRPr="00600702">
              <w:rPr>
                <w:sz w:val="28"/>
                <w:szCs w:val="28"/>
              </w:rPr>
              <w:t xml:space="preserve"> </w:t>
            </w:r>
            <w:proofErr w:type="spellStart"/>
            <w:r w:rsidRPr="00600702">
              <w:rPr>
                <w:sz w:val="28"/>
                <w:szCs w:val="28"/>
              </w:rPr>
              <w:t>scop</w:t>
            </w:r>
            <w:proofErr w:type="spellEnd"/>
            <w:r w:rsidRPr="00600702">
              <w:rPr>
                <w:sz w:val="28"/>
                <w:szCs w:val="28"/>
              </w:rPr>
              <w:t xml:space="preserve">, </w:t>
            </w:r>
            <w:proofErr w:type="spellStart"/>
            <w:r w:rsidRPr="00600702">
              <w:rPr>
                <w:sz w:val="28"/>
                <w:szCs w:val="28"/>
              </w:rPr>
              <w:t>pentru</w:t>
            </w:r>
            <w:proofErr w:type="spellEnd"/>
            <w:r w:rsidRPr="00600702">
              <w:rPr>
                <w:sz w:val="28"/>
                <w:szCs w:val="28"/>
              </w:rPr>
              <w:t xml:space="preserve"> a </w:t>
            </w:r>
            <w:proofErr w:type="spellStart"/>
            <w:r w:rsidRPr="00600702">
              <w:rPr>
                <w:sz w:val="28"/>
                <w:szCs w:val="28"/>
              </w:rPr>
              <w:t>facilita</w:t>
            </w:r>
            <w:proofErr w:type="spellEnd"/>
            <w:r w:rsidRPr="00600702">
              <w:rPr>
                <w:sz w:val="28"/>
                <w:szCs w:val="28"/>
              </w:rPr>
              <w:t xml:space="preserve"> </w:t>
            </w:r>
            <w:proofErr w:type="spellStart"/>
            <w:r w:rsidRPr="00600702">
              <w:rPr>
                <w:sz w:val="28"/>
                <w:szCs w:val="28"/>
              </w:rPr>
              <w:t>stabilirea</w:t>
            </w:r>
            <w:proofErr w:type="spellEnd"/>
            <w:r w:rsidRPr="00600702">
              <w:rPr>
                <w:sz w:val="28"/>
                <w:szCs w:val="28"/>
              </w:rPr>
              <w:t xml:space="preserve"> </w:t>
            </w:r>
            <w:proofErr w:type="spellStart"/>
            <w:r w:rsidRPr="00600702">
              <w:rPr>
                <w:sz w:val="28"/>
                <w:szCs w:val="28"/>
              </w:rPr>
              <w:t>conformităţii</w:t>
            </w:r>
            <w:proofErr w:type="spellEnd"/>
            <w:r w:rsidRPr="00600702">
              <w:rPr>
                <w:sz w:val="28"/>
                <w:szCs w:val="28"/>
              </w:rPr>
              <w:t xml:space="preserve"> cu </w:t>
            </w:r>
            <w:proofErr w:type="spellStart"/>
            <w:r w:rsidRPr="00600702">
              <w:rPr>
                <w:sz w:val="28"/>
                <w:szCs w:val="28"/>
              </w:rPr>
              <w:t>cerințele</w:t>
            </w:r>
            <w:proofErr w:type="spellEnd"/>
            <w:r w:rsidRPr="00600702">
              <w:rPr>
                <w:sz w:val="28"/>
                <w:szCs w:val="28"/>
              </w:rPr>
              <w:t xml:space="preserve"> </w:t>
            </w:r>
            <w:proofErr w:type="spellStart"/>
            <w:r w:rsidRPr="00600702">
              <w:rPr>
                <w:sz w:val="28"/>
                <w:szCs w:val="28"/>
              </w:rPr>
              <w:t>directivei</w:t>
            </w:r>
            <w:proofErr w:type="spellEnd"/>
            <w:r w:rsidRPr="00600702">
              <w:rPr>
                <w:sz w:val="28"/>
                <w:szCs w:val="28"/>
              </w:rPr>
              <w:t xml:space="preserve"> </w:t>
            </w:r>
            <w:proofErr w:type="spellStart"/>
            <w:r w:rsidRPr="00600702">
              <w:rPr>
                <w:sz w:val="28"/>
                <w:szCs w:val="28"/>
              </w:rPr>
              <w:t>menționate</w:t>
            </w:r>
            <w:proofErr w:type="spellEnd"/>
            <w:r w:rsidRPr="00600702">
              <w:rPr>
                <w:sz w:val="28"/>
                <w:szCs w:val="28"/>
              </w:rPr>
              <w:t xml:space="preserve">, </w:t>
            </w:r>
            <w:proofErr w:type="spellStart"/>
            <w:r w:rsidRPr="00600702">
              <w:rPr>
                <w:sz w:val="28"/>
                <w:szCs w:val="28"/>
              </w:rPr>
              <w:t>este</w:t>
            </w:r>
            <w:proofErr w:type="spellEnd"/>
            <w:r w:rsidRPr="00600702">
              <w:rPr>
                <w:sz w:val="28"/>
                <w:szCs w:val="28"/>
              </w:rPr>
              <w:t xml:space="preserve"> </w:t>
            </w:r>
            <w:proofErr w:type="spellStart"/>
            <w:r w:rsidRPr="00600702">
              <w:rPr>
                <w:sz w:val="28"/>
                <w:szCs w:val="28"/>
              </w:rPr>
              <w:t>necesară</w:t>
            </w:r>
            <w:proofErr w:type="spellEnd"/>
            <w:r w:rsidRPr="00600702">
              <w:rPr>
                <w:sz w:val="28"/>
                <w:szCs w:val="28"/>
              </w:rPr>
              <w:t xml:space="preserve"> </w:t>
            </w:r>
            <w:proofErr w:type="spellStart"/>
            <w:r w:rsidRPr="00600702">
              <w:rPr>
                <w:sz w:val="28"/>
                <w:szCs w:val="28"/>
              </w:rPr>
              <w:t>existenţa</w:t>
            </w:r>
            <w:proofErr w:type="spellEnd"/>
            <w:r w:rsidRPr="00600702">
              <w:rPr>
                <w:sz w:val="28"/>
                <w:szCs w:val="28"/>
              </w:rPr>
              <w:t xml:space="preserve"> </w:t>
            </w:r>
            <w:proofErr w:type="spellStart"/>
            <w:r w:rsidRPr="00600702">
              <w:rPr>
                <w:sz w:val="28"/>
                <w:szCs w:val="28"/>
              </w:rPr>
              <w:t>standardelor</w:t>
            </w:r>
            <w:proofErr w:type="spellEnd"/>
            <w:r w:rsidRPr="00600702">
              <w:rPr>
                <w:sz w:val="28"/>
                <w:szCs w:val="28"/>
              </w:rPr>
              <w:t xml:space="preserve"> </w:t>
            </w:r>
            <w:proofErr w:type="spellStart"/>
            <w:r w:rsidRPr="00600702">
              <w:rPr>
                <w:sz w:val="28"/>
                <w:szCs w:val="28"/>
              </w:rPr>
              <w:t>armonizate</w:t>
            </w:r>
            <w:proofErr w:type="spellEnd"/>
            <w:r w:rsidRPr="00600702">
              <w:rPr>
                <w:sz w:val="28"/>
                <w:szCs w:val="28"/>
              </w:rPr>
              <w:t xml:space="preserve"> la </w:t>
            </w:r>
            <w:proofErr w:type="spellStart"/>
            <w:r w:rsidRPr="00600702">
              <w:rPr>
                <w:sz w:val="28"/>
                <w:szCs w:val="28"/>
              </w:rPr>
              <w:t>nivel</w:t>
            </w:r>
            <w:proofErr w:type="spellEnd"/>
            <w:r w:rsidRPr="00600702">
              <w:rPr>
                <w:sz w:val="28"/>
                <w:szCs w:val="28"/>
              </w:rPr>
              <w:t xml:space="preserve"> </w:t>
            </w:r>
            <w:proofErr w:type="spellStart"/>
            <w:r w:rsidRPr="00600702">
              <w:rPr>
                <w:sz w:val="28"/>
                <w:szCs w:val="28"/>
              </w:rPr>
              <w:t>european</w:t>
            </w:r>
            <w:proofErr w:type="spellEnd"/>
            <w:r w:rsidRPr="00600702">
              <w:rPr>
                <w:sz w:val="28"/>
                <w:szCs w:val="28"/>
              </w:rPr>
              <w:t xml:space="preserve">, </w:t>
            </w:r>
            <w:proofErr w:type="spellStart"/>
            <w:r w:rsidRPr="00600702">
              <w:rPr>
                <w:sz w:val="28"/>
                <w:szCs w:val="28"/>
              </w:rPr>
              <w:t>în</w:t>
            </w:r>
            <w:proofErr w:type="spellEnd"/>
            <w:r w:rsidRPr="00600702">
              <w:rPr>
                <w:sz w:val="28"/>
                <w:szCs w:val="28"/>
              </w:rPr>
              <w:t xml:space="preserve"> special cu </w:t>
            </w:r>
            <w:proofErr w:type="spellStart"/>
            <w:r w:rsidRPr="00600702">
              <w:rPr>
                <w:sz w:val="28"/>
                <w:szCs w:val="28"/>
              </w:rPr>
              <w:t>privire</w:t>
            </w:r>
            <w:proofErr w:type="spellEnd"/>
            <w:r w:rsidRPr="00600702">
              <w:rPr>
                <w:sz w:val="28"/>
                <w:szCs w:val="28"/>
              </w:rPr>
              <w:t xml:space="preserve"> la </w:t>
            </w:r>
            <w:proofErr w:type="spellStart"/>
            <w:r w:rsidRPr="00600702">
              <w:rPr>
                <w:sz w:val="28"/>
                <w:szCs w:val="28"/>
              </w:rPr>
              <w:t>proiectare</w:t>
            </w:r>
            <w:proofErr w:type="spellEnd"/>
            <w:r w:rsidRPr="00600702">
              <w:rPr>
                <w:sz w:val="28"/>
                <w:szCs w:val="28"/>
              </w:rPr>
              <w:t xml:space="preserve">, </w:t>
            </w:r>
            <w:proofErr w:type="spellStart"/>
            <w:r w:rsidRPr="00600702">
              <w:rPr>
                <w:sz w:val="28"/>
                <w:szCs w:val="28"/>
              </w:rPr>
              <w:t>fabricare</w:t>
            </w:r>
            <w:proofErr w:type="spellEnd"/>
            <w:r w:rsidRPr="00600702">
              <w:rPr>
                <w:sz w:val="28"/>
                <w:szCs w:val="28"/>
              </w:rPr>
              <w:t xml:space="preserve"> </w:t>
            </w:r>
            <w:proofErr w:type="spellStart"/>
            <w:r w:rsidRPr="00600702">
              <w:rPr>
                <w:sz w:val="28"/>
                <w:szCs w:val="28"/>
              </w:rPr>
              <w:t>și</w:t>
            </w:r>
            <w:proofErr w:type="spellEnd"/>
            <w:r w:rsidRPr="00600702">
              <w:rPr>
                <w:sz w:val="28"/>
                <w:szCs w:val="28"/>
              </w:rPr>
              <w:t xml:space="preserve"> </w:t>
            </w:r>
            <w:proofErr w:type="spellStart"/>
            <w:r w:rsidRPr="00600702">
              <w:rPr>
                <w:sz w:val="28"/>
                <w:szCs w:val="28"/>
              </w:rPr>
              <w:t>exploatare</w:t>
            </w:r>
            <w:proofErr w:type="spellEnd"/>
            <w:r w:rsidRPr="00600702">
              <w:rPr>
                <w:sz w:val="28"/>
                <w:szCs w:val="28"/>
              </w:rPr>
              <w:t xml:space="preserve"> </w:t>
            </w:r>
            <w:proofErr w:type="gramStart"/>
            <w:r w:rsidRPr="00600702">
              <w:rPr>
                <w:sz w:val="28"/>
                <w:szCs w:val="28"/>
              </w:rPr>
              <w:t>a</w:t>
            </w:r>
            <w:proofErr w:type="gramEnd"/>
            <w:r w:rsidRPr="00600702">
              <w:rPr>
                <w:sz w:val="28"/>
                <w:szCs w:val="28"/>
              </w:rPr>
              <w:t xml:space="preserve"> </w:t>
            </w:r>
            <w:proofErr w:type="spellStart"/>
            <w:r w:rsidRPr="00600702">
              <w:rPr>
                <w:sz w:val="28"/>
                <w:szCs w:val="28"/>
              </w:rPr>
              <w:t>echipamentelor</w:t>
            </w:r>
            <w:proofErr w:type="spellEnd"/>
            <w:r w:rsidRPr="00600702">
              <w:rPr>
                <w:sz w:val="28"/>
                <w:szCs w:val="28"/>
              </w:rPr>
              <w:t xml:space="preserve"> sub </w:t>
            </w:r>
            <w:proofErr w:type="spellStart"/>
            <w:r w:rsidRPr="00600702">
              <w:rPr>
                <w:sz w:val="28"/>
                <w:szCs w:val="28"/>
              </w:rPr>
              <w:t>presiune</w:t>
            </w:r>
            <w:proofErr w:type="spellEnd"/>
            <w:r w:rsidRPr="00600702">
              <w:rPr>
                <w:sz w:val="28"/>
                <w:szCs w:val="28"/>
              </w:rPr>
              <w:t xml:space="preserve"> </w:t>
            </w:r>
            <w:proofErr w:type="spellStart"/>
            <w:r w:rsidRPr="00600702">
              <w:rPr>
                <w:sz w:val="28"/>
                <w:szCs w:val="28"/>
              </w:rPr>
              <w:t>transportabile</w:t>
            </w:r>
            <w:proofErr w:type="spellEnd"/>
            <w:r w:rsidRPr="00600702">
              <w:rPr>
                <w:sz w:val="28"/>
                <w:szCs w:val="28"/>
              </w:rPr>
              <w:t xml:space="preserve">. </w:t>
            </w:r>
            <w:proofErr w:type="spellStart"/>
            <w:r w:rsidRPr="00600702">
              <w:rPr>
                <w:sz w:val="28"/>
                <w:szCs w:val="28"/>
              </w:rPr>
              <w:t>Echipamentelor</w:t>
            </w:r>
            <w:proofErr w:type="spellEnd"/>
            <w:r w:rsidRPr="00600702">
              <w:rPr>
                <w:sz w:val="28"/>
                <w:szCs w:val="28"/>
              </w:rPr>
              <w:t xml:space="preserve"> sub </w:t>
            </w:r>
            <w:proofErr w:type="spellStart"/>
            <w:r w:rsidRPr="00600702">
              <w:rPr>
                <w:sz w:val="28"/>
                <w:szCs w:val="28"/>
              </w:rPr>
              <w:t>presiune</w:t>
            </w:r>
            <w:proofErr w:type="spellEnd"/>
            <w:r w:rsidRPr="00600702">
              <w:rPr>
                <w:sz w:val="28"/>
                <w:szCs w:val="28"/>
              </w:rPr>
              <w:t xml:space="preserve"> </w:t>
            </w:r>
            <w:proofErr w:type="spellStart"/>
            <w:r w:rsidRPr="00600702">
              <w:rPr>
                <w:sz w:val="28"/>
                <w:szCs w:val="28"/>
              </w:rPr>
              <w:t>transportabile</w:t>
            </w:r>
            <w:proofErr w:type="spellEnd"/>
            <w:r w:rsidRPr="00600702">
              <w:rPr>
                <w:sz w:val="28"/>
                <w:szCs w:val="28"/>
              </w:rPr>
              <w:t xml:space="preserve"> care, </w:t>
            </w:r>
            <w:proofErr w:type="spellStart"/>
            <w:r w:rsidRPr="00600702">
              <w:rPr>
                <w:sz w:val="28"/>
                <w:szCs w:val="28"/>
              </w:rPr>
              <w:t>în</w:t>
            </w:r>
            <w:proofErr w:type="spellEnd"/>
            <w:r w:rsidRPr="00600702">
              <w:rPr>
                <w:sz w:val="28"/>
                <w:szCs w:val="28"/>
              </w:rPr>
              <w:t xml:space="preserve"> </w:t>
            </w:r>
            <w:proofErr w:type="spellStart"/>
            <w:r w:rsidRPr="00600702">
              <w:rPr>
                <w:sz w:val="28"/>
                <w:szCs w:val="28"/>
              </w:rPr>
              <w:t>urma</w:t>
            </w:r>
            <w:proofErr w:type="spellEnd"/>
            <w:r w:rsidRPr="00600702">
              <w:rPr>
                <w:sz w:val="28"/>
                <w:szCs w:val="28"/>
              </w:rPr>
              <w:t xml:space="preserve"> </w:t>
            </w:r>
            <w:proofErr w:type="spellStart"/>
            <w:r w:rsidRPr="00600702">
              <w:rPr>
                <w:sz w:val="28"/>
                <w:szCs w:val="28"/>
              </w:rPr>
              <w:t>procesului</w:t>
            </w:r>
            <w:proofErr w:type="spellEnd"/>
            <w:r w:rsidRPr="00600702">
              <w:rPr>
                <w:sz w:val="28"/>
                <w:szCs w:val="28"/>
              </w:rPr>
              <w:t xml:space="preserve"> de </w:t>
            </w:r>
            <w:proofErr w:type="spellStart"/>
            <w:r w:rsidRPr="00600702">
              <w:rPr>
                <w:sz w:val="28"/>
                <w:szCs w:val="28"/>
              </w:rPr>
              <w:t>evaluare</w:t>
            </w:r>
            <w:proofErr w:type="spellEnd"/>
            <w:r w:rsidRPr="00600702">
              <w:rPr>
                <w:sz w:val="28"/>
                <w:szCs w:val="28"/>
              </w:rPr>
              <w:t xml:space="preserve"> a </w:t>
            </w:r>
            <w:proofErr w:type="spellStart"/>
            <w:r w:rsidRPr="00600702">
              <w:rPr>
                <w:sz w:val="28"/>
                <w:szCs w:val="28"/>
              </w:rPr>
              <w:t>conformității</w:t>
            </w:r>
            <w:proofErr w:type="spellEnd"/>
            <w:r w:rsidRPr="00600702">
              <w:rPr>
                <w:sz w:val="28"/>
                <w:szCs w:val="28"/>
              </w:rPr>
              <w:t xml:space="preserve"> </w:t>
            </w:r>
            <w:proofErr w:type="spellStart"/>
            <w:r w:rsidRPr="00600702">
              <w:rPr>
                <w:sz w:val="28"/>
                <w:szCs w:val="28"/>
              </w:rPr>
              <w:t>prevăzut</w:t>
            </w:r>
            <w:proofErr w:type="spellEnd"/>
            <w:r w:rsidRPr="00600702">
              <w:rPr>
                <w:sz w:val="28"/>
                <w:szCs w:val="28"/>
              </w:rPr>
              <w:t xml:space="preserve"> de </w:t>
            </w:r>
            <w:proofErr w:type="spellStart"/>
            <w:r w:rsidRPr="00600702">
              <w:rPr>
                <w:sz w:val="28"/>
                <w:szCs w:val="28"/>
              </w:rPr>
              <w:t>prezenta</w:t>
            </w:r>
            <w:proofErr w:type="spellEnd"/>
            <w:r w:rsidRPr="00600702">
              <w:rPr>
                <w:sz w:val="28"/>
                <w:szCs w:val="28"/>
              </w:rPr>
              <w:t xml:space="preserve"> </w:t>
            </w:r>
            <w:proofErr w:type="spellStart"/>
            <w:r w:rsidRPr="00600702">
              <w:rPr>
                <w:sz w:val="28"/>
                <w:szCs w:val="28"/>
              </w:rPr>
              <w:t>directivă</w:t>
            </w:r>
            <w:proofErr w:type="spellEnd"/>
            <w:r w:rsidRPr="00600702">
              <w:rPr>
                <w:sz w:val="28"/>
                <w:szCs w:val="28"/>
              </w:rPr>
              <w:t xml:space="preserve"> se </w:t>
            </w:r>
            <w:proofErr w:type="spellStart"/>
            <w:r w:rsidRPr="00600702">
              <w:rPr>
                <w:sz w:val="28"/>
                <w:szCs w:val="28"/>
              </w:rPr>
              <w:t>va</w:t>
            </w:r>
            <w:proofErr w:type="spellEnd"/>
            <w:r w:rsidRPr="00600702">
              <w:rPr>
                <w:sz w:val="28"/>
                <w:szCs w:val="28"/>
              </w:rPr>
              <w:t xml:space="preserve"> </w:t>
            </w:r>
            <w:proofErr w:type="spellStart"/>
            <w:r w:rsidRPr="00600702">
              <w:rPr>
                <w:sz w:val="28"/>
                <w:szCs w:val="28"/>
              </w:rPr>
              <w:t>demonstra</w:t>
            </w:r>
            <w:proofErr w:type="spellEnd"/>
            <w:r w:rsidRPr="00600702">
              <w:rPr>
                <w:sz w:val="28"/>
                <w:szCs w:val="28"/>
              </w:rPr>
              <w:t xml:space="preserve"> </w:t>
            </w:r>
            <w:proofErr w:type="spellStart"/>
            <w:r w:rsidRPr="00600702">
              <w:rPr>
                <w:sz w:val="28"/>
                <w:szCs w:val="28"/>
              </w:rPr>
              <w:t>conformitatea</w:t>
            </w:r>
            <w:proofErr w:type="spellEnd"/>
            <w:r w:rsidRPr="00600702">
              <w:rPr>
                <w:sz w:val="28"/>
                <w:szCs w:val="28"/>
              </w:rPr>
              <w:t xml:space="preserve"> </w:t>
            </w:r>
            <w:proofErr w:type="spellStart"/>
            <w:r w:rsidRPr="00600702">
              <w:rPr>
                <w:sz w:val="28"/>
                <w:szCs w:val="28"/>
              </w:rPr>
              <w:t>lor</w:t>
            </w:r>
            <w:proofErr w:type="spellEnd"/>
            <w:r w:rsidRPr="00600702">
              <w:rPr>
                <w:sz w:val="28"/>
                <w:szCs w:val="28"/>
              </w:rPr>
              <w:t xml:space="preserve">, </w:t>
            </w:r>
            <w:proofErr w:type="spellStart"/>
            <w:r w:rsidRPr="00600702">
              <w:rPr>
                <w:sz w:val="28"/>
                <w:szCs w:val="28"/>
              </w:rPr>
              <w:t>producătorii</w:t>
            </w:r>
            <w:proofErr w:type="spellEnd"/>
            <w:r w:rsidRPr="00600702">
              <w:rPr>
                <w:sz w:val="28"/>
                <w:szCs w:val="28"/>
              </w:rPr>
              <w:t xml:space="preserve"> </w:t>
            </w:r>
            <w:proofErr w:type="spellStart"/>
            <w:r w:rsidRPr="00600702">
              <w:rPr>
                <w:sz w:val="28"/>
                <w:szCs w:val="28"/>
              </w:rPr>
              <w:t>vor</w:t>
            </w:r>
            <w:proofErr w:type="spellEnd"/>
            <w:r w:rsidRPr="00600702">
              <w:rPr>
                <w:sz w:val="28"/>
                <w:szCs w:val="28"/>
              </w:rPr>
              <w:t xml:space="preserve"> </w:t>
            </w:r>
            <w:proofErr w:type="spellStart"/>
            <w:r w:rsidRPr="00600702">
              <w:rPr>
                <w:sz w:val="28"/>
                <w:szCs w:val="28"/>
              </w:rPr>
              <w:t>aplica</w:t>
            </w:r>
            <w:proofErr w:type="spellEnd"/>
            <w:r w:rsidRPr="00600702">
              <w:rPr>
                <w:sz w:val="28"/>
                <w:szCs w:val="28"/>
              </w:rPr>
              <w:t xml:space="preserve"> </w:t>
            </w:r>
            <w:proofErr w:type="spellStart"/>
            <w:r w:rsidRPr="00600702">
              <w:rPr>
                <w:b/>
                <w:sz w:val="28"/>
                <w:szCs w:val="28"/>
              </w:rPr>
              <w:t>marcajul</w:t>
            </w:r>
            <w:proofErr w:type="spellEnd"/>
            <w:r w:rsidRPr="00600702">
              <w:rPr>
                <w:b/>
                <w:sz w:val="28"/>
                <w:szCs w:val="28"/>
              </w:rPr>
              <w:t xml:space="preserve"> „pi”. </w:t>
            </w:r>
          </w:p>
          <w:p w:rsidR="0058391B" w:rsidRPr="00600702" w:rsidRDefault="0058391B">
            <w:pPr>
              <w:pStyle w:val="Default"/>
              <w:tabs>
                <w:tab w:val="left" w:pos="600"/>
              </w:tabs>
              <w:ind w:right="98"/>
              <w:jc w:val="both"/>
              <w:rPr>
                <w:rFonts w:ascii="Times New Roman" w:hAnsi="Times New Roman" w:cs="Times New Roman"/>
                <w:color w:val="auto"/>
                <w:sz w:val="28"/>
                <w:szCs w:val="28"/>
                <w:lang w:val="ro-RO"/>
              </w:rPr>
            </w:pPr>
            <w:r w:rsidRPr="00600702">
              <w:rPr>
                <w:rFonts w:ascii="Times New Roman" w:hAnsi="Times New Roman" w:cs="Times New Roman"/>
                <w:color w:val="auto"/>
                <w:sz w:val="28"/>
                <w:szCs w:val="28"/>
                <w:lang w:val="ro-RO"/>
              </w:rPr>
              <w:t xml:space="preserve">        Standardele conexe conţin specificaţii tehnice care permit producătorilor de echipamente să se conformeze cerinţelor esenţiale de securitate şi sănătate. </w:t>
            </w:r>
            <w:proofErr w:type="spellStart"/>
            <w:r w:rsidRPr="00600702">
              <w:rPr>
                <w:rFonts w:ascii="Times New Roman" w:hAnsi="Times New Roman" w:cs="Times New Roman"/>
                <w:color w:val="auto"/>
                <w:sz w:val="28"/>
                <w:szCs w:val="28"/>
                <w:lang w:val="ro-RO"/>
              </w:rPr>
              <w:t>Întrucît</w:t>
            </w:r>
            <w:proofErr w:type="spellEnd"/>
            <w:r w:rsidRPr="00600702">
              <w:rPr>
                <w:rFonts w:ascii="Times New Roman" w:hAnsi="Times New Roman" w:cs="Times New Roman"/>
                <w:color w:val="auto"/>
                <w:sz w:val="28"/>
                <w:szCs w:val="28"/>
                <w:lang w:val="ro-RO"/>
              </w:rPr>
              <w:t xml:space="preserve"> standardele conexe sunt elaborate şi adoptate pe baza unui consens între părţile interesate, specificaţiile lor oferă un bun indiciu asupra stadiului tehnicii existent la momentul adoptării lor. Evoluţia nivelului tehnologic este reflectată în modificările ulterioare sau în reviziile standardelor conexe.</w:t>
            </w:r>
          </w:p>
          <w:p w:rsidR="0058391B" w:rsidRPr="00600702" w:rsidRDefault="0058391B" w:rsidP="009951F1">
            <w:pPr>
              <w:pStyle w:val="Default"/>
              <w:tabs>
                <w:tab w:val="left" w:pos="555"/>
                <w:tab w:val="left" w:pos="825"/>
              </w:tabs>
              <w:ind w:right="98"/>
              <w:jc w:val="both"/>
              <w:rPr>
                <w:color w:val="auto"/>
                <w:sz w:val="28"/>
                <w:szCs w:val="28"/>
                <w:lang w:val="ro-RO"/>
              </w:rPr>
            </w:pPr>
            <w:r w:rsidRPr="00600702">
              <w:rPr>
                <w:rFonts w:ascii="Times New Roman" w:hAnsi="Times New Roman" w:cs="Times New Roman"/>
                <w:color w:val="auto"/>
                <w:sz w:val="28"/>
                <w:szCs w:val="28"/>
                <w:lang w:val="ro-RO"/>
              </w:rPr>
              <w:t xml:space="preserve">           </w:t>
            </w:r>
            <w:r w:rsidRPr="00600702">
              <w:rPr>
                <w:color w:val="auto"/>
                <w:sz w:val="28"/>
                <w:szCs w:val="28"/>
                <w:lang w:val="ro-RO"/>
              </w:rPr>
              <w:tab/>
              <w:t xml:space="preserve">La momentul actual Institutul Național de </w:t>
            </w:r>
            <w:proofErr w:type="spellStart"/>
            <w:r w:rsidRPr="00600702">
              <w:rPr>
                <w:color w:val="auto"/>
                <w:sz w:val="28"/>
                <w:szCs w:val="28"/>
                <w:lang w:val="ro-RO"/>
              </w:rPr>
              <w:t>Standardizarer</w:t>
            </w:r>
            <w:proofErr w:type="spellEnd"/>
            <w:r w:rsidRPr="00600702">
              <w:rPr>
                <w:color w:val="auto"/>
                <w:sz w:val="28"/>
                <w:szCs w:val="28"/>
                <w:lang w:val="ro-RO"/>
              </w:rPr>
              <w:t xml:space="preserve"> deține Fondul necesar de standarde armonizate la Reglementarea tehnică privind echipamentele sub presiune transportabile. </w:t>
            </w:r>
          </w:p>
          <w:p w:rsidR="0058391B" w:rsidRPr="00600702" w:rsidRDefault="0058391B">
            <w:pPr>
              <w:tabs>
                <w:tab w:val="left" w:pos="0"/>
                <w:tab w:val="left" w:pos="570"/>
              </w:tabs>
              <w:jc w:val="both"/>
              <w:rPr>
                <w:sz w:val="28"/>
                <w:szCs w:val="28"/>
              </w:rPr>
            </w:pPr>
            <w:r w:rsidRPr="00600702">
              <w:rPr>
                <w:bCs/>
                <w:sz w:val="28"/>
                <w:szCs w:val="28"/>
                <w:lang w:val="ro-RO"/>
              </w:rPr>
              <w:t xml:space="preserve">        Concluzionând cele menționate este imperios pentru Republica Moldova armonizarea legislației ce ține de domeniul echipamentelor sub presiune transportabile cu legislația europeană armonizată și ca urmare punerea în aplicare și implementarea standardelor europene armonizate.</w:t>
            </w:r>
          </w:p>
        </w:tc>
      </w:tr>
      <w:tr w:rsidR="0058391B" w:rsidRPr="00600702">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600702" w:rsidRDefault="0058391B">
            <w:pPr>
              <w:rPr>
                <w:sz w:val="28"/>
                <w:szCs w:val="28"/>
                <w:lang w:val="ro-RO"/>
              </w:rPr>
            </w:pPr>
            <w:r w:rsidRPr="00600702">
              <w:rPr>
                <w:b/>
                <w:bCs/>
                <w:sz w:val="28"/>
                <w:szCs w:val="28"/>
                <w:lang w:val="ro-RO"/>
              </w:rPr>
              <w:lastRenderedPageBreak/>
              <w:t>3. Stabilirea obiectivelor</w:t>
            </w:r>
          </w:p>
        </w:tc>
      </w:tr>
      <w:tr w:rsidR="0058391B" w:rsidRPr="00600702">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600702" w:rsidRDefault="0058391B">
            <w:pPr>
              <w:tabs>
                <w:tab w:val="left" w:pos="567"/>
              </w:tabs>
              <w:jc w:val="both"/>
              <w:rPr>
                <w:sz w:val="28"/>
                <w:szCs w:val="28"/>
              </w:rPr>
            </w:pPr>
            <w:r w:rsidRPr="00600702">
              <w:rPr>
                <w:sz w:val="28"/>
                <w:szCs w:val="28"/>
              </w:rPr>
              <w:t xml:space="preserve">       </w:t>
            </w:r>
            <w:r w:rsidRPr="00600702">
              <w:rPr>
                <w:sz w:val="28"/>
                <w:szCs w:val="28"/>
                <w:lang w:val="ro-RO"/>
              </w:rPr>
              <w:t>Obiectiv</w:t>
            </w:r>
            <w:r w:rsidR="009951F1" w:rsidRPr="00600702">
              <w:rPr>
                <w:sz w:val="28"/>
                <w:szCs w:val="28"/>
                <w:lang w:val="ro-RO"/>
              </w:rPr>
              <w:t>e</w:t>
            </w:r>
            <w:r w:rsidRPr="00600702">
              <w:rPr>
                <w:sz w:val="28"/>
                <w:szCs w:val="28"/>
                <w:lang w:val="ro-RO"/>
              </w:rPr>
              <w:t>l</w:t>
            </w:r>
            <w:r w:rsidR="009951F1" w:rsidRPr="00600702">
              <w:rPr>
                <w:sz w:val="28"/>
                <w:szCs w:val="28"/>
                <w:lang w:val="ro-RO"/>
              </w:rPr>
              <w:t>e</w:t>
            </w:r>
            <w:r w:rsidRPr="00600702">
              <w:rPr>
                <w:sz w:val="28"/>
                <w:szCs w:val="28"/>
                <w:lang w:val="ro-RO"/>
              </w:rPr>
              <w:t xml:space="preserve"> politicii statului în domeniul </w:t>
            </w:r>
            <w:r w:rsidRPr="00600702">
              <w:rPr>
                <w:rFonts w:eastAsia="Arial Unicode MS"/>
                <w:bCs/>
                <w:sz w:val="28"/>
                <w:szCs w:val="28"/>
                <w:lang w:val="ro-RO" w:eastAsia="ro-RO"/>
              </w:rPr>
              <w:t>echipamente sub presiune transportabile</w:t>
            </w:r>
            <w:r w:rsidR="009951F1" w:rsidRPr="00600702">
              <w:rPr>
                <w:rFonts w:eastAsia="Arial Unicode MS"/>
                <w:bCs/>
                <w:sz w:val="28"/>
                <w:szCs w:val="28"/>
                <w:lang w:val="ro-RO" w:eastAsia="ro-RO"/>
              </w:rPr>
              <w:t xml:space="preserve"> sunt.</w:t>
            </w:r>
          </w:p>
          <w:p w:rsidR="0058391B" w:rsidRPr="00600702" w:rsidRDefault="009951F1" w:rsidP="009951F1">
            <w:pPr>
              <w:numPr>
                <w:ilvl w:val="0"/>
                <w:numId w:val="12"/>
              </w:numPr>
              <w:tabs>
                <w:tab w:val="left" w:pos="35"/>
              </w:tabs>
              <w:ind w:left="89" w:firstLine="513"/>
              <w:jc w:val="both"/>
              <w:rPr>
                <w:sz w:val="28"/>
                <w:szCs w:val="28"/>
                <w:lang w:val="ro-RO" w:eastAsia="ru-RU"/>
              </w:rPr>
            </w:pPr>
            <w:r w:rsidRPr="00600702">
              <w:rPr>
                <w:sz w:val="28"/>
                <w:szCs w:val="28"/>
                <w:lang w:val="ro-RO" w:eastAsia="ru-RU"/>
              </w:rPr>
              <w:t>C</w:t>
            </w:r>
            <w:r w:rsidR="0058391B" w:rsidRPr="00600702">
              <w:rPr>
                <w:sz w:val="28"/>
                <w:szCs w:val="28"/>
                <w:lang w:val="ro-RO" w:eastAsia="ru-RU"/>
              </w:rPr>
              <w:t xml:space="preserve">onsolidarea și completarea normelor existente, precum și îmbunătățirea aspectelor </w:t>
            </w:r>
            <w:r w:rsidRPr="00600702">
              <w:rPr>
                <w:sz w:val="28"/>
                <w:szCs w:val="28"/>
                <w:lang w:val="ro-RO" w:eastAsia="ru-RU"/>
              </w:rPr>
              <w:t xml:space="preserve">ce ține securitatea în exploatarea </w:t>
            </w:r>
            <w:r w:rsidRPr="00600702">
              <w:rPr>
                <w:rFonts w:eastAsia="Arial Unicode MS"/>
                <w:sz w:val="28"/>
                <w:szCs w:val="28"/>
                <w:lang w:val="ro-RO" w:eastAsia="ro-RO"/>
              </w:rPr>
              <w:t>echipamentelor sub presiune transportabile</w:t>
            </w:r>
            <w:r w:rsidR="0058391B" w:rsidRPr="00600702">
              <w:rPr>
                <w:sz w:val="28"/>
                <w:szCs w:val="28"/>
                <w:lang w:val="ro-RO" w:eastAsia="ru-RU"/>
              </w:rPr>
              <w:t xml:space="preserve"> și asigurării respectării lor</w:t>
            </w:r>
            <w:r w:rsidRPr="00600702">
              <w:rPr>
                <w:sz w:val="28"/>
                <w:szCs w:val="28"/>
                <w:lang w:val="ro-RO" w:eastAsia="ru-RU"/>
              </w:rPr>
              <w:t>;</w:t>
            </w:r>
            <w:r w:rsidR="0058391B" w:rsidRPr="00600702">
              <w:rPr>
                <w:sz w:val="28"/>
                <w:szCs w:val="28"/>
                <w:lang w:val="ro-RO" w:eastAsia="ru-RU"/>
              </w:rPr>
              <w:t xml:space="preserve">  </w:t>
            </w:r>
          </w:p>
          <w:p w:rsidR="0058391B" w:rsidRPr="00600702" w:rsidRDefault="009951F1" w:rsidP="009951F1">
            <w:pPr>
              <w:numPr>
                <w:ilvl w:val="0"/>
                <w:numId w:val="12"/>
              </w:numPr>
              <w:tabs>
                <w:tab w:val="left" w:pos="35"/>
                <w:tab w:val="left" w:pos="540"/>
              </w:tabs>
              <w:ind w:left="89" w:firstLine="513"/>
              <w:jc w:val="both"/>
              <w:rPr>
                <w:sz w:val="28"/>
                <w:szCs w:val="28"/>
                <w:lang w:val="ro-RO"/>
              </w:rPr>
            </w:pPr>
            <w:r w:rsidRPr="00600702">
              <w:rPr>
                <w:sz w:val="28"/>
                <w:szCs w:val="28"/>
                <w:lang w:val="ro-RO"/>
              </w:rPr>
              <w:t>E</w:t>
            </w:r>
            <w:r w:rsidR="0058391B" w:rsidRPr="00600702">
              <w:rPr>
                <w:sz w:val="28"/>
                <w:szCs w:val="28"/>
                <w:lang w:val="ro-RO"/>
              </w:rPr>
              <w:t>liminarea barierelor și libera circulație a mărfurilor în cadrul pieței unice</w:t>
            </w:r>
            <w:r w:rsidRPr="00600702">
              <w:rPr>
                <w:sz w:val="28"/>
                <w:szCs w:val="28"/>
                <w:lang w:val="ro-RO"/>
              </w:rPr>
              <w:t>;</w:t>
            </w:r>
            <w:r w:rsidR="0058391B" w:rsidRPr="00600702">
              <w:rPr>
                <w:sz w:val="28"/>
                <w:szCs w:val="28"/>
                <w:lang w:val="ro-RO"/>
              </w:rPr>
              <w:t xml:space="preserve">   </w:t>
            </w:r>
          </w:p>
          <w:p w:rsidR="0058391B" w:rsidRPr="00600702" w:rsidRDefault="009951F1" w:rsidP="009951F1">
            <w:pPr>
              <w:numPr>
                <w:ilvl w:val="0"/>
                <w:numId w:val="12"/>
              </w:numPr>
              <w:tabs>
                <w:tab w:val="left" w:pos="35"/>
                <w:tab w:val="left" w:pos="540"/>
              </w:tabs>
              <w:ind w:left="89" w:firstLine="513"/>
              <w:jc w:val="both"/>
              <w:rPr>
                <w:sz w:val="28"/>
                <w:szCs w:val="28"/>
                <w:lang w:val="ro-RO"/>
              </w:rPr>
            </w:pPr>
            <w:r w:rsidRPr="00600702">
              <w:rPr>
                <w:sz w:val="28"/>
                <w:szCs w:val="28"/>
                <w:lang w:val="ro-RO"/>
              </w:rPr>
              <w:t>G</w:t>
            </w:r>
            <w:r w:rsidR="0058391B" w:rsidRPr="00600702">
              <w:rPr>
                <w:sz w:val="28"/>
                <w:szCs w:val="28"/>
                <w:lang w:val="ro-RO"/>
              </w:rPr>
              <w:t>arant</w:t>
            </w:r>
            <w:r w:rsidRPr="00600702">
              <w:rPr>
                <w:sz w:val="28"/>
                <w:szCs w:val="28"/>
                <w:lang w:val="ro-RO"/>
              </w:rPr>
              <w:t>area</w:t>
            </w:r>
            <w:r w:rsidR="0058391B" w:rsidRPr="00600702">
              <w:rPr>
                <w:sz w:val="28"/>
                <w:szCs w:val="28"/>
                <w:lang w:val="ro-RO"/>
              </w:rPr>
              <w:t xml:space="preserve"> că numai produsele sigure și conforme în alte privințe sunt introduse pe piață, astfel încât orice operator economic să poată beneficia de un mediu echitabil, favorizând, în același timp, o protecție eficientă a consumatorilor și a utilizatorilor profesionali, precum și o piață concurențială.</w:t>
            </w:r>
          </w:p>
          <w:p w:rsidR="0058391B" w:rsidRPr="00600702" w:rsidRDefault="0058391B" w:rsidP="009951F1">
            <w:pPr>
              <w:pStyle w:val="NoSpacing"/>
              <w:tabs>
                <w:tab w:val="left" w:pos="555"/>
              </w:tabs>
              <w:ind w:firstLine="602"/>
              <w:jc w:val="both"/>
              <w:rPr>
                <w:rFonts w:ascii="Times New Roman" w:hAnsi="Times New Roman"/>
                <w:sz w:val="28"/>
                <w:szCs w:val="28"/>
                <w:lang w:val="ro-RO"/>
              </w:rPr>
            </w:pPr>
            <w:r w:rsidRPr="00600702">
              <w:rPr>
                <w:rFonts w:ascii="Times New Roman" w:hAnsi="Times New Roman"/>
                <w:sz w:val="28"/>
                <w:szCs w:val="28"/>
                <w:lang w:val="ro-RO"/>
              </w:rPr>
              <w:t xml:space="preserve">Ca obiective </w:t>
            </w:r>
            <w:r w:rsidR="009951F1" w:rsidRPr="00600702">
              <w:rPr>
                <w:rFonts w:ascii="Times New Roman" w:hAnsi="Times New Roman"/>
                <w:sz w:val="28"/>
                <w:szCs w:val="28"/>
                <w:lang w:val="ro-RO"/>
              </w:rPr>
              <w:t>conexe</w:t>
            </w:r>
            <w:r w:rsidRPr="00600702">
              <w:rPr>
                <w:rFonts w:ascii="Times New Roman" w:hAnsi="Times New Roman"/>
                <w:sz w:val="28"/>
                <w:szCs w:val="28"/>
                <w:lang w:val="ro-RO"/>
              </w:rPr>
              <w:t xml:space="preserve"> pot fi:</w:t>
            </w:r>
          </w:p>
          <w:p w:rsidR="0058391B" w:rsidRPr="00600702" w:rsidRDefault="0058391B" w:rsidP="009951F1">
            <w:pPr>
              <w:pStyle w:val="NoSpacing"/>
              <w:ind w:firstLine="602"/>
              <w:jc w:val="both"/>
              <w:rPr>
                <w:rFonts w:ascii="Times New Roman" w:hAnsi="Times New Roman"/>
                <w:sz w:val="28"/>
                <w:szCs w:val="28"/>
                <w:lang w:val="ro-RO"/>
              </w:rPr>
            </w:pPr>
            <w:r w:rsidRPr="00600702">
              <w:rPr>
                <w:rFonts w:ascii="Times New Roman" w:hAnsi="Times New Roman"/>
                <w:sz w:val="28"/>
                <w:szCs w:val="28"/>
                <w:lang w:val="ro-RO"/>
              </w:rPr>
              <w:t>- ajustarea prevederilor la practica europeană;</w:t>
            </w:r>
          </w:p>
          <w:p w:rsidR="0058391B" w:rsidRPr="00600702" w:rsidRDefault="0058391B" w:rsidP="009951F1">
            <w:pPr>
              <w:tabs>
                <w:tab w:val="left" w:pos="567"/>
              </w:tabs>
              <w:ind w:firstLine="602"/>
              <w:jc w:val="both"/>
              <w:rPr>
                <w:sz w:val="28"/>
                <w:szCs w:val="28"/>
                <w:lang w:val="ro-RO"/>
              </w:rPr>
            </w:pPr>
            <w:r w:rsidRPr="00600702">
              <w:rPr>
                <w:sz w:val="28"/>
                <w:szCs w:val="28"/>
                <w:lang w:val="ro-RO"/>
              </w:rPr>
              <w:t>- ridicarea nivelului de cunoștințe prin instruire a organelor competente de supraveghere a pieței;</w:t>
            </w:r>
          </w:p>
          <w:p w:rsidR="0058391B" w:rsidRPr="00600702" w:rsidRDefault="0058391B" w:rsidP="009951F1">
            <w:pPr>
              <w:pStyle w:val="1"/>
              <w:shd w:val="clear" w:color="auto" w:fill="auto"/>
              <w:tabs>
                <w:tab w:val="left" w:pos="881"/>
              </w:tabs>
              <w:spacing w:after="0" w:line="240" w:lineRule="auto"/>
              <w:ind w:firstLine="602"/>
              <w:rPr>
                <w:sz w:val="28"/>
                <w:szCs w:val="28"/>
                <w:lang w:val="ro-RO"/>
              </w:rPr>
            </w:pPr>
            <w:r w:rsidRPr="00600702">
              <w:rPr>
                <w:sz w:val="28"/>
                <w:szCs w:val="28"/>
                <w:lang w:val="ro-RO"/>
              </w:rPr>
              <w:t>- ridicarea nivelului de responsabilitate a autorităților de reglementare;</w:t>
            </w:r>
          </w:p>
          <w:p w:rsidR="0058391B" w:rsidRPr="00600702" w:rsidRDefault="0058391B" w:rsidP="009951F1">
            <w:pPr>
              <w:pStyle w:val="1"/>
              <w:shd w:val="clear" w:color="auto" w:fill="auto"/>
              <w:spacing w:after="0" w:line="240" w:lineRule="auto"/>
              <w:ind w:firstLine="602"/>
              <w:rPr>
                <w:sz w:val="28"/>
                <w:szCs w:val="28"/>
                <w:lang w:val="ro-RO"/>
              </w:rPr>
            </w:pPr>
            <w:r w:rsidRPr="00600702">
              <w:rPr>
                <w:sz w:val="28"/>
                <w:szCs w:val="28"/>
                <w:lang w:val="ro-RO"/>
              </w:rPr>
              <w:t>- ridicarea responsabilității producătorilor pentru produsele plasate pe piață;</w:t>
            </w:r>
          </w:p>
          <w:p w:rsidR="0058391B" w:rsidRPr="00600702" w:rsidRDefault="0058391B" w:rsidP="009951F1">
            <w:pPr>
              <w:ind w:firstLine="602"/>
              <w:jc w:val="both"/>
              <w:rPr>
                <w:sz w:val="28"/>
                <w:szCs w:val="28"/>
                <w:lang w:val="ro-RO"/>
              </w:rPr>
            </w:pPr>
            <w:r w:rsidRPr="00600702">
              <w:rPr>
                <w:sz w:val="28"/>
                <w:szCs w:val="28"/>
                <w:lang w:val="ro-RO"/>
              </w:rPr>
              <w:t>- armonizarea cadrului legislativ şi normativ cu conceptul nou a legislaţiei UE în domeniu;</w:t>
            </w:r>
          </w:p>
          <w:p w:rsidR="0058391B" w:rsidRPr="00600702" w:rsidRDefault="0058391B" w:rsidP="009951F1">
            <w:pPr>
              <w:numPr>
                <w:ilvl w:val="0"/>
                <w:numId w:val="8"/>
              </w:numPr>
              <w:ind w:left="0" w:firstLine="602"/>
              <w:jc w:val="both"/>
              <w:rPr>
                <w:sz w:val="28"/>
                <w:szCs w:val="28"/>
                <w:lang w:val="ro-RO"/>
              </w:rPr>
            </w:pPr>
            <w:r w:rsidRPr="00600702">
              <w:rPr>
                <w:sz w:val="28"/>
                <w:szCs w:val="28"/>
                <w:lang w:val="ro-RO"/>
              </w:rPr>
              <w:t xml:space="preserve"> accesul unor produse sigure pe piaţa RM; </w:t>
            </w:r>
          </w:p>
          <w:p w:rsidR="0058391B" w:rsidRPr="00600702" w:rsidRDefault="0058391B" w:rsidP="009951F1">
            <w:pPr>
              <w:ind w:firstLine="602"/>
              <w:jc w:val="both"/>
              <w:rPr>
                <w:sz w:val="28"/>
                <w:szCs w:val="28"/>
                <w:lang w:val="ro-RO"/>
              </w:rPr>
            </w:pPr>
            <w:r w:rsidRPr="00600702">
              <w:rPr>
                <w:sz w:val="28"/>
                <w:szCs w:val="28"/>
                <w:lang w:val="ro-RO"/>
              </w:rPr>
              <w:t>- dezvoltarea cadrului normativ care va reglementa condiţiile de plasare pe piaţă a echipamentelor sub presiune transportabile ;</w:t>
            </w:r>
          </w:p>
          <w:p w:rsidR="0058391B" w:rsidRPr="00600702" w:rsidRDefault="0058391B" w:rsidP="009951F1">
            <w:pPr>
              <w:ind w:firstLine="602"/>
              <w:jc w:val="both"/>
              <w:rPr>
                <w:sz w:val="28"/>
                <w:szCs w:val="28"/>
              </w:rPr>
            </w:pPr>
            <w:r w:rsidRPr="00600702">
              <w:rPr>
                <w:sz w:val="28"/>
                <w:szCs w:val="28"/>
                <w:lang w:val="ro-RO"/>
              </w:rPr>
              <w:lastRenderedPageBreak/>
              <w:t xml:space="preserve">- consolidarea capacităţilor organismelor de evaluare a conformităţii, şi compatibilitatea practicilor europene.  </w:t>
            </w:r>
          </w:p>
        </w:tc>
      </w:tr>
      <w:tr w:rsidR="0058391B" w:rsidRPr="00600702">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600702" w:rsidRDefault="0058391B">
            <w:pPr>
              <w:rPr>
                <w:sz w:val="28"/>
                <w:szCs w:val="28"/>
                <w:lang w:val="ro-RO"/>
              </w:rPr>
            </w:pPr>
            <w:r w:rsidRPr="00600702">
              <w:rPr>
                <w:b/>
                <w:bCs/>
                <w:sz w:val="28"/>
                <w:szCs w:val="28"/>
                <w:lang w:val="ro-RO"/>
              </w:rPr>
              <w:lastRenderedPageBreak/>
              <w:t>4. Identificarea opţiunilor</w:t>
            </w:r>
          </w:p>
        </w:tc>
      </w:tr>
      <w:tr w:rsidR="0058391B" w:rsidRPr="00600702">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600702" w:rsidRDefault="0058391B">
            <w:pPr>
              <w:spacing w:after="120"/>
              <w:jc w:val="both"/>
              <w:rPr>
                <w:b/>
                <w:bCs/>
                <w:sz w:val="28"/>
                <w:szCs w:val="28"/>
                <w:lang w:val="ro-RO" w:eastAsia="ro-RO"/>
              </w:rPr>
            </w:pPr>
            <w:r w:rsidRPr="00600702">
              <w:rPr>
                <w:sz w:val="28"/>
                <w:szCs w:val="28"/>
                <w:lang w:val="ro-RO"/>
              </w:rPr>
              <w:t> </w:t>
            </w:r>
            <w:r w:rsidRPr="00600702">
              <w:rPr>
                <w:b/>
                <w:bCs/>
                <w:sz w:val="28"/>
                <w:szCs w:val="28"/>
                <w:lang w:val="ro-RO" w:eastAsia="ro-RO"/>
              </w:rPr>
              <w:t xml:space="preserve">Opţiunile propuse </w:t>
            </w:r>
            <w:proofErr w:type="spellStart"/>
            <w:r w:rsidRPr="00600702">
              <w:rPr>
                <w:b/>
                <w:bCs/>
                <w:sz w:val="28"/>
                <w:szCs w:val="28"/>
                <w:lang w:val="ro-RO" w:eastAsia="ro-RO"/>
              </w:rPr>
              <w:t>sînt</w:t>
            </w:r>
            <w:proofErr w:type="spellEnd"/>
            <w:r w:rsidRPr="00600702">
              <w:rPr>
                <w:b/>
                <w:bCs/>
                <w:sz w:val="28"/>
                <w:szCs w:val="28"/>
                <w:lang w:val="ro-RO" w:eastAsia="ro-RO"/>
              </w:rPr>
              <w:t xml:space="preserve"> următoarele:</w:t>
            </w:r>
          </w:p>
          <w:p w:rsidR="0058391B" w:rsidRPr="00600702" w:rsidRDefault="0058391B">
            <w:pPr>
              <w:keepNext/>
              <w:keepLines/>
              <w:ind w:firstLine="97"/>
              <w:jc w:val="both"/>
              <w:outlineLvl w:val="0"/>
              <w:rPr>
                <w:bCs/>
                <w:sz w:val="28"/>
                <w:szCs w:val="28"/>
                <w:lang w:val="ro-RO" w:eastAsia="ro-RO"/>
              </w:rPr>
            </w:pPr>
            <w:r w:rsidRPr="00600702">
              <w:rPr>
                <w:b/>
                <w:bCs/>
                <w:sz w:val="28"/>
                <w:szCs w:val="28"/>
                <w:lang w:val="ro-RO" w:eastAsia="ro-RO"/>
              </w:rPr>
              <w:t>Opţiunea I</w:t>
            </w:r>
            <w:r w:rsidRPr="00600702">
              <w:rPr>
                <w:bCs/>
                <w:sz w:val="28"/>
                <w:szCs w:val="28"/>
                <w:lang w:val="ro-RO" w:eastAsia="ro-RO"/>
              </w:rPr>
              <w:t xml:space="preserve"> – a nu face nimic, a lăsa lucrurile aşa cum </w:t>
            </w:r>
            <w:proofErr w:type="spellStart"/>
            <w:r w:rsidRPr="00600702">
              <w:rPr>
                <w:bCs/>
                <w:sz w:val="28"/>
                <w:szCs w:val="28"/>
                <w:lang w:val="ro-RO" w:eastAsia="ro-RO"/>
              </w:rPr>
              <w:t>sînt</w:t>
            </w:r>
            <w:proofErr w:type="spellEnd"/>
            <w:r w:rsidRPr="00600702">
              <w:rPr>
                <w:bCs/>
                <w:sz w:val="28"/>
                <w:szCs w:val="28"/>
                <w:lang w:val="ro-RO" w:eastAsia="ro-RO"/>
              </w:rPr>
              <w:t>;</w:t>
            </w:r>
          </w:p>
          <w:p w:rsidR="0058391B" w:rsidRPr="00600702" w:rsidRDefault="0058391B">
            <w:pPr>
              <w:keepNext/>
              <w:keepLines/>
              <w:ind w:firstLine="97"/>
              <w:jc w:val="both"/>
              <w:outlineLvl w:val="0"/>
              <w:rPr>
                <w:sz w:val="28"/>
                <w:szCs w:val="28"/>
                <w:lang w:val="en-US"/>
              </w:rPr>
            </w:pPr>
            <w:r w:rsidRPr="00600702">
              <w:rPr>
                <w:b/>
                <w:bCs/>
                <w:sz w:val="28"/>
                <w:szCs w:val="28"/>
                <w:lang w:val="ro-RO" w:eastAsia="ro-RO"/>
              </w:rPr>
              <w:t>Opţiunea II</w:t>
            </w:r>
            <w:r w:rsidRPr="00600702">
              <w:rPr>
                <w:bCs/>
                <w:sz w:val="28"/>
                <w:szCs w:val="28"/>
                <w:lang w:val="ro-RO" w:eastAsia="ro-RO"/>
              </w:rPr>
              <w:t xml:space="preserve"> – adoptarea p</w:t>
            </w:r>
            <w:proofErr w:type="spellStart"/>
            <w:r w:rsidRPr="00600702">
              <w:rPr>
                <w:sz w:val="28"/>
                <w:szCs w:val="28"/>
                <w:lang w:val="en-US"/>
              </w:rPr>
              <w:t>roiectului</w:t>
            </w:r>
            <w:proofErr w:type="spellEnd"/>
            <w:r w:rsidRPr="00600702">
              <w:rPr>
                <w:sz w:val="28"/>
                <w:szCs w:val="28"/>
                <w:lang w:val="en-US"/>
              </w:rPr>
              <w:t xml:space="preserve"> Hotărîrii </w:t>
            </w:r>
            <w:proofErr w:type="spellStart"/>
            <w:r w:rsidRPr="00600702">
              <w:rPr>
                <w:sz w:val="28"/>
                <w:szCs w:val="28"/>
                <w:lang w:val="en-US"/>
              </w:rPr>
              <w:t>Guvernului</w:t>
            </w:r>
            <w:proofErr w:type="spellEnd"/>
            <w:r w:rsidRPr="00600702">
              <w:rPr>
                <w:sz w:val="28"/>
                <w:szCs w:val="28"/>
                <w:lang w:val="en-US"/>
              </w:rPr>
              <w:t xml:space="preserve"> </w:t>
            </w:r>
            <w:r w:rsidRPr="00600702">
              <w:rPr>
                <w:bCs/>
                <w:sz w:val="28"/>
                <w:szCs w:val="28"/>
                <w:lang w:val="ro-RO"/>
              </w:rPr>
              <w:t xml:space="preserve">cu privire la aprobarea Reglementării tehnice </w:t>
            </w:r>
            <w:r w:rsidRPr="00600702">
              <w:rPr>
                <w:rFonts w:eastAsia="Arial Unicode MS"/>
                <w:bCs/>
                <w:sz w:val="28"/>
                <w:szCs w:val="28"/>
                <w:lang w:val="ro-RO" w:eastAsia="ro-RO"/>
              </w:rPr>
              <w:t>privind echipamente sub presiune transportabile.</w:t>
            </w:r>
          </w:p>
        </w:tc>
      </w:tr>
      <w:tr w:rsidR="0058391B" w:rsidRPr="00600702">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600702" w:rsidRDefault="0058391B">
            <w:pPr>
              <w:rPr>
                <w:sz w:val="28"/>
                <w:szCs w:val="28"/>
                <w:lang w:val="ro-RO"/>
              </w:rPr>
            </w:pPr>
            <w:r w:rsidRPr="00600702">
              <w:rPr>
                <w:b/>
                <w:bCs/>
                <w:sz w:val="28"/>
                <w:szCs w:val="28"/>
                <w:lang w:val="ro-RO"/>
              </w:rPr>
              <w:t>5. Analiza şi compararea opţiunilor</w:t>
            </w:r>
          </w:p>
        </w:tc>
      </w:tr>
      <w:tr w:rsidR="0058391B" w:rsidRPr="00600702" w:rsidTr="00AD0FA8">
        <w:trPr>
          <w:trHeight w:val="3668"/>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tbl>
            <w:tblPr>
              <w:tblW w:w="1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4043"/>
              <w:gridCol w:w="3563"/>
            </w:tblGrid>
            <w:tr w:rsidR="0058391B" w:rsidRPr="00600702" w:rsidTr="00A0494D">
              <w:tc>
                <w:tcPr>
                  <w:tcW w:w="3562" w:type="dxa"/>
                  <w:tcBorders>
                    <w:top w:val="single" w:sz="4" w:space="0" w:color="auto"/>
                    <w:left w:val="single" w:sz="4" w:space="0" w:color="auto"/>
                    <w:bottom w:val="single" w:sz="4" w:space="0" w:color="auto"/>
                    <w:right w:val="single" w:sz="4" w:space="0" w:color="auto"/>
                  </w:tcBorders>
                  <w:shd w:val="clear" w:color="auto" w:fill="auto"/>
                  <w:hideMark/>
                </w:tcPr>
                <w:p w:rsidR="0058391B" w:rsidRPr="00600702" w:rsidRDefault="0058391B">
                  <w:pPr>
                    <w:rPr>
                      <w:sz w:val="28"/>
                      <w:szCs w:val="28"/>
                      <w:lang w:val="ro-RO"/>
                    </w:rPr>
                  </w:pPr>
                  <w:r w:rsidRPr="00600702">
                    <w:rPr>
                      <w:sz w:val="28"/>
                      <w:szCs w:val="28"/>
                      <w:lang w:val="ro-RO"/>
                    </w:rPr>
                    <w:t> </w:t>
                  </w:r>
                  <w:r w:rsidRPr="00600702">
                    <w:rPr>
                      <w:b/>
                      <w:sz w:val="28"/>
                      <w:szCs w:val="28"/>
                      <w:lang w:val="ro-MD"/>
                    </w:rPr>
                    <w:t>Alternativa</w:t>
                  </w:r>
                </w:p>
              </w:tc>
              <w:tc>
                <w:tcPr>
                  <w:tcW w:w="4043" w:type="dxa"/>
                  <w:tcBorders>
                    <w:top w:val="single" w:sz="4" w:space="0" w:color="auto"/>
                    <w:left w:val="single" w:sz="4" w:space="0" w:color="auto"/>
                    <w:bottom w:val="single" w:sz="4" w:space="0" w:color="auto"/>
                    <w:right w:val="single" w:sz="4" w:space="0" w:color="auto"/>
                  </w:tcBorders>
                  <w:shd w:val="clear" w:color="auto" w:fill="auto"/>
                  <w:hideMark/>
                </w:tcPr>
                <w:p w:rsidR="0058391B" w:rsidRPr="00600702" w:rsidRDefault="0058391B" w:rsidP="00A0494D">
                  <w:pPr>
                    <w:jc w:val="center"/>
                    <w:rPr>
                      <w:sz w:val="28"/>
                      <w:szCs w:val="28"/>
                      <w:lang w:val="ro-RO"/>
                    </w:rPr>
                  </w:pPr>
                  <w:r w:rsidRPr="00600702">
                    <w:rPr>
                      <w:b/>
                      <w:sz w:val="28"/>
                      <w:szCs w:val="28"/>
                      <w:lang w:val="ro-MD"/>
                    </w:rPr>
                    <w:t>Posibilele avantaje</w:t>
                  </w:r>
                </w:p>
              </w:tc>
              <w:tc>
                <w:tcPr>
                  <w:tcW w:w="3563" w:type="dxa"/>
                  <w:tcBorders>
                    <w:top w:val="single" w:sz="4" w:space="0" w:color="auto"/>
                    <w:left w:val="single" w:sz="4" w:space="0" w:color="auto"/>
                    <w:bottom w:val="single" w:sz="4" w:space="0" w:color="auto"/>
                    <w:right w:val="single" w:sz="4" w:space="0" w:color="auto"/>
                  </w:tcBorders>
                  <w:shd w:val="clear" w:color="auto" w:fill="auto"/>
                  <w:hideMark/>
                </w:tcPr>
                <w:p w:rsidR="0058391B" w:rsidRPr="00600702" w:rsidRDefault="0058391B" w:rsidP="00A0494D">
                  <w:pPr>
                    <w:jc w:val="center"/>
                    <w:rPr>
                      <w:sz w:val="28"/>
                      <w:szCs w:val="28"/>
                      <w:lang w:val="ro-RO"/>
                    </w:rPr>
                  </w:pPr>
                  <w:r w:rsidRPr="00600702">
                    <w:rPr>
                      <w:b/>
                      <w:sz w:val="28"/>
                      <w:szCs w:val="28"/>
                      <w:lang w:val="ro-MD"/>
                    </w:rPr>
                    <w:t>Posibile dezavantaje</w:t>
                  </w:r>
                </w:p>
              </w:tc>
            </w:tr>
            <w:tr w:rsidR="0058391B" w:rsidRPr="00600702" w:rsidTr="00A0494D">
              <w:tc>
                <w:tcPr>
                  <w:tcW w:w="3562" w:type="dxa"/>
                  <w:tcBorders>
                    <w:top w:val="single" w:sz="4" w:space="0" w:color="auto"/>
                    <w:left w:val="single" w:sz="4" w:space="0" w:color="auto"/>
                    <w:bottom w:val="single" w:sz="4" w:space="0" w:color="auto"/>
                    <w:right w:val="single" w:sz="4" w:space="0" w:color="auto"/>
                  </w:tcBorders>
                  <w:shd w:val="clear" w:color="auto" w:fill="auto"/>
                  <w:hideMark/>
                </w:tcPr>
                <w:p w:rsidR="0058391B" w:rsidRPr="00600702" w:rsidRDefault="0058391B" w:rsidP="00A0494D">
                  <w:pPr>
                    <w:pStyle w:val="ListParagraph"/>
                    <w:numPr>
                      <w:ilvl w:val="0"/>
                      <w:numId w:val="10"/>
                    </w:numPr>
                    <w:ind w:left="268" w:hanging="268"/>
                    <w:rPr>
                      <w:sz w:val="28"/>
                      <w:szCs w:val="28"/>
                      <w:lang w:val="ro-RO"/>
                    </w:rPr>
                  </w:pPr>
                  <w:r w:rsidRPr="00600702">
                    <w:rPr>
                      <w:sz w:val="28"/>
                      <w:szCs w:val="28"/>
                      <w:lang w:val="ro-RO"/>
                    </w:rPr>
                    <w:t>A nu face nimic</w:t>
                  </w:r>
                </w:p>
              </w:tc>
              <w:tc>
                <w:tcPr>
                  <w:tcW w:w="4043" w:type="dxa"/>
                  <w:tcBorders>
                    <w:top w:val="single" w:sz="4" w:space="0" w:color="auto"/>
                    <w:left w:val="single" w:sz="4" w:space="0" w:color="auto"/>
                    <w:bottom w:val="single" w:sz="4" w:space="0" w:color="auto"/>
                    <w:right w:val="single" w:sz="4" w:space="0" w:color="auto"/>
                  </w:tcBorders>
                  <w:shd w:val="clear" w:color="auto" w:fill="auto"/>
                  <w:hideMark/>
                </w:tcPr>
                <w:p w:rsidR="0058391B" w:rsidRPr="00600702" w:rsidRDefault="0058391B" w:rsidP="00A0494D">
                  <w:pPr>
                    <w:tabs>
                      <w:tab w:val="left" w:pos="1020"/>
                    </w:tabs>
                    <w:jc w:val="both"/>
                    <w:rPr>
                      <w:sz w:val="28"/>
                      <w:szCs w:val="28"/>
                      <w:lang w:val="ro-RO"/>
                    </w:rPr>
                  </w:pPr>
                  <w:proofErr w:type="spellStart"/>
                  <w:r w:rsidRPr="00600702">
                    <w:rPr>
                      <w:bCs/>
                      <w:sz w:val="28"/>
                      <w:szCs w:val="28"/>
                      <w:lang w:val="en-US"/>
                    </w:rPr>
                    <w:t>Lipsa</w:t>
                  </w:r>
                  <w:proofErr w:type="spellEnd"/>
                  <w:r w:rsidRPr="00600702">
                    <w:rPr>
                      <w:bCs/>
                      <w:sz w:val="28"/>
                      <w:szCs w:val="28"/>
                      <w:lang w:val="en-US"/>
                    </w:rPr>
                    <w:t xml:space="preserve"> </w:t>
                  </w:r>
                  <w:proofErr w:type="spellStart"/>
                  <w:r w:rsidRPr="00600702">
                    <w:rPr>
                      <w:bCs/>
                      <w:sz w:val="28"/>
                      <w:szCs w:val="28"/>
                      <w:lang w:val="en-US"/>
                    </w:rPr>
                    <w:t>cheltuielilor</w:t>
                  </w:r>
                  <w:proofErr w:type="spellEnd"/>
                  <w:r w:rsidRPr="00600702">
                    <w:rPr>
                      <w:bCs/>
                      <w:sz w:val="28"/>
                      <w:szCs w:val="28"/>
                      <w:lang w:val="en-US"/>
                    </w:rPr>
                    <w:t xml:space="preserve"> </w:t>
                  </w:r>
                  <w:proofErr w:type="spellStart"/>
                  <w:r w:rsidRPr="00600702">
                    <w:rPr>
                      <w:bCs/>
                      <w:sz w:val="28"/>
                      <w:szCs w:val="28"/>
                      <w:lang w:val="en-US"/>
                    </w:rPr>
                    <w:t>pentru</w:t>
                  </w:r>
                  <w:proofErr w:type="spellEnd"/>
                  <w:r w:rsidRPr="00600702">
                    <w:rPr>
                      <w:bCs/>
                      <w:sz w:val="28"/>
                      <w:szCs w:val="28"/>
                      <w:lang w:val="en-US"/>
                    </w:rPr>
                    <w:t xml:space="preserve"> </w:t>
                  </w:r>
                  <w:proofErr w:type="spellStart"/>
                  <w:r w:rsidRPr="00600702">
                    <w:rPr>
                      <w:bCs/>
                      <w:sz w:val="28"/>
                      <w:szCs w:val="28"/>
                      <w:lang w:val="en-US"/>
                    </w:rPr>
                    <w:t>elaborarea</w:t>
                  </w:r>
                  <w:proofErr w:type="spellEnd"/>
                  <w:r w:rsidRPr="00600702">
                    <w:rPr>
                      <w:bCs/>
                      <w:sz w:val="28"/>
                      <w:szCs w:val="28"/>
                      <w:lang w:val="en-US"/>
                    </w:rPr>
                    <w:t xml:space="preserve"> </w:t>
                  </w:r>
                  <w:proofErr w:type="spellStart"/>
                  <w:r w:rsidRPr="00600702">
                    <w:rPr>
                      <w:bCs/>
                      <w:sz w:val="28"/>
                      <w:szCs w:val="28"/>
                      <w:lang w:val="en-US"/>
                    </w:rPr>
                    <w:t>şi</w:t>
                  </w:r>
                  <w:proofErr w:type="spellEnd"/>
                  <w:r w:rsidRPr="00600702">
                    <w:rPr>
                      <w:bCs/>
                      <w:sz w:val="28"/>
                      <w:szCs w:val="28"/>
                      <w:lang w:val="en-US"/>
                    </w:rPr>
                    <w:t xml:space="preserve"> </w:t>
                  </w:r>
                  <w:proofErr w:type="spellStart"/>
                  <w:r w:rsidRPr="00600702">
                    <w:rPr>
                      <w:bCs/>
                      <w:sz w:val="28"/>
                      <w:szCs w:val="28"/>
                      <w:lang w:val="en-US"/>
                    </w:rPr>
                    <w:t>publicarea</w:t>
                  </w:r>
                  <w:proofErr w:type="spellEnd"/>
                  <w:r w:rsidRPr="00600702">
                    <w:rPr>
                      <w:bCs/>
                      <w:sz w:val="28"/>
                      <w:szCs w:val="28"/>
                      <w:lang w:val="en-US"/>
                    </w:rPr>
                    <w:t xml:space="preserve"> </w:t>
                  </w:r>
                  <w:proofErr w:type="spellStart"/>
                  <w:r w:rsidRPr="00600702">
                    <w:rPr>
                      <w:bCs/>
                      <w:sz w:val="28"/>
                      <w:szCs w:val="28"/>
                      <w:lang w:val="en-US"/>
                    </w:rPr>
                    <w:t>proiectului</w:t>
                  </w:r>
                  <w:proofErr w:type="spellEnd"/>
                  <w:r w:rsidRPr="00600702">
                    <w:rPr>
                      <w:bCs/>
                      <w:sz w:val="28"/>
                      <w:szCs w:val="28"/>
                      <w:lang w:val="en-US"/>
                    </w:rPr>
                    <w:t xml:space="preserve"> Hotărîrii </w:t>
                  </w:r>
                  <w:proofErr w:type="spellStart"/>
                  <w:r w:rsidRPr="00600702">
                    <w:rPr>
                      <w:bCs/>
                      <w:sz w:val="28"/>
                      <w:szCs w:val="28"/>
                      <w:lang w:val="en-US"/>
                    </w:rPr>
                    <w:t>Guvernului</w:t>
                  </w:r>
                  <w:proofErr w:type="spellEnd"/>
                </w:p>
              </w:tc>
              <w:tc>
                <w:tcPr>
                  <w:tcW w:w="3563" w:type="dxa"/>
                  <w:tcBorders>
                    <w:top w:val="single" w:sz="4" w:space="0" w:color="auto"/>
                    <w:left w:val="single" w:sz="4" w:space="0" w:color="auto"/>
                    <w:bottom w:val="single" w:sz="4" w:space="0" w:color="auto"/>
                    <w:right w:val="single" w:sz="4" w:space="0" w:color="auto"/>
                  </w:tcBorders>
                  <w:shd w:val="clear" w:color="auto" w:fill="auto"/>
                  <w:hideMark/>
                </w:tcPr>
                <w:p w:rsidR="0058391B" w:rsidRPr="00600702" w:rsidRDefault="0058391B" w:rsidP="00A0494D">
                  <w:pPr>
                    <w:pStyle w:val="WW-Web"/>
                    <w:tabs>
                      <w:tab w:val="left" w:pos="252"/>
                    </w:tabs>
                    <w:ind w:firstLine="0"/>
                    <w:rPr>
                      <w:sz w:val="28"/>
                      <w:szCs w:val="28"/>
                    </w:rPr>
                  </w:pPr>
                  <w:r w:rsidRPr="00600702">
                    <w:rPr>
                      <w:sz w:val="28"/>
                      <w:szCs w:val="28"/>
                    </w:rPr>
                    <w:t>Incapacitate pentru realizare la nivel naţional a unui cadru legislativ adecvat şi compatibil cu cel european în scopul alinierii la cerinţele UE;</w:t>
                  </w:r>
                </w:p>
                <w:p w:rsidR="0058391B" w:rsidRPr="00600702" w:rsidRDefault="0058391B" w:rsidP="00A0494D">
                  <w:pPr>
                    <w:pStyle w:val="WW-Web"/>
                    <w:tabs>
                      <w:tab w:val="left" w:pos="252"/>
                    </w:tabs>
                    <w:ind w:firstLine="0"/>
                    <w:rPr>
                      <w:sz w:val="28"/>
                      <w:szCs w:val="28"/>
                    </w:rPr>
                  </w:pPr>
                  <w:r w:rsidRPr="00600702">
                    <w:rPr>
                      <w:sz w:val="28"/>
                      <w:szCs w:val="28"/>
                    </w:rPr>
                    <w:t>Producere majoră insuficientă;</w:t>
                  </w:r>
                </w:p>
                <w:p w:rsidR="0058391B" w:rsidRPr="00600702" w:rsidRDefault="0058391B" w:rsidP="00A0494D">
                  <w:pPr>
                    <w:rPr>
                      <w:sz w:val="28"/>
                      <w:szCs w:val="28"/>
                      <w:lang w:val="ro-RO"/>
                    </w:rPr>
                  </w:pPr>
                  <w:r w:rsidRPr="00600702">
                    <w:rPr>
                      <w:sz w:val="28"/>
                      <w:szCs w:val="28"/>
                    </w:rPr>
                    <w:t>Impact economic mic.</w:t>
                  </w:r>
                </w:p>
              </w:tc>
            </w:tr>
            <w:tr w:rsidR="0058391B" w:rsidRPr="00600702" w:rsidTr="00A0494D">
              <w:tc>
                <w:tcPr>
                  <w:tcW w:w="3562" w:type="dxa"/>
                  <w:tcBorders>
                    <w:top w:val="single" w:sz="4" w:space="0" w:color="auto"/>
                    <w:left w:val="single" w:sz="4" w:space="0" w:color="auto"/>
                    <w:bottom w:val="single" w:sz="4" w:space="0" w:color="auto"/>
                    <w:right w:val="single" w:sz="4" w:space="0" w:color="auto"/>
                  </w:tcBorders>
                  <w:shd w:val="clear" w:color="auto" w:fill="auto"/>
                  <w:hideMark/>
                </w:tcPr>
                <w:p w:rsidR="0058391B" w:rsidRPr="00600702" w:rsidRDefault="0058391B" w:rsidP="00A0494D">
                  <w:pPr>
                    <w:pStyle w:val="ListParagraph"/>
                    <w:numPr>
                      <w:ilvl w:val="0"/>
                      <w:numId w:val="10"/>
                    </w:numPr>
                    <w:tabs>
                      <w:tab w:val="left" w:pos="268"/>
                    </w:tabs>
                    <w:ind w:left="0" w:firstLine="0"/>
                    <w:rPr>
                      <w:sz w:val="28"/>
                      <w:szCs w:val="28"/>
                      <w:lang w:val="ro-RO"/>
                    </w:rPr>
                  </w:pPr>
                  <w:r w:rsidRPr="00600702">
                    <w:rPr>
                      <w:sz w:val="28"/>
                      <w:szCs w:val="28"/>
                      <w:lang w:val="ro-RO"/>
                    </w:rPr>
                    <w:t>Elaborarea şi adoptarea proiectului propus în acest AIR</w:t>
                  </w:r>
                </w:p>
              </w:tc>
              <w:tc>
                <w:tcPr>
                  <w:tcW w:w="4043" w:type="dxa"/>
                  <w:tcBorders>
                    <w:top w:val="single" w:sz="4" w:space="0" w:color="auto"/>
                    <w:left w:val="single" w:sz="4" w:space="0" w:color="auto"/>
                    <w:bottom w:val="single" w:sz="4" w:space="0" w:color="auto"/>
                    <w:right w:val="single" w:sz="4" w:space="0" w:color="auto"/>
                  </w:tcBorders>
                  <w:shd w:val="clear" w:color="auto" w:fill="auto"/>
                </w:tcPr>
                <w:p w:rsidR="0058391B" w:rsidRPr="00600702" w:rsidRDefault="0058391B" w:rsidP="00A0494D">
                  <w:pPr>
                    <w:pStyle w:val="ListParagraph"/>
                    <w:numPr>
                      <w:ilvl w:val="0"/>
                      <w:numId w:val="8"/>
                    </w:numPr>
                    <w:ind w:left="0" w:hanging="249"/>
                    <w:jc w:val="both"/>
                    <w:rPr>
                      <w:bCs/>
                      <w:sz w:val="28"/>
                      <w:szCs w:val="28"/>
                      <w:lang w:val="ro-RO"/>
                    </w:rPr>
                  </w:pPr>
                  <w:r w:rsidRPr="00600702">
                    <w:rPr>
                      <w:bCs/>
                      <w:sz w:val="28"/>
                      <w:szCs w:val="28"/>
                      <w:lang w:val="ro-RO"/>
                    </w:rPr>
                    <w:t>- Cadrul legal național  va fi ajustat la Directiva europeană 2010/35/UE;</w:t>
                  </w:r>
                </w:p>
                <w:p w:rsidR="0058391B" w:rsidRPr="00600702" w:rsidRDefault="0058391B" w:rsidP="00A0494D">
                  <w:pPr>
                    <w:pStyle w:val="HTMLPreformatted"/>
                    <w:jc w:val="both"/>
                    <w:rPr>
                      <w:rFonts w:ascii="Times New Roman" w:eastAsia="Times New Roman" w:hAnsi="Times New Roman" w:cs="Times New Roman"/>
                      <w:bCs/>
                      <w:sz w:val="28"/>
                      <w:szCs w:val="28"/>
                    </w:rPr>
                  </w:pPr>
                  <w:r w:rsidRPr="00600702">
                    <w:rPr>
                      <w:rFonts w:ascii="Times New Roman" w:eastAsia="Times New Roman" w:hAnsi="Times New Roman" w:cs="Times New Roman"/>
                      <w:bCs/>
                      <w:sz w:val="28"/>
                      <w:szCs w:val="28"/>
                    </w:rPr>
                    <w:t xml:space="preserve">- asigurarea unei aplicări corecte şi uniforme a Reglementării tehnice </w:t>
                  </w:r>
                  <w:r w:rsidRPr="00600702">
                    <w:rPr>
                      <w:rFonts w:ascii="Times New Roman" w:hAnsi="Times New Roman"/>
                      <w:sz w:val="28"/>
                      <w:szCs w:val="28"/>
                    </w:rPr>
                    <w:t xml:space="preserve">privind </w:t>
                  </w:r>
                  <w:r w:rsidRPr="00600702">
                    <w:rPr>
                      <w:rFonts w:ascii="Times New Roman" w:hAnsi="Times New Roman"/>
                      <w:bCs/>
                      <w:sz w:val="28"/>
                      <w:szCs w:val="28"/>
                      <w:lang w:eastAsia="ro-RO"/>
                    </w:rPr>
                    <w:t>echipamentele sub presiune transportabile</w:t>
                  </w:r>
                  <w:r w:rsidRPr="00600702">
                    <w:rPr>
                      <w:rFonts w:ascii="Times New Roman" w:eastAsia="Times New Roman" w:hAnsi="Times New Roman" w:cs="Times New Roman"/>
                      <w:bCs/>
                      <w:sz w:val="28"/>
                      <w:szCs w:val="28"/>
                    </w:rPr>
                    <w:t>;</w:t>
                  </w:r>
                </w:p>
                <w:p w:rsidR="0058391B" w:rsidRPr="00600702" w:rsidRDefault="0058391B" w:rsidP="00A0494D">
                  <w:pPr>
                    <w:pStyle w:val="HTMLPreformatted"/>
                    <w:jc w:val="both"/>
                    <w:rPr>
                      <w:rFonts w:ascii="Times New Roman" w:eastAsia="Times New Roman" w:hAnsi="Times New Roman" w:cs="Times New Roman"/>
                      <w:bCs/>
                      <w:sz w:val="28"/>
                      <w:szCs w:val="28"/>
                    </w:rPr>
                  </w:pPr>
                  <w:r w:rsidRPr="00600702">
                    <w:rPr>
                      <w:rFonts w:ascii="Times New Roman" w:eastAsia="Times New Roman" w:hAnsi="Times New Roman" w:cs="Times New Roman"/>
                      <w:bCs/>
                      <w:sz w:val="28"/>
                      <w:szCs w:val="28"/>
                    </w:rPr>
                    <w:t>- asigurarea consecvenţei şi a flexibilităţii procedurilor de evaluare a conformităţii pentru toate produsele care intră sub incidenţa dispoziţiilor Reglementării tehnice ;</w:t>
                  </w:r>
                </w:p>
                <w:p w:rsidR="0058391B" w:rsidRPr="00600702" w:rsidRDefault="0058391B" w:rsidP="00A0494D">
                  <w:pPr>
                    <w:pStyle w:val="HTMLPreformatted"/>
                    <w:jc w:val="both"/>
                    <w:rPr>
                      <w:rFonts w:ascii="Times New Roman" w:eastAsia="Times New Roman" w:hAnsi="Times New Roman" w:cs="Times New Roman"/>
                      <w:bCs/>
                      <w:sz w:val="28"/>
                      <w:szCs w:val="28"/>
                    </w:rPr>
                  </w:pPr>
                  <w:r w:rsidRPr="00600702">
                    <w:rPr>
                      <w:rFonts w:ascii="Times New Roman" w:eastAsia="Times New Roman" w:hAnsi="Times New Roman" w:cs="Times New Roman"/>
                      <w:bCs/>
                      <w:sz w:val="28"/>
                      <w:szCs w:val="28"/>
                    </w:rPr>
                    <w:t>- o mai bună protecţie a sănătăţii şi siguranţei lucrătorilor;</w:t>
                  </w:r>
                </w:p>
                <w:p w:rsidR="0058391B" w:rsidRPr="00600702" w:rsidRDefault="0058391B" w:rsidP="00A0494D">
                  <w:pPr>
                    <w:pStyle w:val="HTMLPreformatted"/>
                    <w:jc w:val="both"/>
                    <w:rPr>
                      <w:rFonts w:ascii="Times New Roman" w:eastAsia="Times New Roman" w:hAnsi="Times New Roman" w:cs="Times New Roman"/>
                      <w:bCs/>
                      <w:sz w:val="28"/>
                      <w:szCs w:val="28"/>
                    </w:rPr>
                  </w:pPr>
                  <w:r w:rsidRPr="00600702">
                    <w:rPr>
                      <w:rFonts w:ascii="Times New Roman" w:eastAsia="Times New Roman" w:hAnsi="Times New Roman" w:cs="Times New Roman"/>
                      <w:bCs/>
                      <w:sz w:val="28"/>
                      <w:szCs w:val="28"/>
                    </w:rPr>
                    <w:t xml:space="preserve"> - atingerea unor condiţii echitabile de piaţă pentru agenții economicii din domeniul echipamentelor sub presiune transportabile şi asigurarea liberei circulaţii a mărfurilor;</w:t>
                  </w:r>
                </w:p>
                <w:p w:rsidR="0058391B" w:rsidRPr="00600702" w:rsidRDefault="0058391B" w:rsidP="00A0494D">
                  <w:pPr>
                    <w:pStyle w:val="HTMLPreformatted"/>
                    <w:jc w:val="both"/>
                    <w:rPr>
                      <w:rFonts w:ascii="Times New Roman" w:hAnsi="Times New Roman" w:cs="Times New Roman"/>
                      <w:bCs/>
                      <w:sz w:val="28"/>
                      <w:szCs w:val="28"/>
                    </w:rPr>
                  </w:pPr>
                  <w:r w:rsidRPr="00600702">
                    <w:rPr>
                      <w:rFonts w:ascii="Times New Roman" w:hAnsi="Times New Roman" w:cs="Times New Roman"/>
                      <w:bCs/>
                      <w:sz w:val="28"/>
                      <w:szCs w:val="28"/>
                    </w:rPr>
                    <w:t>- conformarea cu cerinţele UE, importul şi exportul fără careva bariere tehnice;</w:t>
                  </w:r>
                </w:p>
                <w:p w:rsidR="0058391B" w:rsidRPr="00600702" w:rsidRDefault="0058391B" w:rsidP="00A0494D">
                  <w:pPr>
                    <w:pStyle w:val="HTMLPreformatted"/>
                    <w:jc w:val="both"/>
                    <w:rPr>
                      <w:rFonts w:ascii="Times New Roman" w:hAnsi="Times New Roman" w:cs="Times New Roman"/>
                      <w:bCs/>
                      <w:sz w:val="28"/>
                      <w:szCs w:val="28"/>
                    </w:rPr>
                  </w:pPr>
                  <w:r w:rsidRPr="00600702">
                    <w:rPr>
                      <w:rFonts w:ascii="Times New Roman" w:hAnsi="Times New Roman" w:cs="Times New Roman"/>
                      <w:bCs/>
                      <w:sz w:val="28"/>
                      <w:szCs w:val="28"/>
                    </w:rPr>
                    <w:t>- plasarea pe piaţa Moldovei a produselor competitive;</w:t>
                  </w:r>
                </w:p>
                <w:p w:rsidR="0058391B" w:rsidRPr="00600702" w:rsidRDefault="0058391B" w:rsidP="00A04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en-US"/>
                    </w:rPr>
                  </w:pPr>
                  <w:r w:rsidRPr="00600702">
                    <w:rPr>
                      <w:bCs/>
                      <w:sz w:val="28"/>
                      <w:szCs w:val="28"/>
                    </w:rPr>
                    <w:t>- e</w:t>
                  </w:r>
                  <w:proofErr w:type="spellStart"/>
                  <w:r w:rsidRPr="00600702">
                    <w:rPr>
                      <w:sz w:val="28"/>
                      <w:szCs w:val="28"/>
                      <w:lang w:val="en-US"/>
                    </w:rPr>
                    <w:t>xclud</w:t>
                  </w:r>
                  <w:r w:rsidRPr="00600702">
                    <w:rPr>
                      <w:sz w:val="28"/>
                      <w:szCs w:val="28"/>
                      <w:lang w:val="ro-RO"/>
                    </w:rPr>
                    <w:t>erea</w:t>
                  </w:r>
                  <w:proofErr w:type="spellEnd"/>
                  <w:r w:rsidRPr="00600702">
                    <w:rPr>
                      <w:sz w:val="28"/>
                      <w:szCs w:val="28"/>
                      <w:lang w:val="en-US"/>
                    </w:rPr>
                    <w:t xml:space="preserve"> </w:t>
                  </w:r>
                  <w:proofErr w:type="spellStart"/>
                  <w:r w:rsidRPr="00600702">
                    <w:rPr>
                      <w:sz w:val="28"/>
                      <w:szCs w:val="28"/>
                      <w:lang w:val="en-US"/>
                    </w:rPr>
                    <w:t>prezenț</w:t>
                  </w:r>
                  <w:proofErr w:type="spellEnd"/>
                  <w:r w:rsidRPr="00600702">
                    <w:rPr>
                      <w:sz w:val="28"/>
                      <w:szCs w:val="28"/>
                      <w:lang w:val="ro-RO"/>
                    </w:rPr>
                    <w:t>ei</w:t>
                  </w:r>
                  <w:r w:rsidRPr="00600702">
                    <w:rPr>
                      <w:sz w:val="28"/>
                      <w:szCs w:val="28"/>
                      <w:lang w:val="en-US"/>
                    </w:rPr>
                    <w:t xml:space="preserve"> </w:t>
                  </w:r>
                  <w:proofErr w:type="spellStart"/>
                  <w:r w:rsidRPr="00600702">
                    <w:rPr>
                      <w:sz w:val="28"/>
                      <w:szCs w:val="28"/>
                      <w:lang w:val="en-US"/>
                    </w:rPr>
                    <w:t>unor</w:t>
                  </w:r>
                  <w:proofErr w:type="spellEnd"/>
                  <w:r w:rsidRPr="00600702">
                    <w:rPr>
                      <w:sz w:val="28"/>
                      <w:szCs w:val="28"/>
                      <w:lang w:val="en-US"/>
                    </w:rPr>
                    <w:t xml:space="preserve"> </w:t>
                  </w:r>
                  <w:proofErr w:type="spellStart"/>
                  <w:r w:rsidRPr="00600702">
                    <w:rPr>
                      <w:sz w:val="28"/>
                      <w:szCs w:val="28"/>
                      <w:lang w:val="en-US"/>
                    </w:rPr>
                    <w:t>produse</w:t>
                  </w:r>
                  <w:proofErr w:type="spellEnd"/>
                  <w:r w:rsidRPr="00600702">
                    <w:rPr>
                      <w:sz w:val="28"/>
                      <w:szCs w:val="28"/>
                      <w:lang w:val="en-US"/>
                    </w:rPr>
                    <w:t xml:space="preserve"> </w:t>
                  </w:r>
                  <w:proofErr w:type="spellStart"/>
                  <w:r w:rsidRPr="00600702">
                    <w:rPr>
                      <w:sz w:val="28"/>
                      <w:szCs w:val="28"/>
                      <w:lang w:val="en-US"/>
                    </w:rPr>
                    <w:t>neconforme</w:t>
                  </w:r>
                  <w:proofErr w:type="spellEnd"/>
                  <w:r w:rsidRPr="00600702">
                    <w:rPr>
                      <w:sz w:val="28"/>
                      <w:szCs w:val="28"/>
                      <w:lang w:val="en-US"/>
                    </w:rPr>
                    <w:t>;</w:t>
                  </w:r>
                </w:p>
                <w:p w:rsidR="0058391B" w:rsidRPr="00600702" w:rsidRDefault="0058391B" w:rsidP="00A04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en-US"/>
                    </w:rPr>
                  </w:pPr>
                  <w:r w:rsidRPr="00600702">
                    <w:rPr>
                      <w:sz w:val="28"/>
                      <w:szCs w:val="28"/>
                      <w:lang w:val="en-US"/>
                    </w:rPr>
                    <w:t xml:space="preserve">- </w:t>
                  </w:r>
                  <w:proofErr w:type="spellStart"/>
                  <w:r w:rsidRPr="00600702">
                    <w:rPr>
                      <w:sz w:val="28"/>
                      <w:szCs w:val="28"/>
                      <w:lang w:val="en-US"/>
                    </w:rPr>
                    <w:t>sporirea</w:t>
                  </w:r>
                  <w:proofErr w:type="spellEnd"/>
                  <w:r w:rsidRPr="00600702">
                    <w:rPr>
                      <w:sz w:val="28"/>
                      <w:szCs w:val="28"/>
                      <w:lang w:val="en-US"/>
                    </w:rPr>
                    <w:t xml:space="preserve"> </w:t>
                  </w:r>
                  <w:proofErr w:type="spellStart"/>
                  <w:r w:rsidRPr="00600702">
                    <w:rPr>
                      <w:sz w:val="28"/>
                      <w:szCs w:val="28"/>
                      <w:lang w:val="en-US"/>
                    </w:rPr>
                    <w:t>încrederii</w:t>
                  </w:r>
                  <w:proofErr w:type="spellEnd"/>
                  <w:r w:rsidRPr="00600702">
                    <w:rPr>
                      <w:sz w:val="28"/>
                      <w:szCs w:val="28"/>
                      <w:lang w:val="en-US"/>
                    </w:rPr>
                    <w:t xml:space="preserve"> </w:t>
                  </w:r>
                  <w:proofErr w:type="spellStart"/>
                  <w:r w:rsidRPr="00600702">
                    <w:rPr>
                      <w:sz w:val="28"/>
                      <w:szCs w:val="28"/>
                      <w:lang w:val="en-US"/>
                    </w:rPr>
                    <w:t>în</w:t>
                  </w:r>
                  <w:proofErr w:type="spellEnd"/>
                  <w:r w:rsidRPr="00600702">
                    <w:rPr>
                      <w:sz w:val="28"/>
                      <w:szCs w:val="28"/>
                      <w:lang w:val="en-US"/>
                    </w:rPr>
                    <w:t xml:space="preserve"> </w:t>
                  </w:r>
                  <w:proofErr w:type="spellStart"/>
                  <w:r w:rsidRPr="00600702">
                    <w:rPr>
                      <w:sz w:val="28"/>
                      <w:szCs w:val="28"/>
                      <w:lang w:val="en-US"/>
                    </w:rPr>
                    <w:t>marcajul</w:t>
                  </w:r>
                  <w:proofErr w:type="spellEnd"/>
                  <w:r w:rsidRPr="00600702">
                    <w:rPr>
                      <w:sz w:val="28"/>
                      <w:szCs w:val="28"/>
                      <w:lang w:val="en-US"/>
                    </w:rPr>
                    <w:t xml:space="preserve"> „pi</w:t>
                  </w:r>
                  <w:r w:rsidRPr="00600702">
                    <w:rPr>
                      <w:sz w:val="28"/>
                      <w:szCs w:val="28"/>
                    </w:rPr>
                    <w:t>”</w:t>
                  </w:r>
                  <w:r w:rsidRPr="00600702">
                    <w:rPr>
                      <w:sz w:val="28"/>
                      <w:szCs w:val="28"/>
                      <w:lang w:val="en-US"/>
                    </w:rPr>
                    <w:t>;</w:t>
                  </w:r>
                </w:p>
                <w:p w:rsidR="0058391B" w:rsidRPr="00600702" w:rsidRDefault="0058391B" w:rsidP="00A04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en-US"/>
                    </w:rPr>
                  </w:pPr>
                  <w:r w:rsidRPr="00600702">
                    <w:rPr>
                      <w:sz w:val="28"/>
                      <w:szCs w:val="28"/>
                      <w:lang w:val="en-US"/>
                    </w:rPr>
                    <w:lastRenderedPageBreak/>
                    <w:t xml:space="preserve">- </w:t>
                  </w:r>
                  <w:proofErr w:type="spellStart"/>
                  <w:r w:rsidRPr="00600702">
                    <w:rPr>
                      <w:sz w:val="28"/>
                      <w:szCs w:val="28"/>
                      <w:lang w:val="en-US"/>
                    </w:rPr>
                    <w:t>excluderea</w:t>
                  </w:r>
                  <w:proofErr w:type="spellEnd"/>
                  <w:r w:rsidRPr="00600702">
                    <w:rPr>
                      <w:sz w:val="28"/>
                      <w:szCs w:val="28"/>
                      <w:lang w:val="en-US"/>
                    </w:rPr>
                    <w:t xml:space="preserve"> </w:t>
                  </w:r>
                  <w:proofErr w:type="spellStart"/>
                  <w:r w:rsidRPr="00600702">
                    <w:rPr>
                      <w:sz w:val="28"/>
                      <w:szCs w:val="28"/>
                      <w:lang w:val="en-US"/>
                    </w:rPr>
                    <w:t>practicilor</w:t>
                  </w:r>
                  <w:proofErr w:type="spellEnd"/>
                  <w:r w:rsidRPr="00600702">
                    <w:rPr>
                      <w:sz w:val="28"/>
                      <w:szCs w:val="28"/>
                      <w:lang w:val="en-US"/>
                    </w:rPr>
                    <w:t xml:space="preserve"> </w:t>
                  </w:r>
                  <w:proofErr w:type="spellStart"/>
                  <w:r w:rsidRPr="00600702">
                    <w:rPr>
                      <w:sz w:val="28"/>
                      <w:szCs w:val="28"/>
                      <w:lang w:val="en-US"/>
                    </w:rPr>
                    <w:t>diferite</w:t>
                  </w:r>
                  <w:proofErr w:type="spellEnd"/>
                  <w:r w:rsidRPr="00600702">
                    <w:rPr>
                      <w:sz w:val="28"/>
                      <w:szCs w:val="28"/>
                      <w:lang w:val="en-US"/>
                    </w:rPr>
                    <w:t xml:space="preserve">, </w:t>
                  </w:r>
                  <w:proofErr w:type="spellStart"/>
                  <w:r w:rsidRPr="00600702">
                    <w:rPr>
                      <w:sz w:val="28"/>
                      <w:szCs w:val="28"/>
                      <w:lang w:val="en-US"/>
                    </w:rPr>
                    <w:t>aplicate</w:t>
                  </w:r>
                  <w:proofErr w:type="spellEnd"/>
                  <w:r w:rsidRPr="00600702">
                    <w:rPr>
                      <w:sz w:val="28"/>
                      <w:szCs w:val="28"/>
                      <w:lang w:val="en-US"/>
                    </w:rPr>
                    <w:t xml:space="preserve"> de </w:t>
                  </w:r>
                  <w:proofErr w:type="spellStart"/>
                  <w:r w:rsidRPr="00600702">
                    <w:rPr>
                      <w:sz w:val="28"/>
                      <w:szCs w:val="28"/>
                      <w:lang w:val="en-US"/>
                    </w:rPr>
                    <w:t>autoritățile</w:t>
                  </w:r>
                  <w:proofErr w:type="spellEnd"/>
                  <w:r w:rsidRPr="00600702">
                    <w:rPr>
                      <w:sz w:val="28"/>
                      <w:szCs w:val="28"/>
                      <w:lang w:val="en-US"/>
                    </w:rPr>
                    <w:t xml:space="preserve"> </w:t>
                  </w:r>
                  <w:proofErr w:type="spellStart"/>
                  <w:r w:rsidRPr="00600702">
                    <w:rPr>
                      <w:sz w:val="28"/>
                      <w:szCs w:val="28"/>
                      <w:lang w:val="en-US"/>
                    </w:rPr>
                    <w:t>naționale</w:t>
                  </w:r>
                  <w:proofErr w:type="spellEnd"/>
                  <w:r w:rsidRPr="00600702">
                    <w:rPr>
                      <w:sz w:val="28"/>
                      <w:szCs w:val="28"/>
                      <w:lang w:val="en-US"/>
                    </w:rPr>
                    <w:t xml:space="preserve"> </w:t>
                  </w:r>
                  <w:proofErr w:type="spellStart"/>
                  <w:r w:rsidRPr="00600702">
                    <w:rPr>
                      <w:sz w:val="28"/>
                      <w:szCs w:val="28"/>
                      <w:lang w:val="en-US"/>
                    </w:rPr>
                    <w:t>pentru</w:t>
                  </w:r>
                  <w:proofErr w:type="spellEnd"/>
                  <w:r w:rsidRPr="00600702">
                    <w:rPr>
                      <w:sz w:val="28"/>
                      <w:szCs w:val="28"/>
                      <w:lang w:val="en-US"/>
                    </w:rPr>
                    <w:t xml:space="preserve"> </w:t>
                  </w:r>
                  <w:proofErr w:type="spellStart"/>
                  <w:r w:rsidRPr="00600702">
                    <w:rPr>
                      <w:sz w:val="28"/>
                      <w:szCs w:val="28"/>
                      <w:lang w:val="en-US"/>
                    </w:rPr>
                    <w:t>desemnarea</w:t>
                  </w:r>
                  <w:proofErr w:type="spellEnd"/>
                  <w:r w:rsidRPr="00600702">
                    <w:rPr>
                      <w:sz w:val="28"/>
                      <w:szCs w:val="28"/>
                      <w:lang w:val="en-US"/>
                    </w:rPr>
                    <w:t xml:space="preserve"> </w:t>
                  </w:r>
                  <w:proofErr w:type="spellStart"/>
                  <w:r w:rsidRPr="00600702">
                    <w:rPr>
                      <w:sz w:val="28"/>
                      <w:szCs w:val="28"/>
                      <w:lang w:val="en-US"/>
                    </w:rPr>
                    <w:t>organismelor</w:t>
                  </w:r>
                  <w:proofErr w:type="spellEnd"/>
                  <w:r w:rsidRPr="00600702">
                    <w:rPr>
                      <w:sz w:val="28"/>
                      <w:szCs w:val="28"/>
                      <w:lang w:val="en-US"/>
                    </w:rPr>
                    <w:t xml:space="preserve"> de </w:t>
                  </w:r>
                  <w:proofErr w:type="spellStart"/>
                  <w:r w:rsidRPr="00600702">
                    <w:rPr>
                      <w:sz w:val="28"/>
                      <w:szCs w:val="28"/>
                      <w:lang w:val="en-US"/>
                    </w:rPr>
                    <w:t>evaluare</w:t>
                  </w:r>
                  <w:proofErr w:type="spellEnd"/>
                  <w:r w:rsidRPr="00600702">
                    <w:rPr>
                      <w:sz w:val="28"/>
                      <w:szCs w:val="28"/>
                      <w:lang w:val="en-US"/>
                    </w:rPr>
                    <w:t xml:space="preserve"> a </w:t>
                  </w:r>
                  <w:proofErr w:type="spellStart"/>
                  <w:r w:rsidRPr="00600702">
                    <w:rPr>
                      <w:sz w:val="28"/>
                      <w:szCs w:val="28"/>
                      <w:lang w:val="en-US"/>
                    </w:rPr>
                    <w:t>conformității</w:t>
                  </w:r>
                  <w:proofErr w:type="spellEnd"/>
                  <w:r w:rsidRPr="00600702">
                    <w:rPr>
                      <w:sz w:val="28"/>
                      <w:szCs w:val="28"/>
                      <w:lang w:val="en-US"/>
                    </w:rPr>
                    <w:t>;</w:t>
                  </w:r>
                </w:p>
                <w:p w:rsidR="0058391B" w:rsidRPr="00600702" w:rsidRDefault="0058391B" w:rsidP="00A04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en-US"/>
                    </w:rPr>
                  </w:pPr>
                  <w:r w:rsidRPr="00600702">
                    <w:rPr>
                      <w:sz w:val="28"/>
                      <w:szCs w:val="28"/>
                      <w:lang w:val="en-US"/>
                    </w:rPr>
                    <w:t xml:space="preserve">- </w:t>
                  </w:r>
                  <w:proofErr w:type="spellStart"/>
                  <w:r w:rsidRPr="00600702">
                    <w:rPr>
                      <w:sz w:val="28"/>
                      <w:szCs w:val="28"/>
                      <w:lang w:val="en-US"/>
                    </w:rPr>
                    <w:t>excluderea</w:t>
                  </w:r>
                  <w:proofErr w:type="spellEnd"/>
                  <w:r w:rsidRPr="00600702">
                    <w:rPr>
                      <w:sz w:val="28"/>
                      <w:szCs w:val="28"/>
                      <w:lang w:val="en-US"/>
                    </w:rPr>
                    <w:t xml:space="preserve">  </w:t>
                  </w:r>
                  <w:proofErr w:type="spellStart"/>
                  <w:r w:rsidRPr="00600702">
                    <w:rPr>
                      <w:sz w:val="28"/>
                      <w:szCs w:val="28"/>
                      <w:lang w:val="en-US"/>
                    </w:rPr>
                    <w:t>problemelor</w:t>
                  </w:r>
                  <w:proofErr w:type="spellEnd"/>
                  <w:r w:rsidRPr="00600702">
                    <w:rPr>
                      <w:sz w:val="28"/>
                      <w:szCs w:val="28"/>
                      <w:lang w:val="en-US"/>
                    </w:rPr>
                    <w:t xml:space="preserve"> legate de </w:t>
                  </w:r>
                  <w:proofErr w:type="spellStart"/>
                  <w:r w:rsidRPr="00600702">
                    <w:rPr>
                      <w:sz w:val="28"/>
                      <w:szCs w:val="28"/>
                      <w:lang w:val="en-US"/>
                    </w:rPr>
                    <w:t>calitatea</w:t>
                  </w:r>
                  <w:proofErr w:type="spellEnd"/>
                  <w:r w:rsidRPr="00600702">
                    <w:rPr>
                      <w:sz w:val="28"/>
                      <w:szCs w:val="28"/>
                      <w:lang w:val="en-US"/>
                    </w:rPr>
                    <w:t xml:space="preserve"> </w:t>
                  </w:r>
                  <w:proofErr w:type="spellStart"/>
                  <w:r w:rsidRPr="00600702">
                    <w:rPr>
                      <w:sz w:val="28"/>
                      <w:szCs w:val="28"/>
                      <w:lang w:val="en-US"/>
                    </w:rPr>
                    <w:t>anumitor</w:t>
                  </w:r>
                  <w:proofErr w:type="spellEnd"/>
                  <w:r w:rsidRPr="00600702">
                    <w:rPr>
                      <w:sz w:val="28"/>
                      <w:szCs w:val="28"/>
                      <w:lang w:val="en-US"/>
                    </w:rPr>
                    <w:t xml:space="preserve"> </w:t>
                  </w:r>
                  <w:proofErr w:type="spellStart"/>
                  <w:r w:rsidRPr="00600702">
                    <w:rPr>
                      <w:sz w:val="28"/>
                      <w:szCs w:val="28"/>
                      <w:lang w:val="en-US"/>
                    </w:rPr>
                    <w:t>organisme</w:t>
                  </w:r>
                  <w:proofErr w:type="spellEnd"/>
                  <w:r w:rsidRPr="00600702">
                    <w:rPr>
                      <w:sz w:val="28"/>
                      <w:szCs w:val="28"/>
                      <w:lang w:val="en-US"/>
                    </w:rPr>
                    <w:t xml:space="preserve"> </w:t>
                  </w:r>
                  <w:proofErr w:type="spellStart"/>
                  <w:r w:rsidRPr="00600702">
                    <w:rPr>
                      <w:sz w:val="28"/>
                      <w:szCs w:val="28"/>
                      <w:lang w:val="en-US"/>
                    </w:rPr>
                    <w:t>notificate</w:t>
                  </w:r>
                  <w:proofErr w:type="spellEnd"/>
                  <w:r w:rsidRPr="00600702">
                    <w:rPr>
                      <w:sz w:val="28"/>
                      <w:szCs w:val="28"/>
                      <w:lang w:val="en-US"/>
                    </w:rPr>
                    <w:t>;</w:t>
                  </w:r>
                </w:p>
                <w:p w:rsidR="0058391B" w:rsidRPr="00600702" w:rsidRDefault="0058391B" w:rsidP="00A0494D">
                  <w:pPr>
                    <w:tabs>
                      <w:tab w:val="left" w:pos="249"/>
                      <w:tab w:val="left" w:pos="675"/>
                      <w:tab w:val="left" w:pos="1230"/>
                    </w:tabs>
                    <w:jc w:val="both"/>
                    <w:rPr>
                      <w:sz w:val="28"/>
                      <w:szCs w:val="28"/>
                      <w:lang w:val="ro-RO"/>
                    </w:rPr>
                  </w:pPr>
                  <w:r w:rsidRPr="00600702">
                    <w:rPr>
                      <w:sz w:val="28"/>
                      <w:szCs w:val="28"/>
                      <w:lang w:val="ro-RO"/>
                    </w:rPr>
                    <w:t>- s</w:t>
                  </w:r>
                  <w:proofErr w:type="spellStart"/>
                  <w:r w:rsidRPr="00600702">
                    <w:rPr>
                      <w:sz w:val="28"/>
                      <w:szCs w:val="28"/>
                      <w:lang w:val="en-US"/>
                    </w:rPr>
                    <w:t>porirea</w:t>
                  </w:r>
                  <w:proofErr w:type="spellEnd"/>
                  <w:r w:rsidRPr="00600702">
                    <w:rPr>
                      <w:sz w:val="28"/>
                      <w:szCs w:val="28"/>
                      <w:lang w:val="en-US"/>
                    </w:rPr>
                    <w:t xml:space="preserve"> </w:t>
                  </w:r>
                  <w:proofErr w:type="spellStart"/>
                  <w:r w:rsidRPr="00600702">
                    <w:rPr>
                      <w:sz w:val="28"/>
                      <w:szCs w:val="28"/>
                      <w:lang w:val="en-US"/>
                    </w:rPr>
                    <w:t>încrederii</w:t>
                  </w:r>
                  <w:proofErr w:type="spellEnd"/>
                  <w:r w:rsidRPr="00600702">
                    <w:rPr>
                      <w:sz w:val="28"/>
                      <w:szCs w:val="28"/>
                      <w:lang w:val="en-US"/>
                    </w:rPr>
                    <w:t xml:space="preserve"> </w:t>
                  </w:r>
                  <w:proofErr w:type="spellStart"/>
                  <w:r w:rsidRPr="00600702">
                    <w:rPr>
                      <w:sz w:val="28"/>
                      <w:szCs w:val="28"/>
                      <w:lang w:val="en-US"/>
                    </w:rPr>
                    <w:t>consumatorilor</w:t>
                  </w:r>
                  <w:proofErr w:type="spellEnd"/>
                  <w:r w:rsidRPr="00600702">
                    <w:rPr>
                      <w:sz w:val="28"/>
                      <w:szCs w:val="28"/>
                      <w:lang w:val="en-US"/>
                    </w:rPr>
                    <w:t xml:space="preserve"> </w:t>
                  </w:r>
                  <w:proofErr w:type="spellStart"/>
                  <w:r w:rsidRPr="00600702">
                    <w:rPr>
                      <w:sz w:val="28"/>
                      <w:szCs w:val="28"/>
                      <w:lang w:val="en-US"/>
                    </w:rPr>
                    <w:t>în</w:t>
                  </w:r>
                  <w:proofErr w:type="spellEnd"/>
                  <w:r w:rsidRPr="00600702">
                    <w:rPr>
                      <w:sz w:val="28"/>
                      <w:szCs w:val="28"/>
                      <w:lang w:val="en-US"/>
                    </w:rPr>
                    <w:t xml:space="preserve"> </w:t>
                  </w:r>
                  <w:proofErr w:type="spellStart"/>
                  <w:r w:rsidRPr="00600702">
                    <w:rPr>
                      <w:sz w:val="28"/>
                      <w:szCs w:val="28"/>
                      <w:lang w:val="en-US"/>
                    </w:rPr>
                    <w:t>produsele</w:t>
                  </w:r>
                  <w:proofErr w:type="spellEnd"/>
                  <w:r w:rsidRPr="00600702">
                    <w:rPr>
                      <w:sz w:val="28"/>
                      <w:szCs w:val="28"/>
                      <w:lang w:val="en-US"/>
                    </w:rPr>
                    <w:t xml:space="preserve"> </w:t>
                  </w:r>
                  <w:proofErr w:type="spellStart"/>
                  <w:r w:rsidRPr="00600702">
                    <w:rPr>
                      <w:sz w:val="28"/>
                      <w:szCs w:val="28"/>
                      <w:lang w:val="en-US"/>
                    </w:rPr>
                    <w:t>plasate</w:t>
                  </w:r>
                  <w:proofErr w:type="spellEnd"/>
                  <w:r w:rsidRPr="00600702">
                    <w:rPr>
                      <w:sz w:val="28"/>
                      <w:szCs w:val="28"/>
                      <w:lang w:val="en-US"/>
                    </w:rPr>
                    <w:t xml:space="preserve"> </w:t>
                  </w:r>
                  <w:proofErr w:type="spellStart"/>
                  <w:r w:rsidRPr="00600702">
                    <w:rPr>
                      <w:sz w:val="28"/>
                      <w:szCs w:val="28"/>
                      <w:lang w:val="en-US"/>
                    </w:rPr>
                    <w:t>pe</w:t>
                  </w:r>
                  <w:proofErr w:type="spellEnd"/>
                  <w:r w:rsidRPr="00600702">
                    <w:rPr>
                      <w:sz w:val="28"/>
                      <w:szCs w:val="28"/>
                      <w:lang w:val="en-US"/>
                    </w:rPr>
                    <w:t xml:space="preserve"> </w:t>
                  </w:r>
                  <w:proofErr w:type="spellStart"/>
                  <w:r w:rsidRPr="00600702">
                    <w:rPr>
                      <w:sz w:val="28"/>
                      <w:szCs w:val="28"/>
                      <w:lang w:val="en-US"/>
                    </w:rPr>
                    <w:t>piața</w:t>
                  </w:r>
                  <w:proofErr w:type="spellEnd"/>
                  <w:r w:rsidRPr="00600702">
                    <w:rPr>
                      <w:sz w:val="28"/>
                      <w:szCs w:val="28"/>
                      <w:lang w:val="en-US"/>
                    </w:rPr>
                    <w:t xml:space="preserve"> </w:t>
                  </w:r>
                  <w:proofErr w:type="spellStart"/>
                  <w:r w:rsidRPr="00600702">
                    <w:rPr>
                      <w:sz w:val="28"/>
                      <w:szCs w:val="28"/>
                      <w:lang w:val="en-US"/>
                    </w:rPr>
                    <w:t>internă</w:t>
                  </w:r>
                  <w:proofErr w:type="spellEnd"/>
                  <w:r w:rsidRPr="00600702">
                    <w:rPr>
                      <w:sz w:val="28"/>
                      <w:szCs w:val="28"/>
                      <w:lang w:val="ro-RO"/>
                    </w:rPr>
                    <w:t>;</w:t>
                  </w:r>
                </w:p>
                <w:p w:rsidR="0058391B" w:rsidRPr="00600702" w:rsidRDefault="0058391B" w:rsidP="000C4A86">
                  <w:pPr>
                    <w:pStyle w:val="HTMLPreformatted"/>
                    <w:jc w:val="both"/>
                    <w:rPr>
                      <w:bCs/>
                      <w:sz w:val="28"/>
                      <w:szCs w:val="28"/>
                      <w:lang w:val="pt-BR"/>
                    </w:rPr>
                  </w:pPr>
                  <w:r w:rsidRPr="00600702">
                    <w:rPr>
                      <w:rFonts w:ascii="Times New Roman" w:hAnsi="Times New Roman" w:cs="Times New Roman"/>
                      <w:bCs/>
                      <w:sz w:val="28"/>
                      <w:szCs w:val="28"/>
                    </w:rPr>
                    <w:t>-</w:t>
                  </w:r>
                  <w:r w:rsidRPr="00600702">
                    <w:rPr>
                      <w:rFonts w:ascii="Times New Roman" w:hAnsi="Times New Roman" w:cs="Times New Roman"/>
                      <w:bCs/>
                      <w:sz w:val="28"/>
                      <w:szCs w:val="28"/>
                      <w:lang w:val="pt-BR"/>
                    </w:rPr>
                    <w:t xml:space="preserve"> îndeplinirea de către Republica Moldova a condiţiilor necesare de armonizare a legislaţiei naţionale cu cea comunitară.</w:t>
                  </w:r>
                </w:p>
              </w:tc>
              <w:tc>
                <w:tcPr>
                  <w:tcW w:w="3563" w:type="dxa"/>
                  <w:tcBorders>
                    <w:top w:val="single" w:sz="4" w:space="0" w:color="auto"/>
                    <w:left w:val="single" w:sz="4" w:space="0" w:color="auto"/>
                    <w:bottom w:val="single" w:sz="4" w:space="0" w:color="auto"/>
                    <w:right w:val="single" w:sz="4" w:space="0" w:color="auto"/>
                  </w:tcBorders>
                  <w:shd w:val="clear" w:color="auto" w:fill="auto"/>
                  <w:hideMark/>
                </w:tcPr>
                <w:p w:rsidR="0058391B" w:rsidRPr="00600702" w:rsidRDefault="0058391B" w:rsidP="00A04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ro-RO"/>
                    </w:rPr>
                  </w:pPr>
                  <w:r w:rsidRPr="00600702">
                    <w:rPr>
                      <w:sz w:val="28"/>
                      <w:szCs w:val="28"/>
                      <w:lang w:val="ro-RO"/>
                    </w:rPr>
                    <w:lastRenderedPageBreak/>
                    <w:t>Ne conformarea la cerinţele UE.</w:t>
                  </w:r>
                </w:p>
                <w:p w:rsidR="0058391B" w:rsidRPr="00600702" w:rsidRDefault="0058391B" w:rsidP="00A04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o-RO" w:eastAsia="ar-SA"/>
                    </w:rPr>
                  </w:pPr>
                  <w:r w:rsidRPr="00600702">
                    <w:rPr>
                      <w:sz w:val="28"/>
                      <w:szCs w:val="28"/>
                      <w:lang w:val="ro-RO"/>
                    </w:rPr>
                    <w:t xml:space="preserve">Ne luarea măsurilor necesare şi nerespectarea procedurilor </w:t>
                  </w:r>
                  <w:proofErr w:type="spellStart"/>
                  <w:r w:rsidRPr="00600702">
                    <w:rPr>
                      <w:rFonts w:eastAsia="ArialMT"/>
                      <w:sz w:val="28"/>
                      <w:szCs w:val="28"/>
                      <w:lang w:val="en-US" w:eastAsia="en-US"/>
                    </w:rPr>
                    <w:t>vor</w:t>
                  </w:r>
                  <w:proofErr w:type="spellEnd"/>
                  <w:r w:rsidRPr="00600702">
                    <w:rPr>
                      <w:rFonts w:eastAsia="ArialMT"/>
                      <w:sz w:val="28"/>
                      <w:szCs w:val="28"/>
                      <w:lang w:val="en-US" w:eastAsia="en-US"/>
                    </w:rPr>
                    <w:t xml:space="preserve"> </w:t>
                  </w:r>
                  <w:proofErr w:type="spellStart"/>
                  <w:r w:rsidRPr="00600702">
                    <w:rPr>
                      <w:rFonts w:eastAsia="ArialMT"/>
                      <w:sz w:val="28"/>
                      <w:szCs w:val="28"/>
                      <w:lang w:val="en-US" w:eastAsia="en-US"/>
                    </w:rPr>
                    <w:t>pune</w:t>
                  </w:r>
                  <w:proofErr w:type="spellEnd"/>
                  <w:r w:rsidRPr="00600702">
                    <w:rPr>
                      <w:rFonts w:eastAsia="ArialMT"/>
                      <w:sz w:val="28"/>
                      <w:szCs w:val="28"/>
                      <w:lang w:val="en-US" w:eastAsia="en-US"/>
                    </w:rPr>
                    <w:t xml:space="preserve"> </w:t>
                  </w:r>
                  <w:proofErr w:type="spellStart"/>
                  <w:r w:rsidRPr="00600702">
                    <w:rPr>
                      <w:rFonts w:eastAsia="ArialMT"/>
                      <w:sz w:val="28"/>
                      <w:szCs w:val="28"/>
                      <w:lang w:val="en-US" w:eastAsia="en-US"/>
                    </w:rPr>
                    <w:t>în</w:t>
                  </w:r>
                  <w:proofErr w:type="spellEnd"/>
                  <w:r w:rsidRPr="00600702">
                    <w:rPr>
                      <w:rFonts w:eastAsia="ArialMT"/>
                      <w:sz w:val="28"/>
                      <w:szCs w:val="28"/>
                      <w:lang w:val="en-US" w:eastAsia="en-US"/>
                    </w:rPr>
                    <w:t xml:space="preserve"> </w:t>
                  </w:r>
                  <w:proofErr w:type="spellStart"/>
                  <w:r w:rsidRPr="00600702">
                    <w:rPr>
                      <w:rFonts w:eastAsia="ArialMT"/>
                      <w:sz w:val="28"/>
                      <w:szCs w:val="28"/>
                      <w:lang w:val="en-US" w:eastAsia="en-US"/>
                    </w:rPr>
                    <w:t>pericol</w:t>
                  </w:r>
                  <w:proofErr w:type="spellEnd"/>
                  <w:r w:rsidRPr="00600702">
                    <w:rPr>
                      <w:rFonts w:eastAsia="ArialMT"/>
                      <w:sz w:val="28"/>
                      <w:szCs w:val="28"/>
                      <w:lang w:val="en-US" w:eastAsia="en-US"/>
                    </w:rPr>
                    <w:t xml:space="preserve"> </w:t>
                  </w:r>
                  <w:proofErr w:type="spellStart"/>
                  <w:r w:rsidRPr="00600702">
                    <w:rPr>
                      <w:rFonts w:eastAsia="ArialMT"/>
                      <w:sz w:val="28"/>
                      <w:szCs w:val="28"/>
                      <w:lang w:val="en-US" w:eastAsia="en-US"/>
                    </w:rPr>
                    <w:t>securitatea</w:t>
                  </w:r>
                  <w:proofErr w:type="spellEnd"/>
                  <w:r w:rsidRPr="00600702">
                    <w:rPr>
                      <w:rFonts w:eastAsia="ArialMT"/>
                      <w:sz w:val="28"/>
                      <w:szCs w:val="28"/>
                      <w:lang w:val="en-US" w:eastAsia="en-US"/>
                    </w:rPr>
                    <w:t xml:space="preserve"> </w:t>
                  </w:r>
                  <w:proofErr w:type="spellStart"/>
                  <w:r w:rsidRPr="00600702">
                    <w:rPr>
                      <w:rFonts w:eastAsia="ArialMT"/>
                      <w:sz w:val="28"/>
                      <w:szCs w:val="28"/>
                      <w:lang w:val="en-US" w:eastAsia="en-US"/>
                    </w:rPr>
                    <w:t>şi</w:t>
                  </w:r>
                  <w:proofErr w:type="spellEnd"/>
                  <w:r w:rsidRPr="00600702">
                    <w:rPr>
                      <w:rFonts w:eastAsia="ArialMT"/>
                      <w:sz w:val="28"/>
                      <w:szCs w:val="28"/>
                      <w:lang w:val="en-US" w:eastAsia="en-US"/>
                    </w:rPr>
                    <w:t xml:space="preserve"> </w:t>
                  </w:r>
                  <w:proofErr w:type="spellStart"/>
                  <w:r w:rsidRPr="00600702">
                    <w:rPr>
                      <w:rFonts w:eastAsia="ArialMT"/>
                      <w:sz w:val="28"/>
                      <w:szCs w:val="28"/>
                      <w:lang w:val="en-US" w:eastAsia="en-US"/>
                    </w:rPr>
                    <w:t>sănătatea</w:t>
                  </w:r>
                  <w:proofErr w:type="spellEnd"/>
                  <w:r w:rsidRPr="00600702">
                    <w:rPr>
                      <w:rFonts w:eastAsia="ArialMT"/>
                      <w:sz w:val="28"/>
                      <w:szCs w:val="28"/>
                      <w:lang w:val="en-US" w:eastAsia="en-US"/>
                    </w:rPr>
                    <w:t xml:space="preserve"> </w:t>
                  </w:r>
                  <w:proofErr w:type="spellStart"/>
                  <w:r w:rsidRPr="00600702">
                    <w:rPr>
                      <w:rFonts w:eastAsia="ArialMT"/>
                      <w:sz w:val="28"/>
                      <w:szCs w:val="28"/>
                      <w:lang w:val="en-US" w:eastAsia="en-US"/>
                    </w:rPr>
                    <w:t>persoanelor</w:t>
                  </w:r>
                  <w:proofErr w:type="spellEnd"/>
                  <w:r w:rsidRPr="00600702">
                    <w:rPr>
                      <w:rFonts w:eastAsia="ArialMT"/>
                      <w:sz w:val="28"/>
                      <w:szCs w:val="28"/>
                      <w:lang w:val="en-US" w:eastAsia="en-US"/>
                    </w:rPr>
                    <w:t xml:space="preserve"> </w:t>
                  </w:r>
                  <w:proofErr w:type="spellStart"/>
                  <w:r w:rsidRPr="00600702">
                    <w:rPr>
                      <w:rFonts w:eastAsia="ArialMT"/>
                      <w:sz w:val="28"/>
                      <w:szCs w:val="28"/>
                      <w:lang w:val="en-US" w:eastAsia="en-US"/>
                    </w:rPr>
                    <w:t>sau</w:t>
                  </w:r>
                  <w:proofErr w:type="spellEnd"/>
                  <w:r w:rsidRPr="00600702">
                    <w:rPr>
                      <w:rFonts w:eastAsia="ArialMT"/>
                      <w:sz w:val="28"/>
                      <w:szCs w:val="28"/>
                      <w:lang w:val="en-US" w:eastAsia="en-US"/>
                    </w:rPr>
                    <w:t xml:space="preserve"> </w:t>
                  </w:r>
                  <w:proofErr w:type="spellStart"/>
                  <w:r w:rsidRPr="00600702">
                    <w:rPr>
                      <w:rFonts w:eastAsia="ArialMT"/>
                      <w:sz w:val="28"/>
                      <w:szCs w:val="28"/>
                      <w:lang w:val="en-US" w:eastAsia="en-US"/>
                    </w:rPr>
                    <w:t>siguranţa</w:t>
                  </w:r>
                  <w:proofErr w:type="spellEnd"/>
                  <w:r w:rsidRPr="00600702">
                    <w:rPr>
                      <w:rFonts w:eastAsia="ArialMT"/>
                      <w:sz w:val="28"/>
                      <w:szCs w:val="28"/>
                      <w:lang w:val="en-US" w:eastAsia="en-US"/>
                    </w:rPr>
                    <w:t xml:space="preserve"> </w:t>
                  </w:r>
                  <w:proofErr w:type="spellStart"/>
                  <w:r w:rsidRPr="00600702">
                    <w:rPr>
                      <w:rFonts w:eastAsia="ArialMT"/>
                      <w:sz w:val="28"/>
                      <w:szCs w:val="28"/>
                      <w:lang w:val="en-US" w:eastAsia="en-US"/>
                    </w:rPr>
                    <w:t>mărfurilor</w:t>
                  </w:r>
                  <w:proofErr w:type="spellEnd"/>
                  <w:r w:rsidRPr="00600702">
                    <w:rPr>
                      <w:rFonts w:eastAsia="ArialMT"/>
                      <w:sz w:val="28"/>
                      <w:szCs w:val="28"/>
                      <w:lang w:val="en-US" w:eastAsia="en-US"/>
                    </w:rPr>
                    <w:t>.</w:t>
                  </w:r>
                </w:p>
              </w:tc>
            </w:tr>
          </w:tbl>
          <w:p w:rsidR="003161E7" w:rsidRPr="00600702" w:rsidRDefault="0058391B" w:rsidP="00CF7CD6">
            <w:pPr>
              <w:jc w:val="both"/>
              <w:rPr>
                <w:b/>
                <w:sz w:val="28"/>
                <w:szCs w:val="28"/>
              </w:rPr>
            </w:pPr>
            <w:r w:rsidRPr="00600702">
              <w:rPr>
                <w:sz w:val="28"/>
                <w:szCs w:val="28"/>
                <w:lang w:val="ro-RO" w:eastAsia="ro-RO"/>
              </w:rPr>
              <w:t>Ţinând cont de abordările alternative prezentate mai sus, şi anume de posibilele avantaje şi dezavantaje a fiecărei alternative, autorii AIR-lui recomandă alternativa a doua, care prezintă clar avantaje pentru asigurarea stabilităţii şi a proporţionalităţii actului normativ vizat, prin aplicarea principiilor previzibilităţii, transparenţei decizionale şi de reglementare, precum şi prin asigurarea intereselor societăţii şi a întreprinzătorilor cu o reputaţie bună (sau care râvnesc spre aceasta) pe piaţa.</w:t>
            </w:r>
            <w:r w:rsidR="00CF7CD6" w:rsidRPr="00600702">
              <w:rPr>
                <w:b/>
                <w:sz w:val="28"/>
                <w:szCs w:val="28"/>
              </w:rPr>
              <w:t xml:space="preserve"> </w:t>
            </w:r>
          </w:p>
          <w:p w:rsidR="00CF7CD6" w:rsidRPr="00600702" w:rsidRDefault="007B1F77" w:rsidP="007B1F77">
            <w:pPr>
              <w:tabs>
                <w:tab w:val="left" w:pos="554"/>
              </w:tabs>
              <w:jc w:val="both"/>
              <w:rPr>
                <w:bCs/>
                <w:sz w:val="28"/>
                <w:szCs w:val="28"/>
                <w:u w:val="single"/>
                <w:lang w:val="ro-MD"/>
              </w:rPr>
            </w:pPr>
            <w:r w:rsidRPr="00600702">
              <w:rPr>
                <w:b/>
                <w:sz w:val="28"/>
                <w:szCs w:val="28"/>
              </w:rPr>
              <w:t xml:space="preserve">       </w:t>
            </w:r>
            <w:r w:rsidR="00CF7CD6" w:rsidRPr="00600702">
              <w:rPr>
                <w:b/>
                <w:i/>
                <w:iCs/>
                <w:sz w:val="28"/>
                <w:szCs w:val="28"/>
                <w:lang w:val="en-US" w:eastAsia="ru-RU"/>
              </w:rPr>
              <w:t xml:space="preserve"> </w:t>
            </w:r>
            <w:r w:rsidR="00CF7CD6" w:rsidRPr="00600702">
              <w:rPr>
                <w:bCs/>
                <w:sz w:val="28"/>
                <w:szCs w:val="28"/>
                <w:u w:val="single"/>
                <w:lang w:val="ro-MD"/>
              </w:rPr>
              <w:t xml:space="preserve">Impacturile negative sau costurile </w:t>
            </w:r>
            <w:proofErr w:type="spellStart"/>
            <w:r w:rsidR="00CF7CD6" w:rsidRPr="00600702">
              <w:rPr>
                <w:bCs/>
                <w:sz w:val="28"/>
                <w:szCs w:val="28"/>
                <w:u w:val="single"/>
                <w:lang w:val="ro-MD"/>
              </w:rPr>
              <w:t>intervenţiei</w:t>
            </w:r>
            <w:proofErr w:type="spellEnd"/>
            <w:r w:rsidR="00CF7CD6" w:rsidRPr="00600702">
              <w:rPr>
                <w:bCs/>
                <w:sz w:val="28"/>
                <w:szCs w:val="28"/>
                <w:u w:val="single"/>
                <w:lang w:val="ro-MD"/>
              </w:rPr>
              <w:t xml:space="preserve"> statului:</w:t>
            </w:r>
          </w:p>
          <w:p w:rsidR="00CF7CD6" w:rsidRPr="00600702" w:rsidRDefault="003A1943" w:rsidP="003D69CD">
            <w:pPr>
              <w:tabs>
                <w:tab w:val="left" w:pos="554"/>
              </w:tabs>
              <w:jc w:val="both"/>
              <w:rPr>
                <w:bCs/>
                <w:sz w:val="28"/>
                <w:szCs w:val="28"/>
                <w:lang w:val="ro-RO" w:eastAsia="ru-RU"/>
              </w:rPr>
            </w:pPr>
            <w:r w:rsidRPr="00600702">
              <w:rPr>
                <w:sz w:val="28"/>
                <w:szCs w:val="28"/>
                <w:lang w:val="ro-RO"/>
              </w:rPr>
              <w:t xml:space="preserve">        </w:t>
            </w:r>
            <w:r w:rsidR="003D69CD" w:rsidRPr="00600702">
              <w:rPr>
                <w:sz w:val="28"/>
                <w:szCs w:val="28"/>
                <w:lang w:val="ro-RO"/>
              </w:rPr>
              <w:t>A</w:t>
            </w:r>
            <w:r w:rsidR="00CF7CD6" w:rsidRPr="00600702">
              <w:rPr>
                <w:bCs/>
                <w:sz w:val="28"/>
                <w:szCs w:val="28"/>
                <w:lang w:val="ro-MD" w:eastAsia="ru-RU"/>
              </w:rPr>
              <w:t>probarea</w:t>
            </w:r>
            <w:r w:rsidR="00CF7CD6" w:rsidRPr="00600702">
              <w:rPr>
                <w:sz w:val="28"/>
                <w:szCs w:val="28"/>
                <w:lang w:val="ro-RO"/>
              </w:rPr>
              <w:t xml:space="preserve"> proiectului Hotărârii Guvernului cu privire la aprobarea Reglementării tehnice privind </w:t>
            </w:r>
            <w:r w:rsidR="00CF7CD6" w:rsidRPr="00600702">
              <w:rPr>
                <w:rFonts w:eastAsia="Arial Unicode MS"/>
                <w:bCs/>
                <w:sz w:val="28"/>
                <w:szCs w:val="28"/>
                <w:lang w:val="ro-RO" w:eastAsia="ro-RO"/>
              </w:rPr>
              <w:t xml:space="preserve">echipamente sub presiune transportabile </w:t>
            </w:r>
            <w:r w:rsidR="00CF7CD6" w:rsidRPr="00600702">
              <w:rPr>
                <w:bCs/>
                <w:sz w:val="28"/>
                <w:szCs w:val="28"/>
                <w:lang w:val="ro-MD" w:eastAsia="ru-RU"/>
              </w:rPr>
              <w:t>nu presupune instituirea unor cheltuieli din partea statului, î</w:t>
            </w:r>
            <w:r w:rsidR="00CF7CD6" w:rsidRPr="00600702">
              <w:rPr>
                <w:bCs/>
                <w:sz w:val="28"/>
                <w:szCs w:val="28"/>
                <w:lang w:val="ro-RO" w:eastAsia="ru-RU"/>
              </w:rPr>
              <w:t xml:space="preserve">n linii generale costurile </w:t>
            </w:r>
            <w:r w:rsidR="00021938" w:rsidRPr="00600702">
              <w:rPr>
                <w:bCs/>
                <w:sz w:val="28"/>
                <w:szCs w:val="28"/>
                <w:lang w:val="ro-RO" w:eastAsia="ru-RU"/>
              </w:rPr>
              <w:t>sânt</w:t>
            </w:r>
            <w:r w:rsidR="00CF7CD6" w:rsidRPr="00600702">
              <w:rPr>
                <w:bCs/>
                <w:sz w:val="28"/>
                <w:szCs w:val="28"/>
                <w:lang w:val="ro-RO" w:eastAsia="ru-RU"/>
              </w:rPr>
              <w:t xml:space="preserve"> legate în primul </w:t>
            </w:r>
            <w:r w:rsidR="00021938" w:rsidRPr="00600702">
              <w:rPr>
                <w:bCs/>
                <w:sz w:val="28"/>
                <w:szCs w:val="28"/>
                <w:lang w:val="ro-RO" w:eastAsia="ru-RU"/>
              </w:rPr>
              <w:t>rând</w:t>
            </w:r>
            <w:r w:rsidR="00CF7CD6" w:rsidRPr="00600702">
              <w:rPr>
                <w:bCs/>
                <w:sz w:val="28"/>
                <w:szCs w:val="28"/>
                <w:lang w:val="ro-RO" w:eastAsia="ru-RU"/>
              </w:rPr>
              <w:t xml:space="preserve"> de elaborarea documentului propriu zis, însă aceste costuri </w:t>
            </w:r>
            <w:r w:rsidR="00021938" w:rsidRPr="00600702">
              <w:rPr>
                <w:bCs/>
                <w:sz w:val="28"/>
                <w:szCs w:val="28"/>
                <w:lang w:val="ro-RO" w:eastAsia="ru-RU"/>
              </w:rPr>
              <w:t>sânt</w:t>
            </w:r>
            <w:r w:rsidR="00CF7CD6" w:rsidRPr="00600702">
              <w:rPr>
                <w:bCs/>
                <w:sz w:val="28"/>
                <w:szCs w:val="28"/>
                <w:lang w:val="ro-RO" w:eastAsia="ru-RU"/>
              </w:rPr>
              <w:t xml:space="preserve"> nesemnificative </w:t>
            </w:r>
            <w:proofErr w:type="spellStart"/>
            <w:r w:rsidR="00CF7CD6" w:rsidRPr="00600702">
              <w:rPr>
                <w:bCs/>
                <w:sz w:val="28"/>
                <w:szCs w:val="28"/>
                <w:lang w:val="ro-RO" w:eastAsia="ru-RU"/>
              </w:rPr>
              <w:t>şi</w:t>
            </w:r>
            <w:proofErr w:type="spellEnd"/>
            <w:r w:rsidR="00CF7CD6" w:rsidRPr="00600702">
              <w:rPr>
                <w:bCs/>
                <w:sz w:val="28"/>
                <w:szCs w:val="28"/>
                <w:lang w:val="ro-RO" w:eastAsia="ru-RU"/>
              </w:rPr>
              <w:t xml:space="preserve"> se referă la:</w:t>
            </w:r>
          </w:p>
          <w:p w:rsidR="00CF7CD6" w:rsidRPr="00600702" w:rsidRDefault="003161E7" w:rsidP="00CF7CD6">
            <w:pPr>
              <w:jc w:val="both"/>
              <w:rPr>
                <w:bCs/>
                <w:sz w:val="28"/>
                <w:szCs w:val="28"/>
                <w:lang w:val="ro-MD" w:eastAsia="ru-RU"/>
              </w:rPr>
            </w:pPr>
            <w:r w:rsidRPr="00600702">
              <w:rPr>
                <w:bCs/>
                <w:sz w:val="28"/>
                <w:szCs w:val="28"/>
                <w:lang w:val="ro-RO" w:eastAsia="ru-RU"/>
              </w:rPr>
              <w:t xml:space="preserve">- </w:t>
            </w:r>
            <w:r w:rsidR="00021938" w:rsidRPr="00600702">
              <w:rPr>
                <w:bCs/>
                <w:sz w:val="28"/>
                <w:szCs w:val="28"/>
                <w:lang w:val="ro-MD" w:eastAsia="ru-RU"/>
              </w:rPr>
              <w:t>cheltuielile</w:t>
            </w:r>
            <w:r w:rsidR="00CF7CD6" w:rsidRPr="00600702">
              <w:rPr>
                <w:bCs/>
                <w:sz w:val="28"/>
                <w:szCs w:val="28"/>
                <w:lang w:val="ro-MD" w:eastAsia="ru-RU"/>
              </w:rPr>
              <w:t xml:space="preserve"> ce </w:t>
            </w:r>
            <w:r w:rsidR="00021938" w:rsidRPr="00600702">
              <w:rPr>
                <w:bCs/>
                <w:sz w:val="28"/>
                <w:szCs w:val="28"/>
                <w:lang w:val="ro-MD" w:eastAsia="ru-RU"/>
              </w:rPr>
              <w:t>țin</w:t>
            </w:r>
            <w:r w:rsidR="00CF7CD6" w:rsidRPr="00600702">
              <w:rPr>
                <w:bCs/>
                <w:sz w:val="28"/>
                <w:szCs w:val="28"/>
                <w:lang w:val="ro-MD" w:eastAsia="ru-RU"/>
              </w:rPr>
              <w:t xml:space="preserve"> de publicarea actului normativ în Monitorul Oficial;</w:t>
            </w:r>
          </w:p>
          <w:p w:rsidR="00CF7CD6" w:rsidRPr="00600702" w:rsidRDefault="00CF7CD6" w:rsidP="00CF7CD6">
            <w:pPr>
              <w:jc w:val="both"/>
              <w:rPr>
                <w:sz w:val="28"/>
                <w:szCs w:val="28"/>
                <w:lang w:val="ro-RO" w:eastAsia="ru-RU"/>
              </w:rPr>
            </w:pPr>
            <w:r w:rsidRPr="00600702">
              <w:rPr>
                <w:sz w:val="28"/>
                <w:szCs w:val="28"/>
                <w:lang w:val="ro-MD" w:eastAsia="ru-RU"/>
              </w:rPr>
              <w:t>- costurile ce ţin de elaborarea şi procedura de aprobare a proiectului menţionat</w:t>
            </w:r>
            <w:r w:rsidRPr="00600702">
              <w:rPr>
                <w:sz w:val="28"/>
                <w:szCs w:val="28"/>
                <w:lang w:val="ro-RO" w:eastAsia="ru-RU"/>
              </w:rPr>
              <w:t>;</w:t>
            </w:r>
          </w:p>
          <w:p w:rsidR="00CF7CD6" w:rsidRPr="00600702" w:rsidRDefault="00CF7CD6" w:rsidP="00CF7CD6">
            <w:pPr>
              <w:jc w:val="both"/>
              <w:rPr>
                <w:sz w:val="28"/>
                <w:szCs w:val="28"/>
                <w:lang w:val="ro-MD" w:eastAsia="ru-RU"/>
              </w:rPr>
            </w:pPr>
            <w:r w:rsidRPr="00600702">
              <w:rPr>
                <w:sz w:val="28"/>
                <w:szCs w:val="28"/>
                <w:lang w:val="ro-MD" w:eastAsia="ru-RU"/>
              </w:rPr>
              <w:t xml:space="preserve">- costuri esenţiale de implementare nu putem anticipa, </w:t>
            </w:r>
            <w:r w:rsidR="00021938" w:rsidRPr="00600702">
              <w:rPr>
                <w:sz w:val="28"/>
                <w:szCs w:val="28"/>
                <w:lang w:val="ro-MD" w:eastAsia="ru-RU"/>
              </w:rPr>
              <w:t>ținând</w:t>
            </w:r>
            <w:r w:rsidRPr="00600702">
              <w:rPr>
                <w:sz w:val="28"/>
                <w:szCs w:val="28"/>
                <w:lang w:val="ro-MD" w:eastAsia="ru-RU"/>
              </w:rPr>
              <w:t xml:space="preserve"> cont de faptul că organele de stat abilitate îşi vor exercita ca mai înainte atribuţiile funcţionale care le revin. </w:t>
            </w:r>
          </w:p>
          <w:p w:rsidR="00CF7CD6" w:rsidRPr="00600702" w:rsidRDefault="00CF7CD6" w:rsidP="00CF7CD6">
            <w:pPr>
              <w:tabs>
                <w:tab w:val="left" w:pos="900"/>
              </w:tabs>
              <w:jc w:val="both"/>
              <w:rPr>
                <w:sz w:val="28"/>
                <w:szCs w:val="28"/>
                <w:lang w:val="ro-RO" w:eastAsia="ru-RU"/>
              </w:rPr>
            </w:pPr>
            <w:r w:rsidRPr="00600702">
              <w:rPr>
                <w:sz w:val="28"/>
                <w:szCs w:val="28"/>
                <w:lang w:val="ro-RO" w:eastAsia="ru-RU"/>
              </w:rPr>
              <w:t xml:space="preserve">Aprobarea proiectului propus nu va avea impact negativ asupra activităţii de întreprinzător, </w:t>
            </w:r>
            <w:r w:rsidR="00021938" w:rsidRPr="00600702">
              <w:rPr>
                <w:sz w:val="28"/>
                <w:szCs w:val="28"/>
                <w:lang w:val="ro-RO" w:eastAsia="ru-RU"/>
              </w:rPr>
              <w:t>generând</w:t>
            </w:r>
            <w:r w:rsidRPr="00600702">
              <w:rPr>
                <w:sz w:val="28"/>
                <w:szCs w:val="28"/>
                <w:lang w:val="ro-RO" w:eastAsia="ru-RU"/>
              </w:rPr>
              <w:t xml:space="preserve"> cheltuieli din partea acestora doar la etapa executării procedurilor de evaluare a conformităţii necesare pentru asigurarea prevederilor reglementărilor tehnice aplicabile. </w:t>
            </w:r>
          </w:p>
          <w:p w:rsidR="00CF7CD6" w:rsidRPr="00600702" w:rsidRDefault="00CF7CD6" w:rsidP="00CF7CD6">
            <w:pPr>
              <w:tabs>
                <w:tab w:val="left" w:pos="900"/>
              </w:tabs>
              <w:jc w:val="both"/>
              <w:rPr>
                <w:sz w:val="28"/>
                <w:szCs w:val="28"/>
                <w:lang w:val="ro-RO" w:eastAsia="ru-RU"/>
              </w:rPr>
            </w:pPr>
            <w:r w:rsidRPr="00600702">
              <w:rPr>
                <w:sz w:val="28"/>
                <w:szCs w:val="28"/>
                <w:lang w:val="ro-RO" w:eastAsia="ru-RU"/>
              </w:rPr>
              <w:t>Dar totodată în cazul procedurilor de evaluare, agenţii economici au 2 posibilităţi:</w:t>
            </w:r>
          </w:p>
          <w:p w:rsidR="00CF7CD6" w:rsidRPr="00600702" w:rsidRDefault="00CF7CD6" w:rsidP="00CF7CD6">
            <w:pPr>
              <w:numPr>
                <w:ilvl w:val="0"/>
                <w:numId w:val="6"/>
              </w:numPr>
              <w:tabs>
                <w:tab w:val="left" w:pos="567"/>
                <w:tab w:val="left" w:pos="900"/>
              </w:tabs>
              <w:ind w:left="0" w:firstLine="540"/>
              <w:jc w:val="both"/>
              <w:rPr>
                <w:sz w:val="28"/>
                <w:szCs w:val="28"/>
                <w:lang w:val="ro-RO" w:eastAsia="ru-RU"/>
              </w:rPr>
            </w:pPr>
            <w:r w:rsidRPr="00600702">
              <w:rPr>
                <w:sz w:val="28"/>
                <w:szCs w:val="28"/>
                <w:lang w:val="ro-RO" w:eastAsia="ru-RU"/>
              </w:rPr>
              <w:t xml:space="preserve">pentru produsele din statele membre UE nu vor fi nevoie să se efectueze procedurile de evaluare a conformităţii, deoarece produsele din domeniul armonizat </w:t>
            </w:r>
            <w:r w:rsidR="00021938" w:rsidRPr="00600702">
              <w:rPr>
                <w:sz w:val="28"/>
                <w:szCs w:val="28"/>
                <w:lang w:val="ro-RO" w:eastAsia="ru-RU"/>
              </w:rPr>
              <w:t>sânt</w:t>
            </w:r>
            <w:r w:rsidRPr="00600702">
              <w:rPr>
                <w:sz w:val="28"/>
                <w:szCs w:val="28"/>
                <w:lang w:val="ro-RO" w:eastAsia="ru-RU"/>
              </w:rPr>
              <w:t xml:space="preserve"> introduse pe piaţă cu marcajul </w:t>
            </w:r>
            <w:r w:rsidRPr="00600702">
              <w:rPr>
                <w:sz w:val="28"/>
                <w:szCs w:val="28"/>
                <w:lang w:val="ro-RO"/>
              </w:rPr>
              <w:t>,,pi’’</w:t>
            </w:r>
            <w:r w:rsidRPr="00600702">
              <w:rPr>
                <w:sz w:val="28"/>
                <w:szCs w:val="28"/>
                <w:lang w:val="ro-RO" w:eastAsia="ru-RU"/>
              </w:rPr>
              <w:t xml:space="preserve"> care presupune recunoaşterea evaluării efectuate de către producător;</w:t>
            </w:r>
          </w:p>
          <w:p w:rsidR="00CF7CD6" w:rsidRPr="00600702" w:rsidRDefault="00CF7CD6" w:rsidP="00CF7CD6">
            <w:pPr>
              <w:tabs>
                <w:tab w:val="left" w:pos="567"/>
              </w:tabs>
              <w:jc w:val="both"/>
              <w:rPr>
                <w:bCs/>
                <w:i/>
                <w:sz w:val="28"/>
                <w:szCs w:val="28"/>
                <w:lang w:val="ro-MD"/>
              </w:rPr>
            </w:pPr>
            <w:r w:rsidRPr="00600702">
              <w:rPr>
                <w:sz w:val="28"/>
                <w:szCs w:val="28"/>
                <w:lang w:val="ro-RO" w:eastAsia="ru-RU"/>
              </w:rPr>
              <w:tab/>
              <w:t xml:space="preserve">b) produsele importate din alte state </w:t>
            </w:r>
            <w:r w:rsidR="00021938" w:rsidRPr="00600702">
              <w:rPr>
                <w:sz w:val="28"/>
                <w:szCs w:val="28"/>
                <w:lang w:val="ro-RO" w:eastAsia="ru-RU"/>
              </w:rPr>
              <w:t>decât</w:t>
            </w:r>
            <w:r w:rsidRPr="00600702">
              <w:rPr>
                <w:sz w:val="28"/>
                <w:szCs w:val="28"/>
                <w:lang w:val="ro-RO" w:eastAsia="ru-RU"/>
              </w:rPr>
              <w:t xml:space="preserve"> din UE vor fi supuse procedurilor de evaluare a conformităţii.</w:t>
            </w:r>
          </w:p>
          <w:p w:rsidR="00CF7CD6" w:rsidRPr="00600702" w:rsidRDefault="00CF7CD6" w:rsidP="00CF7CD6">
            <w:pPr>
              <w:ind w:firstLine="581"/>
              <w:jc w:val="both"/>
              <w:rPr>
                <w:bCs/>
                <w:sz w:val="28"/>
                <w:szCs w:val="28"/>
                <w:u w:val="single"/>
                <w:lang w:val="ro-MD"/>
              </w:rPr>
            </w:pPr>
            <w:r w:rsidRPr="00600702">
              <w:rPr>
                <w:bCs/>
                <w:sz w:val="28"/>
                <w:szCs w:val="28"/>
                <w:u w:val="single"/>
                <w:lang w:val="ro-MD"/>
              </w:rPr>
              <w:t>Impacturile pozitive sau beneficiile intervenţiei statului:</w:t>
            </w:r>
          </w:p>
          <w:p w:rsidR="00CF7CD6" w:rsidRPr="00600702" w:rsidRDefault="00CF7CD6" w:rsidP="00CF7CD6">
            <w:pPr>
              <w:ind w:firstLine="581"/>
              <w:jc w:val="both"/>
              <w:rPr>
                <w:sz w:val="28"/>
                <w:szCs w:val="28"/>
                <w:lang w:val="ro-MD"/>
              </w:rPr>
            </w:pPr>
            <w:r w:rsidRPr="00600702">
              <w:rPr>
                <w:sz w:val="28"/>
                <w:szCs w:val="28"/>
                <w:lang w:val="ro-MD"/>
              </w:rPr>
              <w:t xml:space="preserve">Intervenţia statului prin elaborarea şi aprobarea proiectului </w:t>
            </w:r>
            <w:r w:rsidRPr="00600702">
              <w:rPr>
                <w:sz w:val="28"/>
                <w:szCs w:val="28"/>
                <w:lang w:val="en-US"/>
              </w:rPr>
              <w:t xml:space="preserve">Hotărîrii </w:t>
            </w:r>
            <w:proofErr w:type="spellStart"/>
            <w:r w:rsidRPr="00600702">
              <w:rPr>
                <w:sz w:val="28"/>
                <w:szCs w:val="28"/>
                <w:lang w:val="en-US"/>
              </w:rPr>
              <w:t>Guvernului</w:t>
            </w:r>
            <w:proofErr w:type="spellEnd"/>
            <w:r w:rsidRPr="00600702">
              <w:rPr>
                <w:sz w:val="28"/>
                <w:szCs w:val="28"/>
                <w:lang w:val="en-US"/>
              </w:rPr>
              <w:t xml:space="preserve"> </w:t>
            </w:r>
            <w:proofErr w:type="spellStart"/>
            <w:r w:rsidRPr="00600702">
              <w:rPr>
                <w:sz w:val="28"/>
                <w:szCs w:val="28"/>
                <w:lang w:val="en-US"/>
              </w:rPr>
              <w:t>menționat</w:t>
            </w:r>
            <w:proofErr w:type="spellEnd"/>
            <w:r w:rsidRPr="00600702">
              <w:rPr>
                <w:sz w:val="28"/>
                <w:szCs w:val="28"/>
                <w:lang w:val="en-US"/>
              </w:rPr>
              <w:t xml:space="preserve"> </w:t>
            </w:r>
            <w:r w:rsidRPr="00600702">
              <w:rPr>
                <w:sz w:val="28"/>
                <w:szCs w:val="28"/>
                <w:lang w:val="ro-MD"/>
              </w:rPr>
              <w:t>va avea ca efect corelarea cadrului normativ în domeniul securității industriale.</w:t>
            </w:r>
          </w:p>
          <w:p w:rsidR="00CF7CD6" w:rsidRPr="00600702" w:rsidRDefault="00CF7CD6" w:rsidP="00CF7CD6">
            <w:pPr>
              <w:tabs>
                <w:tab w:val="left" w:pos="562"/>
              </w:tabs>
              <w:ind w:firstLine="581"/>
              <w:jc w:val="both"/>
              <w:rPr>
                <w:sz w:val="28"/>
                <w:szCs w:val="28"/>
                <w:lang w:val="ro-MD"/>
              </w:rPr>
            </w:pPr>
            <w:r w:rsidRPr="00600702">
              <w:rPr>
                <w:sz w:val="28"/>
                <w:szCs w:val="28"/>
                <w:lang w:val="ro-MD"/>
              </w:rPr>
              <w:t xml:space="preserve">De asemenea, prin acţiunile propuse, statul creează un mecanism de interacţiune dintre agenţii economici, care proiectează, construiesc/montează, instalează, recepționează, exploatează, etc, pe de o parte şi instituţiile de stat abilitate cu funcții de reglementare, monitorizare, control și supraveghere de stat, pe de altă parte. </w:t>
            </w:r>
          </w:p>
          <w:p w:rsidR="00CF7CD6" w:rsidRPr="00600702" w:rsidRDefault="00CF7CD6" w:rsidP="00CF7CD6">
            <w:pPr>
              <w:jc w:val="both"/>
              <w:rPr>
                <w:sz w:val="28"/>
                <w:szCs w:val="28"/>
                <w:lang w:val="ro-MD"/>
              </w:rPr>
            </w:pPr>
            <w:r w:rsidRPr="00600702">
              <w:rPr>
                <w:sz w:val="28"/>
                <w:szCs w:val="28"/>
                <w:lang w:val="ro-MD"/>
              </w:rPr>
              <w:t xml:space="preserve">         În rezultat, se va mări capacitatea de reacţie în cazul depistării unor eventuale avarii și/sau incidente, precum şi minimizarea cheltuielilor de recuperare a prejudiciului posibil cauzat.</w:t>
            </w:r>
          </w:p>
          <w:p w:rsidR="00CF7CD6" w:rsidRPr="00600702" w:rsidRDefault="00CF7CD6" w:rsidP="00CF7CD6">
            <w:pPr>
              <w:tabs>
                <w:tab w:val="left" w:pos="567"/>
              </w:tabs>
              <w:jc w:val="both"/>
              <w:rPr>
                <w:sz w:val="28"/>
                <w:szCs w:val="28"/>
                <w:lang w:eastAsia="ru-RU"/>
              </w:rPr>
            </w:pPr>
            <w:r w:rsidRPr="00600702">
              <w:rPr>
                <w:sz w:val="28"/>
                <w:szCs w:val="28"/>
                <w:lang w:val="ro-RO"/>
              </w:rPr>
              <w:t xml:space="preserve">      </w:t>
            </w:r>
            <w:r w:rsidRPr="00600702">
              <w:rPr>
                <w:rFonts w:eastAsia="MS Mincho"/>
                <w:sz w:val="28"/>
                <w:szCs w:val="28"/>
                <w:lang w:val="ro-RO" w:eastAsia="ja-JP"/>
              </w:rPr>
              <w:t xml:space="preserve">    </w:t>
            </w:r>
            <w:proofErr w:type="spellStart"/>
            <w:r w:rsidRPr="00600702">
              <w:rPr>
                <w:sz w:val="28"/>
                <w:szCs w:val="28"/>
                <w:lang w:eastAsia="ru-RU"/>
              </w:rPr>
              <w:t>Cheltuieli</w:t>
            </w:r>
            <w:proofErr w:type="spellEnd"/>
            <w:r w:rsidRPr="00600702">
              <w:rPr>
                <w:sz w:val="28"/>
                <w:szCs w:val="28"/>
                <w:lang w:eastAsia="ru-RU"/>
              </w:rPr>
              <w:t xml:space="preserve"> </w:t>
            </w:r>
            <w:proofErr w:type="spellStart"/>
            <w:r w:rsidRPr="00600702">
              <w:rPr>
                <w:sz w:val="28"/>
                <w:szCs w:val="28"/>
                <w:lang w:eastAsia="ru-RU"/>
              </w:rPr>
              <w:t>principale</w:t>
            </w:r>
            <w:proofErr w:type="spellEnd"/>
            <w:r w:rsidRPr="00600702">
              <w:rPr>
                <w:sz w:val="28"/>
                <w:szCs w:val="28"/>
                <w:lang w:eastAsia="ru-RU"/>
              </w:rPr>
              <w:t xml:space="preserve"> </w:t>
            </w:r>
            <w:proofErr w:type="spellStart"/>
            <w:r w:rsidRPr="00600702">
              <w:rPr>
                <w:sz w:val="28"/>
                <w:szCs w:val="28"/>
                <w:lang w:eastAsia="ru-RU"/>
              </w:rPr>
              <w:t>ţin</w:t>
            </w:r>
            <w:proofErr w:type="spellEnd"/>
            <w:r w:rsidRPr="00600702">
              <w:rPr>
                <w:sz w:val="28"/>
                <w:szCs w:val="28"/>
                <w:lang w:eastAsia="ru-RU"/>
              </w:rPr>
              <w:t xml:space="preserve"> de </w:t>
            </w:r>
            <w:proofErr w:type="spellStart"/>
            <w:r w:rsidRPr="00600702">
              <w:rPr>
                <w:sz w:val="28"/>
                <w:szCs w:val="28"/>
                <w:lang w:eastAsia="ru-RU"/>
              </w:rPr>
              <w:t>adoptarea</w:t>
            </w:r>
            <w:proofErr w:type="spellEnd"/>
            <w:r w:rsidRPr="00600702">
              <w:rPr>
                <w:sz w:val="28"/>
                <w:szCs w:val="28"/>
                <w:lang w:eastAsia="ru-RU"/>
              </w:rPr>
              <w:t xml:space="preserve"> </w:t>
            </w:r>
            <w:proofErr w:type="spellStart"/>
            <w:r w:rsidRPr="00600702">
              <w:rPr>
                <w:sz w:val="28"/>
                <w:szCs w:val="28"/>
                <w:lang w:eastAsia="ru-RU"/>
              </w:rPr>
              <w:t>standardelor</w:t>
            </w:r>
            <w:proofErr w:type="spellEnd"/>
            <w:r w:rsidRPr="00600702">
              <w:rPr>
                <w:sz w:val="28"/>
                <w:szCs w:val="28"/>
                <w:lang w:eastAsia="ru-RU"/>
              </w:rPr>
              <w:t xml:space="preserve"> </w:t>
            </w:r>
            <w:proofErr w:type="spellStart"/>
            <w:r w:rsidRPr="00600702">
              <w:rPr>
                <w:sz w:val="28"/>
                <w:szCs w:val="28"/>
                <w:lang w:eastAsia="ru-RU"/>
              </w:rPr>
              <w:t>europene</w:t>
            </w:r>
            <w:proofErr w:type="spellEnd"/>
            <w:r w:rsidRPr="00600702">
              <w:rPr>
                <w:sz w:val="28"/>
                <w:szCs w:val="28"/>
                <w:lang w:eastAsia="ru-RU"/>
              </w:rPr>
              <w:t xml:space="preserve"> </w:t>
            </w:r>
            <w:proofErr w:type="spellStart"/>
            <w:r w:rsidRPr="00600702">
              <w:rPr>
                <w:sz w:val="28"/>
                <w:szCs w:val="28"/>
                <w:lang w:eastAsia="ru-RU"/>
              </w:rPr>
              <w:t>armonizate</w:t>
            </w:r>
            <w:proofErr w:type="spellEnd"/>
            <w:r w:rsidRPr="00600702">
              <w:rPr>
                <w:sz w:val="28"/>
                <w:szCs w:val="28"/>
                <w:lang w:eastAsia="ru-RU"/>
              </w:rPr>
              <w:t xml:space="preserve">, </w:t>
            </w:r>
            <w:proofErr w:type="spellStart"/>
            <w:r w:rsidRPr="00600702">
              <w:rPr>
                <w:sz w:val="28"/>
                <w:szCs w:val="28"/>
                <w:lang w:eastAsia="ru-RU"/>
              </w:rPr>
              <w:t>în</w:t>
            </w:r>
            <w:proofErr w:type="spellEnd"/>
            <w:r w:rsidRPr="00600702">
              <w:rPr>
                <w:sz w:val="28"/>
                <w:szCs w:val="28"/>
                <w:lang w:eastAsia="ru-RU"/>
              </w:rPr>
              <w:t xml:space="preserve"> </w:t>
            </w:r>
            <w:proofErr w:type="spellStart"/>
            <w:r w:rsidRPr="00600702">
              <w:rPr>
                <w:sz w:val="28"/>
                <w:szCs w:val="28"/>
                <w:lang w:eastAsia="ru-RU"/>
              </w:rPr>
              <w:t>calitate</w:t>
            </w:r>
            <w:proofErr w:type="spellEnd"/>
            <w:r w:rsidRPr="00600702">
              <w:rPr>
                <w:sz w:val="28"/>
                <w:szCs w:val="28"/>
                <w:lang w:eastAsia="ru-RU"/>
              </w:rPr>
              <w:t xml:space="preserve"> de </w:t>
            </w:r>
            <w:proofErr w:type="spellStart"/>
            <w:r w:rsidRPr="00600702">
              <w:rPr>
                <w:sz w:val="28"/>
                <w:szCs w:val="28"/>
                <w:lang w:eastAsia="ru-RU"/>
              </w:rPr>
              <w:t>standarde</w:t>
            </w:r>
            <w:proofErr w:type="spellEnd"/>
            <w:r w:rsidRPr="00600702">
              <w:rPr>
                <w:sz w:val="28"/>
                <w:szCs w:val="28"/>
                <w:lang w:eastAsia="ru-RU"/>
              </w:rPr>
              <w:t xml:space="preserve"> </w:t>
            </w:r>
            <w:proofErr w:type="spellStart"/>
            <w:r w:rsidRPr="00600702">
              <w:rPr>
                <w:sz w:val="28"/>
                <w:szCs w:val="28"/>
                <w:lang w:eastAsia="ru-RU"/>
              </w:rPr>
              <w:t>naţionale</w:t>
            </w:r>
            <w:proofErr w:type="spellEnd"/>
            <w:r w:rsidRPr="00600702">
              <w:rPr>
                <w:sz w:val="28"/>
                <w:szCs w:val="28"/>
                <w:lang w:eastAsia="ru-RU"/>
              </w:rPr>
              <w:t xml:space="preserve"> care </w:t>
            </w:r>
            <w:proofErr w:type="spellStart"/>
            <w:r w:rsidRPr="00600702">
              <w:rPr>
                <w:sz w:val="28"/>
                <w:szCs w:val="28"/>
                <w:lang w:eastAsia="ru-RU"/>
              </w:rPr>
              <w:t>sînt</w:t>
            </w:r>
            <w:proofErr w:type="spellEnd"/>
            <w:r w:rsidRPr="00600702">
              <w:rPr>
                <w:sz w:val="28"/>
                <w:szCs w:val="28"/>
                <w:lang w:eastAsia="ru-RU"/>
              </w:rPr>
              <w:t xml:space="preserve"> </w:t>
            </w:r>
            <w:proofErr w:type="spellStart"/>
            <w:r w:rsidRPr="00600702">
              <w:rPr>
                <w:sz w:val="28"/>
                <w:szCs w:val="28"/>
                <w:lang w:eastAsia="ru-RU"/>
              </w:rPr>
              <w:t>necesare</w:t>
            </w:r>
            <w:proofErr w:type="spellEnd"/>
            <w:r w:rsidRPr="00600702">
              <w:rPr>
                <w:sz w:val="28"/>
                <w:szCs w:val="28"/>
                <w:lang w:eastAsia="ru-RU"/>
              </w:rPr>
              <w:t xml:space="preserve"> </w:t>
            </w:r>
            <w:proofErr w:type="spellStart"/>
            <w:r w:rsidRPr="00600702">
              <w:rPr>
                <w:sz w:val="28"/>
                <w:szCs w:val="28"/>
                <w:lang w:eastAsia="ru-RU"/>
              </w:rPr>
              <w:t>pentru</w:t>
            </w:r>
            <w:proofErr w:type="spellEnd"/>
            <w:r w:rsidRPr="00600702">
              <w:rPr>
                <w:sz w:val="28"/>
                <w:szCs w:val="28"/>
                <w:lang w:eastAsia="ru-RU"/>
              </w:rPr>
              <w:t xml:space="preserve"> </w:t>
            </w:r>
            <w:proofErr w:type="spellStart"/>
            <w:r w:rsidRPr="00600702">
              <w:rPr>
                <w:sz w:val="28"/>
                <w:szCs w:val="28"/>
                <w:lang w:eastAsia="ru-RU"/>
              </w:rPr>
              <w:t>evaluarea</w:t>
            </w:r>
            <w:proofErr w:type="spellEnd"/>
            <w:r w:rsidRPr="00600702">
              <w:rPr>
                <w:sz w:val="28"/>
                <w:szCs w:val="28"/>
                <w:lang w:eastAsia="ru-RU"/>
              </w:rPr>
              <w:t xml:space="preserve"> </w:t>
            </w:r>
            <w:proofErr w:type="spellStart"/>
            <w:r w:rsidRPr="00600702">
              <w:rPr>
                <w:sz w:val="28"/>
                <w:szCs w:val="28"/>
                <w:lang w:eastAsia="ru-RU"/>
              </w:rPr>
              <w:t>conformităţii</w:t>
            </w:r>
            <w:proofErr w:type="spellEnd"/>
            <w:r w:rsidRPr="00600702">
              <w:rPr>
                <w:sz w:val="28"/>
                <w:szCs w:val="28"/>
                <w:lang w:eastAsia="ru-RU"/>
              </w:rPr>
              <w:t xml:space="preserve"> </w:t>
            </w:r>
            <w:proofErr w:type="spellStart"/>
            <w:r w:rsidRPr="00600702">
              <w:rPr>
                <w:sz w:val="28"/>
                <w:szCs w:val="28"/>
                <w:lang w:eastAsia="ru-RU"/>
              </w:rPr>
              <w:t>produselor</w:t>
            </w:r>
            <w:proofErr w:type="spellEnd"/>
            <w:r w:rsidRPr="00600702">
              <w:rPr>
                <w:sz w:val="28"/>
                <w:szCs w:val="28"/>
                <w:lang w:eastAsia="ru-RU"/>
              </w:rPr>
              <w:t xml:space="preserve"> din </w:t>
            </w:r>
            <w:proofErr w:type="spellStart"/>
            <w:r w:rsidRPr="00600702">
              <w:rPr>
                <w:sz w:val="28"/>
                <w:szCs w:val="28"/>
                <w:lang w:eastAsia="ru-RU"/>
              </w:rPr>
              <w:t>sectorul</w:t>
            </w:r>
            <w:proofErr w:type="spellEnd"/>
            <w:r w:rsidRPr="00600702">
              <w:rPr>
                <w:sz w:val="28"/>
                <w:szCs w:val="28"/>
                <w:lang w:eastAsia="ru-RU"/>
              </w:rPr>
              <w:t xml:space="preserve"> </w:t>
            </w:r>
            <w:r w:rsidRPr="00600702">
              <w:rPr>
                <w:sz w:val="28"/>
                <w:szCs w:val="28"/>
                <w:lang w:eastAsia="ru-RU"/>
              </w:rPr>
              <w:lastRenderedPageBreak/>
              <w:t xml:space="preserve">industrial. </w:t>
            </w:r>
          </w:p>
          <w:p w:rsidR="0054454A" w:rsidRPr="00600702" w:rsidRDefault="0054454A" w:rsidP="0054454A">
            <w:pPr>
              <w:pStyle w:val="NoSpacing"/>
              <w:jc w:val="both"/>
              <w:rPr>
                <w:rFonts w:ascii="Times New Roman" w:hAnsi="Times New Roman"/>
                <w:sz w:val="28"/>
                <w:szCs w:val="28"/>
                <w:lang w:val="ro-RO"/>
              </w:rPr>
            </w:pPr>
            <w:r w:rsidRPr="00600702">
              <w:rPr>
                <w:rFonts w:ascii="Times New Roman" w:hAnsi="Times New Roman"/>
                <w:sz w:val="28"/>
                <w:szCs w:val="28"/>
                <w:lang w:val="en-GB"/>
              </w:rPr>
              <w:t xml:space="preserve">          </w:t>
            </w:r>
            <w:r w:rsidRPr="00600702">
              <w:rPr>
                <w:rFonts w:ascii="Times New Roman" w:hAnsi="Times New Roman"/>
                <w:sz w:val="28"/>
                <w:szCs w:val="28"/>
                <w:lang w:val="ro-RO"/>
              </w:rPr>
              <w:t xml:space="preserve">Reieșind din faptul că prevederile proiectului respectiv au ca scop actualizarea și armonizarea cerințelor existente la standardele europene, care nu diferă esențial avem situația că aprobarea acestor cerințe nu va avea careva impact asupra nivelului prețurilor și tarifelor utilizate în domeniul echipamentelor sub presiune transportabile. Impactul va fi resimțit de către agenții economici specializați, care vor putea să-și aleagă acele standarde europene, care le-ar ajuta în dezvoltarea afacerii, dar nu impunerea obligatorie a </w:t>
            </w:r>
            <w:proofErr w:type="spellStart"/>
            <w:r w:rsidRPr="00600702">
              <w:rPr>
                <w:rFonts w:ascii="Times New Roman" w:hAnsi="Times New Roman"/>
                <w:sz w:val="28"/>
                <w:szCs w:val="28"/>
                <w:lang w:val="ro-RO"/>
              </w:rPr>
              <w:t>cărorva</w:t>
            </w:r>
            <w:proofErr w:type="spellEnd"/>
            <w:r w:rsidRPr="00600702">
              <w:rPr>
                <w:rFonts w:ascii="Times New Roman" w:hAnsi="Times New Roman"/>
                <w:sz w:val="28"/>
                <w:szCs w:val="28"/>
                <w:lang w:val="ro-RO"/>
              </w:rPr>
              <w:t xml:space="preserve"> cerințe, care în ziua de azi pot varia mult din cauza cererii și ofertei pe piață.</w:t>
            </w:r>
          </w:p>
          <w:p w:rsidR="0054454A" w:rsidRPr="00600702" w:rsidRDefault="0054454A" w:rsidP="0054454A">
            <w:pPr>
              <w:pStyle w:val="NoSpacing"/>
              <w:jc w:val="both"/>
              <w:rPr>
                <w:rFonts w:ascii="Times New Roman" w:hAnsi="Times New Roman"/>
                <w:sz w:val="28"/>
                <w:szCs w:val="28"/>
                <w:lang w:val="ro-RO"/>
              </w:rPr>
            </w:pPr>
            <w:r w:rsidRPr="00600702">
              <w:rPr>
                <w:rFonts w:ascii="Times New Roman" w:hAnsi="Times New Roman"/>
                <w:sz w:val="28"/>
                <w:szCs w:val="28"/>
                <w:lang w:val="ro-RO"/>
              </w:rPr>
              <w:t xml:space="preserve">        Au fost analizate diferite aspecte al proiectului respectiv, dar nu au fost identificate careva riscuri.</w:t>
            </w:r>
          </w:p>
          <w:p w:rsidR="002E52AD" w:rsidRPr="00600702" w:rsidRDefault="002E52AD" w:rsidP="002E52AD">
            <w:pPr>
              <w:pStyle w:val="NoSpacing"/>
              <w:jc w:val="both"/>
              <w:rPr>
                <w:rFonts w:ascii="Times New Roman" w:hAnsi="Times New Roman"/>
                <w:sz w:val="28"/>
                <w:szCs w:val="28"/>
                <w:lang w:val="ro-RO"/>
              </w:rPr>
            </w:pPr>
            <w:r w:rsidRPr="00600702">
              <w:rPr>
                <w:rFonts w:ascii="Times New Roman" w:hAnsi="Times New Roman"/>
                <w:sz w:val="28"/>
                <w:szCs w:val="28"/>
                <w:lang w:val="ro-RO"/>
              </w:rPr>
              <w:t xml:space="preserve">         Desfășurarea activităților în domeniul </w:t>
            </w:r>
            <w:r w:rsidR="00A972C9" w:rsidRPr="00600702">
              <w:rPr>
                <w:rFonts w:ascii="Times New Roman" w:hAnsi="Times New Roman"/>
                <w:sz w:val="28"/>
                <w:szCs w:val="28"/>
                <w:lang w:val="ro-RO"/>
              </w:rPr>
              <w:t>echipamentelor sub presiune transportabile</w:t>
            </w:r>
            <w:r w:rsidRPr="00600702">
              <w:rPr>
                <w:rFonts w:ascii="Times New Roman" w:hAnsi="Times New Roman"/>
                <w:sz w:val="28"/>
                <w:szCs w:val="28"/>
                <w:lang w:val="ro-RO"/>
              </w:rPr>
              <w:t xml:space="preserve"> nu va necesita costuri pentru conformare, deoarece </w:t>
            </w:r>
            <w:r w:rsidR="00A972C9" w:rsidRPr="00600702">
              <w:rPr>
                <w:rFonts w:ascii="Times New Roman" w:hAnsi="Times New Roman"/>
                <w:sz w:val="28"/>
                <w:szCs w:val="28"/>
                <w:lang w:val="ro-RO"/>
              </w:rPr>
              <w:t>multe întreprinderi importă utilaj care este conform cerințelor stabilite de standardele europene.</w:t>
            </w:r>
            <w:r w:rsidRPr="00600702">
              <w:rPr>
                <w:rFonts w:ascii="Times New Roman" w:hAnsi="Times New Roman"/>
                <w:sz w:val="28"/>
                <w:szCs w:val="28"/>
                <w:lang w:val="ro-RO"/>
              </w:rPr>
              <w:t xml:space="preserve"> </w:t>
            </w:r>
          </w:p>
          <w:p w:rsidR="000B05D2" w:rsidRPr="00600702" w:rsidRDefault="000B05D2" w:rsidP="002E52AD">
            <w:pPr>
              <w:pStyle w:val="NoSpacing"/>
              <w:jc w:val="both"/>
              <w:rPr>
                <w:rFonts w:ascii="Times New Roman" w:hAnsi="Times New Roman"/>
                <w:sz w:val="28"/>
                <w:szCs w:val="28"/>
                <w:lang w:val="ro-RO"/>
              </w:rPr>
            </w:pPr>
            <w:r w:rsidRPr="00600702">
              <w:rPr>
                <w:rFonts w:ascii="Times New Roman" w:hAnsi="Times New Roman"/>
                <w:sz w:val="28"/>
                <w:szCs w:val="28"/>
                <w:lang w:val="ro-RO"/>
              </w:rPr>
              <w:t xml:space="preserve">         La etapa actuală o bună parte</w:t>
            </w:r>
            <w:r w:rsidR="004D2E98" w:rsidRPr="00600702">
              <w:rPr>
                <w:rFonts w:ascii="Times New Roman" w:hAnsi="Times New Roman"/>
                <w:sz w:val="28"/>
                <w:szCs w:val="28"/>
                <w:lang w:val="ro-RO"/>
              </w:rPr>
              <w:t xml:space="preserve"> din întreprinderile</w:t>
            </w:r>
            <w:r w:rsidRPr="00600702">
              <w:rPr>
                <w:rFonts w:ascii="Times New Roman" w:hAnsi="Times New Roman"/>
                <w:sz w:val="28"/>
                <w:szCs w:val="28"/>
                <w:lang w:val="ro-RO"/>
              </w:rPr>
              <w:t xml:space="preserve"> identificat</w:t>
            </w:r>
            <w:r w:rsidR="004D2E98" w:rsidRPr="00600702">
              <w:rPr>
                <w:rFonts w:ascii="Times New Roman" w:hAnsi="Times New Roman"/>
                <w:sz w:val="28"/>
                <w:szCs w:val="28"/>
                <w:lang w:val="ro-RO"/>
              </w:rPr>
              <w:t>e</w:t>
            </w:r>
            <w:r w:rsidRPr="00600702">
              <w:rPr>
                <w:rFonts w:ascii="Times New Roman" w:hAnsi="Times New Roman"/>
                <w:sz w:val="28"/>
                <w:szCs w:val="28"/>
                <w:lang w:val="ro-RO"/>
              </w:rPr>
              <w:t xml:space="preserve"> importă </w:t>
            </w:r>
            <w:r w:rsidR="00B86FC9" w:rsidRPr="00600702">
              <w:rPr>
                <w:rFonts w:ascii="Times New Roman" w:hAnsi="Times New Roman"/>
                <w:sz w:val="28"/>
                <w:szCs w:val="28"/>
                <w:lang w:val="ro-RO"/>
              </w:rPr>
              <w:t>deja</w:t>
            </w:r>
            <w:r w:rsidRPr="00600702">
              <w:rPr>
                <w:rFonts w:ascii="Times New Roman" w:hAnsi="Times New Roman"/>
                <w:sz w:val="28"/>
                <w:szCs w:val="28"/>
                <w:lang w:val="ro-RO"/>
              </w:rPr>
              <w:t xml:space="preserve"> instalații/utilaj din UE, care corespunde cerințelor</w:t>
            </w:r>
            <w:r w:rsidR="004D2E98" w:rsidRPr="00600702">
              <w:rPr>
                <w:rFonts w:ascii="Times New Roman" w:hAnsi="Times New Roman"/>
                <w:sz w:val="28"/>
                <w:szCs w:val="28"/>
                <w:lang w:val="ro-RO"/>
              </w:rPr>
              <w:t xml:space="preserve"> </w:t>
            </w:r>
            <w:r w:rsidR="00B86FC9" w:rsidRPr="00600702">
              <w:rPr>
                <w:rFonts w:ascii="Times New Roman" w:hAnsi="Times New Roman"/>
                <w:sz w:val="28"/>
                <w:szCs w:val="28"/>
                <w:lang w:val="ro-RO"/>
              </w:rPr>
              <w:t>documentului elaborat.</w:t>
            </w:r>
          </w:p>
          <w:p w:rsidR="00B86FC9" w:rsidRPr="00600702" w:rsidRDefault="00B86FC9" w:rsidP="002E52AD">
            <w:pPr>
              <w:pStyle w:val="NoSpacing"/>
              <w:jc w:val="both"/>
              <w:rPr>
                <w:rFonts w:ascii="Times New Roman" w:hAnsi="Times New Roman"/>
                <w:sz w:val="28"/>
                <w:szCs w:val="28"/>
                <w:lang w:val="ro-RO"/>
              </w:rPr>
            </w:pPr>
            <w:r w:rsidRPr="00600702">
              <w:rPr>
                <w:rFonts w:ascii="Times New Roman" w:hAnsi="Times New Roman"/>
                <w:sz w:val="28"/>
                <w:szCs w:val="28"/>
                <w:lang w:val="ro-RO"/>
              </w:rPr>
              <w:t xml:space="preserve">        Dacă ne referim la utilajul/instalații importat din țările non-UE atunci importatorul va suporta cheltuieli suplimentare pentru evaluarea conformității produselor importate.</w:t>
            </w:r>
          </w:p>
          <w:p w:rsidR="00CF7CD6" w:rsidRPr="00600702" w:rsidRDefault="00CF7CD6" w:rsidP="00CF7CD6">
            <w:pPr>
              <w:tabs>
                <w:tab w:val="left" w:pos="567"/>
              </w:tabs>
              <w:jc w:val="both"/>
              <w:rPr>
                <w:sz w:val="28"/>
                <w:szCs w:val="28"/>
                <w:lang w:eastAsia="ru-RU"/>
              </w:rPr>
            </w:pPr>
            <w:r w:rsidRPr="00600702">
              <w:rPr>
                <w:sz w:val="28"/>
                <w:szCs w:val="28"/>
                <w:lang w:eastAsia="ru-RU"/>
              </w:rPr>
              <w:t xml:space="preserve">       </w:t>
            </w:r>
            <w:proofErr w:type="spellStart"/>
            <w:r w:rsidRPr="00600702">
              <w:rPr>
                <w:sz w:val="28"/>
                <w:szCs w:val="28"/>
                <w:lang w:eastAsia="ru-RU"/>
              </w:rPr>
              <w:t>Compatibilitatea</w:t>
            </w:r>
            <w:proofErr w:type="spellEnd"/>
            <w:r w:rsidRPr="00600702">
              <w:rPr>
                <w:sz w:val="28"/>
                <w:szCs w:val="28"/>
                <w:lang w:eastAsia="ru-RU"/>
              </w:rPr>
              <w:t xml:space="preserve"> cu </w:t>
            </w:r>
            <w:proofErr w:type="spellStart"/>
            <w:r w:rsidRPr="00600702">
              <w:rPr>
                <w:sz w:val="28"/>
                <w:szCs w:val="28"/>
                <w:lang w:eastAsia="ru-RU"/>
              </w:rPr>
              <w:t>unele</w:t>
            </w:r>
            <w:proofErr w:type="spellEnd"/>
            <w:r w:rsidRPr="00600702">
              <w:rPr>
                <w:sz w:val="28"/>
                <w:szCs w:val="28"/>
                <w:lang w:eastAsia="ru-RU"/>
              </w:rPr>
              <w:t xml:space="preserve"> </w:t>
            </w:r>
            <w:proofErr w:type="spellStart"/>
            <w:r w:rsidRPr="00600702">
              <w:rPr>
                <w:sz w:val="28"/>
                <w:szCs w:val="28"/>
                <w:lang w:eastAsia="ru-RU"/>
              </w:rPr>
              <w:t>standardele</w:t>
            </w:r>
            <w:proofErr w:type="spellEnd"/>
            <w:r w:rsidRPr="00600702">
              <w:rPr>
                <w:sz w:val="28"/>
                <w:szCs w:val="28"/>
                <w:lang w:eastAsia="ru-RU"/>
              </w:rPr>
              <w:t xml:space="preserve"> </w:t>
            </w:r>
            <w:proofErr w:type="spellStart"/>
            <w:r w:rsidRPr="00600702">
              <w:rPr>
                <w:sz w:val="28"/>
                <w:szCs w:val="28"/>
                <w:lang w:eastAsia="ru-RU"/>
              </w:rPr>
              <w:t>naţionale</w:t>
            </w:r>
            <w:proofErr w:type="spellEnd"/>
            <w:r w:rsidRPr="00600702">
              <w:rPr>
                <w:sz w:val="28"/>
                <w:szCs w:val="28"/>
                <w:lang w:eastAsia="ru-RU"/>
              </w:rPr>
              <w:t xml:space="preserve"> </w:t>
            </w:r>
            <w:proofErr w:type="spellStart"/>
            <w:r w:rsidRPr="00600702">
              <w:rPr>
                <w:sz w:val="28"/>
                <w:szCs w:val="28"/>
                <w:lang w:eastAsia="ru-RU"/>
              </w:rPr>
              <w:t>adoptate</w:t>
            </w:r>
            <w:proofErr w:type="spellEnd"/>
            <w:r w:rsidRPr="00600702">
              <w:rPr>
                <w:sz w:val="28"/>
                <w:szCs w:val="28"/>
                <w:lang w:eastAsia="ru-RU"/>
              </w:rPr>
              <w:t xml:space="preserve"> </w:t>
            </w:r>
            <w:proofErr w:type="spellStart"/>
            <w:r w:rsidRPr="00600702">
              <w:rPr>
                <w:sz w:val="28"/>
                <w:szCs w:val="28"/>
                <w:lang w:eastAsia="ru-RU"/>
              </w:rPr>
              <w:t>în</w:t>
            </w:r>
            <w:proofErr w:type="spellEnd"/>
            <w:r w:rsidRPr="00600702">
              <w:rPr>
                <w:sz w:val="28"/>
                <w:szCs w:val="28"/>
                <w:lang w:eastAsia="ru-RU"/>
              </w:rPr>
              <w:t xml:space="preserve"> </w:t>
            </w:r>
            <w:proofErr w:type="spellStart"/>
            <w:r w:rsidRPr="00600702">
              <w:rPr>
                <w:sz w:val="28"/>
                <w:szCs w:val="28"/>
                <w:lang w:eastAsia="ru-RU"/>
              </w:rPr>
              <w:t>baza</w:t>
            </w:r>
            <w:proofErr w:type="spellEnd"/>
            <w:r w:rsidRPr="00600702">
              <w:rPr>
                <w:sz w:val="28"/>
                <w:szCs w:val="28"/>
                <w:lang w:eastAsia="ru-RU"/>
              </w:rPr>
              <w:t xml:space="preserve"> </w:t>
            </w:r>
            <w:proofErr w:type="spellStart"/>
            <w:r w:rsidRPr="00600702">
              <w:rPr>
                <w:sz w:val="28"/>
                <w:szCs w:val="28"/>
                <w:lang w:eastAsia="ru-RU"/>
              </w:rPr>
              <w:t>standardelor</w:t>
            </w:r>
            <w:proofErr w:type="spellEnd"/>
            <w:r w:rsidRPr="00600702">
              <w:rPr>
                <w:sz w:val="28"/>
                <w:szCs w:val="28"/>
                <w:lang w:eastAsia="ru-RU"/>
              </w:rPr>
              <w:t xml:space="preserve"> </w:t>
            </w:r>
            <w:proofErr w:type="spellStart"/>
            <w:r w:rsidRPr="00600702">
              <w:rPr>
                <w:sz w:val="28"/>
                <w:szCs w:val="28"/>
                <w:lang w:eastAsia="ru-RU"/>
              </w:rPr>
              <w:t>armonizate</w:t>
            </w:r>
            <w:proofErr w:type="spellEnd"/>
            <w:r w:rsidRPr="00600702">
              <w:rPr>
                <w:sz w:val="28"/>
                <w:szCs w:val="28"/>
                <w:lang w:eastAsia="ru-RU"/>
              </w:rPr>
              <w:t xml:space="preserve">, </w:t>
            </w:r>
            <w:proofErr w:type="spellStart"/>
            <w:r w:rsidRPr="00600702">
              <w:rPr>
                <w:sz w:val="28"/>
                <w:szCs w:val="28"/>
                <w:lang w:eastAsia="ru-RU"/>
              </w:rPr>
              <w:t>determină</w:t>
            </w:r>
            <w:proofErr w:type="spellEnd"/>
            <w:r w:rsidRPr="00600702">
              <w:rPr>
                <w:sz w:val="28"/>
                <w:szCs w:val="28"/>
                <w:lang w:eastAsia="ru-RU"/>
              </w:rPr>
              <w:t xml:space="preserve"> </w:t>
            </w:r>
            <w:proofErr w:type="spellStart"/>
            <w:r w:rsidRPr="00600702">
              <w:rPr>
                <w:sz w:val="28"/>
                <w:szCs w:val="28"/>
                <w:lang w:eastAsia="ru-RU"/>
              </w:rPr>
              <w:t>şi</w:t>
            </w:r>
            <w:proofErr w:type="spellEnd"/>
            <w:r w:rsidRPr="00600702">
              <w:rPr>
                <w:sz w:val="28"/>
                <w:szCs w:val="28"/>
                <w:lang w:eastAsia="ru-RU"/>
              </w:rPr>
              <w:t xml:space="preserve"> </w:t>
            </w:r>
            <w:proofErr w:type="spellStart"/>
            <w:r w:rsidRPr="00600702">
              <w:rPr>
                <w:sz w:val="28"/>
                <w:szCs w:val="28"/>
                <w:lang w:eastAsia="ru-RU"/>
              </w:rPr>
              <w:t>procedura</w:t>
            </w:r>
            <w:proofErr w:type="spellEnd"/>
            <w:r w:rsidRPr="00600702">
              <w:rPr>
                <w:sz w:val="28"/>
                <w:szCs w:val="28"/>
                <w:lang w:eastAsia="ru-RU"/>
              </w:rPr>
              <w:t xml:space="preserve"> de </w:t>
            </w:r>
            <w:proofErr w:type="spellStart"/>
            <w:r w:rsidRPr="00600702">
              <w:rPr>
                <w:sz w:val="28"/>
                <w:szCs w:val="28"/>
                <w:lang w:eastAsia="ru-RU"/>
              </w:rPr>
              <w:t>evaluare</w:t>
            </w:r>
            <w:proofErr w:type="spellEnd"/>
            <w:r w:rsidRPr="00600702">
              <w:rPr>
                <w:sz w:val="28"/>
                <w:szCs w:val="28"/>
                <w:lang w:eastAsia="ru-RU"/>
              </w:rPr>
              <w:t xml:space="preserve"> a </w:t>
            </w:r>
            <w:proofErr w:type="spellStart"/>
            <w:r w:rsidRPr="00600702">
              <w:rPr>
                <w:sz w:val="28"/>
                <w:szCs w:val="28"/>
                <w:lang w:eastAsia="ru-RU"/>
              </w:rPr>
              <w:t>conformitatii</w:t>
            </w:r>
            <w:proofErr w:type="spellEnd"/>
            <w:r w:rsidRPr="00600702">
              <w:rPr>
                <w:sz w:val="28"/>
                <w:szCs w:val="28"/>
                <w:lang w:eastAsia="ru-RU"/>
              </w:rPr>
              <w:t xml:space="preserve"> </w:t>
            </w:r>
            <w:proofErr w:type="spellStart"/>
            <w:r w:rsidRPr="00600702">
              <w:rPr>
                <w:sz w:val="28"/>
                <w:szCs w:val="28"/>
                <w:lang w:eastAsia="ru-RU"/>
              </w:rPr>
              <w:t>aplicabilă</w:t>
            </w:r>
            <w:proofErr w:type="spellEnd"/>
            <w:r w:rsidRPr="00600702">
              <w:rPr>
                <w:sz w:val="28"/>
                <w:szCs w:val="28"/>
                <w:lang w:eastAsia="ru-RU"/>
              </w:rPr>
              <w:t xml:space="preserve">, care </w:t>
            </w:r>
            <w:proofErr w:type="spellStart"/>
            <w:r w:rsidRPr="00600702">
              <w:rPr>
                <w:sz w:val="28"/>
                <w:szCs w:val="28"/>
                <w:lang w:eastAsia="ru-RU"/>
              </w:rPr>
              <w:t>uneori</w:t>
            </w:r>
            <w:proofErr w:type="spellEnd"/>
            <w:r w:rsidRPr="00600702">
              <w:rPr>
                <w:sz w:val="28"/>
                <w:szCs w:val="28"/>
                <w:lang w:eastAsia="ru-RU"/>
              </w:rPr>
              <w:t xml:space="preserve"> </w:t>
            </w:r>
            <w:proofErr w:type="spellStart"/>
            <w:r w:rsidRPr="00600702">
              <w:rPr>
                <w:sz w:val="28"/>
                <w:szCs w:val="28"/>
                <w:lang w:eastAsia="ru-RU"/>
              </w:rPr>
              <w:t>acordă</w:t>
            </w:r>
            <w:proofErr w:type="spellEnd"/>
            <w:r w:rsidRPr="00600702">
              <w:rPr>
                <w:sz w:val="28"/>
                <w:szCs w:val="28"/>
                <w:lang w:eastAsia="ru-RU"/>
              </w:rPr>
              <w:t xml:space="preserve"> </w:t>
            </w:r>
            <w:proofErr w:type="spellStart"/>
            <w:r w:rsidRPr="00600702">
              <w:rPr>
                <w:sz w:val="28"/>
                <w:szCs w:val="28"/>
                <w:lang w:eastAsia="ru-RU"/>
              </w:rPr>
              <w:t>posibilitatea</w:t>
            </w:r>
            <w:proofErr w:type="spellEnd"/>
            <w:r w:rsidRPr="00600702">
              <w:rPr>
                <w:sz w:val="28"/>
                <w:szCs w:val="28"/>
                <w:lang w:eastAsia="ru-RU"/>
              </w:rPr>
              <w:t xml:space="preserve"> </w:t>
            </w:r>
            <w:proofErr w:type="spellStart"/>
            <w:r w:rsidRPr="00600702">
              <w:rPr>
                <w:sz w:val="28"/>
                <w:szCs w:val="28"/>
                <w:lang w:eastAsia="ru-RU"/>
              </w:rPr>
              <w:t>evaluării</w:t>
            </w:r>
            <w:proofErr w:type="spellEnd"/>
            <w:r w:rsidRPr="00600702">
              <w:rPr>
                <w:sz w:val="28"/>
                <w:szCs w:val="28"/>
                <w:lang w:eastAsia="ru-RU"/>
              </w:rPr>
              <w:t xml:space="preserve"> </w:t>
            </w:r>
            <w:proofErr w:type="spellStart"/>
            <w:r w:rsidRPr="00600702">
              <w:rPr>
                <w:sz w:val="28"/>
                <w:szCs w:val="28"/>
                <w:lang w:eastAsia="ru-RU"/>
              </w:rPr>
              <w:t>conformităţii</w:t>
            </w:r>
            <w:proofErr w:type="spellEnd"/>
            <w:r w:rsidRPr="00600702">
              <w:rPr>
                <w:sz w:val="28"/>
                <w:szCs w:val="28"/>
                <w:lang w:eastAsia="ru-RU"/>
              </w:rPr>
              <w:t xml:space="preserve"> </w:t>
            </w:r>
            <w:proofErr w:type="spellStart"/>
            <w:r w:rsidRPr="00600702">
              <w:rPr>
                <w:sz w:val="28"/>
                <w:szCs w:val="28"/>
                <w:lang w:eastAsia="ru-RU"/>
              </w:rPr>
              <w:t>fară</w:t>
            </w:r>
            <w:proofErr w:type="spellEnd"/>
            <w:r w:rsidRPr="00600702">
              <w:rPr>
                <w:sz w:val="28"/>
                <w:szCs w:val="28"/>
                <w:lang w:eastAsia="ru-RU"/>
              </w:rPr>
              <w:t xml:space="preserve"> </w:t>
            </w:r>
            <w:proofErr w:type="spellStart"/>
            <w:r w:rsidRPr="00600702">
              <w:rPr>
                <w:sz w:val="28"/>
                <w:szCs w:val="28"/>
                <w:lang w:eastAsia="ru-RU"/>
              </w:rPr>
              <w:t>intervenţia</w:t>
            </w:r>
            <w:proofErr w:type="spellEnd"/>
            <w:r w:rsidRPr="00600702">
              <w:rPr>
                <w:sz w:val="28"/>
                <w:szCs w:val="28"/>
                <w:lang w:eastAsia="ru-RU"/>
              </w:rPr>
              <w:t xml:space="preserve"> </w:t>
            </w:r>
            <w:proofErr w:type="spellStart"/>
            <w:r w:rsidRPr="00600702">
              <w:rPr>
                <w:sz w:val="28"/>
                <w:szCs w:val="28"/>
                <w:lang w:eastAsia="ru-RU"/>
              </w:rPr>
              <w:t>unei</w:t>
            </w:r>
            <w:proofErr w:type="spellEnd"/>
            <w:r w:rsidRPr="00600702">
              <w:rPr>
                <w:sz w:val="28"/>
                <w:szCs w:val="28"/>
                <w:lang w:eastAsia="ru-RU"/>
              </w:rPr>
              <w:t xml:space="preserve"> </w:t>
            </w:r>
            <w:proofErr w:type="spellStart"/>
            <w:r w:rsidRPr="00600702">
              <w:rPr>
                <w:sz w:val="28"/>
                <w:szCs w:val="28"/>
                <w:lang w:eastAsia="ru-RU"/>
              </w:rPr>
              <w:t>terţe</w:t>
            </w:r>
            <w:proofErr w:type="spellEnd"/>
            <w:r w:rsidRPr="00600702">
              <w:rPr>
                <w:sz w:val="28"/>
                <w:szCs w:val="28"/>
                <w:lang w:eastAsia="ru-RU"/>
              </w:rPr>
              <w:t xml:space="preserve"> </w:t>
            </w:r>
            <w:proofErr w:type="spellStart"/>
            <w:r w:rsidRPr="00600702">
              <w:rPr>
                <w:sz w:val="28"/>
                <w:szCs w:val="28"/>
                <w:lang w:eastAsia="ru-RU"/>
              </w:rPr>
              <w:t>parţi</w:t>
            </w:r>
            <w:proofErr w:type="spellEnd"/>
            <w:r w:rsidRPr="00600702">
              <w:rPr>
                <w:sz w:val="28"/>
                <w:szCs w:val="28"/>
                <w:lang w:eastAsia="ru-RU"/>
              </w:rPr>
              <w:t>.</w:t>
            </w:r>
          </w:p>
          <w:p w:rsidR="00CF7CD6" w:rsidRPr="00600702" w:rsidRDefault="00CF7CD6" w:rsidP="00CF7CD6">
            <w:pPr>
              <w:jc w:val="both"/>
              <w:rPr>
                <w:sz w:val="28"/>
                <w:szCs w:val="28"/>
                <w:lang w:eastAsia="ru-RU"/>
              </w:rPr>
            </w:pPr>
            <w:r w:rsidRPr="00600702">
              <w:rPr>
                <w:sz w:val="28"/>
                <w:szCs w:val="28"/>
                <w:lang w:eastAsia="ru-RU"/>
              </w:rPr>
              <w:t xml:space="preserve">        </w:t>
            </w:r>
            <w:proofErr w:type="spellStart"/>
            <w:r w:rsidRPr="00600702">
              <w:rPr>
                <w:sz w:val="28"/>
                <w:szCs w:val="28"/>
                <w:lang w:eastAsia="ru-RU"/>
              </w:rPr>
              <w:t>Luînd</w:t>
            </w:r>
            <w:proofErr w:type="spellEnd"/>
            <w:r w:rsidRPr="00600702">
              <w:rPr>
                <w:sz w:val="28"/>
                <w:szCs w:val="28"/>
                <w:lang w:eastAsia="ru-RU"/>
              </w:rPr>
              <w:t xml:space="preserve"> </w:t>
            </w:r>
            <w:proofErr w:type="spellStart"/>
            <w:r w:rsidRPr="00600702">
              <w:rPr>
                <w:sz w:val="28"/>
                <w:szCs w:val="28"/>
                <w:lang w:eastAsia="ru-RU"/>
              </w:rPr>
              <w:t>în</w:t>
            </w:r>
            <w:proofErr w:type="spellEnd"/>
            <w:r w:rsidRPr="00600702">
              <w:rPr>
                <w:sz w:val="28"/>
                <w:szCs w:val="28"/>
                <w:lang w:eastAsia="ru-RU"/>
              </w:rPr>
              <w:t xml:space="preserve"> </w:t>
            </w:r>
            <w:proofErr w:type="spellStart"/>
            <w:r w:rsidRPr="00600702">
              <w:rPr>
                <w:sz w:val="28"/>
                <w:szCs w:val="28"/>
                <w:lang w:eastAsia="ru-RU"/>
              </w:rPr>
              <w:t>considerare</w:t>
            </w:r>
            <w:proofErr w:type="spellEnd"/>
            <w:r w:rsidRPr="00600702">
              <w:rPr>
                <w:sz w:val="28"/>
                <w:szCs w:val="28"/>
                <w:lang w:eastAsia="ru-RU"/>
              </w:rPr>
              <w:t xml:space="preserve"> </w:t>
            </w:r>
            <w:proofErr w:type="spellStart"/>
            <w:r w:rsidRPr="00600702">
              <w:rPr>
                <w:sz w:val="28"/>
                <w:szCs w:val="28"/>
                <w:lang w:eastAsia="ru-RU"/>
              </w:rPr>
              <w:t>experienţa</w:t>
            </w:r>
            <w:proofErr w:type="spellEnd"/>
            <w:r w:rsidRPr="00600702">
              <w:rPr>
                <w:sz w:val="28"/>
                <w:szCs w:val="28"/>
                <w:lang w:eastAsia="ru-RU"/>
              </w:rPr>
              <w:t xml:space="preserve"> </w:t>
            </w:r>
            <w:proofErr w:type="spellStart"/>
            <w:r w:rsidRPr="00600702">
              <w:rPr>
                <w:sz w:val="28"/>
                <w:szCs w:val="28"/>
                <w:lang w:eastAsia="ru-RU"/>
              </w:rPr>
              <w:t>ţărilor</w:t>
            </w:r>
            <w:proofErr w:type="spellEnd"/>
            <w:r w:rsidRPr="00600702">
              <w:rPr>
                <w:sz w:val="28"/>
                <w:szCs w:val="28"/>
                <w:lang w:eastAsia="ru-RU"/>
              </w:rPr>
              <w:t xml:space="preserve">, care au </w:t>
            </w:r>
            <w:proofErr w:type="spellStart"/>
            <w:r w:rsidRPr="00600702">
              <w:rPr>
                <w:sz w:val="28"/>
                <w:szCs w:val="28"/>
                <w:lang w:eastAsia="ru-RU"/>
              </w:rPr>
              <w:t>aderat</w:t>
            </w:r>
            <w:proofErr w:type="spellEnd"/>
            <w:r w:rsidRPr="00600702">
              <w:rPr>
                <w:sz w:val="28"/>
                <w:szCs w:val="28"/>
                <w:lang w:eastAsia="ru-RU"/>
              </w:rPr>
              <w:t xml:space="preserve"> la </w:t>
            </w:r>
            <w:proofErr w:type="spellStart"/>
            <w:r w:rsidRPr="00600702">
              <w:rPr>
                <w:sz w:val="28"/>
                <w:szCs w:val="28"/>
                <w:lang w:eastAsia="ru-RU"/>
              </w:rPr>
              <w:t>Comunitatea</w:t>
            </w:r>
            <w:proofErr w:type="spellEnd"/>
            <w:r w:rsidRPr="00600702">
              <w:rPr>
                <w:sz w:val="28"/>
                <w:szCs w:val="28"/>
                <w:lang w:eastAsia="ru-RU"/>
              </w:rPr>
              <w:t xml:space="preserve"> </w:t>
            </w:r>
            <w:proofErr w:type="spellStart"/>
            <w:r w:rsidRPr="00600702">
              <w:rPr>
                <w:sz w:val="28"/>
                <w:szCs w:val="28"/>
                <w:lang w:eastAsia="ru-RU"/>
              </w:rPr>
              <w:t>Europeană</w:t>
            </w:r>
            <w:proofErr w:type="spellEnd"/>
            <w:r w:rsidRPr="00600702">
              <w:rPr>
                <w:sz w:val="28"/>
                <w:szCs w:val="28"/>
                <w:lang w:eastAsia="ru-RU"/>
              </w:rPr>
              <w:t xml:space="preserve"> </w:t>
            </w:r>
            <w:proofErr w:type="spellStart"/>
            <w:r w:rsidRPr="00600702">
              <w:rPr>
                <w:sz w:val="28"/>
                <w:szCs w:val="28"/>
                <w:lang w:eastAsia="ru-RU"/>
              </w:rPr>
              <w:t>în</w:t>
            </w:r>
            <w:proofErr w:type="spellEnd"/>
            <w:r w:rsidRPr="00600702">
              <w:rPr>
                <w:sz w:val="28"/>
                <w:szCs w:val="28"/>
                <w:lang w:eastAsia="ru-RU"/>
              </w:rPr>
              <w:t xml:space="preserve"> </w:t>
            </w:r>
            <w:proofErr w:type="spellStart"/>
            <w:r w:rsidRPr="00600702">
              <w:rPr>
                <w:sz w:val="28"/>
                <w:szCs w:val="28"/>
                <w:lang w:eastAsia="ru-RU"/>
              </w:rPr>
              <w:t>ultimul</w:t>
            </w:r>
            <w:proofErr w:type="spellEnd"/>
            <w:r w:rsidRPr="00600702">
              <w:rPr>
                <w:sz w:val="28"/>
                <w:szCs w:val="28"/>
                <w:lang w:eastAsia="ru-RU"/>
              </w:rPr>
              <w:t xml:space="preserve"> </w:t>
            </w:r>
            <w:proofErr w:type="spellStart"/>
            <w:r w:rsidRPr="00600702">
              <w:rPr>
                <w:sz w:val="28"/>
                <w:szCs w:val="28"/>
                <w:lang w:eastAsia="ru-RU"/>
              </w:rPr>
              <w:t>timp</w:t>
            </w:r>
            <w:proofErr w:type="spellEnd"/>
            <w:r w:rsidRPr="00600702">
              <w:rPr>
                <w:sz w:val="28"/>
                <w:szCs w:val="28"/>
                <w:lang w:eastAsia="ru-RU"/>
              </w:rPr>
              <w:t xml:space="preserve"> </w:t>
            </w:r>
            <w:proofErr w:type="spellStart"/>
            <w:r w:rsidRPr="00600702">
              <w:rPr>
                <w:sz w:val="28"/>
                <w:szCs w:val="28"/>
                <w:lang w:eastAsia="ru-RU"/>
              </w:rPr>
              <w:t>şi</w:t>
            </w:r>
            <w:proofErr w:type="spellEnd"/>
            <w:r w:rsidRPr="00600702">
              <w:rPr>
                <w:sz w:val="28"/>
                <w:szCs w:val="28"/>
                <w:lang w:eastAsia="ru-RU"/>
              </w:rPr>
              <w:t xml:space="preserve"> au </w:t>
            </w:r>
            <w:proofErr w:type="spellStart"/>
            <w:r w:rsidRPr="00600702">
              <w:rPr>
                <w:sz w:val="28"/>
                <w:szCs w:val="28"/>
                <w:lang w:eastAsia="ru-RU"/>
              </w:rPr>
              <w:t>fost</w:t>
            </w:r>
            <w:proofErr w:type="spellEnd"/>
            <w:r w:rsidRPr="00600702">
              <w:rPr>
                <w:sz w:val="28"/>
                <w:szCs w:val="28"/>
                <w:lang w:eastAsia="ru-RU"/>
              </w:rPr>
              <w:t xml:space="preserve"> </w:t>
            </w:r>
            <w:proofErr w:type="spellStart"/>
            <w:r w:rsidRPr="00600702">
              <w:rPr>
                <w:sz w:val="28"/>
                <w:szCs w:val="28"/>
                <w:lang w:eastAsia="ru-RU"/>
              </w:rPr>
              <w:t>impuşi</w:t>
            </w:r>
            <w:proofErr w:type="spellEnd"/>
            <w:r w:rsidRPr="00600702">
              <w:rPr>
                <w:sz w:val="28"/>
                <w:szCs w:val="28"/>
                <w:lang w:eastAsia="ru-RU"/>
              </w:rPr>
              <w:t xml:space="preserve"> </w:t>
            </w:r>
            <w:proofErr w:type="spellStart"/>
            <w:r w:rsidRPr="00600702">
              <w:rPr>
                <w:sz w:val="28"/>
                <w:szCs w:val="28"/>
                <w:lang w:eastAsia="ru-RU"/>
              </w:rPr>
              <w:t>să</w:t>
            </w:r>
            <w:proofErr w:type="spellEnd"/>
            <w:r w:rsidRPr="00600702">
              <w:rPr>
                <w:sz w:val="28"/>
                <w:szCs w:val="28"/>
                <w:lang w:eastAsia="ru-RU"/>
              </w:rPr>
              <w:t xml:space="preserve"> </w:t>
            </w:r>
            <w:proofErr w:type="spellStart"/>
            <w:r w:rsidRPr="00600702">
              <w:rPr>
                <w:sz w:val="28"/>
                <w:szCs w:val="28"/>
                <w:lang w:eastAsia="ru-RU"/>
              </w:rPr>
              <w:t>armonizeze</w:t>
            </w:r>
            <w:proofErr w:type="spellEnd"/>
            <w:r w:rsidRPr="00600702">
              <w:rPr>
                <w:sz w:val="28"/>
                <w:szCs w:val="28"/>
                <w:lang w:eastAsia="ru-RU"/>
              </w:rPr>
              <w:t xml:space="preserve"> </w:t>
            </w:r>
            <w:proofErr w:type="spellStart"/>
            <w:r w:rsidRPr="00600702">
              <w:rPr>
                <w:sz w:val="28"/>
                <w:szCs w:val="28"/>
                <w:lang w:eastAsia="ru-RU"/>
              </w:rPr>
              <w:t>legislaţia</w:t>
            </w:r>
            <w:proofErr w:type="spellEnd"/>
            <w:r w:rsidRPr="00600702">
              <w:rPr>
                <w:sz w:val="28"/>
                <w:szCs w:val="28"/>
                <w:lang w:eastAsia="ru-RU"/>
              </w:rPr>
              <w:t xml:space="preserve"> </w:t>
            </w:r>
            <w:proofErr w:type="spellStart"/>
            <w:r w:rsidRPr="00600702">
              <w:rPr>
                <w:sz w:val="28"/>
                <w:szCs w:val="28"/>
                <w:lang w:eastAsia="ru-RU"/>
              </w:rPr>
              <w:t>naţională</w:t>
            </w:r>
            <w:proofErr w:type="spellEnd"/>
            <w:r w:rsidRPr="00600702">
              <w:rPr>
                <w:sz w:val="28"/>
                <w:szCs w:val="28"/>
                <w:lang w:eastAsia="ru-RU"/>
              </w:rPr>
              <w:t xml:space="preserve"> cu </w:t>
            </w:r>
            <w:proofErr w:type="spellStart"/>
            <w:r w:rsidRPr="00600702">
              <w:rPr>
                <w:sz w:val="28"/>
                <w:szCs w:val="28"/>
                <w:lang w:eastAsia="ru-RU"/>
              </w:rPr>
              <w:t>cea</w:t>
            </w:r>
            <w:proofErr w:type="spellEnd"/>
            <w:r w:rsidRPr="00600702">
              <w:rPr>
                <w:sz w:val="28"/>
                <w:szCs w:val="28"/>
                <w:lang w:eastAsia="ru-RU"/>
              </w:rPr>
              <w:t xml:space="preserve"> </w:t>
            </w:r>
            <w:proofErr w:type="spellStart"/>
            <w:r w:rsidRPr="00600702">
              <w:rPr>
                <w:sz w:val="28"/>
                <w:szCs w:val="28"/>
                <w:lang w:eastAsia="ru-RU"/>
              </w:rPr>
              <w:t>europeană</w:t>
            </w:r>
            <w:proofErr w:type="spellEnd"/>
            <w:r w:rsidRPr="00600702">
              <w:rPr>
                <w:sz w:val="28"/>
                <w:szCs w:val="28"/>
                <w:lang w:eastAsia="ru-RU"/>
              </w:rPr>
              <w:t xml:space="preserve">, </w:t>
            </w:r>
            <w:proofErr w:type="spellStart"/>
            <w:r w:rsidRPr="00600702">
              <w:rPr>
                <w:sz w:val="28"/>
                <w:szCs w:val="28"/>
                <w:lang w:eastAsia="ru-RU"/>
              </w:rPr>
              <w:t>aprobarea</w:t>
            </w:r>
            <w:proofErr w:type="spellEnd"/>
            <w:r w:rsidRPr="00600702">
              <w:rPr>
                <w:sz w:val="28"/>
                <w:szCs w:val="28"/>
                <w:lang w:eastAsia="ru-RU"/>
              </w:rPr>
              <w:t xml:space="preserve"> </w:t>
            </w:r>
            <w:proofErr w:type="spellStart"/>
            <w:r w:rsidRPr="00600702">
              <w:rPr>
                <w:sz w:val="28"/>
                <w:szCs w:val="28"/>
                <w:lang w:eastAsia="ru-RU"/>
              </w:rPr>
              <w:t>proiectului</w:t>
            </w:r>
            <w:proofErr w:type="spellEnd"/>
            <w:r w:rsidRPr="00600702">
              <w:rPr>
                <w:sz w:val="28"/>
                <w:szCs w:val="28"/>
                <w:lang w:eastAsia="ru-RU"/>
              </w:rPr>
              <w:t xml:space="preserve"> </w:t>
            </w:r>
            <w:proofErr w:type="spellStart"/>
            <w:r w:rsidRPr="00600702">
              <w:rPr>
                <w:sz w:val="28"/>
                <w:szCs w:val="28"/>
                <w:lang w:eastAsia="ru-RU"/>
              </w:rPr>
              <w:t>propus</w:t>
            </w:r>
            <w:proofErr w:type="spellEnd"/>
            <w:r w:rsidRPr="00600702">
              <w:rPr>
                <w:sz w:val="28"/>
                <w:szCs w:val="28"/>
                <w:lang w:eastAsia="ru-RU"/>
              </w:rPr>
              <w:t xml:space="preserve"> nu </w:t>
            </w:r>
            <w:proofErr w:type="spellStart"/>
            <w:r w:rsidRPr="00600702">
              <w:rPr>
                <w:sz w:val="28"/>
                <w:szCs w:val="28"/>
                <w:lang w:eastAsia="ru-RU"/>
              </w:rPr>
              <w:t>va</w:t>
            </w:r>
            <w:proofErr w:type="spellEnd"/>
            <w:r w:rsidRPr="00600702">
              <w:rPr>
                <w:sz w:val="28"/>
                <w:szCs w:val="28"/>
                <w:lang w:eastAsia="ru-RU"/>
              </w:rPr>
              <w:t xml:space="preserve"> </w:t>
            </w:r>
            <w:proofErr w:type="spellStart"/>
            <w:r w:rsidRPr="00600702">
              <w:rPr>
                <w:sz w:val="28"/>
                <w:szCs w:val="28"/>
                <w:lang w:eastAsia="ru-RU"/>
              </w:rPr>
              <w:t>atrage</w:t>
            </w:r>
            <w:proofErr w:type="spellEnd"/>
            <w:r w:rsidRPr="00600702">
              <w:rPr>
                <w:sz w:val="28"/>
                <w:szCs w:val="28"/>
                <w:lang w:eastAsia="ru-RU"/>
              </w:rPr>
              <w:t xml:space="preserve"> </w:t>
            </w:r>
            <w:proofErr w:type="spellStart"/>
            <w:r w:rsidRPr="00600702">
              <w:rPr>
                <w:sz w:val="28"/>
                <w:szCs w:val="28"/>
                <w:lang w:eastAsia="ru-RU"/>
              </w:rPr>
              <w:t>cheltuieli</w:t>
            </w:r>
            <w:proofErr w:type="spellEnd"/>
            <w:r w:rsidRPr="00600702">
              <w:rPr>
                <w:sz w:val="28"/>
                <w:szCs w:val="28"/>
                <w:lang w:eastAsia="ru-RU"/>
              </w:rPr>
              <w:t xml:space="preserve"> </w:t>
            </w:r>
            <w:proofErr w:type="spellStart"/>
            <w:r w:rsidRPr="00600702">
              <w:rPr>
                <w:sz w:val="28"/>
                <w:szCs w:val="28"/>
                <w:lang w:eastAsia="ru-RU"/>
              </w:rPr>
              <w:t>semnificative</w:t>
            </w:r>
            <w:proofErr w:type="spellEnd"/>
            <w:r w:rsidRPr="00600702">
              <w:rPr>
                <w:sz w:val="28"/>
                <w:szCs w:val="28"/>
                <w:lang w:eastAsia="ru-RU"/>
              </w:rPr>
              <w:t xml:space="preserve">. </w:t>
            </w:r>
          </w:p>
          <w:p w:rsidR="00CF7CD6" w:rsidRPr="00600702" w:rsidRDefault="00CF7CD6" w:rsidP="00CF7CD6">
            <w:pPr>
              <w:tabs>
                <w:tab w:val="left" w:pos="567"/>
                <w:tab w:val="left" w:pos="900"/>
              </w:tabs>
              <w:ind w:firstLine="14"/>
              <w:jc w:val="both"/>
              <w:rPr>
                <w:sz w:val="28"/>
                <w:szCs w:val="28"/>
                <w:lang w:val="ro-MD" w:eastAsia="ru-RU"/>
              </w:rPr>
            </w:pPr>
            <w:r w:rsidRPr="00600702">
              <w:rPr>
                <w:sz w:val="28"/>
                <w:szCs w:val="28"/>
                <w:lang w:val="ro-RO" w:eastAsia="ru-RU"/>
              </w:rPr>
              <w:tab/>
            </w:r>
            <w:r w:rsidRPr="00600702">
              <w:rPr>
                <w:sz w:val="28"/>
                <w:szCs w:val="28"/>
                <w:lang w:val="ro-MD" w:eastAsia="ru-RU"/>
              </w:rPr>
              <w:t xml:space="preserve">Intervenţia statului prin elaborarea şi aprobarea </w:t>
            </w:r>
            <w:r w:rsidRPr="00600702">
              <w:rPr>
                <w:sz w:val="28"/>
                <w:szCs w:val="28"/>
                <w:lang w:val="ro-RO"/>
              </w:rPr>
              <w:t>proiectului Hotărârii Guvernului cu privire</w:t>
            </w:r>
            <w:r w:rsidR="002D5CEB" w:rsidRPr="00600702">
              <w:rPr>
                <w:sz w:val="28"/>
                <w:szCs w:val="28"/>
                <w:lang w:val="ro-RO"/>
              </w:rPr>
              <w:t xml:space="preserve"> </w:t>
            </w:r>
            <w:r w:rsidRPr="00600702">
              <w:rPr>
                <w:sz w:val="28"/>
                <w:szCs w:val="28"/>
                <w:lang w:val="ro-RO"/>
              </w:rPr>
              <w:t xml:space="preserve">la aprobarea Reglementării tehnice privind </w:t>
            </w:r>
            <w:r w:rsidRPr="00600702">
              <w:rPr>
                <w:rFonts w:eastAsia="Arial Unicode MS"/>
                <w:bCs/>
                <w:sz w:val="28"/>
                <w:szCs w:val="28"/>
                <w:lang w:val="ro-RO" w:eastAsia="ro-RO"/>
              </w:rPr>
              <w:t xml:space="preserve">echipamente sub presiune transportabile </w:t>
            </w:r>
            <w:r w:rsidRPr="00600702">
              <w:rPr>
                <w:sz w:val="28"/>
                <w:szCs w:val="28"/>
                <w:lang w:val="ro-MD" w:eastAsia="ru-RU"/>
              </w:rPr>
              <w:t>va avea ca efect corelarea cadrului normativ cu prevederile Directivei 2010/35/UE și astfel alinierea la cadrul legal european.</w:t>
            </w:r>
          </w:p>
          <w:p w:rsidR="001B3283" w:rsidRPr="00600702" w:rsidRDefault="00CF7CD6" w:rsidP="00CF7CD6">
            <w:pPr>
              <w:ind w:firstLine="567"/>
              <w:jc w:val="both"/>
              <w:rPr>
                <w:sz w:val="28"/>
                <w:szCs w:val="28"/>
                <w:lang w:val="ro-MD" w:eastAsia="ru-RU"/>
              </w:rPr>
            </w:pPr>
            <w:r w:rsidRPr="00600702">
              <w:rPr>
                <w:sz w:val="28"/>
                <w:szCs w:val="28"/>
                <w:lang w:val="ro-MD" w:eastAsia="ru-RU"/>
              </w:rPr>
              <w:t>De asemenea, prin acțiunile propuse, statul creează un mecanism de interacțiune dintre agenții economici, care produc, importă, instalează, distribuție, sunt reprezentanți autorizați, organismele de evaluarea conformității ce fac parte a Directivei nominalizate, pe de o parte și instituțiile de stat abilitate cu funcții de reglementare, monitorizare, control și supravegherea pieței, pe de altă parte.</w:t>
            </w:r>
          </w:p>
          <w:p w:rsidR="001B3283" w:rsidRPr="00600702" w:rsidRDefault="00CF7CD6" w:rsidP="001B3283">
            <w:pPr>
              <w:pStyle w:val="NoSpacing"/>
              <w:tabs>
                <w:tab w:val="left" w:pos="554"/>
              </w:tabs>
              <w:jc w:val="both"/>
              <w:rPr>
                <w:rFonts w:ascii="Times New Roman" w:hAnsi="Times New Roman"/>
                <w:sz w:val="28"/>
                <w:szCs w:val="28"/>
                <w:lang w:val="ro-RO"/>
              </w:rPr>
            </w:pPr>
            <w:r w:rsidRPr="00600702">
              <w:rPr>
                <w:sz w:val="28"/>
                <w:szCs w:val="28"/>
                <w:lang w:val="ro-MD" w:eastAsia="ru-RU"/>
              </w:rPr>
              <w:t xml:space="preserve"> </w:t>
            </w:r>
            <w:r w:rsidR="001B3283" w:rsidRPr="00600702">
              <w:rPr>
                <w:sz w:val="28"/>
                <w:szCs w:val="28"/>
                <w:lang w:val="ro-MD" w:eastAsia="ru-RU"/>
              </w:rPr>
              <w:t xml:space="preserve">       </w:t>
            </w:r>
            <w:r w:rsidR="001B3283" w:rsidRPr="00600702">
              <w:rPr>
                <w:rFonts w:ascii="Times New Roman" w:hAnsi="Times New Roman"/>
                <w:sz w:val="28"/>
                <w:szCs w:val="28"/>
                <w:lang w:val="ro-RO"/>
              </w:rPr>
              <w:t xml:space="preserve">Ca beneficiu poate fi considerat acel fapt că agenții economici specializați își vor desfășura activitățile calitativ și în strictă conformitate cu prevederile legale, ceea ce va permite prevenirea posibilelor situații de avarie și excluderea riscurilor posibile.  </w:t>
            </w:r>
          </w:p>
          <w:p w:rsidR="001B3283" w:rsidRPr="00600702" w:rsidRDefault="001B3283" w:rsidP="001B3283">
            <w:pPr>
              <w:pStyle w:val="NoSpacing"/>
              <w:jc w:val="both"/>
              <w:rPr>
                <w:rFonts w:ascii="Times New Roman" w:hAnsi="Times New Roman"/>
                <w:sz w:val="28"/>
                <w:szCs w:val="28"/>
                <w:lang w:val="ro-RO"/>
              </w:rPr>
            </w:pPr>
            <w:r w:rsidRPr="00600702">
              <w:rPr>
                <w:rFonts w:ascii="Times New Roman" w:hAnsi="Times New Roman"/>
                <w:sz w:val="28"/>
                <w:szCs w:val="28"/>
                <w:lang w:val="ro-RO"/>
              </w:rPr>
              <w:t xml:space="preserve">        De asemenea, proiectul propus va permite excluderea abuzului din partea organelor de control și a grupurilor de agenți economici dominanți, deoarece sunt descrise vizibil responsabilitățile tuturor părților implicate în procesul de exploatare a echipamentelor sub presiune transportabile.</w:t>
            </w:r>
          </w:p>
          <w:p w:rsidR="001B3283" w:rsidRPr="00600702" w:rsidRDefault="001B3283" w:rsidP="001B3283">
            <w:pPr>
              <w:pStyle w:val="NoSpacing"/>
              <w:jc w:val="both"/>
              <w:rPr>
                <w:rFonts w:ascii="Times New Roman" w:hAnsi="Times New Roman"/>
                <w:sz w:val="28"/>
                <w:szCs w:val="28"/>
                <w:lang w:val="ro-RO"/>
              </w:rPr>
            </w:pPr>
            <w:r w:rsidRPr="00600702">
              <w:rPr>
                <w:rFonts w:ascii="Times New Roman" w:hAnsi="Times New Roman"/>
                <w:sz w:val="28"/>
                <w:szCs w:val="28"/>
                <w:lang w:val="ro-RO"/>
              </w:rPr>
              <w:t xml:space="preserve">        O atenție deosebită o prezintă faptul că cerințele de securitate, complexul de măsuri necesar de îndeplinit pentru buna funcționare a echipamentelor sub presiune transportabile și funcțiile, responsabilitățile și obligațiunile expuse concret față de agenții economici specializați și beneficiarii  echipamentelor sub presiune transportabile (asociațiile de proprietari și/sau persoanele fizice) vor permite delimitarea atribuțiilor fiecărei părți cointeresate și astfel o claritate în toate activitățile desfășurate din fiecare din ei.</w:t>
            </w:r>
          </w:p>
          <w:p w:rsidR="000A400A" w:rsidRPr="00600702" w:rsidRDefault="000A400A" w:rsidP="000A400A">
            <w:pPr>
              <w:tabs>
                <w:tab w:val="left" w:pos="569"/>
              </w:tabs>
              <w:jc w:val="both"/>
              <w:rPr>
                <w:b/>
                <w:sz w:val="28"/>
                <w:szCs w:val="28"/>
              </w:rPr>
            </w:pPr>
            <w:r w:rsidRPr="00600702">
              <w:rPr>
                <w:sz w:val="28"/>
                <w:szCs w:val="28"/>
                <w:lang w:val="ro-RO"/>
              </w:rPr>
              <w:t xml:space="preserve">        Ca </w:t>
            </w:r>
            <w:proofErr w:type="spellStart"/>
            <w:r w:rsidRPr="00600702">
              <w:rPr>
                <w:sz w:val="28"/>
                <w:szCs w:val="28"/>
                <w:lang w:val="ro-RO"/>
              </w:rPr>
              <w:t>benificiu</w:t>
            </w:r>
            <w:proofErr w:type="spellEnd"/>
            <w:r w:rsidRPr="00600702">
              <w:rPr>
                <w:sz w:val="28"/>
                <w:szCs w:val="28"/>
                <w:lang w:val="ro-RO"/>
              </w:rPr>
              <w:t xml:space="preserve"> poate fi considerat </w:t>
            </w:r>
            <w:r w:rsidRPr="00600702">
              <w:rPr>
                <w:sz w:val="28"/>
                <w:szCs w:val="28"/>
                <w:lang w:val="ro-RO" w:eastAsia="ro-RO"/>
              </w:rPr>
              <w:t xml:space="preserve">asigurarea </w:t>
            </w:r>
            <w:proofErr w:type="spellStart"/>
            <w:r w:rsidRPr="00600702">
              <w:rPr>
                <w:sz w:val="28"/>
                <w:szCs w:val="28"/>
                <w:lang w:val="ro-RO" w:eastAsia="ro-RO"/>
              </w:rPr>
              <w:t>stabilităţii</w:t>
            </w:r>
            <w:proofErr w:type="spellEnd"/>
            <w:r w:rsidRPr="00600702">
              <w:rPr>
                <w:sz w:val="28"/>
                <w:szCs w:val="28"/>
                <w:lang w:val="ro-RO" w:eastAsia="ro-RO"/>
              </w:rPr>
              <w:t xml:space="preserve"> </w:t>
            </w:r>
            <w:proofErr w:type="spellStart"/>
            <w:r w:rsidRPr="00600702">
              <w:rPr>
                <w:sz w:val="28"/>
                <w:szCs w:val="28"/>
                <w:lang w:val="ro-RO" w:eastAsia="ro-RO"/>
              </w:rPr>
              <w:t>şi</w:t>
            </w:r>
            <w:proofErr w:type="spellEnd"/>
            <w:r w:rsidRPr="00600702">
              <w:rPr>
                <w:sz w:val="28"/>
                <w:szCs w:val="28"/>
                <w:lang w:val="ro-RO" w:eastAsia="ro-RO"/>
              </w:rPr>
              <w:t xml:space="preserve"> a </w:t>
            </w:r>
            <w:proofErr w:type="spellStart"/>
            <w:r w:rsidRPr="00600702">
              <w:rPr>
                <w:sz w:val="28"/>
                <w:szCs w:val="28"/>
                <w:lang w:val="ro-RO" w:eastAsia="ro-RO"/>
              </w:rPr>
              <w:t>proporţionalităţii</w:t>
            </w:r>
            <w:proofErr w:type="spellEnd"/>
            <w:r w:rsidRPr="00600702">
              <w:rPr>
                <w:sz w:val="28"/>
                <w:szCs w:val="28"/>
                <w:lang w:val="ro-RO" w:eastAsia="ro-RO"/>
              </w:rPr>
              <w:t xml:space="preserve"> actului normativ vizat, prin aplicarea principiilor </w:t>
            </w:r>
            <w:proofErr w:type="spellStart"/>
            <w:r w:rsidRPr="00600702">
              <w:rPr>
                <w:sz w:val="28"/>
                <w:szCs w:val="28"/>
                <w:lang w:val="ro-RO" w:eastAsia="ro-RO"/>
              </w:rPr>
              <w:t>previzibilităţii</w:t>
            </w:r>
            <w:proofErr w:type="spellEnd"/>
            <w:r w:rsidRPr="00600702">
              <w:rPr>
                <w:sz w:val="28"/>
                <w:szCs w:val="28"/>
                <w:lang w:val="ro-RO" w:eastAsia="ro-RO"/>
              </w:rPr>
              <w:t xml:space="preserve">, </w:t>
            </w:r>
            <w:proofErr w:type="spellStart"/>
            <w:r w:rsidRPr="00600702">
              <w:rPr>
                <w:sz w:val="28"/>
                <w:szCs w:val="28"/>
                <w:lang w:val="ro-RO" w:eastAsia="ro-RO"/>
              </w:rPr>
              <w:t>transparenţei</w:t>
            </w:r>
            <w:proofErr w:type="spellEnd"/>
            <w:r w:rsidRPr="00600702">
              <w:rPr>
                <w:sz w:val="28"/>
                <w:szCs w:val="28"/>
                <w:lang w:val="ro-RO" w:eastAsia="ro-RO"/>
              </w:rPr>
              <w:t xml:space="preserve"> decizionale </w:t>
            </w:r>
            <w:proofErr w:type="spellStart"/>
            <w:r w:rsidRPr="00600702">
              <w:rPr>
                <w:sz w:val="28"/>
                <w:szCs w:val="28"/>
                <w:lang w:val="ro-RO" w:eastAsia="ro-RO"/>
              </w:rPr>
              <w:t>şi</w:t>
            </w:r>
            <w:proofErr w:type="spellEnd"/>
            <w:r w:rsidRPr="00600702">
              <w:rPr>
                <w:sz w:val="28"/>
                <w:szCs w:val="28"/>
                <w:lang w:val="ro-RO" w:eastAsia="ro-RO"/>
              </w:rPr>
              <w:t xml:space="preserve"> de reglementare, precum </w:t>
            </w:r>
            <w:proofErr w:type="spellStart"/>
            <w:r w:rsidRPr="00600702">
              <w:rPr>
                <w:sz w:val="28"/>
                <w:szCs w:val="28"/>
                <w:lang w:val="ro-RO" w:eastAsia="ro-RO"/>
              </w:rPr>
              <w:t>şi</w:t>
            </w:r>
            <w:proofErr w:type="spellEnd"/>
            <w:r w:rsidRPr="00600702">
              <w:rPr>
                <w:sz w:val="28"/>
                <w:szCs w:val="28"/>
                <w:lang w:val="ro-RO" w:eastAsia="ro-RO"/>
              </w:rPr>
              <w:t xml:space="preserve"> prin asigurarea intereselor </w:t>
            </w:r>
            <w:proofErr w:type="spellStart"/>
            <w:r w:rsidRPr="00600702">
              <w:rPr>
                <w:sz w:val="28"/>
                <w:szCs w:val="28"/>
                <w:lang w:val="ro-RO" w:eastAsia="ro-RO"/>
              </w:rPr>
              <w:t>societăţii</w:t>
            </w:r>
            <w:proofErr w:type="spellEnd"/>
            <w:r w:rsidRPr="00600702">
              <w:rPr>
                <w:sz w:val="28"/>
                <w:szCs w:val="28"/>
                <w:lang w:val="ro-RO" w:eastAsia="ro-RO"/>
              </w:rPr>
              <w:t xml:space="preserve"> </w:t>
            </w:r>
            <w:proofErr w:type="spellStart"/>
            <w:r w:rsidRPr="00600702">
              <w:rPr>
                <w:sz w:val="28"/>
                <w:szCs w:val="28"/>
                <w:lang w:val="ro-RO" w:eastAsia="ro-RO"/>
              </w:rPr>
              <w:t>şi</w:t>
            </w:r>
            <w:proofErr w:type="spellEnd"/>
            <w:r w:rsidRPr="00600702">
              <w:rPr>
                <w:sz w:val="28"/>
                <w:szCs w:val="28"/>
                <w:lang w:val="ro-RO" w:eastAsia="ro-RO"/>
              </w:rPr>
              <w:t xml:space="preserve"> a întreprinzătorilor cu o </w:t>
            </w:r>
            <w:proofErr w:type="spellStart"/>
            <w:r w:rsidRPr="00600702">
              <w:rPr>
                <w:sz w:val="28"/>
                <w:szCs w:val="28"/>
                <w:lang w:val="ro-RO" w:eastAsia="ro-RO"/>
              </w:rPr>
              <w:t>reputaţie</w:t>
            </w:r>
            <w:proofErr w:type="spellEnd"/>
            <w:r w:rsidRPr="00600702">
              <w:rPr>
                <w:sz w:val="28"/>
                <w:szCs w:val="28"/>
                <w:lang w:val="ro-RO" w:eastAsia="ro-RO"/>
              </w:rPr>
              <w:t xml:space="preserve"> bună (sau care râvnesc spre aceasta) pe </w:t>
            </w:r>
            <w:proofErr w:type="spellStart"/>
            <w:r w:rsidRPr="00600702">
              <w:rPr>
                <w:sz w:val="28"/>
                <w:szCs w:val="28"/>
                <w:lang w:val="ro-RO" w:eastAsia="ro-RO"/>
              </w:rPr>
              <w:t>piaţa</w:t>
            </w:r>
            <w:proofErr w:type="spellEnd"/>
            <w:r w:rsidRPr="00600702">
              <w:rPr>
                <w:sz w:val="28"/>
                <w:szCs w:val="28"/>
                <w:lang w:val="ro-RO" w:eastAsia="ro-RO"/>
              </w:rPr>
              <w:t>.</w:t>
            </w:r>
            <w:r w:rsidRPr="00600702">
              <w:rPr>
                <w:b/>
                <w:sz w:val="28"/>
                <w:szCs w:val="28"/>
              </w:rPr>
              <w:t xml:space="preserve"> </w:t>
            </w:r>
          </w:p>
          <w:p w:rsidR="00CF7CD6" w:rsidRPr="00600702" w:rsidRDefault="000A400A" w:rsidP="00CD0C0C">
            <w:pPr>
              <w:tabs>
                <w:tab w:val="left" w:pos="569"/>
              </w:tabs>
              <w:jc w:val="both"/>
              <w:rPr>
                <w:sz w:val="28"/>
                <w:szCs w:val="28"/>
                <w:lang w:val="ro-RO"/>
              </w:rPr>
            </w:pPr>
            <w:r w:rsidRPr="00600702">
              <w:rPr>
                <w:sz w:val="28"/>
                <w:szCs w:val="28"/>
                <w:lang w:val="ro-RO" w:eastAsia="ro-RO"/>
              </w:rPr>
              <w:t xml:space="preserve">        </w:t>
            </w:r>
            <w:r w:rsidR="001B3283" w:rsidRPr="00600702">
              <w:rPr>
                <w:sz w:val="28"/>
                <w:szCs w:val="28"/>
                <w:lang w:val="ro-RO"/>
              </w:rPr>
              <w:t xml:space="preserve">După părerea noastră, prevederile proiectului vor da posibilitate de a se dezvolta micul business, precum și micșorarea tarifelor și costurilor adiacente pentru exploatarea în siguranță a </w:t>
            </w:r>
            <w:r w:rsidR="001B3283" w:rsidRPr="00600702">
              <w:rPr>
                <w:sz w:val="28"/>
                <w:szCs w:val="28"/>
                <w:lang w:val="ro-RO"/>
              </w:rPr>
              <w:lastRenderedPageBreak/>
              <w:t>echipamentelor sub presiune transportabile.</w:t>
            </w:r>
          </w:p>
          <w:p w:rsidR="00CF7CD6" w:rsidRPr="00600702" w:rsidRDefault="00CF7CD6" w:rsidP="00CF7CD6">
            <w:pPr>
              <w:tabs>
                <w:tab w:val="left" w:pos="567"/>
              </w:tabs>
              <w:ind w:firstLine="567"/>
              <w:jc w:val="both"/>
              <w:rPr>
                <w:sz w:val="28"/>
                <w:szCs w:val="28"/>
                <w:lang w:val="en-US" w:eastAsia="ru-RU"/>
              </w:rPr>
            </w:pPr>
            <w:r w:rsidRPr="00600702">
              <w:rPr>
                <w:sz w:val="28"/>
                <w:szCs w:val="28"/>
                <w:lang w:val="ro-MD" w:eastAsia="ru-RU"/>
              </w:rPr>
              <w:t xml:space="preserve">În rezultat, se va mări capacitatea de reacție în cazul depistării unor neconformități formale și respectiv minimizarea cheltuielilor de recuperare a prejudiciului posibil cauzat. </w:t>
            </w:r>
          </w:p>
          <w:p w:rsidR="00CF7CD6" w:rsidRPr="00600702" w:rsidRDefault="00CF7CD6" w:rsidP="00CF7CD6">
            <w:pPr>
              <w:tabs>
                <w:tab w:val="left" w:pos="544"/>
              </w:tabs>
              <w:jc w:val="both"/>
              <w:rPr>
                <w:sz w:val="28"/>
                <w:szCs w:val="28"/>
                <w:lang w:val="ro-RO" w:eastAsia="ru-RU"/>
              </w:rPr>
            </w:pPr>
            <w:r w:rsidRPr="00600702">
              <w:rPr>
                <w:sz w:val="28"/>
                <w:szCs w:val="28"/>
                <w:lang w:val="ro-RO" w:eastAsia="ru-RU"/>
              </w:rPr>
              <w:t xml:space="preserve">        Din bugetul de stat va fi necesară alocarea costurilor aferente publicării </w:t>
            </w:r>
            <w:r w:rsidRPr="00600702">
              <w:rPr>
                <w:sz w:val="28"/>
                <w:szCs w:val="28"/>
                <w:lang w:val="ro-RO"/>
              </w:rPr>
              <w:t xml:space="preserve">proiectului Hotărârii Guvernului cu privire la aprobarea Reglementării tehnice privind </w:t>
            </w:r>
            <w:r w:rsidRPr="00600702">
              <w:rPr>
                <w:rFonts w:eastAsia="Arial Unicode MS"/>
                <w:bCs/>
                <w:sz w:val="28"/>
                <w:szCs w:val="28"/>
                <w:lang w:val="ro-RO" w:eastAsia="ro-RO"/>
              </w:rPr>
              <w:t>echipamente sub presiune transportabile</w:t>
            </w:r>
            <w:r w:rsidRPr="00600702">
              <w:rPr>
                <w:sz w:val="28"/>
                <w:szCs w:val="28"/>
                <w:lang w:val="ro-RO" w:eastAsia="ru-RU"/>
              </w:rPr>
              <w:t>.</w:t>
            </w:r>
          </w:p>
          <w:p w:rsidR="0058391B" w:rsidRPr="00600702" w:rsidRDefault="00CF7CD6" w:rsidP="00AD0FA8">
            <w:pPr>
              <w:ind w:firstLine="602"/>
              <w:jc w:val="both"/>
              <w:rPr>
                <w:sz w:val="28"/>
                <w:szCs w:val="28"/>
                <w:lang w:val="it-IT"/>
              </w:rPr>
            </w:pPr>
            <w:r w:rsidRPr="00600702">
              <w:rPr>
                <w:sz w:val="28"/>
                <w:szCs w:val="28"/>
                <w:lang w:val="ro-RO" w:eastAsia="ru-RU"/>
              </w:rPr>
              <w:t>Se recomandă ca proiectul actului propus să între în vigoare peste 24 luni de la data publicării acestuia.</w:t>
            </w:r>
            <w:r w:rsidRPr="00600702">
              <w:rPr>
                <w:sz w:val="28"/>
                <w:szCs w:val="28"/>
              </w:rPr>
              <w:t xml:space="preserve">     </w:t>
            </w:r>
            <w:r w:rsidR="00A972C9" w:rsidRPr="00600702">
              <w:rPr>
                <w:sz w:val="28"/>
                <w:szCs w:val="28"/>
              </w:rPr>
              <w:tab/>
            </w:r>
          </w:p>
        </w:tc>
      </w:tr>
      <w:tr w:rsidR="0058391B" w:rsidRPr="00600702">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600702" w:rsidRDefault="00142A43" w:rsidP="00142A43">
            <w:pPr>
              <w:jc w:val="center"/>
              <w:rPr>
                <w:sz w:val="28"/>
                <w:szCs w:val="28"/>
                <w:lang w:val="ro-RO"/>
              </w:rPr>
            </w:pPr>
            <w:r w:rsidRPr="00600702">
              <w:rPr>
                <w:b/>
                <w:bCs/>
                <w:sz w:val="28"/>
                <w:szCs w:val="28"/>
                <w:lang w:val="ro-RO"/>
              </w:rPr>
              <w:lastRenderedPageBreak/>
              <w:t>6</w:t>
            </w:r>
            <w:r w:rsidR="0058391B" w:rsidRPr="00600702">
              <w:rPr>
                <w:b/>
                <w:bCs/>
                <w:sz w:val="28"/>
                <w:szCs w:val="28"/>
                <w:lang w:val="ro-RO"/>
              </w:rPr>
              <w:t>. Consultarea</w:t>
            </w:r>
          </w:p>
        </w:tc>
      </w:tr>
      <w:tr w:rsidR="0058391B" w:rsidRPr="003072E7">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72E7" w:rsidRPr="00D67539" w:rsidRDefault="0058391B" w:rsidP="003072E7">
            <w:pPr>
              <w:tabs>
                <w:tab w:val="left" w:pos="1170"/>
              </w:tabs>
              <w:jc w:val="both"/>
              <w:rPr>
                <w:sz w:val="28"/>
                <w:szCs w:val="28"/>
                <w:lang w:val="ro-RO"/>
              </w:rPr>
            </w:pPr>
            <w:r w:rsidRPr="00600702">
              <w:rPr>
                <w:sz w:val="28"/>
                <w:szCs w:val="28"/>
              </w:rPr>
              <w:t xml:space="preserve">       </w:t>
            </w:r>
            <w:r w:rsidRPr="00600702">
              <w:rPr>
                <w:sz w:val="28"/>
                <w:szCs w:val="28"/>
                <w:lang w:val="ro-RO"/>
              </w:rPr>
              <w:t xml:space="preserve">Proiectul Hotărârii Guvernului </w:t>
            </w:r>
            <w:r w:rsidRPr="00600702">
              <w:rPr>
                <w:bCs/>
                <w:sz w:val="28"/>
                <w:szCs w:val="28"/>
                <w:lang w:val="ro-RO"/>
              </w:rPr>
              <w:t xml:space="preserve">cu privire la aprobarea Reglementării tehnice </w:t>
            </w:r>
            <w:r w:rsidRPr="00600702">
              <w:rPr>
                <w:rFonts w:eastAsia="Arial Unicode MS"/>
                <w:bCs/>
                <w:sz w:val="28"/>
                <w:szCs w:val="28"/>
                <w:lang w:val="ro-RO" w:eastAsia="ro-RO"/>
              </w:rPr>
              <w:t>privind echipamente sub presiune transportabile</w:t>
            </w:r>
            <w:r w:rsidRPr="00600702">
              <w:rPr>
                <w:sz w:val="28"/>
                <w:szCs w:val="28"/>
                <w:lang w:val="ro-RO"/>
              </w:rPr>
              <w:t>,</w:t>
            </w:r>
            <w:r w:rsidRPr="00600702">
              <w:rPr>
                <w:sz w:val="28"/>
                <w:szCs w:val="28"/>
                <w:lang w:val="ro-MD"/>
              </w:rPr>
              <w:t xml:space="preserve"> va fi consultat cu autoritățile publice interesate Ministerul Muncii, Protecției Sociale și Familiei, Ministerul Dezvoltării Regionale și Construcțiilor, Ministerul Afacerilor Interne, Ministerul Transporturilor și Infrastructurii Drumurilor,</w:t>
            </w:r>
            <w:r w:rsidRPr="00600702">
              <w:rPr>
                <w:sz w:val="28"/>
                <w:szCs w:val="28"/>
                <w:lang w:val="ro-RO"/>
              </w:rPr>
              <w:t xml:space="preserve"> </w:t>
            </w:r>
            <w:r w:rsidRPr="00600702">
              <w:rPr>
                <w:sz w:val="28"/>
                <w:szCs w:val="28"/>
                <w:lang w:val="en-US"/>
              </w:rPr>
              <w:t>ANRE,</w:t>
            </w:r>
            <w:r w:rsidRPr="00600702">
              <w:rPr>
                <w:sz w:val="28"/>
                <w:szCs w:val="28"/>
                <w:lang w:val="ro-RO"/>
              </w:rPr>
              <w:t xml:space="preserve"> Inspectoratul Principal de Stat pentru Supravegherea Tehnică a Obiectelor Industriale Periculoase, ÎS ”Centrul Tehnic pentru Securitate Industrială și Certificare”</w:t>
            </w:r>
            <w:r w:rsidR="004504BE" w:rsidRPr="00600702">
              <w:rPr>
                <w:sz w:val="28"/>
                <w:szCs w:val="28"/>
                <w:lang w:val="ro-RO"/>
              </w:rPr>
              <w:t>,</w:t>
            </w:r>
            <w:r w:rsidR="004B1F61" w:rsidRPr="00600702">
              <w:rPr>
                <w:sz w:val="28"/>
                <w:szCs w:val="28"/>
              </w:rPr>
              <w:t xml:space="preserve"> </w:t>
            </w:r>
            <w:proofErr w:type="spellStart"/>
            <w:r w:rsidR="004B1F61" w:rsidRPr="00600702">
              <w:rPr>
                <w:sz w:val="28"/>
                <w:szCs w:val="28"/>
              </w:rPr>
              <w:t>Agenția</w:t>
            </w:r>
            <w:proofErr w:type="spellEnd"/>
            <w:r w:rsidR="004B1F61" w:rsidRPr="00600702">
              <w:rPr>
                <w:sz w:val="28"/>
                <w:szCs w:val="28"/>
              </w:rPr>
              <w:t xml:space="preserve"> </w:t>
            </w:r>
            <w:proofErr w:type="spellStart"/>
            <w:r w:rsidR="004B1F61" w:rsidRPr="00600702">
              <w:rPr>
                <w:sz w:val="28"/>
                <w:szCs w:val="28"/>
              </w:rPr>
              <w:t>Națională</w:t>
            </w:r>
            <w:proofErr w:type="spellEnd"/>
            <w:r w:rsidR="004B1F61" w:rsidRPr="00600702">
              <w:rPr>
                <w:sz w:val="28"/>
                <w:szCs w:val="28"/>
              </w:rPr>
              <w:t xml:space="preserve"> Transport Auto, </w:t>
            </w:r>
            <w:proofErr w:type="spellStart"/>
            <w:r w:rsidR="004D6F1A" w:rsidRPr="00600702">
              <w:rPr>
                <w:sz w:val="28"/>
                <w:szCs w:val="28"/>
              </w:rPr>
              <w:t>Asociația</w:t>
            </w:r>
            <w:proofErr w:type="spellEnd"/>
            <w:r w:rsidR="004D6F1A" w:rsidRPr="00600702">
              <w:rPr>
                <w:sz w:val="28"/>
                <w:szCs w:val="28"/>
              </w:rPr>
              <w:t xml:space="preserve"> </w:t>
            </w:r>
            <w:proofErr w:type="spellStart"/>
            <w:r w:rsidR="004D6F1A" w:rsidRPr="00600702">
              <w:rPr>
                <w:sz w:val="28"/>
                <w:szCs w:val="28"/>
              </w:rPr>
              <w:t>Businessului</w:t>
            </w:r>
            <w:proofErr w:type="spellEnd"/>
            <w:r w:rsidR="004D6F1A" w:rsidRPr="00600702">
              <w:rPr>
                <w:sz w:val="28"/>
                <w:szCs w:val="28"/>
              </w:rPr>
              <w:t xml:space="preserve"> European EBA-Moldova, </w:t>
            </w:r>
            <w:proofErr w:type="spellStart"/>
            <w:r w:rsidR="004B1F61" w:rsidRPr="00600702">
              <w:rPr>
                <w:sz w:val="28"/>
                <w:szCs w:val="28"/>
              </w:rPr>
              <w:t>Institutul</w:t>
            </w:r>
            <w:proofErr w:type="spellEnd"/>
            <w:r w:rsidR="004B1F61" w:rsidRPr="00600702">
              <w:rPr>
                <w:sz w:val="28"/>
                <w:szCs w:val="28"/>
              </w:rPr>
              <w:t xml:space="preserve"> de </w:t>
            </w:r>
            <w:proofErr w:type="spellStart"/>
            <w:r w:rsidR="004B1F61" w:rsidRPr="00600702">
              <w:rPr>
                <w:sz w:val="28"/>
                <w:szCs w:val="28"/>
              </w:rPr>
              <w:t>Standardizare</w:t>
            </w:r>
            <w:proofErr w:type="spellEnd"/>
            <w:r w:rsidR="004B1F61" w:rsidRPr="00600702">
              <w:rPr>
                <w:sz w:val="28"/>
                <w:szCs w:val="28"/>
              </w:rPr>
              <w:t xml:space="preserve"> din Moldova</w:t>
            </w:r>
            <w:r w:rsidR="004504BE" w:rsidRPr="00600702">
              <w:rPr>
                <w:sz w:val="28"/>
                <w:szCs w:val="28"/>
                <w:lang w:val="ro-RO"/>
              </w:rPr>
              <w:t xml:space="preserve"> Î.S. ”Calea Ferată din Moldova”</w:t>
            </w:r>
            <w:r w:rsidR="004D6F1A" w:rsidRPr="00600702">
              <w:rPr>
                <w:sz w:val="28"/>
                <w:szCs w:val="28"/>
                <w:lang w:val="ro-RO"/>
              </w:rPr>
              <w:t xml:space="preserve">, </w:t>
            </w:r>
            <w:proofErr w:type="spellStart"/>
            <w:r w:rsidR="004D6F1A" w:rsidRPr="00600702">
              <w:rPr>
                <w:sz w:val="28"/>
                <w:szCs w:val="28"/>
              </w:rPr>
              <w:t>Asociația</w:t>
            </w:r>
            <w:proofErr w:type="spellEnd"/>
            <w:r w:rsidR="004D6F1A" w:rsidRPr="00600702">
              <w:rPr>
                <w:sz w:val="28"/>
                <w:szCs w:val="28"/>
              </w:rPr>
              <w:t xml:space="preserve"> </w:t>
            </w:r>
            <w:proofErr w:type="spellStart"/>
            <w:r w:rsidR="004D6F1A" w:rsidRPr="00600702">
              <w:rPr>
                <w:sz w:val="28"/>
                <w:szCs w:val="28"/>
              </w:rPr>
              <w:t>Oamenilor</w:t>
            </w:r>
            <w:proofErr w:type="spellEnd"/>
            <w:r w:rsidR="004D6F1A" w:rsidRPr="00600702">
              <w:rPr>
                <w:sz w:val="28"/>
                <w:szCs w:val="28"/>
              </w:rPr>
              <w:t xml:space="preserve"> de </w:t>
            </w:r>
            <w:proofErr w:type="spellStart"/>
            <w:r w:rsidR="004D6F1A" w:rsidRPr="00600702">
              <w:rPr>
                <w:sz w:val="28"/>
                <w:szCs w:val="28"/>
              </w:rPr>
              <w:t>Afaceri</w:t>
            </w:r>
            <w:proofErr w:type="spellEnd"/>
            <w:r w:rsidR="004D6F1A" w:rsidRPr="00600702">
              <w:rPr>
                <w:sz w:val="28"/>
                <w:szCs w:val="28"/>
              </w:rPr>
              <w:t xml:space="preserve"> din Moldova</w:t>
            </w:r>
            <w:r w:rsidRPr="00600702">
              <w:rPr>
                <w:sz w:val="28"/>
                <w:szCs w:val="28"/>
              </w:rPr>
              <w:t>.</w:t>
            </w:r>
            <w:r w:rsidRPr="00600702">
              <w:rPr>
                <w:sz w:val="28"/>
                <w:szCs w:val="28"/>
                <w:lang w:val="ro-RO"/>
              </w:rPr>
              <w:t xml:space="preserve"> </w:t>
            </w:r>
            <w:r w:rsidR="00366450" w:rsidRPr="00600702">
              <w:rPr>
                <w:sz w:val="28"/>
                <w:szCs w:val="28"/>
                <w:lang w:val="ro-RO"/>
              </w:rPr>
              <w:t>Totodată proiectul va fi consultat cu</w:t>
            </w:r>
            <w:r w:rsidR="00007CB0" w:rsidRPr="00600702">
              <w:rPr>
                <w:sz w:val="28"/>
                <w:szCs w:val="28"/>
                <w:lang w:val="ro-RO" w:eastAsia="ar-SA"/>
              </w:rPr>
              <w:t xml:space="preserve"> </w:t>
            </w:r>
            <w:proofErr w:type="spellStart"/>
            <w:r w:rsidR="00007CB0" w:rsidRPr="00600702">
              <w:rPr>
                <w:sz w:val="28"/>
                <w:szCs w:val="28"/>
                <w:lang w:val="ro-RO" w:eastAsia="ar-SA"/>
              </w:rPr>
              <w:t>autorităț</w:t>
            </w:r>
            <w:proofErr w:type="spellEnd"/>
            <w:r w:rsidR="00366450" w:rsidRPr="00600702">
              <w:rPr>
                <w:sz w:val="28"/>
                <w:szCs w:val="28"/>
                <w:lang w:val="ro-RO" w:eastAsia="ar-SA"/>
              </w:rPr>
              <w:t>, întreprinderi</w:t>
            </w:r>
            <w:r w:rsidR="00007CB0" w:rsidRPr="00600702">
              <w:rPr>
                <w:sz w:val="28"/>
                <w:szCs w:val="28"/>
                <w:lang w:val="ro-RO" w:eastAsia="ar-SA"/>
              </w:rPr>
              <w:t xml:space="preserve"> şi asociații</w:t>
            </w:r>
            <w:r w:rsidR="00366450" w:rsidRPr="00600702">
              <w:rPr>
                <w:sz w:val="28"/>
                <w:szCs w:val="28"/>
                <w:lang w:val="ro-RO" w:eastAsia="ar-SA"/>
              </w:rPr>
              <w:t xml:space="preserve"> </w:t>
            </w:r>
            <w:r w:rsidR="003072E7" w:rsidRPr="00D67539">
              <w:rPr>
                <w:sz w:val="28"/>
                <w:szCs w:val="28"/>
                <w:lang w:val="ro-RO" w:eastAsia="ar-SA"/>
              </w:rPr>
              <w:t xml:space="preserve">(Gaz Auto Grup SRL, ESSO market Auto, </w:t>
            </w:r>
            <w:r w:rsidR="003072E7" w:rsidRPr="00D67539">
              <w:rPr>
                <w:sz w:val="28"/>
                <w:szCs w:val="28"/>
                <w:lang w:val="ro-RO"/>
              </w:rPr>
              <w:t xml:space="preserve">S.R.L. „TELCOR GRUP”, </w:t>
            </w:r>
            <w:r w:rsidR="003072E7" w:rsidRPr="00560290">
              <w:rPr>
                <w:color w:val="FF0000"/>
                <w:sz w:val="28"/>
                <w:szCs w:val="28"/>
                <w:lang w:val="ro-RO"/>
              </w:rPr>
              <w:t>S.A. „DAAC-HERMES”</w:t>
            </w:r>
            <w:r w:rsidR="003072E7" w:rsidRPr="00D67539">
              <w:rPr>
                <w:sz w:val="28"/>
                <w:szCs w:val="28"/>
                <w:lang w:val="ro-RO"/>
              </w:rPr>
              <w:t>, S.C. „AUTOTEST”S.R.L.,</w:t>
            </w:r>
            <w:r w:rsidR="003072E7" w:rsidRPr="00D67539">
              <w:rPr>
                <w:sz w:val="28"/>
                <w:szCs w:val="28"/>
                <w:lang w:val="ro-RO" w:eastAsia="ar-SA"/>
              </w:rPr>
              <w:t xml:space="preserve"> </w:t>
            </w:r>
            <w:r w:rsidR="003072E7" w:rsidRPr="00D67539">
              <w:rPr>
                <w:color w:val="FF0000"/>
                <w:sz w:val="28"/>
                <w:szCs w:val="28"/>
                <w:lang w:val="ro-RO" w:eastAsia="ru-RU"/>
              </w:rPr>
              <w:t>S.R.L. „AUTOGAZ- SERVICE”</w:t>
            </w:r>
            <w:r w:rsidR="003072E7" w:rsidRPr="00D67539">
              <w:rPr>
                <w:sz w:val="28"/>
                <w:szCs w:val="28"/>
                <w:lang w:val="ro-RO" w:eastAsia="ru-RU"/>
              </w:rPr>
              <w:t xml:space="preserve"> </w:t>
            </w:r>
            <w:r w:rsidR="003072E7" w:rsidRPr="00D67539">
              <w:rPr>
                <w:color w:val="FF0000"/>
                <w:sz w:val="28"/>
                <w:szCs w:val="28"/>
                <w:lang w:val="ro-RO" w:eastAsia="ru-RU"/>
              </w:rPr>
              <w:t>(GAZ)</w:t>
            </w:r>
            <w:r w:rsidR="003072E7" w:rsidRPr="00560290">
              <w:rPr>
                <w:color w:val="FF0000"/>
                <w:sz w:val="28"/>
                <w:szCs w:val="28"/>
                <w:lang w:val="ro-RO" w:eastAsia="ru-RU"/>
              </w:rPr>
              <w:t>,</w:t>
            </w:r>
            <w:r w:rsidR="003072E7">
              <w:rPr>
                <w:sz w:val="28"/>
                <w:szCs w:val="28"/>
                <w:lang w:val="ro-RO" w:eastAsia="ru-RU"/>
              </w:rPr>
              <w:t xml:space="preserve"> </w:t>
            </w:r>
            <w:r w:rsidR="003072E7" w:rsidRPr="00D67539">
              <w:rPr>
                <w:color w:val="FF0000"/>
                <w:sz w:val="28"/>
                <w:szCs w:val="28"/>
                <w:lang w:val="ro-RO" w:eastAsia="ru-RU"/>
              </w:rPr>
              <w:t>S.C. „BETISA-COM” S.R.L. (GAZ)</w:t>
            </w:r>
            <w:r w:rsidR="003072E7">
              <w:rPr>
                <w:sz w:val="28"/>
                <w:szCs w:val="28"/>
                <w:lang w:val="ro-RO" w:eastAsia="ru-RU"/>
              </w:rPr>
              <w:t xml:space="preserve">, </w:t>
            </w:r>
            <w:r w:rsidR="003072E7" w:rsidRPr="00D67539">
              <w:rPr>
                <w:color w:val="FF0000"/>
                <w:sz w:val="28"/>
                <w:szCs w:val="28"/>
                <w:lang w:val="ro-RO" w:eastAsia="ru-RU"/>
              </w:rPr>
              <w:t>S.R.L. „GAZAUTO GRUP” (GAZ)</w:t>
            </w:r>
            <w:r w:rsidR="003072E7" w:rsidRPr="00560290">
              <w:rPr>
                <w:color w:val="FF0000"/>
                <w:sz w:val="28"/>
                <w:szCs w:val="28"/>
                <w:lang w:val="ro-RO" w:eastAsia="ru-RU"/>
              </w:rPr>
              <w:t>,</w:t>
            </w:r>
            <w:r w:rsidR="003072E7" w:rsidRPr="00D67539">
              <w:rPr>
                <w:sz w:val="28"/>
                <w:szCs w:val="28"/>
                <w:lang w:val="ro-RO" w:eastAsia="ru-RU"/>
              </w:rPr>
              <w:t xml:space="preserve"> </w:t>
            </w:r>
            <w:r w:rsidR="003072E7" w:rsidRPr="00D67539">
              <w:rPr>
                <w:sz w:val="28"/>
                <w:szCs w:val="28"/>
                <w:lang w:val="ro-RO" w:eastAsia="ar-SA"/>
              </w:rPr>
              <w:t>etc.)</w:t>
            </w:r>
          </w:p>
          <w:p w:rsidR="00D2168F" w:rsidRPr="00600702" w:rsidRDefault="00D2168F" w:rsidP="003072E7">
            <w:pPr>
              <w:tabs>
                <w:tab w:val="left" w:pos="555"/>
                <w:tab w:val="left" w:pos="3119"/>
              </w:tabs>
              <w:jc w:val="both"/>
              <w:rPr>
                <w:sz w:val="28"/>
                <w:szCs w:val="28"/>
                <w:lang w:val="ro-RO"/>
              </w:rPr>
            </w:pPr>
          </w:p>
        </w:tc>
      </w:tr>
      <w:tr w:rsidR="0058391B" w:rsidRPr="00600702">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600702" w:rsidRDefault="0058391B">
            <w:pPr>
              <w:rPr>
                <w:b/>
                <w:bCs/>
                <w:i/>
                <w:iCs/>
                <w:sz w:val="28"/>
                <w:szCs w:val="28"/>
                <w:lang w:val="ro-RO"/>
              </w:rPr>
            </w:pPr>
            <w:r w:rsidRPr="00600702">
              <w:rPr>
                <w:b/>
                <w:bCs/>
                <w:i/>
                <w:iCs/>
                <w:sz w:val="28"/>
                <w:szCs w:val="28"/>
                <w:lang w:val="ro-RO"/>
              </w:rPr>
              <w:t>Anexe:</w:t>
            </w:r>
          </w:p>
          <w:p w:rsidR="0058391B" w:rsidRPr="00600702" w:rsidRDefault="0058391B">
            <w:pPr>
              <w:rPr>
                <w:sz w:val="28"/>
                <w:szCs w:val="28"/>
                <w:lang w:val="ro-RO"/>
              </w:rPr>
            </w:pPr>
            <w:r w:rsidRPr="00600702">
              <w:rPr>
                <w:bCs/>
                <w:iCs/>
                <w:sz w:val="28"/>
                <w:szCs w:val="28"/>
                <w:lang w:val="ro-RO"/>
              </w:rPr>
              <w:t>Nota informativă – 2 file.</w:t>
            </w:r>
          </w:p>
        </w:tc>
      </w:tr>
    </w:tbl>
    <w:p w:rsidR="0058391B" w:rsidRPr="00600702" w:rsidRDefault="0058391B">
      <w:pPr>
        <w:tabs>
          <w:tab w:val="left" w:pos="567"/>
          <w:tab w:val="left" w:pos="709"/>
        </w:tabs>
        <w:jc w:val="both"/>
        <w:rPr>
          <w:sz w:val="28"/>
          <w:szCs w:val="28"/>
          <w:lang w:val="ro-RO" w:eastAsia="ru-RU"/>
        </w:rPr>
      </w:pPr>
    </w:p>
    <w:p w:rsidR="0058391B" w:rsidRPr="00600702" w:rsidRDefault="0058391B">
      <w:pPr>
        <w:tabs>
          <w:tab w:val="left" w:pos="567"/>
          <w:tab w:val="left" w:pos="709"/>
        </w:tabs>
        <w:jc w:val="both"/>
        <w:rPr>
          <w:sz w:val="28"/>
          <w:szCs w:val="28"/>
          <w:lang w:val="ro-RO" w:eastAsia="ru-RU"/>
        </w:rPr>
      </w:pPr>
    </w:p>
    <w:sectPr w:rsidR="0058391B" w:rsidRPr="00600702">
      <w:pgSz w:w="11906" w:h="16838"/>
      <w:pgMar w:top="142"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EUAlbertina">
    <w:altName w:val="Times New Roman"/>
    <w:panose1 w:val="00000000000000000000"/>
    <w:charset w:val="00"/>
    <w:family w:val="auto"/>
    <w:notTrueType/>
    <w:pitch w:val="default"/>
    <w:sig w:usb0="00000001" w:usb1="00000000" w:usb2="00000000" w:usb3="00000000" w:csb0="00000003"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729F6"/>
    <w:multiLevelType w:val="hybridMultilevel"/>
    <w:tmpl w:val="ED2682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22861A2"/>
    <w:multiLevelType w:val="hybridMultilevel"/>
    <w:tmpl w:val="3692F264"/>
    <w:lvl w:ilvl="0" w:tplc="6C6615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BD7D07"/>
    <w:multiLevelType w:val="hybridMultilevel"/>
    <w:tmpl w:val="8C261322"/>
    <w:lvl w:ilvl="0" w:tplc="3B4095A2">
      <w:start w:val="1"/>
      <w:numFmt w:val="lowerLetter"/>
      <w:lvlText w:val="%1)"/>
      <w:lvlJc w:val="left"/>
      <w:pPr>
        <w:ind w:left="689" w:hanging="360"/>
      </w:pPr>
      <w:rPr>
        <w:rFonts w:eastAsia="Times New Roman"/>
        <w:b/>
        <w:color w:val="auto"/>
      </w:rPr>
    </w:lvl>
    <w:lvl w:ilvl="1" w:tplc="08090019">
      <w:start w:val="1"/>
      <w:numFmt w:val="lowerLetter"/>
      <w:lvlText w:val="%2."/>
      <w:lvlJc w:val="left"/>
      <w:pPr>
        <w:ind w:left="1409" w:hanging="360"/>
      </w:pPr>
    </w:lvl>
    <w:lvl w:ilvl="2" w:tplc="0809001B">
      <w:start w:val="1"/>
      <w:numFmt w:val="lowerRoman"/>
      <w:lvlText w:val="%3."/>
      <w:lvlJc w:val="right"/>
      <w:pPr>
        <w:ind w:left="2129" w:hanging="180"/>
      </w:pPr>
    </w:lvl>
    <w:lvl w:ilvl="3" w:tplc="0809000F">
      <w:start w:val="1"/>
      <w:numFmt w:val="decimal"/>
      <w:lvlText w:val="%4."/>
      <w:lvlJc w:val="left"/>
      <w:pPr>
        <w:ind w:left="2849" w:hanging="360"/>
      </w:pPr>
    </w:lvl>
    <w:lvl w:ilvl="4" w:tplc="08090019">
      <w:start w:val="1"/>
      <w:numFmt w:val="lowerLetter"/>
      <w:lvlText w:val="%5."/>
      <w:lvlJc w:val="left"/>
      <w:pPr>
        <w:ind w:left="3569" w:hanging="360"/>
      </w:pPr>
    </w:lvl>
    <w:lvl w:ilvl="5" w:tplc="0809001B">
      <w:start w:val="1"/>
      <w:numFmt w:val="lowerRoman"/>
      <w:lvlText w:val="%6."/>
      <w:lvlJc w:val="right"/>
      <w:pPr>
        <w:ind w:left="4289" w:hanging="180"/>
      </w:pPr>
    </w:lvl>
    <w:lvl w:ilvl="6" w:tplc="0809000F">
      <w:start w:val="1"/>
      <w:numFmt w:val="decimal"/>
      <w:lvlText w:val="%7."/>
      <w:lvlJc w:val="left"/>
      <w:pPr>
        <w:ind w:left="5009" w:hanging="360"/>
      </w:pPr>
    </w:lvl>
    <w:lvl w:ilvl="7" w:tplc="08090019">
      <w:start w:val="1"/>
      <w:numFmt w:val="lowerLetter"/>
      <w:lvlText w:val="%8."/>
      <w:lvlJc w:val="left"/>
      <w:pPr>
        <w:ind w:left="5729" w:hanging="360"/>
      </w:pPr>
    </w:lvl>
    <w:lvl w:ilvl="8" w:tplc="0809001B">
      <w:start w:val="1"/>
      <w:numFmt w:val="lowerRoman"/>
      <w:lvlText w:val="%9."/>
      <w:lvlJc w:val="right"/>
      <w:pPr>
        <w:ind w:left="6449" w:hanging="180"/>
      </w:pPr>
    </w:lvl>
  </w:abstractNum>
  <w:abstractNum w:abstractNumId="3" w15:restartNumberingAfterBreak="0">
    <w:nsid w:val="47902928"/>
    <w:multiLevelType w:val="hybridMultilevel"/>
    <w:tmpl w:val="4E9AFF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1393C5B"/>
    <w:multiLevelType w:val="hybridMultilevel"/>
    <w:tmpl w:val="5678BEA0"/>
    <w:lvl w:ilvl="0" w:tplc="8E8C3200">
      <w:start w:val="1"/>
      <w:numFmt w:val="lowerLetter"/>
      <w:lvlText w:val="%1)"/>
      <w:lvlJc w:val="left"/>
      <w:pPr>
        <w:ind w:left="1260" w:hanging="720"/>
      </w:pPr>
      <w:rPr>
        <w:rFonts w:ascii="Times New Roman" w:eastAsia="Times New Roman" w:hAnsi="Times New Roman" w:cs="Times New Roman"/>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6" w15:restartNumberingAfterBreak="0">
    <w:nsid w:val="7AB65B33"/>
    <w:multiLevelType w:val="hybridMultilevel"/>
    <w:tmpl w:val="7A963768"/>
    <w:lvl w:ilvl="0" w:tplc="3BA2387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5"/>
    <w:lvlOverride w:ilv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lvlOverride w:ilvl="1"/>
    <w:lvlOverride w:ilvl="2"/>
    <w:lvlOverride w:ilvl="3"/>
    <w:lvlOverride w:ilvl="4"/>
    <w:lvlOverride w:ilvl="5"/>
    <w:lvlOverride w:ilvl="6"/>
    <w:lvlOverride w:ilvl="7"/>
    <w:lvlOverride w:ilvl="8"/>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94D"/>
    <w:rsid w:val="000050D3"/>
    <w:rsid w:val="00007CB0"/>
    <w:rsid w:val="00021938"/>
    <w:rsid w:val="00026FD9"/>
    <w:rsid w:val="00095777"/>
    <w:rsid w:val="000A1852"/>
    <w:rsid w:val="000A400A"/>
    <w:rsid w:val="000B05D2"/>
    <w:rsid w:val="000C1D4E"/>
    <w:rsid w:val="000C4A86"/>
    <w:rsid w:val="000E167E"/>
    <w:rsid w:val="00113961"/>
    <w:rsid w:val="00136E3E"/>
    <w:rsid w:val="00142A43"/>
    <w:rsid w:val="00150D93"/>
    <w:rsid w:val="001723A2"/>
    <w:rsid w:val="001723ED"/>
    <w:rsid w:val="00176275"/>
    <w:rsid w:val="001B24FC"/>
    <w:rsid w:val="001B3283"/>
    <w:rsid w:val="001C21B0"/>
    <w:rsid w:val="001F367D"/>
    <w:rsid w:val="00204916"/>
    <w:rsid w:val="002063BC"/>
    <w:rsid w:val="00213162"/>
    <w:rsid w:val="002275D7"/>
    <w:rsid w:val="002A2AD8"/>
    <w:rsid w:val="002C07DB"/>
    <w:rsid w:val="002D5CEB"/>
    <w:rsid w:val="002E1073"/>
    <w:rsid w:val="002E52AD"/>
    <w:rsid w:val="003072E7"/>
    <w:rsid w:val="003161E7"/>
    <w:rsid w:val="00366450"/>
    <w:rsid w:val="003A1943"/>
    <w:rsid w:val="003D69CD"/>
    <w:rsid w:val="00402BA8"/>
    <w:rsid w:val="00426751"/>
    <w:rsid w:val="00440B54"/>
    <w:rsid w:val="00446D58"/>
    <w:rsid w:val="004504BE"/>
    <w:rsid w:val="004B1F61"/>
    <w:rsid w:val="004D2E98"/>
    <w:rsid w:val="004D6F1A"/>
    <w:rsid w:val="004E3881"/>
    <w:rsid w:val="00521BF3"/>
    <w:rsid w:val="0054454A"/>
    <w:rsid w:val="00545082"/>
    <w:rsid w:val="005564C0"/>
    <w:rsid w:val="0058391B"/>
    <w:rsid w:val="005C05B7"/>
    <w:rsid w:val="005D3208"/>
    <w:rsid w:val="005D351E"/>
    <w:rsid w:val="005E783A"/>
    <w:rsid w:val="00600702"/>
    <w:rsid w:val="00630056"/>
    <w:rsid w:val="006A1B90"/>
    <w:rsid w:val="006E2D72"/>
    <w:rsid w:val="006F4B51"/>
    <w:rsid w:val="007112AA"/>
    <w:rsid w:val="007718FB"/>
    <w:rsid w:val="00784983"/>
    <w:rsid w:val="0079787A"/>
    <w:rsid w:val="007A0AA5"/>
    <w:rsid w:val="007A1091"/>
    <w:rsid w:val="007B1F77"/>
    <w:rsid w:val="007B6DD0"/>
    <w:rsid w:val="00853428"/>
    <w:rsid w:val="0086748B"/>
    <w:rsid w:val="008D734E"/>
    <w:rsid w:val="00962CC5"/>
    <w:rsid w:val="0098024E"/>
    <w:rsid w:val="009951F1"/>
    <w:rsid w:val="009A5ACF"/>
    <w:rsid w:val="009B349C"/>
    <w:rsid w:val="009C7673"/>
    <w:rsid w:val="009C7E18"/>
    <w:rsid w:val="00A0494D"/>
    <w:rsid w:val="00A972C9"/>
    <w:rsid w:val="00AB599D"/>
    <w:rsid w:val="00AC00CD"/>
    <w:rsid w:val="00AC7479"/>
    <w:rsid w:val="00AD0FA8"/>
    <w:rsid w:val="00B1083C"/>
    <w:rsid w:val="00B37483"/>
    <w:rsid w:val="00B408B7"/>
    <w:rsid w:val="00B86FC9"/>
    <w:rsid w:val="00BB6813"/>
    <w:rsid w:val="00BF1ADC"/>
    <w:rsid w:val="00C0513E"/>
    <w:rsid w:val="00C31770"/>
    <w:rsid w:val="00C54140"/>
    <w:rsid w:val="00C72081"/>
    <w:rsid w:val="00C87185"/>
    <w:rsid w:val="00CA7761"/>
    <w:rsid w:val="00CD0C0C"/>
    <w:rsid w:val="00CF7CD6"/>
    <w:rsid w:val="00D2168F"/>
    <w:rsid w:val="00E6568A"/>
    <w:rsid w:val="00EA73DB"/>
    <w:rsid w:val="00EC59E5"/>
    <w:rsid w:val="00F223CB"/>
    <w:rsid w:val="00F335FB"/>
    <w:rsid w:val="00F875FB"/>
    <w:rsid w:val="00FA5717"/>
    <w:rsid w:val="00FB3514"/>
    <w:rsid w:val="00FD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6E960A-838D-4699-97BF-7F5E5EE5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0D3"/>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u-RU"/>
    </w:rPr>
  </w:style>
  <w:style w:type="character" w:customStyle="1" w:styleId="HTMLPreformattedChar">
    <w:name w:val="HTML Preformatted Char"/>
    <w:link w:val="HTMLPreformatted"/>
    <w:locked/>
    <w:rPr>
      <w:rFonts w:ascii="Arial Unicode MS" w:eastAsia="Arial Unicode MS" w:hAnsi="Arial Unicode MS" w:cs="Arial Unicode MS" w:hint="eastAsia"/>
      <w:lang w:val="ro-RO" w:eastAsia="ru-RU"/>
    </w:rPr>
  </w:style>
  <w:style w:type="paragraph" w:styleId="NormalWeb">
    <w:name w:val="Normal (Web)"/>
    <w:basedOn w:val="Normal"/>
    <w:uiPriority w:val="99"/>
    <w:unhideWhenUsed/>
    <w:pPr>
      <w:ind w:firstLine="567"/>
      <w:jc w:val="both"/>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locked/>
    <w:rPr>
      <w:rFonts w:ascii="Times New Roman" w:eastAsia="Times New Roman" w:hAnsi="Times New Roman" w:cs="Times New Roman" w:hint="default"/>
    </w:rPr>
  </w:style>
  <w:style w:type="paragraph" w:styleId="BodyText">
    <w:name w:val="Body Text"/>
    <w:basedOn w:val="Normal"/>
    <w:link w:val="BodyTextChar"/>
    <w:uiPriority w:val="1"/>
    <w:semiHidden/>
    <w:unhideWhenUsed/>
    <w:qFormat/>
    <w:pPr>
      <w:widowControl w:val="0"/>
    </w:pPr>
    <w:rPr>
      <w:rFonts w:ascii="Tahoma" w:eastAsia="Tahoma" w:hAnsi="Tahoma" w:cs="Tahoma"/>
      <w:sz w:val="18"/>
      <w:szCs w:val="18"/>
      <w:lang w:val="en-US" w:eastAsia="en-US"/>
    </w:rPr>
  </w:style>
  <w:style w:type="character" w:customStyle="1" w:styleId="BodyTextChar">
    <w:name w:val="Body Text Char"/>
    <w:link w:val="BodyText"/>
    <w:uiPriority w:val="1"/>
    <w:semiHidden/>
    <w:locked/>
    <w:rPr>
      <w:rFonts w:ascii="Tahoma" w:eastAsia="Tahoma" w:hAnsi="Tahoma" w:cs="Tahoma" w:hint="default"/>
      <w:sz w:val="18"/>
      <w:szCs w:val="18"/>
      <w:lang w:val="en-US" w:eastAsia="en-US"/>
    </w:rPr>
  </w:style>
  <w:style w:type="paragraph" w:styleId="PlainText">
    <w:name w:val="Plain Text"/>
    <w:basedOn w:val="Normal"/>
    <w:link w:val="PlainTextChar"/>
    <w:uiPriority w:val="99"/>
    <w:semiHidden/>
    <w:unhideWhenUsed/>
    <w:rPr>
      <w:rFonts w:ascii="Courier New" w:hAnsi="Courier New" w:cs="Courier New"/>
      <w:sz w:val="20"/>
      <w:szCs w:val="20"/>
      <w:lang w:val="ro-RO" w:eastAsia="ru-RU"/>
    </w:rPr>
  </w:style>
  <w:style w:type="character" w:customStyle="1" w:styleId="PlainTextChar">
    <w:name w:val="Plain Text Char"/>
    <w:link w:val="PlainText"/>
    <w:uiPriority w:val="99"/>
    <w:semiHidden/>
    <w:locked/>
    <w:rPr>
      <w:rFonts w:ascii="Courier New" w:hAnsi="Courier New" w:cs="Courier New" w:hint="default"/>
      <w:lang w:val="ro-RO" w:eastAsia="ru-RU"/>
    </w:rPr>
  </w:style>
  <w:style w:type="paragraph" w:styleId="NoSpacing">
    <w:name w:val="No Spacing"/>
    <w:uiPriority w:val="1"/>
    <w:qFormat/>
    <w:rPr>
      <w:rFonts w:ascii="Calibri" w:eastAsia="Calibri" w:hAnsi="Calibri"/>
      <w:sz w:val="22"/>
      <w:szCs w:val="22"/>
    </w:rPr>
  </w:style>
  <w:style w:type="paragraph" w:styleId="ListParagraph">
    <w:name w:val="List Paragraph"/>
    <w:basedOn w:val="Normal"/>
    <w:uiPriority w:val="34"/>
    <w:qFormat/>
    <w:pPr>
      <w:ind w:left="720"/>
      <w:contextualSpacing/>
    </w:pPr>
  </w:style>
  <w:style w:type="paragraph" w:customStyle="1" w:styleId="tt">
    <w:name w:val="tt"/>
    <w:basedOn w:val="Normal"/>
    <w:uiPriority w:val="99"/>
    <w:semiHidden/>
    <w:pPr>
      <w:jc w:val="center"/>
    </w:pPr>
    <w:rPr>
      <w:b/>
      <w:bCs/>
    </w:rPr>
  </w:style>
  <w:style w:type="paragraph" w:customStyle="1" w:styleId="pb">
    <w:name w:val="pb"/>
    <w:basedOn w:val="Normal"/>
    <w:uiPriority w:val="99"/>
    <w:semiHidden/>
    <w:pPr>
      <w:jc w:val="center"/>
    </w:pPr>
    <w:rPr>
      <w:i/>
      <w:iCs/>
      <w:color w:val="663300"/>
      <w:sz w:val="20"/>
      <w:szCs w:val="20"/>
    </w:rPr>
  </w:style>
  <w:style w:type="paragraph" w:customStyle="1" w:styleId="cu">
    <w:name w:val="cu"/>
    <w:basedOn w:val="Normal"/>
    <w:uiPriority w:val="99"/>
    <w:semiHidden/>
    <w:pPr>
      <w:spacing w:before="45"/>
      <w:ind w:left="1134" w:right="567" w:hanging="567"/>
      <w:jc w:val="both"/>
    </w:pPr>
    <w:rPr>
      <w:sz w:val="20"/>
      <w:szCs w:val="20"/>
    </w:rPr>
  </w:style>
  <w:style w:type="paragraph" w:customStyle="1" w:styleId="cp">
    <w:name w:val="cp"/>
    <w:basedOn w:val="Normal"/>
    <w:uiPriority w:val="99"/>
    <w:semiHidden/>
    <w:pPr>
      <w:jc w:val="center"/>
    </w:pPr>
    <w:rPr>
      <w:b/>
      <w:bCs/>
    </w:rPr>
  </w:style>
  <w:style w:type="paragraph" w:customStyle="1" w:styleId="nt">
    <w:name w:val="nt"/>
    <w:basedOn w:val="Normal"/>
    <w:uiPriority w:val="99"/>
    <w:semiHidden/>
    <w:pPr>
      <w:ind w:left="567" w:right="567" w:hanging="567"/>
      <w:jc w:val="both"/>
    </w:pPr>
    <w:rPr>
      <w:i/>
      <w:iCs/>
      <w:color w:val="663300"/>
      <w:sz w:val="20"/>
      <w:szCs w:val="20"/>
    </w:rPr>
  </w:style>
  <w:style w:type="paragraph" w:customStyle="1" w:styleId="md">
    <w:name w:val="md"/>
    <w:basedOn w:val="Normal"/>
    <w:uiPriority w:val="99"/>
    <w:semiHidden/>
    <w:pPr>
      <w:ind w:firstLine="567"/>
      <w:jc w:val="both"/>
    </w:pPr>
    <w:rPr>
      <w:i/>
      <w:iCs/>
      <w:color w:val="663300"/>
      <w:sz w:val="20"/>
      <w:szCs w:val="20"/>
    </w:rPr>
  </w:style>
  <w:style w:type="paragraph" w:customStyle="1" w:styleId="sm">
    <w:name w:val="sm"/>
    <w:basedOn w:val="Normal"/>
    <w:uiPriority w:val="99"/>
    <w:semiHidden/>
    <w:pPr>
      <w:ind w:firstLine="567"/>
    </w:pPr>
    <w:rPr>
      <w:b/>
      <w:bCs/>
      <w:sz w:val="20"/>
      <w:szCs w:val="20"/>
    </w:rPr>
  </w:style>
  <w:style w:type="paragraph" w:customStyle="1" w:styleId="cn">
    <w:name w:val="cn"/>
    <w:basedOn w:val="Normal"/>
    <w:uiPriority w:val="99"/>
    <w:semiHidden/>
    <w:pPr>
      <w:jc w:val="center"/>
    </w:pPr>
  </w:style>
  <w:style w:type="paragraph" w:customStyle="1" w:styleId="cb">
    <w:name w:val="cb"/>
    <w:basedOn w:val="Normal"/>
    <w:uiPriority w:val="99"/>
    <w:semiHidden/>
    <w:pPr>
      <w:jc w:val="center"/>
    </w:pPr>
    <w:rPr>
      <w:b/>
      <w:bCs/>
    </w:rPr>
  </w:style>
  <w:style w:type="paragraph" w:customStyle="1" w:styleId="rg">
    <w:name w:val="rg"/>
    <w:basedOn w:val="Normal"/>
    <w:uiPriority w:val="99"/>
    <w:semiHidden/>
    <w:pPr>
      <w:jc w:val="right"/>
    </w:pPr>
  </w:style>
  <w:style w:type="paragraph" w:customStyle="1" w:styleId="js">
    <w:name w:val="js"/>
    <w:basedOn w:val="Normal"/>
    <w:uiPriority w:val="99"/>
    <w:semiHidden/>
    <w:pPr>
      <w:jc w:val="both"/>
    </w:pPr>
  </w:style>
  <w:style w:type="paragraph" w:customStyle="1" w:styleId="lf">
    <w:name w:val="lf"/>
    <w:basedOn w:val="Normal"/>
    <w:uiPriority w:val="99"/>
    <w:semiHidden/>
  </w:style>
  <w:style w:type="character" w:customStyle="1" w:styleId="a">
    <w:name w:val="Основной текст_"/>
    <w:link w:val="1"/>
    <w:locked/>
    <w:rPr>
      <w:sz w:val="23"/>
      <w:szCs w:val="23"/>
      <w:shd w:val="clear" w:color="auto" w:fill="FFFFFF"/>
    </w:rPr>
  </w:style>
  <w:style w:type="paragraph" w:customStyle="1" w:styleId="1">
    <w:name w:val="Основной текст1"/>
    <w:basedOn w:val="Normal"/>
    <w:link w:val="a"/>
    <w:uiPriority w:val="99"/>
    <w:semiHidden/>
    <w:pPr>
      <w:shd w:val="clear" w:color="auto" w:fill="FFFFFF"/>
      <w:spacing w:after="240" w:line="302" w:lineRule="exact"/>
      <w:ind w:hanging="460"/>
      <w:jc w:val="both"/>
    </w:pPr>
    <w:rPr>
      <w:sz w:val="23"/>
      <w:szCs w:val="23"/>
    </w:rPr>
  </w:style>
  <w:style w:type="paragraph" w:customStyle="1" w:styleId="Tiret0">
    <w:name w:val="Tiret 0"/>
    <w:basedOn w:val="Normal"/>
    <w:uiPriority w:val="99"/>
    <w:semiHidden/>
    <w:pPr>
      <w:numPr>
        <w:numId w:val="2"/>
      </w:numPr>
      <w:spacing w:before="120" w:after="120"/>
      <w:jc w:val="both"/>
    </w:pPr>
    <w:rPr>
      <w:szCs w:val="20"/>
      <w:lang w:val="ro-RO" w:eastAsia="ro-RO"/>
    </w:rPr>
  </w:style>
  <w:style w:type="paragraph" w:customStyle="1" w:styleId="WW-Web">
    <w:name w:val="WW-Обычный (Web)"/>
    <w:basedOn w:val="Normal"/>
    <w:uiPriority w:val="99"/>
    <w:semiHidden/>
    <w:pPr>
      <w:suppressAutoHyphens/>
      <w:ind w:firstLine="567"/>
      <w:jc w:val="both"/>
    </w:pPr>
    <w:rPr>
      <w:lang w:val="ro-RO" w:eastAsia="ar-SA"/>
    </w:rPr>
  </w:style>
  <w:style w:type="paragraph" w:customStyle="1" w:styleId="Default">
    <w:name w:val="Default"/>
    <w:uiPriority w:val="99"/>
    <w:semiHidden/>
    <w:pPr>
      <w:autoSpaceDE w:val="0"/>
      <w:autoSpaceDN w:val="0"/>
      <w:adjustRightInd w:val="0"/>
    </w:pPr>
    <w:rPr>
      <w:rFonts w:ascii="EUAlbertina" w:eastAsia="Calibri" w:hAnsi="EUAlbertina" w:cs="EUAlbertina"/>
      <w:color w:val="000000"/>
      <w:sz w:val="24"/>
      <w:szCs w:val="24"/>
      <w:lang w:val="ru-RU" w:eastAsia="ru-RU"/>
    </w:rPr>
  </w:style>
  <w:style w:type="paragraph" w:customStyle="1" w:styleId="CharChar">
    <w:name w:val="Char Char"/>
    <w:basedOn w:val="Normal"/>
    <w:uiPriority w:val="99"/>
    <w:semiHidden/>
    <w:pPr>
      <w:spacing w:after="160" w:line="240" w:lineRule="exact"/>
    </w:pPr>
    <w:rPr>
      <w:rFonts w:ascii="Arial" w:eastAsia="Batang" w:hAnsi="Arial" w:cs="Arial"/>
      <w:sz w:val="20"/>
      <w:szCs w:val="20"/>
      <w:lang w:val="en-US" w:eastAsia="en-US"/>
    </w:rPr>
  </w:style>
  <w:style w:type="table" w:styleId="TableGrid">
    <w:name w:val="Table Grid"/>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4119">
      <w:bodyDiv w:val="1"/>
      <w:marLeft w:val="0"/>
      <w:marRight w:val="0"/>
      <w:marTop w:val="0"/>
      <w:marBottom w:val="0"/>
      <w:divBdr>
        <w:top w:val="none" w:sz="0" w:space="0" w:color="auto"/>
        <w:left w:val="none" w:sz="0" w:space="0" w:color="auto"/>
        <w:bottom w:val="none" w:sz="0" w:space="0" w:color="auto"/>
        <w:right w:val="none" w:sz="0" w:space="0" w:color="auto"/>
      </w:divBdr>
    </w:div>
    <w:div w:id="253780549">
      <w:bodyDiv w:val="1"/>
      <w:marLeft w:val="0"/>
      <w:marRight w:val="0"/>
      <w:marTop w:val="0"/>
      <w:marBottom w:val="0"/>
      <w:divBdr>
        <w:top w:val="none" w:sz="0" w:space="0" w:color="auto"/>
        <w:left w:val="none" w:sz="0" w:space="0" w:color="auto"/>
        <w:bottom w:val="none" w:sz="0" w:space="0" w:color="auto"/>
        <w:right w:val="none" w:sz="0" w:space="0" w:color="auto"/>
      </w:divBdr>
    </w:div>
    <w:div w:id="339822278">
      <w:bodyDiv w:val="1"/>
      <w:marLeft w:val="0"/>
      <w:marRight w:val="0"/>
      <w:marTop w:val="0"/>
      <w:marBottom w:val="0"/>
      <w:divBdr>
        <w:top w:val="none" w:sz="0" w:space="0" w:color="auto"/>
        <w:left w:val="none" w:sz="0" w:space="0" w:color="auto"/>
        <w:bottom w:val="none" w:sz="0" w:space="0" w:color="auto"/>
        <w:right w:val="none" w:sz="0" w:space="0" w:color="auto"/>
      </w:divBdr>
    </w:div>
    <w:div w:id="711031398">
      <w:bodyDiv w:val="1"/>
      <w:marLeft w:val="0"/>
      <w:marRight w:val="0"/>
      <w:marTop w:val="0"/>
      <w:marBottom w:val="0"/>
      <w:divBdr>
        <w:top w:val="none" w:sz="0" w:space="0" w:color="auto"/>
        <w:left w:val="none" w:sz="0" w:space="0" w:color="auto"/>
        <w:bottom w:val="none" w:sz="0" w:space="0" w:color="auto"/>
        <w:right w:val="none" w:sz="0" w:space="0" w:color="auto"/>
      </w:divBdr>
    </w:div>
    <w:div w:id="799298057">
      <w:bodyDiv w:val="1"/>
      <w:marLeft w:val="0"/>
      <w:marRight w:val="0"/>
      <w:marTop w:val="0"/>
      <w:marBottom w:val="0"/>
      <w:divBdr>
        <w:top w:val="none" w:sz="0" w:space="0" w:color="auto"/>
        <w:left w:val="none" w:sz="0" w:space="0" w:color="auto"/>
        <w:bottom w:val="none" w:sz="0" w:space="0" w:color="auto"/>
        <w:right w:val="none" w:sz="0" w:space="0" w:color="auto"/>
      </w:divBdr>
    </w:div>
    <w:div w:id="1022244202">
      <w:bodyDiv w:val="1"/>
      <w:marLeft w:val="0"/>
      <w:marRight w:val="0"/>
      <w:marTop w:val="0"/>
      <w:marBottom w:val="0"/>
      <w:divBdr>
        <w:top w:val="none" w:sz="0" w:space="0" w:color="auto"/>
        <w:left w:val="none" w:sz="0" w:space="0" w:color="auto"/>
        <w:bottom w:val="none" w:sz="0" w:space="0" w:color="auto"/>
        <w:right w:val="none" w:sz="0" w:space="0" w:color="auto"/>
      </w:divBdr>
    </w:div>
    <w:div w:id="1040284900">
      <w:bodyDiv w:val="1"/>
      <w:marLeft w:val="0"/>
      <w:marRight w:val="0"/>
      <w:marTop w:val="0"/>
      <w:marBottom w:val="0"/>
      <w:divBdr>
        <w:top w:val="none" w:sz="0" w:space="0" w:color="auto"/>
        <w:left w:val="none" w:sz="0" w:space="0" w:color="auto"/>
        <w:bottom w:val="none" w:sz="0" w:space="0" w:color="auto"/>
        <w:right w:val="none" w:sz="0" w:space="0" w:color="auto"/>
      </w:divBdr>
    </w:div>
    <w:div w:id="1104544265">
      <w:bodyDiv w:val="1"/>
      <w:marLeft w:val="0"/>
      <w:marRight w:val="0"/>
      <w:marTop w:val="0"/>
      <w:marBottom w:val="0"/>
      <w:divBdr>
        <w:top w:val="none" w:sz="0" w:space="0" w:color="auto"/>
        <w:left w:val="none" w:sz="0" w:space="0" w:color="auto"/>
        <w:bottom w:val="none" w:sz="0" w:space="0" w:color="auto"/>
        <w:right w:val="none" w:sz="0" w:space="0" w:color="auto"/>
      </w:divBdr>
    </w:div>
    <w:div w:id="1275482674">
      <w:bodyDiv w:val="1"/>
      <w:marLeft w:val="0"/>
      <w:marRight w:val="0"/>
      <w:marTop w:val="0"/>
      <w:marBottom w:val="0"/>
      <w:divBdr>
        <w:top w:val="none" w:sz="0" w:space="0" w:color="auto"/>
        <w:left w:val="none" w:sz="0" w:space="0" w:color="auto"/>
        <w:bottom w:val="none" w:sz="0" w:space="0" w:color="auto"/>
        <w:right w:val="none" w:sz="0" w:space="0" w:color="auto"/>
      </w:divBdr>
    </w:div>
    <w:div w:id="1310553793">
      <w:bodyDiv w:val="1"/>
      <w:marLeft w:val="0"/>
      <w:marRight w:val="0"/>
      <w:marTop w:val="0"/>
      <w:marBottom w:val="0"/>
      <w:divBdr>
        <w:top w:val="none" w:sz="0" w:space="0" w:color="auto"/>
        <w:left w:val="none" w:sz="0" w:space="0" w:color="auto"/>
        <w:bottom w:val="none" w:sz="0" w:space="0" w:color="auto"/>
        <w:right w:val="none" w:sz="0" w:space="0" w:color="auto"/>
      </w:divBdr>
    </w:div>
    <w:div w:id="1489710803">
      <w:bodyDiv w:val="1"/>
      <w:marLeft w:val="0"/>
      <w:marRight w:val="0"/>
      <w:marTop w:val="0"/>
      <w:marBottom w:val="0"/>
      <w:divBdr>
        <w:top w:val="none" w:sz="0" w:space="0" w:color="auto"/>
        <w:left w:val="none" w:sz="0" w:space="0" w:color="auto"/>
        <w:bottom w:val="none" w:sz="0" w:space="0" w:color="auto"/>
        <w:right w:val="none" w:sz="0" w:space="0" w:color="auto"/>
      </w:divBdr>
    </w:div>
    <w:div w:id="19881699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05C54-7390-45B1-BAF4-2A7ABE5C8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4887</Words>
  <Characters>27856</Characters>
  <Application>Microsoft Office Word</Application>
  <DocSecurity>0</DocSecurity>
  <Lines>232</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Popov</cp:lastModifiedBy>
  <cp:revision>2</cp:revision>
  <dcterms:created xsi:type="dcterms:W3CDTF">2017-06-08T07:29:00Z</dcterms:created>
  <dcterms:modified xsi:type="dcterms:W3CDTF">2017-06-08T07:29:00Z</dcterms:modified>
</cp:coreProperties>
</file>