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7D9" w:rsidRDefault="00632379" w:rsidP="00632379">
      <w:pPr>
        <w:rPr>
          <w:b/>
          <w:caps/>
          <w:lang w:val="ro-RO"/>
        </w:rPr>
      </w:pPr>
      <w:bookmarkStart w:id="0" w:name="_GoBack"/>
      <w:bookmarkEnd w:id="0"/>
      <w:r>
        <w:rPr>
          <w:b/>
          <w:caps/>
          <w:lang w:val="ro-RO"/>
        </w:rPr>
        <w:t xml:space="preserve">                                                                                      </w:t>
      </w:r>
    </w:p>
    <w:p w:rsidR="00E777D9" w:rsidRDefault="00E777D9" w:rsidP="00632379">
      <w:pPr>
        <w:rPr>
          <w:b/>
          <w:caps/>
          <w:lang w:val="ro-RO"/>
        </w:rPr>
      </w:pPr>
    </w:p>
    <w:p w:rsidR="00E777D9" w:rsidRDefault="00E777D9" w:rsidP="00632379">
      <w:pPr>
        <w:rPr>
          <w:b/>
          <w:caps/>
          <w:lang w:val="ro-RO"/>
        </w:rPr>
      </w:pPr>
    </w:p>
    <w:p w:rsidR="00E777D9" w:rsidRDefault="00E777D9" w:rsidP="00E777D9">
      <w:pPr>
        <w:jc w:val="center"/>
        <w:rPr>
          <w:b/>
          <w:caps/>
          <w:lang w:val="ro-RO"/>
        </w:rPr>
      </w:pPr>
    </w:p>
    <w:p w:rsidR="00E60694" w:rsidRPr="00632379" w:rsidRDefault="00E60694" w:rsidP="00E777D9">
      <w:pPr>
        <w:jc w:val="center"/>
        <w:rPr>
          <w:b/>
          <w:caps/>
          <w:lang w:val="ro-RO"/>
        </w:rPr>
      </w:pPr>
      <w:r w:rsidRPr="00632379">
        <w:rPr>
          <w:b/>
          <w:caps/>
          <w:lang w:val="ro-RO"/>
        </w:rPr>
        <w:t>Tabelul de concordanţă</w:t>
      </w:r>
    </w:p>
    <w:p w:rsidR="00815BA8" w:rsidRPr="00632379" w:rsidRDefault="00E60694" w:rsidP="001E1240">
      <w:pPr>
        <w:pStyle w:val="a6"/>
        <w:ind w:left="720"/>
        <w:rPr>
          <w:b/>
        </w:rPr>
      </w:pPr>
      <w:proofErr w:type="gramStart"/>
      <w:r w:rsidRPr="001E1240">
        <w:rPr>
          <w:b/>
          <w:sz w:val="28"/>
          <w:szCs w:val="28"/>
        </w:rPr>
        <w:t>a</w:t>
      </w:r>
      <w:proofErr w:type="gramEnd"/>
      <w:r w:rsidRPr="001E1240">
        <w:rPr>
          <w:b/>
          <w:sz w:val="28"/>
          <w:szCs w:val="28"/>
        </w:rPr>
        <w:t xml:space="preserve"> </w:t>
      </w:r>
      <w:proofErr w:type="spellStart"/>
      <w:r w:rsidRPr="001E1240">
        <w:rPr>
          <w:b/>
          <w:sz w:val="28"/>
          <w:szCs w:val="28"/>
        </w:rPr>
        <w:t>proiectului</w:t>
      </w:r>
      <w:proofErr w:type="spellEnd"/>
      <w:r w:rsidRPr="001E1240">
        <w:rPr>
          <w:b/>
          <w:sz w:val="28"/>
          <w:szCs w:val="28"/>
        </w:rPr>
        <w:t xml:space="preserve"> </w:t>
      </w:r>
      <w:proofErr w:type="spellStart"/>
      <w:r w:rsidRPr="001E1240">
        <w:rPr>
          <w:b/>
          <w:sz w:val="28"/>
          <w:szCs w:val="28"/>
        </w:rPr>
        <w:t>Hotărîrii</w:t>
      </w:r>
      <w:proofErr w:type="spellEnd"/>
      <w:r w:rsidRPr="001E1240">
        <w:rPr>
          <w:b/>
          <w:sz w:val="28"/>
          <w:szCs w:val="28"/>
        </w:rPr>
        <w:t xml:space="preserve"> </w:t>
      </w:r>
      <w:proofErr w:type="spellStart"/>
      <w:r w:rsidRPr="001E1240">
        <w:rPr>
          <w:b/>
          <w:sz w:val="28"/>
          <w:szCs w:val="28"/>
        </w:rPr>
        <w:t>Guvernului</w:t>
      </w:r>
      <w:proofErr w:type="spellEnd"/>
      <w:r w:rsidRPr="001E1240">
        <w:rPr>
          <w:b/>
          <w:sz w:val="28"/>
          <w:szCs w:val="28"/>
        </w:rPr>
        <w:t xml:space="preserve"> </w:t>
      </w:r>
      <w:r w:rsidR="00815BA8" w:rsidRPr="001E1240">
        <w:rPr>
          <w:b/>
          <w:sz w:val="28"/>
          <w:szCs w:val="28"/>
        </w:rPr>
        <w:t>„</w:t>
      </w:r>
      <w:r w:rsidR="00E777D9" w:rsidRPr="001E1240">
        <w:rPr>
          <w:b/>
          <w:sz w:val="28"/>
          <w:szCs w:val="28"/>
        </w:rPr>
        <w:t xml:space="preserve"> Cu </w:t>
      </w:r>
      <w:proofErr w:type="spellStart"/>
      <w:r w:rsidR="00E777D9" w:rsidRPr="001E1240">
        <w:rPr>
          <w:b/>
          <w:sz w:val="28"/>
          <w:szCs w:val="28"/>
        </w:rPr>
        <w:t>privire</w:t>
      </w:r>
      <w:proofErr w:type="spellEnd"/>
      <w:r w:rsidR="00E777D9" w:rsidRPr="001E1240">
        <w:rPr>
          <w:b/>
          <w:sz w:val="28"/>
          <w:szCs w:val="28"/>
        </w:rPr>
        <w:t xml:space="preserve"> la </w:t>
      </w:r>
      <w:proofErr w:type="spellStart"/>
      <w:r w:rsidR="00E777D9" w:rsidRPr="001E1240">
        <w:rPr>
          <w:b/>
          <w:sz w:val="28"/>
          <w:szCs w:val="28"/>
        </w:rPr>
        <w:t>aprobarea</w:t>
      </w:r>
      <w:proofErr w:type="spellEnd"/>
      <w:r w:rsidR="00E777D9" w:rsidRPr="001E1240">
        <w:rPr>
          <w:b/>
          <w:sz w:val="28"/>
          <w:szCs w:val="28"/>
        </w:rPr>
        <w:t xml:space="preserve"> </w:t>
      </w:r>
      <w:proofErr w:type="spellStart"/>
      <w:r w:rsidR="00E777D9" w:rsidRPr="001E1240">
        <w:rPr>
          <w:b/>
          <w:sz w:val="28"/>
          <w:szCs w:val="28"/>
        </w:rPr>
        <w:t>Regulamentului</w:t>
      </w:r>
      <w:proofErr w:type="spellEnd"/>
      <w:r w:rsidR="00E777D9" w:rsidRPr="001E1240">
        <w:rPr>
          <w:b/>
          <w:sz w:val="28"/>
          <w:szCs w:val="28"/>
        </w:rPr>
        <w:t xml:space="preserve"> </w:t>
      </w:r>
      <w:proofErr w:type="spellStart"/>
      <w:r w:rsidR="00E777D9" w:rsidRPr="001E1240">
        <w:rPr>
          <w:b/>
          <w:sz w:val="28"/>
          <w:szCs w:val="28"/>
        </w:rPr>
        <w:t>sanitar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privind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limitarea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utilizării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anumitor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derivați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epoxidici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în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materialele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și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obiectele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destinate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să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vină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în</w:t>
      </w:r>
      <w:proofErr w:type="spellEnd"/>
      <w:r w:rsidR="001E1240" w:rsidRPr="001E1240">
        <w:rPr>
          <w:b/>
          <w:sz w:val="28"/>
          <w:szCs w:val="28"/>
        </w:rPr>
        <w:t xml:space="preserve"> contact cu </w:t>
      </w:r>
      <w:proofErr w:type="spellStart"/>
      <w:r w:rsidR="001E1240" w:rsidRPr="001E1240">
        <w:rPr>
          <w:b/>
          <w:sz w:val="28"/>
          <w:szCs w:val="28"/>
        </w:rPr>
        <w:t>produse</w:t>
      </w:r>
      <w:proofErr w:type="spellEnd"/>
      <w:r w:rsidR="001E1240" w:rsidRPr="001E1240">
        <w:rPr>
          <w:b/>
          <w:sz w:val="28"/>
          <w:szCs w:val="28"/>
        </w:rPr>
        <w:t xml:space="preserve"> </w:t>
      </w:r>
      <w:proofErr w:type="spellStart"/>
      <w:r w:rsidR="001E1240" w:rsidRPr="001E1240">
        <w:rPr>
          <w:b/>
          <w:sz w:val="28"/>
          <w:szCs w:val="28"/>
        </w:rPr>
        <w:t>alimentare</w:t>
      </w:r>
      <w:proofErr w:type="spellEnd"/>
      <w:r w:rsidRPr="00632379">
        <w:rPr>
          <w:b/>
        </w:rPr>
        <w:t>”</w:t>
      </w:r>
    </w:p>
    <w:p w:rsidR="00E60694" w:rsidRPr="00632379" w:rsidRDefault="00E60694" w:rsidP="00E60694">
      <w:pPr>
        <w:jc w:val="center"/>
        <w:rPr>
          <w:b/>
          <w:lang w:val="ro-RO"/>
        </w:rPr>
      </w:pPr>
    </w:p>
    <w:tbl>
      <w:tblPr>
        <w:tblStyle w:val="a3"/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53"/>
        <w:gridCol w:w="3544"/>
        <w:gridCol w:w="1559"/>
        <w:gridCol w:w="1985"/>
        <w:gridCol w:w="1559"/>
        <w:gridCol w:w="1984"/>
      </w:tblGrid>
      <w:tr w:rsidR="006B1ABD" w:rsidRPr="002906CC" w:rsidTr="00A60468">
        <w:trPr>
          <w:trHeight w:val="328"/>
        </w:trPr>
        <w:tc>
          <w:tcPr>
            <w:tcW w:w="14884" w:type="dxa"/>
            <w:gridSpan w:val="6"/>
          </w:tcPr>
          <w:p w:rsidR="006B1ABD" w:rsidRPr="00632379" w:rsidRDefault="006B1ABD" w:rsidP="00632379">
            <w:pPr>
              <w:ind w:left="-426"/>
              <w:rPr>
                <w:lang w:val="ro-RO"/>
              </w:rPr>
            </w:pPr>
          </w:p>
        </w:tc>
      </w:tr>
      <w:tr w:rsidR="00E60694" w:rsidRPr="00B869D3" w:rsidTr="00A60468">
        <w:trPr>
          <w:trHeight w:val="2241"/>
        </w:trPr>
        <w:tc>
          <w:tcPr>
            <w:tcW w:w="14884" w:type="dxa"/>
            <w:gridSpan w:val="6"/>
          </w:tcPr>
          <w:p w:rsidR="00253FD3" w:rsidRPr="00253FD3" w:rsidRDefault="00E60694" w:rsidP="00253FD3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r w:rsidRPr="00253FD3">
              <w:rPr>
                <w:b/>
                <w:sz w:val="28"/>
                <w:szCs w:val="28"/>
                <w:lang w:val="ro-RO"/>
              </w:rPr>
              <w:t>Titlul actelor comunitare, subiectul reglementat şi scopul acestuia:</w:t>
            </w:r>
            <w:r w:rsidR="00253FD3" w:rsidRPr="00253FD3">
              <w:rPr>
                <w:rFonts w:ascii="inherit" w:hAnsi="inherit"/>
                <w:sz w:val="28"/>
                <w:szCs w:val="28"/>
                <w:bdr w:val="none" w:sz="0" w:space="0" w:color="auto" w:frame="1"/>
              </w:rPr>
              <w:t xml:space="preserve"> REGULAMENTUL</w:t>
            </w:r>
            <w:r w:rsidR="00253FD3" w:rsidRPr="00253FD3">
              <w:rPr>
                <w:rStyle w:val="apple-converted-space"/>
                <w:b/>
                <w:bCs/>
                <w:color w:val="444444"/>
                <w:sz w:val="28"/>
                <w:szCs w:val="28"/>
              </w:rPr>
              <w:t> </w:t>
            </w:r>
            <w:r w:rsidR="00253FD3" w:rsidRPr="00253FD3">
              <w:rPr>
                <w:sz w:val="28"/>
                <w:szCs w:val="28"/>
              </w:rPr>
              <w:t>(CE)</w:t>
            </w:r>
            <w:r w:rsidR="00253FD3" w:rsidRPr="00253FD3">
              <w:rPr>
                <w:rStyle w:val="apple-converted-space"/>
                <w:b/>
                <w:bCs/>
                <w:color w:val="444444"/>
                <w:sz w:val="28"/>
                <w:szCs w:val="28"/>
              </w:rPr>
              <w:t> </w:t>
            </w:r>
            <w:r w:rsidR="00253FD3" w:rsidRPr="00253FD3">
              <w:rPr>
                <w:rFonts w:ascii="inherit" w:hAnsi="inherit"/>
                <w:sz w:val="28"/>
                <w:szCs w:val="28"/>
                <w:bdr w:val="none" w:sz="0" w:space="0" w:color="auto" w:frame="1"/>
              </w:rPr>
              <w:t>NR.</w:t>
            </w:r>
            <w:r w:rsidR="00253FD3" w:rsidRPr="00253FD3">
              <w:rPr>
                <w:sz w:val="28"/>
                <w:szCs w:val="28"/>
              </w:rPr>
              <w:t> 1895/2005</w:t>
            </w:r>
            <w:r w:rsidR="00253FD3" w:rsidRPr="00253FD3">
              <w:rPr>
                <w:rStyle w:val="apple-converted-space"/>
                <w:b/>
                <w:bCs/>
                <w:color w:val="444444"/>
                <w:sz w:val="28"/>
                <w:szCs w:val="28"/>
              </w:rPr>
              <w:t> </w:t>
            </w:r>
            <w:r w:rsidR="00253FD3" w:rsidRPr="00253FD3">
              <w:rPr>
                <w:rFonts w:ascii="inherit" w:hAnsi="inherit"/>
                <w:sz w:val="28"/>
                <w:szCs w:val="28"/>
                <w:bdr w:val="none" w:sz="0" w:space="0" w:color="auto" w:frame="1"/>
              </w:rPr>
              <w:t>AL COMISIEI</w:t>
            </w:r>
            <w:r w:rsidR="00253FD3" w:rsidRPr="00253FD3">
              <w:rPr>
                <w:sz w:val="28"/>
                <w:szCs w:val="28"/>
              </w:rPr>
              <w:t xml:space="preserve"> din 18 </w:t>
            </w:r>
            <w:proofErr w:type="spellStart"/>
            <w:r w:rsidR="00253FD3" w:rsidRPr="00253FD3">
              <w:rPr>
                <w:sz w:val="28"/>
                <w:szCs w:val="28"/>
              </w:rPr>
              <w:t>noiembrie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2005 </w:t>
            </w:r>
            <w:proofErr w:type="spellStart"/>
            <w:r w:rsidR="00253FD3" w:rsidRPr="00253FD3">
              <w:rPr>
                <w:sz w:val="28"/>
                <w:szCs w:val="28"/>
              </w:rPr>
              <w:t>privind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limitarea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utilizării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anumitor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derivați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epoxidici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în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materialele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și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obiectele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destinate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să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vină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în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contact cu </w:t>
            </w:r>
            <w:proofErr w:type="spellStart"/>
            <w:r w:rsidR="00253FD3" w:rsidRPr="00253FD3">
              <w:rPr>
                <w:sz w:val="28"/>
                <w:szCs w:val="28"/>
              </w:rPr>
              <w:t>produse</w:t>
            </w:r>
            <w:proofErr w:type="spellEnd"/>
            <w:r w:rsidR="00253FD3" w:rsidRPr="00253FD3">
              <w:rPr>
                <w:sz w:val="28"/>
                <w:szCs w:val="28"/>
              </w:rPr>
              <w:t xml:space="preserve"> </w:t>
            </w:r>
            <w:proofErr w:type="spellStart"/>
            <w:r w:rsidR="00253FD3" w:rsidRPr="00253FD3">
              <w:rPr>
                <w:sz w:val="28"/>
                <w:szCs w:val="28"/>
              </w:rPr>
              <w:t>alimentare</w:t>
            </w:r>
            <w:proofErr w:type="spellEnd"/>
          </w:p>
          <w:p w:rsidR="00253FD3" w:rsidRPr="00253FD3" w:rsidRDefault="00253FD3" w:rsidP="00253FD3">
            <w:pPr>
              <w:pStyle w:val="ab"/>
              <w:rPr>
                <w:b/>
                <w:bCs/>
                <w:color w:val="444444"/>
                <w:sz w:val="28"/>
                <w:szCs w:val="28"/>
                <w:lang w:val="en-US"/>
              </w:rPr>
            </w:pPr>
          </w:p>
          <w:p w:rsidR="00253FD3" w:rsidRPr="00253FD3" w:rsidRDefault="00E60694" w:rsidP="00253FD3">
            <w:pPr>
              <w:pStyle w:val="a6"/>
              <w:numPr>
                <w:ilvl w:val="0"/>
                <w:numId w:val="27"/>
              </w:numPr>
              <w:rPr>
                <w:sz w:val="28"/>
                <w:szCs w:val="28"/>
              </w:rPr>
            </w:pPr>
            <w:proofErr w:type="spellStart"/>
            <w:r w:rsidRPr="00253FD3">
              <w:rPr>
                <w:b/>
                <w:sz w:val="28"/>
                <w:szCs w:val="28"/>
              </w:rPr>
              <w:t>Titlul</w:t>
            </w:r>
            <w:proofErr w:type="spellEnd"/>
            <w:r w:rsidRPr="00253F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53FD3">
              <w:rPr>
                <w:b/>
                <w:sz w:val="28"/>
                <w:szCs w:val="28"/>
              </w:rPr>
              <w:t>actului</w:t>
            </w:r>
            <w:proofErr w:type="spellEnd"/>
            <w:r w:rsidRPr="00253FD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53FD3">
              <w:rPr>
                <w:b/>
                <w:sz w:val="28"/>
                <w:szCs w:val="28"/>
              </w:rPr>
              <w:t>comunitar</w:t>
            </w:r>
            <w:proofErr w:type="spellEnd"/>
            <w:r w:rsidR="00440B5E" w:rsidRPr="00253FD3">
              <w:rPr>
                <w:b/>
                <w:sz w:val="28"/>
                <w:szCs w:val="28"/>
              </w:rPr>
              <w:t>:</w:t>
            </w:r>
            <w:r w:rsidR="00253FD3" w:rsidRPr="00253FD3">
              <w:rPr>
                <w:sz w:val="28"/>
                <w:szCs w:val="28"/>
                <w:shd w:val="clear" w:color="auto" w:fill="FFFFFF"/>
              </w:rPr>
              <w:t xml:space="preserve"> COMMISSION REGULATION</w:t>
            </w:r>
            <w:r w:rsidR="00253FD3" w:rsidRPr="00253FD3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53FD3" w:rsidRPr="00253FD3">
              <w:rPr>
                <w:sz w:val="28"/>
                <w:szCs w:val="28"/>
                <w:shd w:val="clear" w:color="auto" w:fill="FFFFFF"/>
              </w:rPr>
              <w:t>(EC) No 1895/2005 of 18 November 2005</w:t>
            </w:r>
            <w:r w:rsidR="00440B5E" w:rsidRPr="00253FD3">
              <w:rPr>
                <w:sz w:val="28"/>
                <w:szCs w:val="28"/>
              </w:rPr>
              <w:t xml:space="preserve"> </w:t>
            </w:r>
            <w:r w:rsidR="00253FD3" w:rsidRPr="00253FD3">
              <w:rPr>
                <w:sz w:val="28"/>
                <w:szCs w:val="28"/>
              </w:rPr>
              <w:t>on the restriction of use of certain epoxy derivatives in materials and articles intended to come into contact with food</w:t>
            </w:r>
          </w:p>
          <w:p w:rsidR="00253FD3" w:rsidRPr="00253FD3" w:rsidRDefault="00253FD3" w:rsidP="00253FD3">
            <w:pPr>
              <w:pStyle w:val="a6"/>
              <w:rPr>
                <w:sz w:val="28"/>
                <w:szCs w:val="28"/>
              </w:rPr>
            </w:pPr>
            <w:r w:rsidRPr="00253FD3">
              <w:rPr>
                <w:sz w:val="28"/>
                <w:szCs w:val="28"/>
              </w:rPr>
              <w:t>(Text with EEA relevance)</w:t>
            </w:r>
            <w:r w:rsidRPr="00253FD3">
              <w:rPr>
                <w:i/>
                <w:iCs/>
                <w:color w:val="444444"/>
                <w:sz w:val="28"/>
                <w:szCs w:val="28"/>
              </w:rPr>
              <w:t xml:space="preserve"> OJ L 302, 19.11.2005, p. 28–32</w:t>
            </w:r>
          </w:p>
          <w:p w:rsidR="001E1240" w:rsidRPr="001E1240" w:rsidRDefault="00E60694" w:rsidP="001E1240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proofErr w:type="spellStart"/>
            <w:r w:rsidRPr="001E1240">
              <w:rPr>
                <w:b/>
                <w:sz w:val="24"/>
                <w:szCs w:val="24"/>
              </w:rPr>
              <w:t>Subiectul</w:t>
            </w:r>
            <w:proofErr w:type="spellEnd"/>
            <w:r w:rsidRPr="001E124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240">
              <w:rPr>
                <w:b/>
                <w:sz w:val="24"/>
                <w:szCs w:val="24"/>
              </w:rPr>
              <w:t>reglementat</w:t>
            </w:r>
            <w:proofErr w:type="spellEnd"/>
            <w:r w:rsidRPr="001E1240">
              <w:rPr>
                <w:sz w:val="24"/>
                <w:szCs w:val="24"/>
              </w:rPr>
              <w:t xml:space="preserve">: </w:t>
            </w:r>
            <w:proofErr w:type="spellStart"/>
            <w:r w:rsidRPr="001E1240">
              <w:rPr>
                <w:sz w:val="24"/>
                <w:szCs w:val="24"/>
              </w:rPr>
              <w:t>cadrul</w:t>
            </w:r>
            <w:proofErr w:type="spellEnd"/>
            <w:r w:rsidRPr="001E1240">
              <w:rPr>
                <w:sz w:val="24"/>
                <w:szCs w:val="24"/>
              </w:rPr>
              <w:t xml:space="preserve"> </w:t>
            </w:r>
            <w:proofErr w:type="spellStart"/>
            <w:r w:rsidRPr="001E1240">
              <w:rPr>
                <w:sz w:val="24"/>
                <w:szCs w:val="24"/>
              </w:rPr>
              <w:t>juridic</w:t>
            </w:r>
            <w:proofErr w:type="spellEnd"/>
            <w:r w:rsidRPr="001E1240">
              <w:rPr>
                <w:sz w:val="24"/>
                <w:szCs w:val="24"/>
              </w:rPr>
              <w:t xml:space="preserve"> </w:t>
            </w:r>
            <w:proofErr w:type="spellStart"/>
            <w:r w:rsidRPr="001E1240">
              <w:rPr>
                <w:sz w:val="24"/>
                <w:szCs w:val="24"/>
              </w:rPr>
              <w:t>referitor</w:t>
            </w:r>
            <w:proofErr w:type="spellEnd"/>
            <w:r w:rsidRPr="001E1240">
              <w:rPr>
                <w:sz w:val="24"/>
                <w:szCs w:val="24"/>
              </w:rPr>
              <w:t xml:space="preserve"> la</w:t>
            </w:r>
            <w:r w:rsidR="00D447D6">
              <w:rPr>
                <w:sz w:val="24"/>
                <w:szCs w:val="24"/>
              </w:rPr>
              <w:t xml:space="preserve"> </w:t>
            </w:r>
            <w:proofErr w:type="spellStart"/>
            <w:r w:rsidR="00D447D6">
              <w:rPr>
                <w:sz w:val="24"/>
                <w:szCs w:val="24"/>
              </w:rPr>
              <w:t>Regle</w:t>
            </w:r>
            <w:r w:rsidR="0060748D" w:rsidRPr="001E1240">
              <w:rPr>
                <w:sz w:val="24"/>
                <w:szCs w:val="24"/>
              </w:rPr>
              <w:t>mentarea</w:t>
            </w:r>
            <w:proofErr w:type="spellEnd"/>
            <w:r w:rsidR="0060748D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utilizării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anumitor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derivați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epoxidici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în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materialele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și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obiectele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destinate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să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vină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în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contact cu </w:t>
            </w:r>
            <w:proofErr w:type="spellStart"/>
            <w:r w:rsidR="001E1240" w:rsidRPr="001E1240">
              <w:rPr>
                <w:sz w:val="24"/>
                <w:szCs w:val="24"/>
              </w:rPr>
              <w:t>produse</w:t>
            </w:r>
            <w:proofErr w:type="spellEnd"/>
            <w:r w:rsidR="001E12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1E1240" w:rsidRPr="001E1240">
              <w:rPr>
                <w:sz w:val="24"/>
                <w:szCs w:val="24"/>
              </w:rPr>
              <w:t>alimentare</w:t>
            </w:r>
            <w:proofErr w:type="spellEnd"/>
          </w:p>
          <w:p w:rsidR="00E60694" w:rsidRPr="001E1240" w:rsidRDefault="00E60694" w:rsidP="001E1240">
            <w:pPr>
              <w:pStyle w:val="ab"/>
              <w:numPr>
                <w:ilvl w:val="0"/>
                <w:numId w:val="27"/>
              </w:numPr>
              <w:rPr>
                <w:lang w:val="en-US"/>
              </w:rPr>
            </w:pPr>
            <w:proofErr w:type="spellStart"/>
            <w:r w:rsidRPr="001E1240">
              <w:rPr>
                <w:b/>
                <w:lang w:val="en-US"/>
              </w:rPr>
              <w:t>Scopul</w:t>
            </w:r>
            <w:proofErr w:type="spellEnd"/>
            <w:r w:rsidRPr="001E1240">
              <w:rPr>
                <w:lang w:val="en-US"/>
              </w:rPr>
              <w:t xml:space="preserve">: </w:t>
            </w:r>
            <w:proofErr w:type="spellStart"/>
            <w:r w:rsidRPr="001E1240">
              <w:rPr>
                <w:lang w:val="en-US"/>
              </w:rPr>
              <w:t>protecţia</w:t>
            </w:r>
            <w:proofErr w:type="spellEnd"/>
            <w:r w:rsidRPr="001E1240">
              <w:rPr>
                <w:lang w:val="en-US"/>
              </w:rPr>
              <w:t xml:space="preserve"> </w:t>
            </w:r>
            <w:proofErr w:type="spellStart"/>
            <w:r w:rsidRPr="001E1240">
              <w:rPr>
                <w:lang w:val="en-US"/>
              </w:rPr>
              <w:t>sănătăţii</w:t>
            </w:r>
            <w:proofErr w:type="spellEnd"/>
            <w:r w:rsidRPr="001E1240">
              <w:rPr>
                <w:lang w:val="en-US"/>
              </w:rPr>
              <w:t xml:space="preserve"> </w:t>
            </w:r>
            <w:proofErr w:type="spellStart"/>
            <w:r w:rsidRPr="001E1240">
              <w:rPr>
                <w:lang w:val="en-US"/>
              </w:rPr>
              <w:t>publice</w:t>
            </w:r>
            <w:proofErr w:type="spellEnd"/>
            <w:r w:rsidR="006950BE" w:rsidRPr="001E1240">
              <w:rPr>
                <w:lang w:val="en-US"/>
              </w:rPr>
              <w:t xml:space="preserve">, </w:t>
            </w:r>
            <w:proofErr w:type="spellStart"/>
            <w:r w:rsidR="006950BE" w:rsidRPr="001E1240">
              <w:rPr>
                <w:lang w:val="en-US"/>
              </w:rPr>
              <w:t>reglementarea</w:t>
            </w:r>
            <w:proofErr w:type="spellEnd"/>
            <w:r w:rsidR="006950BE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sanitară</w:t>
            </w:r>
            <w:proofErr w:type="spellEnd"/>
            <w:r w:rsidR="001E1240" w:rsidRPr="001E1240">
              <w:rPr>
                <w:lang w:val="en-US"/>
              </w:rPr>
              <w:t xml:space="preserve"> a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utilizării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anumitor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derivați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epoxidici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în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materialele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și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obiectele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destinate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să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vină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în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contact cu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produse</w:t>
            </w:r>
            <w:proofErr w:type="spellEnd"/>
            <w:r w:rsidR="001E1240" w:rsidRPr="001E1240">
              <w:rPr>
                <w:bCs/>
                <w:color w:val="000000"/>
                <w:lang w:val="en-US" w:eastAsia="ro-RO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 w:eastAsia="ro-RO"/>
              </w:rPr>
              <w:t>alimentare</w:t>
            </w:r>
            <w:proofErr w:type="spellEnd"/>
          </w:p>
        </w:tc>
      </w:tr>
      <w:tr w:rsidR="00E60694" w:rsidRPr="00B869D3" w:rsidTr="00A60468">
        <w:trPr>
          <w:trHeight w:val="1665"/>
        </w:trPr>
        <w:tc>
          <w:tcPr>
            <w:tcW w:w="14884" w:type="dxa"/>
            <w:gridSpan w:val="6"/>
          </w:tcPr>
          <w:p w:rsidR="00E60694" w:rsidRPr="001E1240" w:rsidRDefault="00E60694" w:rsidP="00DA75E0">
            <w:pPr>
              <w:rPr>
                <w:lang w:val="en-US"/>
              </w:rPr>
            </w:pPr>
            <w:r w:rsidRPr="00632379">
              <w:rPr>
                <w:lang w:val="ro-RO"/>
              </w:rPr>
              <w:t xml:space="preserve">2. </w:t>
            </w:r>
            <w:r w:rsidRPr="00632379">
              <w:rPr>
                <w:b/>
                <w:lang w:val="ro-RO"/>
              </w:rPr>
              <w:t>Titlul actului normativ naţional, subiectul reglementat şi scopul acestuia:</w:t>
            </w:r>
            <w:r w:rsidR="001E1240" w:rsidRPr="001E1240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Regulamentul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sanitar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privind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limitarea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utilizării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anumitor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derivați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epoxidici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în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materialele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și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obiectele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destinate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să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vină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în</w:t>
            </w:r>
            <w:proofErr w:type="spellEnd"/>
            <w:r w:rsidR="001E1240" w:rsidRPr="001E1240">
              <w:rPr>
                <w:lang w:val="en-US"/>
              </w:rPr>
              <w:t xml:space="preserve"> contact cu </w:t>
            </w:r>
            <w:proofErr w:type="spellStart"/>
            <w:r w:rsidR="001E1240" w:rsidRPr="001E1240">
              <w:rPr>
                <w:lang w:val="en-US"/>
              </w:rPr>
              <w:t>produse</w:t>
            </w:r>
            <w:proofErr w:type="spellEnd"/>
            <w:r w:rsidR="001E1240" w:rsidRPr="001E1240">
              <w:rPr>
                <w:lang w:val="en-US"/>
              </w:rPr>
              <w:t xml:space="preserve"> </w:t>
            </w:r>
            <w:proofErr w:type="spellStart"/>
            <w:r w:rsidR="001E1240" w:rsidRPr="001E1240">
              <w:rPr>
                <w:lang w:val="en-US"/>
              </w:rPr>
              <w:t>alimentare</w:t>
            </w:r>
            <w:proofErr w:type="spellEnd"/>
          </w:p>
          <w:p w:rsidR="001E1240" w:rsidRDefault="00E60694" w:rsidP="00440B5E">
            <w:pPr>
              <w:pStyle w:val="doc-ti"/>
              <w:spacing w:before="240" w:beforeAutospacing="0" w:after="120" w:afterAutospacing="0"/>
              <w:jc w:val="both"/>
              <w:rPr>
                <w:b/>
                <w:sz w:val="28"/>
                <w:szCs w:val="28"/>
              </w:rPr>
            </w:pPr>
            <w:r w:rsidRPr="00632379">
              <w:rPr>
                <w:b/>
              </w:rPr>
              <w:t>Titlul actului normativ naţional:</w:t>
            </w:r>
            <w:r w:rsidRPr="00632379">
              <w:t xml:space="preserve"> </w:t>
            </w:r>
            <w:proofErr w:type="spellStart"/>
            <w:r w:rsidR="00B60D0C" w:rsidRPr="001E1240">
              <w:rPr>
                <w:lang w:val="en-US"/>
              </w:rPr>
              <w:t>Regulament</w:t>
            </w:r>
            <w:proofErr w:type="spellEnd"/>
            <w:r w:rsidR="00B60D0C" w:rsidRPr="001E1240">
              <w:rPr>
                <w:lang w:val="en-US"/>
              </w:rPr>
              <w:t xml:space="preserve"> </w:t>
            </w:r>
            <w:proofErr w:type="spellStart"/>
            <w:r w:rsidR="00B60D0C" w:rsidRPr="001E1240">
              <w:rPr>
                <w:lang w:val="en-US"/>
              </w:rPr>
              <w:t>sanitar</w:t>
            </w:r>
            <w:proofErr w:type="spellEnd"/>
            <w:r w:rsidR="00B60D0C" w:rsidRPr="001E1240">
              <w:rPr>
                <w:lang w:val="en-US"/>
              </w:rPr>
              <w:t xml:space="preserve"> </w:t>
            </w:r>
            <w:r w:rsidR="001E1240" w:rsidRPr="001E1240">
              <w:t xml:space="preserve">privind limitarea utilizării anumitor derivați </w:t>
            </w:r>
            <w:proofErr w:type="spellStart"/>
            <w:r w:rsidR="001E1240" w:rsidRPr="001E1240">
              <w:t>epoxidici</w:t>
            </w:r>
            <w:proofErr w:type="spellEnd"/>
            <w:r w:rsidR="001E1240" w:rsidRPr="001E1240">
              <w:t xml:space="preserve"> în materialele și obiectele destinate să vină în contact cu produse alimentare</w:t>
            </w:r>
          </w:p>
          <w:p w:rsidR="00440B5E" w:rsidRPr="001E1240" w:rsidRDefault="001E1240" w:rsidP="00440B5E">
            <w:pPr>
              <w:pStyle w:val="doc-ti"/>
              <w:spacing w:before="240" w:beforeAutospacing="0" w:after="120" w:afterAutospacing="0"/>
              <w:jc w:val="both"/>
              <w:rPr>
                <w:b/>
                <w:bCs/>
                <w:color w:val="000000"/>
                <w:lang w:val="en-US"/>
              </w:rPr>
            </w:pPr>
            <w:r w:rsidRPr="00632379">
              <w:rPr>
                <w:b/>
              </w:rPr>
              <w:t xml:space="preserve"> </w:t>
            </w:r>
            <w:r w:rsidR="00E60694" w:rsidRPr="00632379">
              <w:rPr>
                <w:b/>
              </w:rPr>
              <w:t>Subiectul reglementat</w:t>
            </w:r>
            <w:r w:rsidR="00E60694" w:rsidRPr="00632379">
              <w:t>:</w:t>
            </w:r>
            <w:r w:rsidR="00B63179" w:rsidRPr="00632379">
              <w:t xml:space="preserve"> </w:t>
            </w:r>
            <w:proofErr w:type="spellStart"/>
            <w:r w:rsidR="00440B5E" w:rsidRPr="001E1240">
              <w:rPr>
                <w:bCs/>
                <w:color w:val="000000"/>
                <w:lang w:val="en-US"/>
              </w:rPr>
              <w:t>materialele</w:t>
            </w:r>
            <w:proofErr w:type="spellEnd"/>
            <w:r w:rsidR="00440B5E"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440B5E" w:rsidRPr="001E1240">
              <w:rPr>
                <w:bCs/>
                <w:color w:val="000000"/>
                <w:lang w:val="en-US"/>
              </w:rPr>
              <w:t>și</w:t>
            </w:r>
            <w:proofErr w:type="spellEnd"/>
            <w:r w:rsidR="00440B5E"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440B5E" w:rsidRPr="001E1240">
              <w:rPr>
                <w:bCs/>
                <w:color w:val="000000"/>
                <w:lang w:val="en-US"/>
              </w:rPr>
              <w:t>obiectele</w:t>
            </w:r>
            <w:proofErr w:type="spellEnd"/>
            <w:r w:rsidR="00440B5E" w:rsidRPr="001E1240">
              <w:rPr>
                <w:bCs/>
                <w:color w:val="000000"/>
                <w:lang w:val="en-US"/>
              </w:rPr>
              <w:t xml:space="preserve"> care vin </w:t>
            </w:r>
            <w:proofErr w:type="spellStart"/>
            <w:r w:rsidR="00440B5E" w:rsidRPr="001E1240">
              <w:rPr>
                <w:bCs/>
                <w:color w:val="000000"/>
                <w:lang w:val="en-US"/>
              </w:rPr>
              <w:t>în</w:t>
            </w:r>
            <w:proofErr w:type="spellEnd"/>
            <w:r w:rsidR="00440B5E" w:rsidRPr="001E1240">
              <w:rPr>
                <w:bCs/>
                <w:color w:val="000000"/>
                <w:lang w:val="en-US"/>
              </w:rPr>
              <w:t xml:space="preserve"> contact cu </w:t>
            </w:r>
            <w:proofErr w:type="spellStart"/>
            <w:r w:rsidR="00440B5E" w:rsidRPr="001E1240">
              <w:rPr>
                <w:bCs/>
                <w:color w:val="000000"/>
                <w:lang w:val="en-US"/>
              </w:rPr>
              <w:t>produsele</w:t>
            </w:r>
            <w:proofErr w:type="spellEnd"/>
            <w:r w:rsidR="00440B5E"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440B5E" w:rsidRPr="001E1240">
              <w:rPr>
                <w:bCs/>
                <w:color w:val="000000"/>
                <w:lang w:val="en-US"/>
              </w:rPr>
              <w:t>alimentare</w:t>
            </w:r>
            <w:proofErr w:type="spellEnd"/>
            <w:r w:rsidRPr="001E1240">
              <w:rPr>
                <w:bCs/>
                <w:color w:val="000000"/>
                <w:lang w:val="en-US"/>
              </w:rPr>
              <w:t xml:space="preserve"> cu </w:t>
            </w:r>
            <w:proofErr w:type="spellStart"/>
            <w:r w:rsidRPr="001E1240">
              <w:rPr>
                <w:bCs/>
                <w:color w:val="000000"/>
                <w:lang w:val="en-US"/>
              </w:rPr>
              <w:t>conținut</w:t>
            </w:r>
            <w:proofErr w:type="spellEnd"/>
            <w:r w:rsidRPr="001E1240">
              <w:rPr>
                <w:bCs/>
                <w:color w:val="000000"/>
                <w:lang w:val="en-US"/>
              </w:rPr>
              <w:t xml:space="preserve"> de </w:t>
            </w:r>
            <w:proofErr w:type="spellStart"/>
            <w:r w:rsidRPr="001E1240">
              <w:rPr>
                <w:bCs/>
                <w:color w:val="000000"/>
                <w:lang w:val="en-US"/>
              </w:rPr>
              <w:t>derivați</w:t>
            </w:r>
            <w:proofErr w:type="spellEnd"/>
            <w:r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1E1240">
              <w:rPr>
                <w:bCs/>
                <w:color w:val="000000"/>
                <w:lang w:val="en-US"/>
              </w:rPr>
              <w:t>epoxidici</w:t>
            </w:r>
            <w:proofErr w:type="spellEnd"/>
          </w:p>
          <w:p w:rsidR="00440B5E" w:rsidRPr="00E53656" w:rsidRDefault="00E60694" w:rsidP="00440B5E">
            <w:pPr>
              <w:pStyle w:val="doc-ti"/>
              <w:spacing w:before="240" w:beforeAutospacing="0" w:after="120" w:afterAutospacing="0"/>
              <w:jc w:val="both"/>
              <w:rPr>
                <w:b/>
                <w:bCs/>
                <w:color w:val="000000"/>
                <w:lang w:val="en-US"/>
              </w:rPr>
            </w:pPr>
            <w:r w:rsidRPr="00632379">
              <w:rPr>
                <w:b/>
              </w:rPr>
              <w:t>Scopul</w:t>
            </w:r>
            <w:r w:rsidRPr="00632379">
              <w:t xml:space="preserve">: </w:t>
            </w:r>
            <w:r w:rsidR="00543BD0" w:rsidRPr="001E1240">
              <w:t>protecţia sănătăţii publice,</w:t>
            </w:r>
            <w:r w:rsidR="0060748D" w:rsidRPr="001E1240">
              <w:t xml:space="preserve"> reglementarea sanitară</w:t>
            </w:r>
            <w:r w:rsidR="00440B5E" w:rsidRPr="001E1240">
              <w:t xml:space="preserve"> a</w:t>
            </w:r>
            <w:r w:rsidR="001E1240"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materialele</w:t>
            </w:r>
            <w:proofErr w:type="spellEnd"/>
            <w:r w:rsidR="001E1240"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și</w:t>
            </w:r>
            <w:proofErr w:type="spellEnd"/>
            <w:r w:rsidR="001E1240"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obiectele</w:t>
            </w:r>
            <w:proofErr w:type="spellEnd"/>
            <w:r w:rsidR="001E1240" w:rsidRPr="001E1240">
              <w:rPr>
                <w:bCs/>
                <w:color w:val="000000"/>
                <w:lang w:val="en-US"/>
              </w:rPr>
              <w:t xml:space="preserve"> care vin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în</w:t>
            </w:r>
            <w:proofErr w:type="spellEnd"/>
            <w:r w:rsidR="001E1240" w:rsidRPr="001E1240">
              <w:rPr>
                <w:bCs/>
                <w:color w:val="000000"/>
                <w:lang w:val="en-US"/>
              </w:rPr>
              <w:t xml:space="preserve"> contact cu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produsele</w:t>
            </w:r>
            <w:proofErr w:type="spellEnd"/>
            <w:r w:rsidR="001E1240"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alimentare</w:t>
            </w:r>
            <w:proofErr w:type="spellEnd"/>
            <w:r w:rsidR="001E1240" w:rsidRPr="001E1240">
              <w:rPr>
                <w:bCs/>
                <w:color w:val="000000"/>
                <w:lang w:val="en-US"/>
              </w:rPr>
              <w:t xml:space="preserve"> cu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conținut</w:t>
            </w:r>
            <w:proofErr w:type="spellEnd"/>
            <w:r w:rsidR="001E1240" w:rsidRPr="001E1240">
              <w:rPr>
                <w:bCs/>
                <w:color w:val="000000"/>
                <w:lang w:val="en-US"/>
              </w:rPr>
              <w:t xml:space="preserve"> de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derivați</w:t>
            </w:r>
            <w:proofErr w:type="spellEnd"/>
            <w:r w:rsidR="001E1240" w:rsidRPr="001E1240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="001E1240" w:rsidRPr="001E1240">
              <w:rPr>
                <w:bCs/>
                <w:color w:val="000000"/>
                <w:lang w:val="en-US"/>
              </w:rPr>
              <w:t>epoxidici</w:t>
            </w:r>
            <w:proofErr w:type="spellEnd"/>
            <w:r w:rsidR="001E1240" w:rsidRPr="001E1240">
              <w:t>.</w:t>
            </w:r>
          </w:p>
          <w:p w:rsidR="00E60694" w:rsidRPr="00632379" w:rsidRDefault="00E60694" w:rsidP="00440B5E">
            <w:pPr>
              <w:rPr>
                <w:lang w:val="ro-RO"/>
              </w:rPr>
            </w:pPr>
          </w:p>
        </w:tc>
      </w:tr>
      <w:tr w:rsidR="00E60694" w:rsidRPr="00632379" w:rsidTr="00A60468">
        <w:trPr>
          <w:trHeight w:val="343"/>
        </w:trPr>
        <w:tc>
          <w:tcPr>
            <w:tcW w:w="14884" w:type="dxa"/>
            <w:gridSpan w:val="6"/>
          </w:tcPr>
          <w:p w:rsidR="00E60694" w:rsidRPr="00632379" w:rsidRDefault="00E60694" w:rsidP="00DA75E0">
            <w:pPr>
              <w:rPr>
                <w:lang w:val="ro-RO"/>
              </w:rPr>
            </w:pPr>
            <w:r w:rsidRPr="00632379">
              <w:rPr>
                <w:lang w:val="ro-RO"/>
              </w:rPr>
              <w:t xml:space="preserve">3. </w:t>
            </w:r>
            <w:r w:rsidRPr="00632379">
              <w:rPr>
                <w:b/>
                <w:smallCaps/>
                <w:lang w:val="ro-RO"/>
              </w:rPr>
              <w:t>G</w:t>
            </w:r>
            <w:r w:rsidRPr="00632379">
              <w:rPr>
                <w:b/>
                <w:lang w:val="ro-RO"/>
              </w:rPr>
              <w:t>radul de compatibilitate</w:t>
            </w:r>
            <w:r w:rsidRPr="00632379">
              <w:rPr>
                <w:lang w:val="ro-RO"/>
              </w:rPr>
              <w:t xml:space="preserve">: </w:t>
            </w:r>
          </w:p>
        </w:tc>
      </w:tr>
      <w:tr w:rsidR="00E60694" w:rsidRPr="00B869D3" w:rsidTr="00DC0624">
        <w:trPr>
          <w:trHeight w:val="1727"/>
        </w:trPr>
        <w:tc>
          <w:tcPr>
            <w:tcW w:w="4253" w:type="dxa"/>
          </w:tcPr>
          <w:p w:rsidR="00E60694" w:rsidRPr="00402E7D" w:rsidRDefault="00E60694" w:rsidP="00DA75E0">
            <w:pPr>
              <w:jc w:val="center"/>
              <w:rPr>
                <w:b/>
                <w:lang w:val="ro-RO"/>
              </w:rPr>
            </w:pPr>
            <w:r w:rsidRPr="00402E7D">
              <w:rPr>
                <w:b/>
                <w:lang w:val="ro-RO"/>
              </w:rPr>
              <w:lastRenderedPageBreak/>
              <w:t>4. Prevederile şi cerinţele reglementărilor comunitare (articolul, paragraful)</w:t>
            </w:r>
          </w:p>
        </w:tc>
        <w:tc>
          <w:tcPr>
            <w:tcW w:w="3544" w:type="dxa"/>
          </w:tcPr>
          <w:p w:rsidR="00E60694" w:rsidRPr="00402E7D" w:rsidRDefault="00E60694" w:rsidP="00DA75E0">
            <w:pPr>
              <w:jc w:val="center"/>
              <w:rPr>
                <w:b/>
                <w:lang w:val="ro-RO"/>
              </w:rPr>
            </w:pPr>
            <w:r w:rsidRPr="00402E7D">
              <w:rPr>
                <w:b/>
                <w:lang w:val="ro-RO"/>
              </w:rPr>
              <w:t>5. Prevederile actului normativ naţional (capitolul, articolul, subparagraful, punctul etc.)</w:t>
            </w:r>
          </w:p>
        </w:tc>
        <w:tc>
          <w:tcPr>
            <w:tcW w:w="1559" w:type="dxa"/>
          </w:tcPr>
          <w:p w:rsidR="00E60694" w:rsidRPr="00402E7D" w:rsidRDefault="00E60694" w:rsidP="00DA75E0">
            <w:pPr>
              <w:rPr>
                <w:b/>
                <w:lang w:val="ro-RO"/>
              </w:rPr>
            </w:pPr>
            <w:r w:rsidRPr="00402E7D">
              <w:rPr>
                <w:b/>
                <w:lang w:val="ro-RO"/>
              </w:rPr>
              <w:t xml:space="preserve">6. Diferenţe </w:t>
            </w:r>
          </w:p>
        </w:tc>
        <w:tc>
          <w:tcPr>
            <w:tcW w:w="1985" w:type="dxa"/>
          </w:tcPr>
          <w:p w:rsidR="00E60694" w:rsidRPr="00402E7D" w:rsidRDefault="00E60694" w:rsidP="00DA75E0">
            <w:pPr>
              <w:rPr>
                <w:b/>
                <w:lang w:val="ro-RO"/>
              </w:rPr>
            </w:pPr>
            <w:r w:rsidRPr="00402E7D">
              <w:rPr>
                <w:b/>
                <w:lang w:val="ro-RO"/>
              </w:rPr>
              <w:t>7. Motivele ce explică faptul că proiectul este parţial compatibil sau incompatibil</w:t>
            </w:r>
          </w:p>
        </w:tc>
        <w:tc>
          <w:tcPr>
            <w:tcW w:w="1559" w:type="dxa"/>
          </w:tcPr>
          <w:p w:rsidR="00E60694" w:rsidRPr="00402E7D" w:rsidRDefault="00E60694" w:rsidP="00DA75E0">
            <w:pPr>
              <w:jc w:val="center"/>
              <w:rPr>
                <w:b/>
                <w:lang w:val="ro-RO"/>
              </w:rPr>
            </w:pPr>
            <w:r w:rsidRPr="00402E7D">
              <w:rPr>
                <w:b/>
                <w:lang w:val="ro-RO"/>
              </w:rPr>
              <w:t xml:space="preserve">8. Instituţia </w:t>
            </w:r>
            <w:r w:rsidR="00C234A9" w:rsidRPr="00402E7D">
              <w:rPr>
                <w:b/>
                <w:lang w:val="ro-RO"/>
              </w:rPr>
              <w:t>responsa</w:t>
            </w:r>
            <w:r w:rsidRPr="00402E7D">
              <w:rPr>
                <w:b/>
                <w:lang w:val="ro-RO"/>
              </w:rPr>
              <w:t>bilă</w:t>
            </w:r>
          </w:p>
        </w:tc>
        <w:tc>
          <w:tcPr>
            <w:tcW w:w="1984" w:type="dxa"/>
          </w:tcPr>
          <w:p w:rsidR="00E60694" w:rsidRPr="00402E7D" w:rsidRDefault="00E60694" w:rsidP="00DA75E0">
            <w:pPr>
              <w:jc w:val="center"/>
              <w:rPr>
                <w:b/>
                <w:lang w:val="ro-RO"/>
              </w:rPr>
            </w:pPr>
            <w:r w:rsidRPr="00402E7D">
              <w:rPr>
                <w:b/>
                <w:lang w:val="ro-RO"/>
              </w:rPr>
              <w:t xml:space="preserve">9. Terme-nul - limită de asigurare a </w:t>
            </w:r>
            <w:proofErr w:type="spellStart"/>
            <w:r w:rsidRPr="00402E7D">
              <w:rPr>
                <w:b/>
                <w:lang w:val="ro-RO"/>
              </w:rPr>
              <w:t>compati-bilităţii</w:t>
            </w:r>
            <w:proofErr w:type="spellEnd"/>
            <w:r w:rsidRPr="00402E7D">
              <w:rPr>
                <w:b/>
                <w:lang w:val="ro-RO"/>
              </w:rPr>
              <w:t xml:space="preserve"> complete a actului naţional</w:t>
            </w:r>
          </w:p>
          <w:p w:rsidR="00E60694" w:rsidRPr="00402E7D" w:rsidRDefault="00E60694" w:rsidP="00DA75E0">
            <w:pPr>
              <w:jc w:val="center"/>
              <w:rPr>
                <w:b/>
                <w:lang w:val="ro-RO"/>
              </w:rPr>
            </w:pPr>
          </w:p>
        </w:tc>
      </w:tr>
      <w:tr w:rsidR="001E1240" w:rsidRPr="00B869D3" w:rsidTr="00DC0624">
        <w:trPr>
          <w:trHeight w:val="1727"/>
        </w:trPr>
        <w:tc>
          <w:tcPr>
            <w:tcW w:w="4253" w:type="dxa"/>
          </w:tcPr>
          <w:p w:rsidR="001E1240" w:rsidRPr="00402E7D" w:rsidRDefault="001E12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:rsidR="00A71F40" w:rsidRDefault="001E1240" w:rsidP="001E1240">
            <w:pPr>
              <w:pStyle w:val="a6"/>
              <w:tabs>
                <w:tab w:val="left" w:pos="567"/>
              </w:tabs>
              <w:ind w:firstLine="567"/>
              <w:jc w:val="both"/>
              <w:rPr>
                <w:bCs/>
                <w:color w:val="000000"/>
                <w:sz w:val="24"/>
                <w:szCs w:val="24"/>
              </w:rPr>
            </w:pPr>
            <w:r w:rsidRPr="00251C6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</w:r>
            <w:proofErr w:type="spellStart"/>
            <w:r w:rsidR="00A71F40" w:rsidRPr="001E1240">
              <w:rPr>
                <w:sz w:val="24"/>
                <w:szCs w:val="24"/>
              </w:rPr>
              <w:t>Regulamentul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sanitar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privind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limitarea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utilizării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anumitor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derivați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epoxidici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în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materialele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și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obiectele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destinate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să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vină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în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contact cu </w:t>
            </w:r>
            <w:proofErr w:type="spellStart"/>
            <w:r w:rsidR="00A71F40" w:rsidRPr="001E1240">
              <w:rPr>
                <w:sz w:val="24"/>
                <w:szCs w:val="24"/>
              </w:rPr>
              <w:t>produse</w:t>
            </w:r>
            <w:proofErr w:type="spellEnd"/>
            <w:r w:rsidR="00A71F40" w:rsidRPr="001E1240">
              <w:rPr>
                <w:sz w:val="24"/>
                <w:szCs w:val="24"/>
              </w:rPr>
              <w:t xml:space="preserve"> </w:t>
            </w:r>
            <w:proofErr w:type="spellStart"/>
            <w:r w:rsidR="00A71F40" w:rsidRPr="001E1240">
              <w:rPr>
                <w:sz w:val="24"/>
                <w:szCs w:val="24"/>
              </w:rPr>
              <w:t>alimentare</w:t>
            </w:r>
            <w:proofErr w:type="spellEnd"/>
            <w:r w:rsidR="00A71F40" w:rsidRPr="00251C64">
              <w:rPr>
                <w:rFonts w:eastAsia="Times New Roman"/>
                <w:sz w:val="24"/>
                <w:szCs w:val="24"/>
                <w:lang w:val="ro-RO"/>
              </w:rPr>
              <w:t xml:space="preserve"> </w:t>
            </w:r>
            <w:r w:rsidRPr="00251C64">
              <w:rPr>
                <w:rFonts w:eastAsia="Times New Roman"/>
                <w:sz w:val="24"/>
                <w:szCs w:val="24"/>
                <w:lang w:val="ro-RO"/>
              </w:rPr>
              <w:t>(în continuare–R</w:t>
            </w:r>
            <w:r w:rsidR="00A71F40">
              <w:rPr>
                <w:rFonts w:eastAsia="Times New Roman"/>
                <w:sz w:val="24"/>
                <w:szCs w:val="24"/>
                <w:lang w:val="ro-RO"/>
              </w:rPr>
              <w:t>egulament) transpune prevederile Regulamentului (CE) nr. 1895/2005 al</w:t>
            </w:r>
            <w:r w:rsidR="00A71F40" w:rsidRPr="00A71F40">
              <w:rPr>
                <w:rFonts w:eastAsia="Times New Roman"/>
                <w:sz w:val="24"/>
                <w:szCs w:val="24"/>
                <w:lang w:val="ro-RO"/>
              </w:rPr>
              <w:t xml:space="preserve"> C</w:t>
            </w:r>
            <w:r w:rsidR="00A71F40">
              <w:rPr>
                <w:rFonts w:eastAsia="Times New Roman"/>
                <w:sz w:val="24"/>
                <w:szCs w:val="24"/>
                <w:lang w:val="ro-RO"/>
              </w:rPr>
              <w:t>omisiei</w:t>
            </w:r>
            <w:r w:rsidR="00A71F40" w:rsidRPr="00A71F40">
              <w:rPr>
                <w:rFonts w:eastAsia="Times New Roman"/>
                <w:sz w:val="24"/>
                <w:szCs w:val="24"/>
                <w:lang w:val="ro-RO"/>
              </w:rPr>
              <w:t xml:space="preserve"> din 18 noiembrie 2005 privind limitarea utilizării anumitor derivați </w:t>
            </w:r>
            <w:proofErr w:type="spellStart"/>
            <w:r w:rsidR="00A71F40" w:rsidRPr="00A71F40">
              <w:rPr>
                <w:rFonts w:eastAsia="Times New Roman"/>
                <w:sz w:val="24"/>
                <w:szCs w:val="24"/>
                <w:lang w:val="ro-RO"/>
              </w:rPr>
              <w:t>epoxidici</w:t>
            </w:r>
            <w:proofErr w:type="spellEnd"/>
            <w:r w:rsidR="00A71F40" w:rsidRPr="00A71F40">
              <w:rPr>
                <w:rFonts w:eastAsia="Times New Roman"/>
                <w:sz w:val="24"/>
                <w:szCs w:val="24"/>
                <w:lang w:val="ro-RO"/>
              </w:rPr>
              <w:t xml:space="preserve"> în materialele și obiectele destinate să vină în contact cu produse alimentare</w:t>
            </w:r>
            <w:r w:rsidR="00A71F40" w:rsidRPr="00253FD3">
              <w:rPr>
                <w:i/>
                <w:iCs/>
                <w:color w:val="444444"/>
                <w:sz w:val="28"/>
                <w:szCs w:val="28"/>
              </w:rPr>
              <w:t xml:space="preserve"> </w:t>
            </w:r>
            <w:r w:rsidR="00A71F40">
              <w:rPr>
                <w:i/>
                <w:iCs/>
                <w:color w:val="444444"/>
                <w:sz w:val="28"/>
                <w:szCs w:val="28"/>
              </w:rPr>
              <w:t>jo</w:t>
            </w:r>
            <w:r w:rsidR="00A71F40" w:rsidRPr="00253FD3">
              <w:rPr>
                <w:i/>
                <w:iCs/>
                <w:color w:val="444444"/>
                <w:sz w:val="28"/>
                <w:szCs w:val="28"/>
              </w:rPr>
              <w:t xml:space="preserve"> L 302, 19.11.2005, p. 28–32</w:t>
            </w:r>
          </w:p>
          <w:p w:rsidR="001E1240" w:rsidRPr="00251C64" w:rsidRDefault="001E1240" w:rsidP="001E1240">
            <w:pPr>
              <w:pStyle w:val="a6"/>
              <w:tabs>
                <w:tab w:val="left" w:pos="567"/>
              </w:tabs>
              <w:ind w:firstLine="567"/>
              <w:jc w:val="both"/>
              <w:rPr>
                <w:rFonts w:eastAsia="Times New Roman"/>
                <w:sz w:val="24"/>
                <w:szCs w:val="24"/>
                <w:lang w:val="ro-RO"/>
              </w:rPr>
            </w:pPr>
            <w:r w:rsidRPr="00251C64">
              <w:rPr>
                <w:rFonts w:eastAsia="Times New Roman"/>
                <w:sz w:val="24"/>
                <w:szCs w:val="24"/>
                <w:lang w:val="ro-RO"/>
              </w:rPr>
              <w:t xml:space="preserve">şi este o măsură specifică în sensul Regulamentului (CE) nr. 1935/2004, articolul 5 alineatul (1) literele a), c), d), e), f), h), i) şi j), transpus în legislaţia naţională prin </w:t>
            </w:r>
            <w:proofErr w:type="spellStart"/>
            <w:r w:rsidRPr="00251C64">
              <w:rPr>
                <w:rFonts w:eastAsia="Times New Roman"/>
                <w:sz w:val="24"/>
                <w:szCs w:val="24"/>
                <w:lang w:val="ro-RO"/>
              </w:rPr>
              <w:t>Hotărîrea</w:t>
            </w:r>
            <w:proofErr w:type="spellEnd"/>
            <w:r w:rsidRPr="00251C64">
              <w:rPr>
                <w:rFonts w:eastAsia="Times New Roman"/>
                <w:sz w:val="24"/>
                <w:szCs w:val="24"/>
                <w:lang w:val="ro-RO"/>
              </w:rPr>
              <w:t xml:space="preserve"> Guvernului nr. 308 din 29 aprilie 2011 „Pentru aprobarea Regulamentului sanitar privind materialele şi obiectele destinate să vină în contact cu produsele alimentare”.</w:t>
            </w:r>
          </w:p>
          <w:p w:rsidR="001E1240" w:rsidRPr="00402E7D" w:rsidRDefault="001E12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1E1240" w:rsidRPr="00402E7D" w:rsidRDefault="001E1240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1E1240" w:rsidRPr="00402E7D" w:rsidRDefault="001E1240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1E1240" w:rsidRPr="00402E7D" w:rsidRDefault="00B869D3" w:rsidP="00DA75E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Ministerul Sănătății</w:t>
            </w:r>
          </w:p>
        </w:tc>
        <w:tc>
          <w:tcPr>
            <w:tcW w:w="1984" w:type="dxa"/>
          </w:tcPr>
          <w:p w:rsidR="001E1240" w:rsidRPr="00402E7D" w:rsidRDefault="001E1240" w:rsidP="00DA75E0">
            <w:pPr>
              <w:jc w:val="center"/>
              <w:rPr>
                <w:b/>
                <w:lang w:val="ro-RO"/>
              </w:rPr>
            </w:pPr>
          </w:p>
        </w:tc>
      </w:tr>
      <w:tr w:rsidR="00A71F40" w:rsidRPr="00B869D3" w:rsidTr="00DC0624">
        <w:trPr>
          <w:trHeight w:val="1727"/>
        </w:trPr>
        <w:tc>
          <w:tcPr>
            <w:tcW w:w="4253" w:type="dxa"/>
          </w:tcPr>
          <w:p w:rsidR="00A71F40" w:rsidRPr="00157AE5" w:rsidRDefault="00A71F40" w:rsidP="00A71F40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lastRenderedPageBreak/>
              <w:t>Articolul</w:t>
            </w:r>
            <w:proofErr w:type="spellEnd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 xml:space="preserve"> 1</w:t>
            </w:r>
          </w:p>
          <w:p w:rsidR="00A71F40" w:rsidRPr="00157AE5" w:rsidRDefault="00A71F40" w:rsidP="00A71F40">
            <w:pPr>
              <w:pStyle w:val="sti-art"/>
              <w:shd w:val="clear" w:color="auto" w:fill="FFFFFF"/>
              <w:spacing w:before="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Domeniul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aplicare</w:t>
            </w:r>
            <w:proofErr w:type="spellEnd"/>
          </w:p>
          <w:p w:rsidR="00A71F40" w:rsidRPr="00157AE5" w:rsidRDefault="00A71F40" w:rsidP="00A71F40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>(1)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regulament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aplică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inclusiv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active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inteligente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destinate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intre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contact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produsele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alimentare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menționate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articolul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1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alineatul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(2) din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Regulamentul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(CE)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nr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. 1935/2004,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fabricate din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substanțele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prezentate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continuare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sau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conțin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una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sau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multe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dintre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aceste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substanțe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781"/>
            </w:tblGrid>
            <w:tr w:rsidR="00A71F40" w:rsidRPr="002906CC" w:rsidTr="00BA5621">
              <w:tc>
                <w:tcPr>
                  <w:tcW w:w="40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(a)</w:t>
                  </w:r>
                </w:p>
              </w:tc>
              <w:tc>
                <w:tcPr>
                  <w:tcW w:w="90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Pr="00157AE5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2</w:t>
                  </w:r>
                  <w:proofErr w:type="gram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,2</w:t>
                  </w:r>
                  <w:proofErr w:type="gram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-bis(4-hidroxifenil)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propan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-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bis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(2,3-epoxipropil)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eter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,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denumit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în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continuare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„BADGE” (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nr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. CAS 001675-54-3)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și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unii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dintre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derivații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acestuia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;</w:t>
                  </w:r>
                </w:p>
              </w:tc>
            </w:tr>
          </w:tbl>
          <w:p w:rsidR="00A71F40" w:rsidRDefault="00A71F40" w:rsidP="00A71F40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3775"/>
            </w:tblGrid>
            <w:tr w:rsidR="00A71F40" w:rsidRPr="002906CC" w:rsidTr="00BA5621">
              <w:tc>
                <w:tcPr>
                  <w:tcW w:w="42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(b)</w:t>
                  </w:r>
                </w:p>
              </w:tc>
              <w:tc>
                <w:tcPr>
                  <w:tcW w:w="904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Pr="00157AE5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proofErr w:type="spellStart"/>
                  <w:proofErr w:type="gram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bis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(</w:t>
                  </w:r>
                  <w:proofErr w:type="spellStart"/>
                  <w:proofErr w:type="gram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hidroxifenil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)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metan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-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bis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(2,3-epoxipropil)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eteri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,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denumiți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în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continuare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„BFDGE” (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nr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. CAS 039817-09-9);</w:t>
                  </w:r>
                </w:p>
              </w:tc>
            </w:tr>
          </w:tbl>
          <w:p w:rsidR="00A71F40" w:rsidRDefault="00A71F40" w:rsidP="00A71F40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3719"/>
            </w:tblGrid>
            <w:tr w:rsidR="00A71F40" w:rsidRPr="002906CC" w:rsidTr="00BA5621">
              <w:tc>
                <w:tcPr>
                  <w:tcW w:w="55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Pr="00A71F40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ro-RO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(c)</w:t>
                  </w:r>
                </w:p>
              </w:tc>
              <w:tc>
                <w:tcPr>
                  <w:tcW w:w="890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Pr="00157AE5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proofErr w:type="spellStart"/>
                  <w:proofErr w:type="gram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alți</w:t>
                  </w:r>
                  <w:proofErr w:type="spellEnd"/>
                  <w:proofErr w:type="gram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novolac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glicidil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eteri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,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denumiți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în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continuare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„NOGE”.</w:t>
                  </w:r>
                </w:p>
              </w:tc>
            </w:tr>
          </w:tbl>
          <w:p w:rsidR="00A71F40" w:rsidRPr="00A71F40" w:rsidRDefault="00A71F40" w:rsidP="00DA75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44" w:type="dxa"/>
          </w:tcPr>
          <w:p w:rsidR="00B869D3" w:rsidRPr="00FA5050" w:rsidRDefault="00B869D3" w:rsidP="00B869D3">
            <w:pPr>
              <w:spacing w:line="276" w:lineRule="auto"/>
              <w:jc w:val="both"/>
              <w:rPr>
                <w:rStyle w:val="a4"/>
                <w:b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4"/>
                <w:b/>
                <w:i w:val="0"/>
                <w:sz w:val="28"/>
                <w:szCs w:val="28"/>
                <w:lang w:val="ro-RO"/>
              </w:rPr>
              <w:t xml:space="preserve">I. </w:t>
            </w:r>
            <w:proofErr w:type="spellStart"/>
            <w:r w:rsidRPr="00FA5050">
              <w:rPr>
                <w:rStyle w:val="a4"/>
                <w:b/>
                <w:sz w:val="28"/>
                <w:szCs w:val="28"/>
                <w:lang w:val="en-US"/>
              </w:rPr>
              <w:t>Dispoziţii</w:t>
            </w:r>
            <w:proofErr w:type="spellEnd"/>
            <w:r w:rsidRPr="00FA5050">
              <w:rPr>
                <w:rStyle w:val="a4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b/>
                <w:sz w:val="28"/>
                <w:szCs w:val="28"/>
                <w:lang w:val="en-US"/>
              </w:rPr>
              <w:t>generale</w:t>
            </w:r>
            <w:proofErr w:type="spellEnd"/>
          </w:p>
          <w:p w:rsidR="00B869D3" w:rsidRPr="00FA5050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4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Prezentul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Regulament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aplică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materialelor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obiectelor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inclusiv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materialelor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obiectelor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active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inteligente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destinate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să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intre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contact cu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produsele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alimentare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menționate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punctul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4 al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Regulamentului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sanitar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privind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materialele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obiectele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destinate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să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vină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contact cu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produsele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alimentare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aprobat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prin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Hotărîrea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Guvernului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nr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. 308 din 29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aprilie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2011, care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sunt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fabricate din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substanțele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prezentate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continuare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sau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conțin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una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sau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mai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multe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dintre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aceste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substanțe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3094"/>
            </w:tblGrid>
            <w:tr w:rsidR="00B869D3" w:rsidRPr="002906CC" w:rsidTr="00AC5F5E">
              <w:tc>
                <w:tcPr>
                  <w:tcW w:w="40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5413B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sz w:val="28"/>
                      <w:szCs w:val="28"/>
                    </w:rPr>
                  </w:pPr>
                  <w:r>
                    <w:rPr>
                      <w:rStyle w:val="a4"/>
                      <w:sz w:val="28"/>
                      <w:szCs w:val="28"/>
                      <w:lang w:val="en-US"/>
                    </w:rPr>
                    <w:t>1</w:t>
                  </w:r>
                  <w:r w:rsidRPr="00F5413B">
                    <w:rPr>
                      <w:rStyle w:val="a4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0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A5050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sz w:val="28"/>
                      <w:szCs w:val="28"/>
                      <w:lang w:val="en-US"/>
                    </w:rPr>
                  </w:pPr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2</w:t>
                  </w:r>
                  <w:proofErr w:type="gram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,2</w:t>
                  </w:r>
                  <w:proofErr w:type="gram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-bis(4-hidroxifenil)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propan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-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bis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(2,3-epoxipropil)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eter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denumit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continuare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„BADGE” (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nr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. CAS 001675-54-3)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și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unii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dintre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derivații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acestuia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;</w:t>
                  </w:r>
                </w:p>
              </w:tc>
            </w:tr>
          </w:tbl>
          <w:p w:rsidR="00B869D3" w:rsidRPr="00FA5050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</w:p>
          <w:tbl>
            <w:tblPr>
              <w:tblW w:w="5107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"/>
              <w:gridCol w:w="3160"/>
            </w:tblGrid>
            <w:tr w:rsidR="00B869D3" w:rsidRPr="002906CC" w:rsidTr="00AC5F5E">
              <w:tc>
                <w:tcPr>
                  <w:tcW w:w="41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5413B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sz w:val="28"/>
                      <w:szCs w:val="28"/>
                    </w:rPr>
                  </w:pPr>
                  <w:r>
                    <w:rPr>
                      <w:rStyle w:val="a4"/>
                      <w:sz w:val="28"/>
                      <w:szCs w:val="28"/>
                      <w:lang w:val="en-US"/>
                    </w:rPr>
                    <w:t>2</w:t>
                  </w:r>
                  <w:r w:rsidRPr="00F5413B">
                    <w:rPr>
                      <w:rStyle w:val="a4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0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A5050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bis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(</w:t>
                  </w:r>
                  <w:proofErr w:type="spellStart"/>
                  <w:proofErr w:type="gram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hidroxifenil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)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metan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-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bis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(2,3-epoxipropil)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eteri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denumiți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continuare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„BFDGE” (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nr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. CAS 039817-09-9);</w:t>
                  </w:r>
                </w:p>
              </w:tc>
            </w:tr>
          </w:tbl>
          <w:p w:rsidR="00B869D3" w:rsidRPr="00FA5050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"/>
              <w:gridCol w:w="3043"/>
            </w:tblGrid>
            <w:tr w:rsidR="00B869D3" w:rsidRPr="002906CC" w:rsidTr="00AC5F5E">
              <w:tc>
                <w:tcPr>
                  <w:tcW w:w="54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5413B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sz w:val="28"/>
                      <w:szCs w:val="28"/>
                    </w:rPr>
                  </w:pPr>
                  <w:r>
                    <w:rPr>
                      <w:rStyle w:val="a4"/>
                      <w:sz w:val="28"/>
                      <w:szCs w:val="28"/>
                      <w:lang w:val="en-US"/>
                    </w:rPr>
                    <w:t>3</w:t>
                  </w:r>
                  <w:r w:rsidRPr="00F5413B">
                    <w:rPr>
                      <w:rStyle w:val="a4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86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A5050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sz w:val="28"/>
                      <w:szCs w:val="28"/>
                      <w:lang w:val="en-US"/>
                    </w:rPr>
                  </w:pPr>
                  <w:proofErr w:type="spellStart"/>
                  <w:proofErr w:type="gram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alți</w:t>
                  </w:r>
                  <w:proofErr w:type="spellEnd"/>
                  <w:proofErr w:type="gram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novolac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glicidil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eteri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,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denumiți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în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continuare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„NOGE”.</w:t>
                  </w:r>
                </w:p>
              </w:tc>
            </w:tr>
          </w:tbl>
          <w:p w:rsidR="00A71F40" w:rsidRPr="00B869D3" w:rsidRDefault="00A71F40" w:rsidP="00A71F40">
            <w:pPr>
              <w:rPr>
                <w:vanish/>
                <w:lang w:val="en-US"/>
              </w:rPr>
            </w:pPr>
          </w:p>
          <w:p w:rsidR="00A71F40" w:rsidRPr="00251C64" w:rsidRDefault="00A71F40" w:rsidP="001E1240">
            <w:pPr>
              <w:pStyle w:val="a6"/>
              <w:tabs>
                <w:tab w:val="left" w:pos="567"/>
              </w:tabs>
              <w:ind w:firstLine="567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1F40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Preluat totalmente</w:t>
            </w:r>
          </w:p>
        </w:tc>
        <w:tc>
          <w:tcPr>
            <w:tcW w:w="1985" w:type="dxa"/>
          </w:tcPr>
          <w:p w:rsidR="00A71F40" w:rsidRPr="00402E7D" w:rsidRDefault="00A71F40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</w:tr>
      <w:tr w:rsidR="00A71F40" w:rsidRPr="00A71F40" w:rsidTr="00DC0624">
        <w:trPr>
          <w:trHeight w:val="1727"/>
        </w:trPr>
        <w:tc>
          <w:tcPr>
            <w:tcW w:w="4253" w:type="dxa"/>
          </w:tcPr>
          <w:p w:rsidR="00A71F40" w:rsidRPr="00157AE5" w:rsidRDefault="00A71F40" w:rsidP="00A71F40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lastRenderedPageBreak/>
              <w:t>(2)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sensul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prezentului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regulament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expresia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„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”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reprezintă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"/>
              <w:gridCol w:w="3733"/>
            </w:tblGrid>
            <w:tr w:rsidR="00A71F40" w:rsidRPr="00B869D3" w:rsidTr="00BA5621">
              <w:tc>
                <w:tcPr>
                  <w:tcW w:w="52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(a)</w:t>
                  </w:r>
                </w:p>
              </w:tc>
              <w:tc>
                <w:tcPr>
                  <w:tcW w:w="893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Pr="00157AE5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materiale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și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obiecte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realizate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din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orice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tip de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materiale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plastice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;</w:t>
                  </w:r>
                </w:p>
              </w:tc>
            </w:tr>
          </w:tbl>
          <w:p w:rsidR="00A71F40" w:rsidRDefault="00A71F40" w:rsidP="00A71F40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3706"/>
            </w:tblGrid>
            <w:tr w:rsidR="00A71F40" w:rsidRPr="00B869D3" w:rsidTr="00BA5621">
              <w:tc>
                <w:tcPr>
                  <w:tcW w:w="58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(b)</w:t>
                  </w:r>
                </w:p>
              </w:tc>
              <w:tc>
                <w:tcPr>
                  <w:tcW w:w="887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Pr="00157AE5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materiale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și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obiecte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cu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straturi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superficiale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de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acoperire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și</w:t>
                  </w:r>
                  <w:proofErr w:type="spellEnd"/>
                </w:p>
              </w:tc>
            </w:tr>
          </w:tbl>
          <w:p w:rsidR="00A71F40" w:rsidRDefault="00A71F40" w:rsidP="00A71F40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9"/>
              <w:gridCol w:w="2852"/>
            </w:tblGrid>
            <w:tr w:rsidR="00A71F40" w:rsidRPr="00A71F40" w:rsidTr="00BA5621">
              <w:tc>
                <w:tcPr>
                  <w:tcW w:w="267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Pr="00A71F40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A71F40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(c)</w:t>
                  </w:r>
                </w:p>
              </w:tc>
              <w:tc>
                <w:tcPr>
                  <w:tcW w:w="678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A71F40" w:rsidRPr="00A71F40" w:rsidRDefault="00A71F40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proofErr w:type="spellStart"/>
                  <w:proofErr w:type="gramStart"/>
                  <w:r w:rsidRPr="00A71F40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adezivii</w:t>
                  </w:r>
                  <w:proofErr w:type="spellEnd"/>
                  <w:proofErr w:type="gramEnd"/>
                  <w:r w:rsidRPr="00A71F40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.</w:t>
                  </w:r>
                </w:p>
              </w:tc>
            </w:tr>
          </w:tbl>
          <w:p w:rsidR="00A71F40" w:rsidRPr="00A71F40" w:rsidRDefault="00A71F40" w:rsidP="00A71F40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b/>
                <w:lang w:val="en-US"/>
              </w:rPr>
            </w:pPr>
          </w:p>
        </w:tc>
        <w:tc>
          <w:tcPr>
            <w:tcW w:w="3544" w:type="dxa"/>
          </w:tcPr>
          <w:p w:rsidR="00B869D3" w:rsidRPr="00FA5050" w:rsidRDefault="00B869D3" w:rsidP="00B869D3">
            <w:pPr>
              <w:rPr>
                <w:rStyle w:val="a4"/>
                <w:i w:val="0"/>
                <w:sz w:val="28"/>
                <w:szCs w:val="28"/>
                <w:lang w:val="en-US"/>
              </w:rPr>
            </w:pPr>
            <w:r w:rsidRPr="00F5413B">
              <w:rPr>
                <w:rStyle w:val="a4"/>
                <w:sz w:val="28"/>
                <w:szCs w:val="28"/>
                <w:lang w:val="en-US"/>
              </w:rPr>
              <w:t xml:space="preserve">2.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sensul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prezentului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Regulament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, se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aplică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noțiunile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prevăzute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Regulamentul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sanitar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privind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materialele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obiectele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destinate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să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vină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contact cu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produsele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alimentare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aprobat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prin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Hotărîrea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Guvernului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nr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. 308 din 29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aprilie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2011 </w:t>
            </w:r>
            <w:r w:rsidRPr="00F5413B">
              <w:rPr>
                <w:rStyle w:val="a4"/>
                <w:sz w:val="28"/>
                <w:szCs w:val="28"/>
                <w:lang w:val="en-US"/>
              </w:rPr>
              <w:t>(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Monitorul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Oficial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Republicii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Moldova, 2011, nr.74-77, art.352)</w:t>
            </w:r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Regulamentul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sanitar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privind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> 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materialele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obiectele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din plastic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destinate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vină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contact cu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produsele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alimentare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aprobat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prin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Hotărîrea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Guvernului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nr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. 278 din 24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lastRenderedPageBreak/>
              <w:t>aprilie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2013 (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Monitorul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Oficial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Republicii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Moldova, 2013, nr.97-103, art.340),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inclusiv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definiția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specifică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după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cum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urmează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>:</w:t>
            </w:r>
          </w:p>
          <w:p w:rsidR="00B869D3" w:rsidRPr="00FA5050" w:rsidRDefault="00B869D3" w:rsidP="00B869D3">
            <w:pPr>
              <w:rPr>
                <w:rStyle w:val="a4"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4"/>
                <w:sz w:val="28"/>
                <w:szCs w:val="28"/>
                <w:lang w:val="en-US"/>
              </w:rPr>
              <w:t xml:space="preserve"> 1)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expresia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„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materiale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obiecte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reprezintă</w:t>
            </w:r>
            <w:proofErr w:type="spellEnd"/>
            <w:r w:rsidRPr="00FA5050">
              <w:rPr>
                <w:rStyle w:val="a4"/>
                <w:sz w:val="28"/>
                <w:szCs w:val="28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25"/>
              <w:gridCol w:w="3029"/>
            </w:tblGrid>
            <w:tr w:rsidR="00B869D3" w:rsidRPr="00FA5050" w:rsidTr="00AC5F5E">
              <w:tc>
                <w:tcPr>
                  <w:tcW w:w="51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5413B" w:rsidRDefault="00B869D3" w:rsidP="00AC5F5E">
                  <w:pPr>
                    <w:rPr>
                      <w:rStyle w:val="a4"/>
                      <w:i w:val="0"/>
                      <w:sz w:val="28"/>
                      <w:szCs w:val="28"/>
                    </w:rPr>
                  </w:pPr>
                  <w:r w:rsidRPr="00F5413B">
                    <w:rPr>
                      <w:rStyle w:val="a4"/>
                      <w:sz w:val="28"/>
                      <w:szCs w:val="28"/>
                    </w:rPr>
                    <w:t>a)</w:t>
                  </w:r>
                </w:p>
              </w:tc>
              <w:tc>
                <w:tcPr>
                  <w:tcW w:w="8720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A5050" w:rsidRDefault="00B869D3" w:rsidP="00AC5F5E">
                  <w:pPr>
                    <w:rPr>
                      <w:rStyle w:val="a4"/>
                      <w:i w:val="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materiale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și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obiecte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realizate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din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orice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tip de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materiale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plastice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;</w:t>
                  </w:r>
                </w:p>
              </w:tc>
            </w:tr>
            <w:tr w:rsidR="00B869D3" w:rsidRPr="00FA5050" w:rsidTr="00AC5F5E">
              <w:tc>
                <w:tcPr>
                  <w:tcW w:w="578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5413B" w:rsidRDefault="00B869D3" w:rsidP="00AC5F5E">
                  <w:pPr>
                    <w:rPr>
                      <w:rStyle w:val="a4"/>
                      <w:i w:val="0"/>
                      <w:sz w:val="28"/>
                      <w:szCs w:val="28"/>
                    </w:rPr>
                  </w:pPr>
                  <w:r w:rsidRPr="00F5413B">
                    <w:rPr>
                      <w:rStyle w:val="a4"/>
                      <w:sz w:val="28"/>
                      <w:szCs w:val="28"/>
                    </w:rPr>
                    <w:t>b)</w:t>
                  </w:r>
                </w:p>
              </w:tc>
              <w:tc>
                <w:tcPr>
                  <w:tcW w:w="86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FA5050" w:rsidRDefault="00B869D3" w:rsidP="00AC5F5E">
                  <w:pPr>
                    <w:rPr>
                      <w:rStyle w:val="a4"/>
                      <w:i w:val="0"/>
                      <w:sz w:val="28"/>
                      <w:szCs w:val="28"/>
                      <w:lang w:val="en-US"/>
                    </w:rPr>
                  </w:pP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materiale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și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obiecte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cu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straturi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superficiale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de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acoperire</w:t>
                  </w:r>
                  <w:proofErr w:type="spellEnd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FA5050">
                    <w:rPr>
                      <w:rStyle w:val="a4"/>
                      <w:sz w:val="28"/>
                      <w:szCs w:val="28"/>
                      <w:lang w:val="en-US"/>
                    </w:rPr>
                    <w:t>și</w:t>
                  </w:r>
                  <w:proofErr w:type="spellEnd"/>
                </w:p>
              </w:tc>
            </w:tr>
          </w:tbl>
          <w:p w:rsidR="00B869D3" w:rsidRPr="00FA5050" w:rsidRDefault="00B869D3" w:rsidP="00B869D3">
            <w:pPr>
              <w:rPr>
                <w:rStyle w:val="a4"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4"/>
                <w:sz w:val="28"/>
                <w:szCs w:val="28"/>
                <w:lang w:val="en-US"/>
              </w:rPr>
              <w:t xml:space="preserve">c)    </w:t>
            </w:r>
            <w:proofErr w:type="spellStart"/>
            <w:r w:rsidRPr="00FA5050">
              <w:rPr>
                <w:rStyle w:val="a4"/>
                <w:sz w:val="28"/>
                <w:szCs w:val="28"/>
                <w:lang w:val="en-US"/>
              </w:rPr>
              <w:t>adezivi</w:t>
            </w:r>
            <w:proofErr w:type="spellEnd"/>
          </w:p>
          <w:p w:rsidR="00A71F40" w:rsidRPr="00157AE5" w:rsidRDefault="00A71F40" w:rsidP="00A71F40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</w:p>
          <w:p w:rsidR="00A71F40" w:rsidRPr="00251C64" w:rsidRDefault="00A71F40" w:rsidP="001E1240">
            <w:pPr>
              <w:pStyle w:val="a6"/>
              <w:tabs>
                <w:tab w:val="left" w:pos="567"/>
              </w:tabs>
              <w:ind w:firstLine="567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1F40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Preluat totalmente</w:t>
            </w:r>
          </w:p>
        </w:tc>
        <w:tc>
          <w:tcPr>
            <w:tcW w:w="1985" w:type="dxa"/>
          </w:tcPr>
          <w:p w:rsidR="00A71F40" w:rsidRPr="00402E7D" w:rsidRDefault="00A71F40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</w:tr>
      <w:tr w:rsidR="00A71F40" w:rsidRPr="00B869D3" w:rsidTr="00DC0624">
        <w:trPr>
          <w:trHeight w:val="1727"/>
        </w:trPr>
        <w:tc>
          <w:tcPr>
            <w:tcW w:w="4253" w:type="dxa"/>
          </w:tcPr>
          <w:p w:rsidR="00A71F40" w:rsidRPr="00157AE5" w:rsidRDefault="00A71F40" w:rsidP="00A71F40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lastRenderedPageBreak/>
              <w:t>(3)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regulament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nu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aplică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recipientelor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sau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rezervoarelor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depozitare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cu o capacitate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mare de 10 000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litri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sau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conductelor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aparțin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acestora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sau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conectate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acestea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prevăzute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straturi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acoperire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speciale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denumite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„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învelișuri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pentru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trafic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intens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”.</w:t>
            </w:r>
          </w:p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544" w:type="dxa"/>
          </w:tcPr>
          <w:p w:rsidR="00B869D3" w:rsidRPr="00F5413B" w:rsidRDefault="00B869D3" w:rsidP="00B869D3">
            <w:pPr>
              <w:rPr>
                <w:rStyle w:val="a4"/>
                <w:i w:val="0"/>
                <w:sz w:val="28"/>
                <w:szCs w:val="28"/>
                <w:lang w:val="en-US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 xml:space="preserve">3.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Prezentul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regulament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nu se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aplică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recipientelor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sau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rezervoarelor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depozitare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cu o capacitate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mai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mare de 10 000 de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litri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sau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conductelor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aparțin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acestora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sau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sunt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conectate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acestea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prevăzute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straturi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acoperire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speciale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denumite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„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învelișuri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pentru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trafic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intens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>”.</w:t>
            </w:r>
          </w:p>
          <w:p w:rsidR="00A71F40" w:rsidRPr="00251C64" w:rsidRDefault="00A71F40" w:rsidP="001E1240">
            <w:pPr>
              <w:pStyle w:val="a6"/>
              <w:tabs>
                <w:tab w:val="left" w:pos="567"/>
              </w:tabs>
              <w:ind w:firstLine="567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71F40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Preluat totalmente</w:t>
            </w:r>
          </w:p>
        </w:tc>
        <w:tc>
          <w:tcPr>
            <w:tcW w:w="1985" w:type="dxa"/>
          </w:tcPr>
          <w:p w:rsidR="00A71F40" w:rsidRPr="00402E7D" w:rsidRDefault="00A71F40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</w:tr>
      <w:tr w:rsidR="00A71F40" w:rsidRPr="00B869D3" w:rsidTr="00DC0624">
        <w:trPr>
          <w:trHeight w:val="1727"/>
        </w:trPr>
        <w:tc>
          <w:tcPr>
            <w:tcW w:w="4253" w:type="dxa"/>
          </w:tcPr>
          <w:p w:rsidR="00A71F40" w:rsidRPr="00157AE5" w:rsidRDefault="00A71F40" w:rsidP="00A71F40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lastRenderedPageBreak/>
              <w:t>Articolul</w:t>
            </w:r>
            <w:proofErr w:type="spellEnd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 xml:space="preserve"> 2</w:t>
            </w:r>
          </w:p>
          <w:p w:rsidR="00A71F40" w:rsidRPr="00157AE5" w:rsidRDefault="00A71F40" w:rsidP="00A71F40">
            <w:pPr>
              <w:pStyle w:val="sti-art"/>
              <w:shd w:val="clear" w:color="auto" w:fill="FFFFFF"/>
              <w:spacing w:before="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BADGE</w:t>
            </w:r>
          </w:p>
          <w:p w:rsidR="00A71F40" w:rsidRPr="00157AE5" w:rsidRDefault="00A71F40" w:rsidP="00A71F40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nu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trebuie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elibereze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substanțele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enumerate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anexa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I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într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-o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cantitate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depășește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limitele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stabilite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anexa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menționată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.</w:t>
            </w:r>
          </w:p>
          <w:p w:rsidR="00A71F40" w:rsidRPr="00157AE5" w:rsidRDefault="00A71F40" w:rsidP="00A71F40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b/>
                <w:i w:val="0"/>
                <w:sz w:val="28"/>
                <w:szCs w:val="28"/>
                <w:lang w:val="en-US"/>
              </w:rPr>
            </w:pPr>
            <w:r w:rsidRPr="00B869D3">
              <w:rPr>
                <w:rStyle w:val="a4"/>
                <w:b/>
                <w:sz w:val="28"/>
                <w:szCs w:val="28"/>
                <w:lang w:val="en-US"/>
              </w:rPr>
              <w:t xml:space="preserve">II. </w:t>
            </w:r>
            <w:proofErr w:type="spellStart"/>
            <w:r w:rsidRPr="00B869D3">
              <w:rPr>
                <w:rStyle w:val="a4"/>
                <w:b/>
                <w:sz w:val="28"/>
                <w:szCs w:val="28"/>
                <w:lang w:val="en-US"/>
              </w:rPr>
              <w:t>Cerințe</w:t>
            </w:r>
            <w:proofErr w:type="spellEnd"/>
            <w:r w:rsidRPr="00B869D3">
              <w:rPr>
                <w:rStyle w:val="a4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sz w:val="28"/>
                <w:szCs w:val="28"/>
                <w:lang w:val="en-US"/>
              </w:rPr>
              <w:t>pentru</w:t>
            </w:r>
            <w:proofErr w:type="spellEnd"/>
            <w:r w:rsidRPr="00B869D3">
              <w:rPr>
                <w:rStyle w:val="a4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sz w:val="28"/>
                <w:szCs w:val="28"/>
                <w:lang w:val="en-US"/>
              </w:rPr>
              <w:t>substanțele</w:t>
            </w:r>
            <w:proofErr w:type="spellEnd"/>
            <w:r w:rsidRPr="00B869D3">
              <w:rPr>
                <w:rStyle w:val="a4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sz w:val="28"/>
                <w:szCs w:val="28"/>
                <w:lang w:val="en-US"/>
              </w:rPr>
              <w:t>componente</w:t>
            </w:r>
            <w:proofErr w:type="spellEnd"/>
          </w:p>
          <w:p w:rsidR="00B869D3" w:rsidRPr="00F5413B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  <w:r w:rsidRPr="00F5413B">
              <w:rPr>
                <w:rStyle w:val="a4"/>
                <w:sz w:val="28"/>
                <w:szCs w:val="28"/>
                <w:lang w:val="en-US"/>
              </w:rPr>
              <w:t>4</w:t>
            </w:r>
            <w:r>
              <w:rPr>
                <w:rStyle w:val="a4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Materialele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obiectele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nu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trebuie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elibereze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substanțele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BADGE enumerate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anexa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I la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prezentul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Regulament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într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-o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cantitate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depășește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limitele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stabilite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anexa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menționată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>.</w:t>
            </w:r>
          </w:p>
          <w:p w:rsidR="00A71F40" w:rsidRPr="00B869D3" w:rsidRDefault="00A71F40" w:rsidP="00B869D3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1559" w:type="dxa"/>
          </w:tcPr>
          <w:p w:rsidR="00A71F40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Preluat totalmente</w:t>
            </w:r>
          </w:p>
        </w:tc>
        <w:tc>
          <w:tcPr>
            <w:tcW w:w="1985" w:type="dxa"/>
          </w:tcPr>
          <w:p w:rsidR="00A71F40" w:rsidRPr="00402E7D" w:rsidRDefault="00A71F40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</w:tr>
      <w:tr w:rsidR="00A71F40" w:rsidRPr="00B869D3" w:rsidTr="00DC0624">
        <w:trPr>
          <w:trHeight w:val="1727"/>
        </w:trPr>
        <w:tc>
          <w:tcPr>
            <w:tcW w:w="4253" w:type="dxa"/>
          </w:tcPr>
          <w:p w:rsidR="00DA757E" w:rsidRPr="00157AE5" w:rsidRDefault="00DA757E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>Articolul</w:t>
            </w:r>
            <w:proofErr w:type="spellEnd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 xml:space="preserve"> 3</w:t>
            </w:r>
          </w:p>
          <w:p w:rsidR="00DA757E" w:rsidRPr="00157AE5" w:rsidRDefault="00DA757E" w:rsidP="00DA757E">
            <w:pPr>
              <w:pStyle w:val="sti-art"/>
              <w:shd w:val="clear" w:color="auto" w:fill="FFFFFF"/>
              <w:spacing w:before="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BFDGE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interzice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utilizarea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/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sau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prezența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BFDGE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fabricarea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.</w:t>
            </w:r>
          </w:p>
          <w:p w:rsidR="00A71F40" w:rsidRPr="00157AE5" w:rsidRDefault="00A71F40" w:rsidP="00A71F40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B869D3" w:rsidRPr="00F5413B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  <w:r w:rsidRPr="00F5413B">
              <w:rPr>
                <w:rStyle w:val="a4"/>
                <w:sz w:val="28"/>
                <w:szCs w:val="28"/>
                <w:lang w:val="en-US"/>
              </w:rPr>
              <w:t>5.</w:t>
            </w:r>
            <w:r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r w:rsidRPr="00F5413B">
              <w:rPr>
                <w:rStyle w:val="a4"/>
                <w:sz w:val="28"/>
                <w:szCs w:val="28"/>
                <w:lang w:val="en-US"/>
              </w:rPr>
              <w:t xml:space="preserve">Se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interzice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utilizarea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>/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sau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prezența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BFDGE la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fabricarea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materialelor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13B">
              <w:rPr>
                <w:rStyle w:val="a4"/>
                <w:sz w:val="28"/>
                <w:szCs w:val="28"/>
                <w:lang w:val="en-US"/>
              </w:rPr>
              <w:t>obiectelor</w:t>
            </w:r>
            <w:proofErr w:type="spellEnd"/>
            <w:r w:rsidRPr="00F5413B">
              <w:rPr>
                <w:rStyle w:val="a4"/>
                <w:sz w:val="28"/>
                <w:szCs w:val="28"/>
                <w:lang w:val="en-US"/>
              </w:rPr>
              <w:t>.</w:t>
            </w:r>
          </w:p>
          <w:p w:rsidR="00A71F40" w:rsidRDefault="00A71F40" w:rsidP="001E1240">
            <w:pPr>
              <w:pStyle w:val="a6"/>
              <w:tabs>
                <w:tab w:val="left" w:pos="567"/>
              </w:tabs>
              <w:ind w:firstLine="567"/>
              <w:jc w:val="both"/>
              <w:rPr>
                <w:color w:val="444444"/>
                <w:sz w:val="27"/>
                <w:szCs w:val="27"/>
              </w:rPr>
            </w:pPr>
          </w:p>
        </w:tc>
        <w:tc>
          <w:tcPr>
            <w:tcW w:w="1559" w:type="dxa"/>
          </w:tcPr>
          <w:p w:rsidR="00A71F40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Preluat totalmente</w:t>
            </w:r>
          </w:p>
        </w:tc>
        <w:tc>
          <w:tcPr>
            <w:tcW w:w="1985" w:type="dxa"/>
          </w:tcPr>
          <w:p w:rsidR="00A71F40" w:rsidRPr="00402E7D" w:rsidRDefault="00A71F40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</w:tr>
      <w:tr w:rsidR="00A71F40" w:rsidRPr="00B869D3" w:rsidTr="00DC0624">
        <w:trPr>
          <w:trHeight w:val="1727"/>
        </w:trPr>
        <w:tc>
          <w:tcPr>
            <w:tcW w:w="4253" w:type="dxa"/>
          </w:tcPr>
          <w:p w:rsidR="00DA757E" w:rsidRPr="00157AE5" w:rsidRDefault="00DA757E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>Articolul</w:t>
            </w:r>
            <w:proofErr w:type="spellEnd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 xml:space="preserve"> 4</w:t>
            </w:r>
          </w:p>
          <w:p w:rsidR="00DA757E" w:rsidRPr="00157AE5" w:rsidRDefault="00DA757E" w:rsidP="00DA757E">
            <w:pPr>
              <w:pStyle w:val="sti-art"/>
              <w:shd w:val="clear" w:color="auto" w:fill="FFFFFF"/>
              <w:spacing w:before="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NOGE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interzice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utilizarea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/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sau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prezența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NOGE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fabricarea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.</w:t>
            </w:r>
          </w:p>
          <w:p w:rsidR="00A71F40" w:rsidRPr="00157AE5" w:rsidRDefault="00A71F40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ind w:firstLine="720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B869D3" w:rsidRPr="00415635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 xml:space="preserve">6. </w:t>
            </w:r>
            <w:r w:rsidRPr="00415635">
              <w:rPr>
                <w:rStyle w:val="a4"/>
                <w:sz w:val="28"/>
                <w:szCs w:val="28"/>
                <w:lang w:val="en-US"/>
              </w:rPr>
              <w:t xml:space="preserve">Se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interzice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utilizarea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>/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sau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prezența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NOGE la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fabricarea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materialelor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obiectelor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>.</w:t>
            </w:r>
          </w:p>
          <w:p w:rsidR="00A71F40" w:rsidRDefault="00A71F40" w:rsidP="001E1240">
            <w:pPr>
              <w:pStyle w:val="a6"/>
              <w:tabs>
                <w:tab w:val="left" w:pos="567"/>
              </w:tabs>
              <w:ind w:firstLine="567"/>
              <w:jc w:val="both"/>
              <w:rPr>
                <w:color w:val="444444"/>
                <w:sz w:val="27"/>
                <w:szCs w:val="27"/>
              </w:rPr>
            </w:pPr>
          </w:p>
        </w:tc>
        <w:tc>
          <w:tcPr>
            <w:tcW w:w="1559" w:type="dxa"/>
          </w:tcPr>
          <w:p w:rsidR="00A71F40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Preluat totalmente</w:t>
            </w:r>
          </w:p>
        </w:tc>
        <w:tc>
          <w:tcPr>
            <w:tcW w:w="1985" w:type="dxa"/>
          </w:tcPr>
          <w:p w:rsidR="00A71F40" w:rsidRPr="00402E7D" w:rsidRDefault="00A71F40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A71F40" w:rsidRPr="00402E7D" w:rsidRDefault="00A71F40" w:rsidP="00DA75E0">
            <w:pPr>
              <w:jc w:val="center"/>
              <w:rPr>
                <w:b/>
                <w:lang w:val="ro-RO"/>
              </w:rPr>
            </w:pPr>
          </w:p>
        </w:tc>
      </w:tr>
      <w:tr w:rsidR="00DA757E" w:rsidRPr="00B869D3" w:rsidTr="00DC0624">
        <w:trPr>
          <w:trHeight w:val="1727"/>
        </w:trPr>
        <w:tc>
          <w:tcPr>
            <w:tcW w:w="4253" w:type="dxa"/>
          </w:tcPr>
          <w:p w:rsidR="00DA757E" w:rsidRPr="00DA757E" w:rsidRDefault="00DA757E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  <w:proofErr w:type="spellStart"/>
            <w:r w:rsidRPr="00DA757E">
              <w:rPr>
                <w:i/>
                <w:iCs/>
                <w:color w:val="444444"/>
                <w:sz w:val="27"/>
                <w:szCs w:val="27"/>
                <w:lang w:val="en-US"/>
              </w:rPr>
              <w:lastRenderedPageBreak/>
              <w:t>Articolul</w:t>
            </w:r>
            <w:proofErr w:type="spellEnd"/>
            <w:r w:rsidRPr="00DA757E">
              <w:rPr>
                <w:i/>
                <w:iCs/>
                <w:color w:val="444444"/>
                <w:sz w:val="27"/>
                <w:szCs w:val="27"/>
                <w:lang w:val="en-US"/>
              </w:rPr>
              <w:t xml:space="preserve"> 5</w:t>
            </w:r>
          </w:p>
          <w:p w:rsidR="00DA757E" w:rsidRPr="00157AE5" w:rsidRDefault="00DA757E" w:rsidP="00DA757E">
            <w:pPr>
              <w:pStyle w:val="sti-art"/>
              <w:shd w:val="clear" w:color="auto" w:fill="FFFFFF"/>
              <w:spacing w:before="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Declarația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scrisă</w:t>
            </w:r>
            <w:proofErr w:type="spellEnd"/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etapele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comercializare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altele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decât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etapele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vânzare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amănuntul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conțin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BADGE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derivații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acestuia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trebuie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fie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însoțite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o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declarație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scrisă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conformitate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articolul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16 din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Regulamentul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(CE)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nr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. 1935/2004.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O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documentație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corespunzătoare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este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disponibilă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pentru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demonstrarea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acestei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conformități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.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Această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documentație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pune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dispoziția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autorităților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competente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cererea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acestora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.</w:t>
            </w:r>
          </w:p>
          <w:p w:rsidR="00DA757E" w:rsidRPr="00157AE5" w:rsidRDefault="00DA757E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B869D3" w:rsidRPr="00FA5050" w:rsidRDefault="00B869D3" w:rsidP="00B869D3">
            <w:pPr>
              <w:spacing w:line="276" w:lineRule="auto"/>
              <w:jc w:val="both"/>
              <w:rPr>
                <w:rStyle w:val="a4"/>
                <w:b/>
                <w:i w:val="0"/>
                <w:sz w:val="28"/>
                <w:szCs w:val="28"/>
                <w:lang w:val="en-US"/>
              </w:rPr>
            </w:pPr>
            <w:r w:rsidRPr="00FA5050">
              <w:rPr>
                <w:rStyle w:val="a4"/>
                <w:b/>
                <w:sz w:val="28"/>
                <w:szCs w:val="28"/>
                <w:lang w:val="en-US"/>
              </w:rPr>
              <w:t xml:space="preserve">III. </w:t>
            </w:r>
            <w:proofErr w:type="spellStart"/>
            <w:r w:rsidRPr="00FA5050">
              <w:rPr>
                <w:rStyle w:val="a4"/>
                <w:b/>
                <w:sz w:val="28"/>
                <w:szCs w:val="28"/>
                <w:lang w:val="en-US"/>
              </w:rPr>
              <w:t>Declarația</w:t>
            </w:r>
            <w:proofErr w:type="spellEnd"/>
            <w:r w:rsidRPr="00FA5050">
              <w:rPr>
                <w:rStyle w:val="a4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A5050">
              <w:rPr>
                <w:rStyle w:val="a4"/>
                <w:b/>
                <w:sz w:val="28"/>
                <w:szCs w:val="28"/>
                <w:lang w:val="en-US"/>
              </w:rPr>
              <w:t>conformității</w:t>
            </w:r>
            <w:proofErr w:type="spellEnd"/>
          </w:p>
          <w:p w:rsidR="00B869D3" w:rsidRPr="00415635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>7. La</w:t>
            </w:r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etapele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comercializare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altele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decât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etapele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vânzare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amănuntul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materialele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obiectele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care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conțin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BADGE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și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derivații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acestuia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trebuie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să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fie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însoțite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de o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declarație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scrisă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conformitate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cu punctual 19 al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Regulamentului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sanitar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privind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materialele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şi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obiectele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destinate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să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vină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în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contact cu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produsele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alimentare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aprobat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prin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Hotărîrea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Guvernului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nr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. 308 din 29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aprilie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2011.</w:t>
            </w:r>
          </w:p>
          <w:p w:rsidR="00B869D3" w:rsidRPr="00415635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 xml:space="preserve">8. </w:t>
            </w:r>
            <w:r w:rsidRPr="00415635">
              <w:rPr>
                <w:rStyle w:val="a4"/>
                <w:sz w:val="28"/>
                <w:szCs w:val="28"/>
                <w:lang w:val="en-US"/>
              </w:rPr>
              <w:t xml:space="preserve">O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documentație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corespunzătoare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este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disponibilă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pentru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demonstrarea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acestei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conformități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>.</w:t>
            </w:r>
          </w:p>
          <w:p w:rsidR="00B869D3" w:rsidRPr="00415635" w:rsidRDefault="00B869D3" w:rsidP="00B869D3">
            <w:pPr>
              <w:spacing w:line="276" w:lineRule="auto"/>
              <w:jc w:val="both"/>
              <w:rPr>
                <w:rStyle w:val="a4"/>
                <w:i w:val="0"/>
                <w:sz w:val="28"/>
                <w:szCs w:val="28"/>
                <w:lang w:val="en-US"/>
              </w:rPr>
            </w:pPr>
            <w:r>
              <w:rPr>
                <w:rStyle w:val="a4"/>
                <w:sz w:val="28"/>
                <w:szCs w:val="28"/>
                <w:lang w:val="en-US"/>
              </w:rPr>
              <w:t xml:space="preserve">9. </w:t>
            </w:r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Această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documentație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pune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dispoziția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autorităților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competente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, la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cererea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5635">
              <w:rPr>
                <w:rStyle w:val="a4"/>
                <w:sz w:val="28"/>
                <w:szCs w:val="28"/>
                <w:lang w:val="en-US"/>
              </w:rPr>
              <w:t>acestora</w:t>
            </w:r>
            <w:proofErr w:type="spellEnd"/>
            <w:r w:rsidRPr="00415635">
              <w:rPr>
                <w:rStyle w:val="a4"/>
                <w:sz w:val="28"/>
                <w:szCs w:val="28"/>
                <w:lang w:val="en-US"/>
              </w:rPr>
              <w:t>.</w:t>
            </w:r>
          </w:p>
          <w:p w:rsidR="00DA757E" w:rsidRPr="00157AE5" w:rsidRDefault="00DA757E" w:rsidP="00DA757E">
            <w:pPr>
              <w:pStyle w:val="ti-art"/>
              <w:numPr>
                <w:ilvl w:val="0"/>
                <w:numId w:val="29"/>
              </w:numPr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1559" w:type="dxa"/>
          </w:tcPr>
          <w:p w:rsidR="00DA757E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Preluat totalmente</w:t>
            </w:r>
          </w:p>
        </w:tc>
        <w:tc>
          <w:tcPr>
            <w:tcW w:w="1985" w:type="dxa"/>
          </w:tcPr>
          <w:p w:rsidR="00DA757E" w:rsidRPr="00402E7D" w:rsidRDefault="00DA757E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DA757E" w:rsidRPr="00402E7D" w:rsidRDefault="00DA757E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DA757E" w:rsidRPr="00402E7D" w:rsidRDefault="00DA757E" w:rsidP="00DA75E0">
            <w:pPr>
              <w:jc w:val="center"/>
              <w:rPr>
                <w:b/>
                <w:lang w:val="ro-RO"/>
              </w:rPr>
            </w:pPr>
          </w:p>
        </w:tc>
      </w:tr>
      <w:tr w:rsidR="00DA757E" w:rsidRPr="00B869D3" w:rsidTr="00DC0624">
        <w:trPr>
          <w:trHeight w:val="1727"/>
        </w:trPr>
        <w:tc>
          <w:tcPr>
            <w:tcW w:w="4253" w:type="dxa"/>
          </w:tcPr>
          <w:p w:rsidR="00DA757E" w:rsidRPr="00157AE5" w:rsidRDefault="00DA757E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lastRenderedPageBreak/>
              <w:t>Articolul</w:t>
            </w:r>
            <w:proofErr w:type="spellEnd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 xml:space="preserve"> 6</w:t>
            </w:r>
          </w:p>
          <w:p w:rsidR="00DA757E" w:rsidRPr="00157AE5" w:rsidRDefault="00DA757E" w:rsidP="00DA757E">
            <w:pPr>
              <w:pStyle w:val="sti-art"/>
              <w:shd w:val="clear" w:color="auto" w:fill="FFFFFF"/>
              <w:spacing w:before="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Dispoziții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tranzitorii</w:t>
            </w:r>
            <w:proofErr w:type="spellEnd"/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>(1)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Articolele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2, 3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4 nu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aplică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menționate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articolul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1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alineatul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(2)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literele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(b)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(c)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aduse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contact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produsele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alimentare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înainte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1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martie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2003.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>(2)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Articolele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3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4 nu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aplică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conformitate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Directiva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2002/16/CE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aduse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contact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produsele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alimentare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înainte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1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ianuarie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2005.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>(3)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Articolul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5 nu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aplică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menționate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articolul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1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alineatul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(2)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literele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(a), (b)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(c)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sunt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aduse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contact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produsele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alimentare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înainte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1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ianuarie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2007.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>(4)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Materialele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menționate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alineatele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(1), (2)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(3) se pot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comercializa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condiția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 data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umplere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fie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specificată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lastRenderedPageBreak/>
              <w:t>materiale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sau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obiecte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. Data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umplere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poate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înlocui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cu o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altă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indicație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condiția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aceasta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permită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identificarea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datei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umplere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.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cerere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, data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umplere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pune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dispoziția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autorităților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competente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gramStart"/>
            <w:r w:rsidRPr="00157AE5">
              <w:rPr>
                <w:color w:val="444444"/>
                <w:sz w:val="27"/>
                <w:szCs w:val="27"/>
                <w:lang w:val="en-US"/>
              </w:rPr>
              <w:t>a</w:t>
            </w:r>
            <w:proofErr w:type="gram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oricărei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persoane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care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veghează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aplicarea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cerințelor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prezentului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regulament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>(5)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Alineatele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(1)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până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(4)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aplică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fără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gramStart"/>
            <w:r w:rsidRPr="00157AE5">
              <w:rPr>
                <w:color w:val="444444"/>
                <w:sz w:val="27"/>
                <w:szCs w:val="27"/>
                <w:lang w:val="en-US"/>
              </w:rPr>
              <w:t>a</w:t>
            </w:r>
            <w:proofErr w:type="gram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aduce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atingere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cerințelor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Directivei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2000/13/CE.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DA757E" w:rsidRPr="00157AE5" w:rsidRDefault="00B869D3" w:rsidP="00B869D3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r>
              <w:rPr>
                <w:color w:val="444444"/>
                <w:sz w:val="27"/>
                <w:szCs w:val="27"/>
                <w:lang w:val="en-US"/>
              </w:rPr>
              <w:lastRenderedPageBreak/>
              <w:t>-</w:t>
            </w:r>
          </w:p>
        </w:tc>
        <w:tc>
          <w:tcPr>
            <w:tcW w:w="1559" w:type="dxa"/>
          </w:tcPr>
          <w:p w:rsidR="00DA757E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Nu este cazul.</w:t>
            </w:r>
          </w:p>
        </w:tc>
        <w:tc>
          <w:tcPr>
            <w:tcW w:w="1985" w:type="dxa"/>
          </w:tcPr>
          <w:p w:rsidR="00DA757E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Este specificat în partea </w:t>
            </w:r>
            <w:proofErr w:type="spellStart"/>
            <w:r>
              <w:rPr>
                <w:b/>
                <w:lang w:val="ro-RO"/>
              </w:rPr>
              <w:t>hotărîtoare</w:t>
            </w:r>
            <w:proofErr w:type="spellEnd"/>
          </w:p>
        </w:tc>
        <w:tc>
          <w:tcPr>
            <w:tcW w:w="1559" w:type="dxa"/>
          </w:tcPr>
          <w:p w:rsidR="00DA757E" w:rsidRPr="00402E7D" w:rsidRDefault="00DA757E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DA757E" w:rsidRPr="00402E7D" w:rsidRDefault="00DA757E" w:rsidP="00DA75E0">
            <w:pPr>
              <w:jc w:val="center"/>
              <w:rPr>
                <w:b/>
                <w:lang w:val="ro-RO"/>
              </w:rPr>
            </w:pPr>
          </w:p>
        </w:tc>
      </w:tr>
      <w:tr w:rsidR="00DA757E" w:rsidRPr="00B869D3" w:rsidTr="00DC0624">
        <w:trPr>
          <w:trHeight w:val="1727"/>
        </w:trPr>
        <w:tc>
          <w:tcPr>
            <w:tcW w:w="4253" w:type="dxa"/>
          </w:tcPr>
          <w:p w:rsidR="00DA757E" w:rsidRPr="00157AE5" w:rsidRDefault="00DA757E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lastRenderedPageBreak/>
              <w:t>Articolul</w:t>
            </w:r>
            <w:proofErr w:type="spellEnd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 xml:space="preserve"> 7</w:t>
            </w:r>
          </w:p>
          <w:p w:rsidR="00DA757E" w:rsidRPr="00157AE5" w:rsidRDefault="00DA757E" w:rsidP="00DA757E">
            <w:pPr>
              <w:pStyle w:val="sti-art"/>
              <w:shd w:val="clear" w:color="auto" w:fill="FFFFFF"/>
              <w:spacing w:before="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Abrogarea</w:t>
            </w:r>
            <w:proofErr w:type="spellEnd"/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Directiva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2002/16/CE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abrogă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Trimiterile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directiva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abrogată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interpretează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trimiteri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regulament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citesc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conformitate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tabelul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corespondență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prevăzut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anexa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II.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DA757E" w:rsidRPr="00157AE5" w:rsidRDefault="00B869D3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r>
              <w:rPr>
                <w:b/>
                <w:bCs/>
                <w:color w:val="444444"/>
                <w:sz w:val="27"/>
                <w:szCs w:val="27"/>
                <w:lang w:val="en-US"/>
              </w:rPr>
              <w:t>-</w:t>
            </w:r>
          </w:p>
        </w:tc>
        <w:tc>
          <w:tcPr>
            <w:tcW w:w="1559" w:type="dxa"/>
          </w:tcPr>
          <w:p w:rsidR="00DA757E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Nu este cazul.</w:t>
            </w:r>
          </w:p>
        </w:tc>
        <w:tc>
          <w:tcPr>
            <w:tcW w:w="1985" w:type="dxa"/>
          </w:tcPr>
          <w:p w:rsidR="00DA757E" w:rsidRPr="00402E7D" w:rsidRDefault="00DA757E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DA757E" w:rsidRPr="00402E7D" w:rsidRDefault="00DA757E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DA757E" w:rsidRPr="00402E7D" w:rsidRDefault="00DA757E" w:rsidP="00DA75E0">
            <w:pPr>
              <w:jc w:val="center"/>
              <w:rPr>
                <w:b/>
                <w:lang w:val="ro-RO"/>
              </w:rPr>
            </w:pPr>
          </w:p>
        </w:tc>
      </w:tr>
      <w:tr w:rsidR="00DA757E" w:rsidRPr="00A71F40" w:rsidTr="00DC0624">
        <w:trPr>
          <w:trHeight w:val="1727"/>
        </w:trPr>
        <w:tc>
          <w:tcPr>
            <w:tcW w:w="4253" w:type="dxa"/>
          </w:tcPr>
          <w:p w:rsidR="00DA757E" w:rsidRPr="00157AE5" w:rsidRDefault="00DA757E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>Articolul</w:t>
            </w:r>
            <w:proofErr w:type="spellEnd"/>
            <w:r w:rsidRPr="00157AE5">
              <w:rPr>
                <w:i/>
                <w:iCs/>
                <w:color w:val="444444"/>
                <w:sz w:val="27"/>
                <w:szCs w:val="27"/>
                <w:lang w:val="en-US"/>
              </w:rPr>
              <w:t xml:space="preserve"> 8</w:t>
            </w:r>
          </w:p>
          <w:p w:rsidR="00DA757E" w:rsidRPr="00157AE5" w:rsidRDefault="00DA757E" w:rsidP="00DA757E">
            <w:pPr>
              <w:pStyle w:val="sti-art"/>
              <w:shd w:val="clear" w:color="auto" w:fill="FFFFFF"/>
              <w:spacing w:before="6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Intrarea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vigoare</w:t>
            </w:r>
            <w:proofErr w:type="spellEnd"/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Prezentul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regulament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intră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vigoare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douăzecea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zi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la data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publicării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rStyle w:val="apple-converted-space"/>
                <w:color w:val="444444"/>
                <w:sz w:val="27"/>
                <w:szCs w:val="27"/>
                <w:lang w:val="en-US"/>
              </w:rPr>
              <w:t> </w:t>
            </w:r>
            <w:proofErr w:type="spellStart"/>
            <w:r w:rsidRPr="00157AE5">
              <w:rPr>
                <w:rStyle w:val="italic"/>
                <w:rFonts w:ascii="inherit" w:hAnsi="inherit"/>
                <w:i/>
                <w:iCs/>
                <w:color w:val="444444"/>
                <w:sz w:val="27"/>
                <w:szCs w:val="27"/>
                <w:bdr w:val="none" w:sz="0" w:space="0" w:color="auto" w:frame="1"/>
                <w:lang w:val="en-US"/>
              </w:rPr>
              <w:t>Jurnalul</w:t>
            </w:r>
            <w:proofErr w:type="spellEnd"/>
            <w:r w:rsidRPr="00157AE5">
              <w:rPr>
                <w:rStyle w:val="italic"/>
                <w:rFonts w:ascii="inherit" w:hAnsi="inherit"/>
                <w:i/>
                <w:iCs/>
                <w:color w:val="444444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157AE5">
              <w:rPr>
                <w:rStyle w:val="italic"/>
                <w:rFonts w:ascii="inherit" w:hAnsi="inherit"/>
                <w:i/>
                <w:iCs/>
                <w:color w:val="444444"/>
                <w:sz w:val="27"/>
                <w:szCs w:val="27"/>
                <w:bdr w:val="none" w:sz="0" w:space="0" w:color="auto" w:frame="1"/>
                <w:lang w:val="en-US"/>
              </w:rPr>
              <w:t>Oficial</w:t>
            </w:r>
            <w:proofErr w:type="spellEnd"/>
            <w:r w:rsidRPr="00157AE5">
              <w:rPr>
                <w:rStyle w:val="italic"/>
                <w:rFonts w:ascii="inherit" w:hAnsi="inherit"/>
                <w:i/>
                <w:iCs/>
                <w:color w:val="444444"/>
                <w:sz w:val="27"/>
                <w:szCs w:val="27"/>
                <w:bdr w:val="none" w:sz="0" w:space="0" w:color="auto" w:frame="1"/>
                <w:lang w:val="en-US"/>
              </w:rPr>
              <w:t xml:space="preserve"> al </w:t>
            </w:r>
            <w:proofErr w:type="spellStart"/>
            <w:r w:rsidRPr="00157AE5">
              <w:rPr>
                <w:rStyle w:val="italic"/>
                <w:rFonts w:ascii="inherit" w:hAnsi="inherit"/>
                <w:i/>
                <w:iCs/>
                <w:color w:val="444444"/>
                <w:sz w:val="27"/>
                <w:szCs w:val="27"/>
                <w:bdr w:val="none" w:sz="0" w:space="0" w:color="auto" w:frame="1"/>
                <w:lang w:val="en-US"/>
              </w:rPr>
              <w:lastRenderedPageBreak/>
              <w:t>Uniunii</w:t>
            </w:r>
            <w:proofErr w:type="spellEnd"/>
            <w:r w:rsidRPr="00157AE5">
              <w:rPr>
                <w:rStyle w:val="italic"/>
                <w:rFonts w:ascii="inherit" w:hAnsi="inherit"/>
                <w:i/>
                <w:iCs/>
                <w:color w:val="444444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157AE5">
              <w:rPr>
                <w:rStyle w:val="italic"/>
                <w:rFonts w:ascii="inherit" w:hAnsi="inherit"/>
                <w:i/>
                <w:iCs/>
                <w:color w:val="444444"/>
                <w:sz w:val="27"/>
                <w:szCs w:val="27"/>
                <w:bdr w:val="none" w:sz="0" w:space="0" w:color="auto" w:frame="1"/>
                <w:lang w:val="en-US"/>
              </w:rPr>
              <w:t>Europene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aplică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la 1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ianuarie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2006.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rFonts w:ascii="inherit" w:hAnsi="inherit"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Prezentul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regulament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este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obligatoriu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toate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elementele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sale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se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aplică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direct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toate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statele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membre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rFonts w:ascii="inherit" w:hAnsi="inherit"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Adoptat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la 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Bruxelles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, 18 </w:t>
            </w:r>
            <w:proofErr w:type="spellStart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>noiembrie</w:t>
            </w:r>
            <w:proofErr w:type="spellEnd"/>
            <w:r w:rsidRPr="00157AE5">
              <w:rPr>
                <w:rFonts w:ascii="inherit" w:hAnsi="inherit"/>
                <w:color w:val="444444"/>
                <w:sz w:val="27"/>
                <w:szCs w:val="27"/>
                <w:lang w:val="en-US"/>
              </w:rPr>
              <w:t xml:space="preserve"> 2005.</w:t>
            </w:r>
          </w:p>
          <w:p w:rsidR="00DA757E" w:rsidRPr="00157AE5" w:rsidRDefault="00DA757E" w:rsidP="00DA757E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DA757E" w:rsidRPr="00157AE5" w:rsidRDefault="00B869D3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ind w:left="720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r>
              <w:rPr>
                <w:b/>
                <w:bCs/>
                <w:color w:val="444444"/>
                <w:sz w:val="27"/>
                <w:szCs w:val="27"/>
                <w:lang w:val="en-US"/>
              </w:rPr>
              <w:lastRenderedPageBreak/>
              <w:t>-</w:t>
            </w:r>
          </w:p>
        </w:tc>
        <w:tc>
          <w:tcPr>
            <w:tcW w:w="1559" w:type="dxa"/>
          </w:tcPr>
          <w:p w:rsidR="00DA757E" w:rsidRPr="00402E7D" w:rsidRDefault="00B869D3" w:rsidP="00DA75E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Nu este cazul.</w:t>
            </w:r>
          </w:p>
        </w:tc>
        <w:tc>
          <w:tcPr>
            <w:tcW w:w="1985" w:type="dxa"/>
          </w:tcPr>
          <w:p w:rsidR="00DA757E" w:rsidRPr="00402E7D" w:rsidRDefault="00DA757E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DA757E" w:rsidRPr="00402E7D" w:rsidRDefault="00DA757E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DA757E" w:rsidRPr="00402E7D" w:rsidRDefault="00DA757E" w:rsidP="00DA75E0">
            <w:pPr>
              <w:jc w:val="center"/>
              <w:rPr>
                <w:b/>
                <w:lang w:val="ro-RO"/>
              </w:rPr>
            </w:pPr>
          </w:p>
        </w:tc>
      </w:tr>
      <w:tr w:rsidR="00866CFA" w:rsidRPr="00B869D3" w:rsidTr="00DC0624">
        <w:trPr>
          <w:trHeight w:val="1727"/>
        </w:trPr>
        <w:tc>
          <w:tcPr>
            <w:tcW w:w="4253" w:type="dxa"/>
          </w:tcPr>
          <w:p w:rsidR="00866CFA" w:rsidRPr="00157AE5" w:rsidRDefault="00866CFA" w:rsidP="00866CFA">
            <w:pPr>
              <w:pStyle w:val="doc-ti"/>
              <w:shd w:val="clear" w:color="auto" w:fill="FFFFFF"/>
              <w:spacing w:before="24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lastRenderedPageBreak/>
              <w:t>ANEXA I</w:t>
            </w:r>
          </w:p>
          <w:p w:rsidR="00866CFA" w:rsidRPr="00157AE5" w:rsidRDefault="00866CFA" w:rsidP="00866CFA">
            <w:pPr>
              <w:pStyle w:val="ti-grseq-1"/>
              <w:shd w:val="clear" w:color="auto" w:fill="FFFFFF"/>
              <w:spacing w:before="240" w:beforeAutospacing="0" w:after="120" w:afterAutospacing="0" w:line="312" w:lineRule="atLeast"/>
              <w:jc w:val="both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Limite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migrație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specifice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pentru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BADGE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unii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dintre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derivații</w:t>
            </w:r>
            <w:proofErr w:type="spellEnd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b/>
                <w:bCs/>
                <w:color w:val="444444"/>
                <w:sz w:val="27"/>
                <w:szCs w:val="27"/>
                <w:lang w:val="en-US"/>
              </w:rPr>
              <w:t>acestuia</w:t>
            </w:r>
            <w:proofErr w:type="spellEnd"/>
          </w:p>
          <w:p w:rsidR="00866CFA" w:rsidRPr="00157AE5" w:rsidRDefault="00866CFA" w:rsidP="00DA757E">
            <w:pPr>
              <w:pStyle w:val="ti-art"/>
              <w:shd w:val="clear" w:color="auto" w:fill="FFFFFF"/>
              <w:spacing w:before="360" w:beforeAutospacing="0" w:after="120" w:afterAutospacing="0" w:line="312" w:lineRule="atLeast"/>
              <w:jc w:val="center"/>
              <w:textAlignment w:val="baseline"/>
              <w:rPr>
                <w:i/>
                <w:i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B869D3" w:rsidRPr="00DB4C33" w:rsidRDefault="00B869D3" w:rsidP="00B869D3">
            <w:pPr>
              <w:jc w:val="right"/>
              <w:rPr>
                <w:rStyle w:val="a4"/>
                <w:b/>
                <w:i w:val="0"/>
                <w:sz w:val="28"/>
                <w:szCs w:val="28"/>
                <w:lang w:val="en-US"/>
              </w:rPr>
            </w:pPr>
            <w:proofErr w:type="spellStart"/>
            <w:r w:rsidRPr="00DB4C33">
              <w:rPr>
                <w:rStyle w:val="a4"/>
                <w:b/>
                <w:sz w:val="28"/>
                <w:szCs w:val="28"/>
                <w:lang w:val="en-US"/>
              </w:rPr>
              <w:t>Anexă</w:t>
            </w:r>
            <w:proofErr w:type="spellEnd"/>
            <w:r w:rsidRPr="00DB4C33">
              <w:rPr>
                <w:rStyle w:val="a4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Style w:val="a4"/>
                <w:b/>
                <w:sz w:val="28"/>
                <w:szCs w:val="28"/>
                <w:lang w:val="en-US"/>
              </w:rPr>
              <w:t>nr</w:t>
            </w:r>
            <w:proofErr w:type="spellEnd"/>
            <w:r>
              <w:rPr>
                <w:rStyle w:val="a4"/>
                <w:b/>
                <w:sz w:val="28"/>
                <w:szCs w:val="28"/>
                <w:lang w:val="en-US"/>
              </w:rPr>
              <w:t>. 1</w:t>
            </w:r>
          </w:p>
          <w:p w:rsidR="00B869D3" w:rsidRPr="00DB4C33" w:rsidRDefault="00B869D3" w:rsidP="00B869D3">
            <w:pPr>
              <w:jc w:val="right"/>
              <w:rPr>
                <w:sz w:val="28"/>
                <w:szCs w:val="28"/>
                <w:lang w:val="en-US"/>
              </w:rPr>
            </w:pPr>
            <w:r w:rsidRPr="00E831EA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r w:rsidRPr="00DB4C33">
              <w:rPr>
                <w:rStyle w:val="a4"/>
                <w:sz w:val="28"/>
                <w:szCs w:val="28"/>
                <w:lang w:val="en-US"/>
              </w:rPr>
              <w:t xml:space="preserve">la </w:t>
            </w:r>
            <w:proofErr w:type="spellStart"/>
            <w:r w:rsidRPr="00DB4C33">
              <w:rPr>
                <w:rStyle w:val="a4"/>
                <w:sz w:val="28"/>
                <w:szCs w:val="28"/>
                <w:lang w:val="en-US"/>
              </w:rPr>
              <w:t>Regulamentul</w:t>
            </w:r>
            <w:proofErr w:type="spellEnd"/>
            <w:r w:rsidRPr="00DB4C33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rStyle w:val="a4"/>
                <w:sz w:val="28"/>
                <w:szCs w:val="28"/>
                <w:lang w:val="en-US"/>
              </w:rPr>
              <w:t>sanitar</w:t>
            </w:r>
            <w:proofErr w:type="spellEnd"/>
            <w:r w:rsidRPr="00DB4C33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rStyle w:val="a4"/>
                <w:sz w:val="28"/>
                <w:szCs w:val="28"/>
                <w:lang w:val="en-US"/>
              </w:rPr>
              <w:t>privind</w:t>
            </w:r>
            <w:proofErr w:type="spellEnd"/>
            <w:r w:rsidRPr="00DB4C33">
              <w:rPr>
                <w:rStyle w:val="a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limitarea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utilizării</w:t>
            </w:r>
            <w:proofErr w:type="spellEnd"/>
          </w:p>
          <w:p w:rsidR="00B869D3" w:rsidRPr="00DB4C33" w:rsidRDefault="00B869D3" w:rsidP="00B869D3">
            <w:pPr>
              <w:jc w:val="right"/>
              <w:rPr>
                <w:sz w:val="28"/>
                <w:szCs w:val="28"/>
                <w:lang w:val="en-US"/>
              </w:rPr>
            </w:pPr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anumitor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derivați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epoxidici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materialele</w:t>
            </w:r>
            <w:proofErr w:type="spellEnd"/>
          </w:p>
          <w:p w:rsidR="00B869D3" w:rsidRPr="00DB4C33" w:rsidRDefault="00B869D3" w:rsidP="00B869D3">
            <w:pPr>
              <w:jc w:val="right"/>
              <w:rPr>
                <w:sz w:val="28"/>
                <w:szCs w:val="28"/>
                <w:lang w:val="en-US"/>
              </w:rPr>
            </w:pPr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și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obiectele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destinate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să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vină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contact</w:t>
            </w:r>
          </w:p>
          <w:p w:rsidR="00B869D3" w:rsidRPr="00DB4C33" w:rsidRDefault="00B869D3" w:rsidP="00B869D3">
            <w:pPr>
              <w:jc w:val="right"/>
              <w:rPr>
                <w:sz w:val="28"/>
                <w:szCs w:val="28"/>
                <w:lang w:val="en-US"/>
              </w:rPr>
            </w:pPr>
            <w:r w:rsidRPr="00DB4C33">
              <w:rPr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produse</w:t>
            </w:r>
            <w:proofErr w:type="spellEnd"/>
            <w:r w:rsidRPr="00DB4C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B4C33">
              <w:rPr>
                <w:sz w:val="28"/>
                <w:szCs w:val="28"/>
                <w:lang w:val="en-US"/>
              </w:rPr>
              <w:t>alimentare</w:t>
            </w:r>
            <w:proofErr w:type="spellEnd"/>
          </w:p>
          <w:p w:rsidR="00866CFA" w:rsidRPr="00157AE5" w:rsidRDefault="00866CFA" w:rsidP="00B869D3">
            <w:pPr>
              <w:pStyle w:val="ti-grseq-1"/>
              <w:shd w:val="clear" w:color="auto" w:fill="FFFFFF"/>
              <w:spacing w:before="240" w:beforeAutospacing="0" w:after="120" w:afterAutospacing="0" w:line="312" w:lineRule="atLeast"/>
              <w:jc w:val="both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1559" w:type="dxa"/>
          </w:tcPr>
          <w:p w:rsidR="00866CFA" w:rsidRPr="00402E7D" w:rsidRDefault="00866CFA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866CFA" w:rsidRPr="00402E7D" w:rsidRDefault="00866CFA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866CFA" w:rsidRPr="00402E7D" w:rsidRDefault="00866CFA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866CFA" w:rsidRPr="00402E7D" w:rsidRDefault="00866CFA" w:rsidP="00DA75E0">
            <w:pPr>
              <w:jc w:val="center"/>
              <w:rPr>
                <w:b/>
                <w:lang w:val="ro-RO"/>
              </w:rPr>
            </w:pPr>
          </w:p>
        </w:tc>
      </w:tr>
      <w:tr w:rsidR="00866CFA" w:rsidRPr="00B869D3" w:rsidTr="00DC0624">
        <w:trPr>
          <w:trHeight w:val="1727"/>
        </w:trPr>
        <w:tc>
          <w:tcPr>
            <w:tcW w:w="4253" w:type="dxa"/>
          </w:tcPr>
          <w:p w:rsidR="00866CFA" w:rsidRDefault="00866CFA" w:rsidP="00866CFA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</w:rPr>
            </w:pPr>
            <w:r>
              <w:rPr>
                <w:color w:val="444444"/>
                <w:sz w:val="27"/>
                <w:szCs w:val="27"/>
              </w:rPr>
              <w:t>(1)   </w:t>
            </w:r>
            <w:proofErr w:type="spellStart"/>
            <w:r>
              <w:rPr>
                <w:color w:val="444444"/>
                <w:sz w:val="27"/>
                <w:szCs w:val="27"/>
              </w:rPr>
              <w:t>Suma</w:t>
            </w:r>
            <w:proofErr w:type="spellEnd"/>
            <w:r>
              <w:rPr>
                <w:color w:val="444444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444444"/>
                <w:sz w:val="27"/>
                <w:szCs w:val="27"/>
              </w:rPr>
              <w:t>migrațiilor</w:t>
            </w:r>
            <w:proofErr w:type="spellEnd"/>
            <w:r>
              <w:rPr>
                <w:color w:val="444444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444444"/>
                <w:sz w:val="27"/>
                <w:szCs w:val="27"/>
              </w:rPr>
              <w:t>următoarelor</w:t>
            </w:r>
            <w:proofErr w:type="spellEnd"/>
            <w:r>
              <w:rPr>
                <w:color w:val="444444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444444"/>
                <w:sz w:val="27"/>
                <w:szCs w:val="27"/>
              </w:rPr>
              <w:t>substanțe</w:t>
            </w:r>
            <w:proofErr w:type="spellEnd"/>
            <w:r>
              <w:rPr>
                <w:color w:val="444444"/>
                <w:sz w:val="27"/>
                <w:szCs w:val="27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781"/>
            </w:tblGrid>
            <w:tr w:rsidR="00866CFA" w:rsidRPr="002906CC" w:rsidTr="00BA5621">
              <w:tc>
                <w:tcPr>
                  <w:tcW w:w="40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(a)</w:t>
                  </w:r>
                </w:p>
              </w:tc>
              <w:tc>
                <w:tcPr>
                  <w:tcW w:w="905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Pr="00157AE5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BADGE [= 2</w:t>
                  </w:r>
                  <w:proofErr w:type="gram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,2</w:t>
                  </w:r>
                  <w:proofErr w:type="gram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-bis(4-hidroxifenil)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propan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-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bis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(2,3-epoxipropil)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eter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] (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nr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. CAS = 001675-54-3);</w:t>
                  </w:r>
                </w:p>
              </w:tc>
            </w:tr>
          </w:tbl>
          <w:p w:rsidR="00866CFA" w:rsidRDefault="00866CFA" w:rsidP="00866CFA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3613"/>
            </w:tblGrid>
            <w:tr w:rsidR="00866CFA" w:rsidTr="00BA5621">
              <w:tc>
                <w:tcPr>
                  <w:tcW w:w="8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(b)</w:t>
                  </w:r>
                </w:p>
              </w:tc>
              <w:tc>
                <w:tcPr>
                  <w:tcW w:w="864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proofErr w:type="gram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BADGE.H</w:t>
                  </w:r>
                  <w:r>
                    <w:rPr>
                      <w:rStyle w:val="sub"/>
                      <w:rFonts w:ascii="inherit" w:hAnsi="inherit"/>
                      <w:color w:val="444444"/>
                      <w:sz w:val="19"/>
                      <w:szCs w:val="19"/>
                      <w:bdr w:val="none" w:sz="0" w:space="0" w:color="auto" w:frame="1"/>
                      <w:vertAlign w:val="subscript"/>
                    </w:rPr>
                    <w:t>2</w:t>
                  </w: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O (</w:t>
                  </w:r>
                  <w:proofErr w:type="spell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nr</w:t>
                  </w:r>
                  <w:proofErr w:type="spellEnd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.</w:t>
                  </w:r>
                  <w:proofErr w:type="gramEnd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 xml:space="preserve"> </w:t>
                  </w:r>
                  <w:proofErr w:type="gram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CAS = 076002-91-0);</w:t>
                  </w:r>
                  <w:proofErr w:type="gramEnd"/>
                </w:p>
              </w:tc>
            </w:tr>
          </w:tbl>
          <w:p w:rsidR="00866CFA" w:rsidRDefault="00866CFA" w:rsidP="00866CFA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3627"/>
            </w:tblGrid>
            <w:tr w:rsidR="00866CFA" w:rsidRPr="00B869D3" w:rsidTr="00BA5621">
              <w:tc>
                <w:tcPr>
                  <w:tcW w:w="78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P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866CFA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(c</w:t>
                  </w:r>
                  <w:r w:rsidRPr="00866CFA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lastRenderedPageBreak/>
                    <w:t>)</w:t>
                  </w:r>
                </w:p>
              </w:tc>
              <w:tc>
                <w:tcPr>
                  <w:tcW w:w="867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Pr="00866CFA" w:rsidRDefault="00866CFA" w:rsidP="00BA5621">
                  <w:pPr>
                    <w:pStyle w:val="11"/>
                    <w:spacing w:before="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866CFA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lastRenderedPageBreak/>
                    <w:t>BADGE.2H</w:t>
                  </w:r>
                  <w:r w:rsidRPr="00866CFA">
                    <w:rPr>
                      <w:rStyle w:val="sub"/>
                      <w:rFonts w:ascii="inherit" w:hAnsi="inherit"/>
                      <w:color w:val="444444"/>
                      <w:sz w:val="19"/>
                      <w:szCs w:val="19"/>
                      <w:bdr w:val="none" w:sz="0" w:space="0" w:color="auto" w:frame="1"/>
                      <w:vertAlign w:val="subscript"/>
                      <w:lang w:val="en-US"/>
                    </w:rPr>
                    <w:t>2</w:t>
                  </w:r>
                  <w:r w:rsidRPr="00866CFA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O (</w:t>
                  </w:r>
                  <w:proofErr w:type="spellStart"/>
                  <w:r w:rsidRPr="00866CFA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nr</w:t>
                  </w:r>
                  <w:proofErr w:type="spellEnd"/>
                  <w:r w:rsidRPr="00866CFA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. CAS = 005581-32-8)</w:t>
                  </w:r>
                </w:p>
              </w:tc>
            </w:tr>
          </w:tbl>
          <w:p w:rsidR="00866CFA" w:rsidRPr="00157AE5" w:rsidRDefault="00866CFA" w:rsidP="00866CFA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lastRenderedPageBreak/>
              <w:t xml:space="preserve">nu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trebuie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depășească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următoarele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limite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3735"/>
            </w:tblGrid>
            <w:tr w:rsidR="00866CFA" w:rsidRPr="00B869D3" w:rsidTr="00BA5621">
              <w:tc>
                <w:tcPr>
                  <w:tcW w:w="5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—</w:t>
                  </w:r>
                </w:p>
              </w:tc>
              <w:tc>
                <w:tcPr>
                  <w:tcW w:w="89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Pr="00157AE5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9 mg/kg la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produse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alimentare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sau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simulanți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alimentari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sau</w:t>
                  </w:r>
                  <w:proofErr w:type="spellEnd"/>
                </w:p>
              </w:tc>
            </w:tr>
          </w:tbl>
          <w:p w:rsidR="00866CFA" w:rsidRDefault="00866CFA" w:rsidP="00866CFA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3794"/>
            </w:tblGrid>
            <w:tr w:rsidR="00866CFA" w:rsidRPr="00B869D3" w:rsidTr="00BA5621">
              <w:tc>
                <w:tcPr>
                  <w:tcW w:w="37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—</w:t>
                  </w:r>
                </w:p>
              </w:tc>
              <w:tc>
                <w:tcPr>
                  <w:tcW w:w="908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Pr="00157AE5" w:rsidRDefault="00866CFA" w:rsidP="00BA5621">
                  <w:pPr>
                    <w:pStyle w:val="11"/>
                    <w:spacing w:before="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9 mg/6 dm</w:t>
                  </w:r>
                  <w:r w:rsidRPr="00157AE5">
                    <w:rPr>
                      <w:rStyle w:val="super"/>
                      <w:rFonts w:ascii="inherit" w:hAnsi="inherit"/>
                      <w:color w:val="444444"/>
                      <w:sz w:val="19"/>
                      <w:szCs w:val="19"/>
                      <w:bdr w:val="none" w:sz="0" w:space="0" w:color="auto" w:frame="1"/>
                      <w:vertAlign w:val="superscript"/>
                      <w:lang w:val="en-US"/>
                    </w:rPr>
                    <w:t>2</w:t>
                  </w: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,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în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conformitate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cu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cazurile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prevăzute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la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articolul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7 din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Directiva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2002/72/CE a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Comisiei</w:t>
                  </w:r>
                  <w:proofErr w:type="spellEnd"/>
                  <w:r w:rsidR="00BD702E">
                    <w:fldChar w:fldCharType="begin"/>
                  </w:r>
                  <w:r w:rsidR="00BD702E">
                    <w:instrText xml:space="preserve"> HYPERLINK "http://eur-lex.europa.eu/legal-content/RO/TXT/?uri=CELEX%3A32005R1895" \l "ntr1-L_2005302RO.01003101-E0001" </w:instrText>
                  </w:r>
                  <w:r w:rsidR="00BD702E">
                    <w:fldChar w:fldCharType="separate"/>
                  </w:r>
                  <w:r w:rsidRPr="00157AE5">
                    <w:rPr>
                      <w:rStyle w:val="ac"/>
                      <w:rFonts w:ascii="inherit" w:hAnsi="inherit"/>
                      <w:color w:val="800080"/>
                      <w:sz w:val="27"/>
                      <w:szCs w:val="27"/>
                      <w:bdr w:val="none" w:sz="0" w:space="0" w:color="auto" w:frame="1"/>
                      <w:lang w:val="en-US"/>
                    </w:rPr>
                    <w:t> (</w:t>
                  </w:r>
                  <w:r w:rsidRPr="00157AE5">
                    <w:rPr>
                      <w:rStyle w:val="super"/>
                      <w:rFonts w:ascii="inherit" w:hAnsi="inherit"/>
                      <w:color w:val="800080"/>
                      <w:sz w:val="19"/>
                      <w:szCs w:val="19"/>
                      <w:bdr w:val="none" w:sz="0" w:space="0" w:color="auto" w:frame="1"/>
                      <w:vertAlign w:val="superscript"/>
                      <w:lang w:val="en-US"/>
                    </w:rPr>
                    <w:t>1</w:t>
                  </w:r>
                  <w:r w:rsidRPr="00157AE5">
                    <w:rPr>
                      <w:rStyle w:val="ac"/>
                      <w:rFonts w:ascii="inherit" w:hAnsi="inherit"/>
                      <w:color w:val="800080"/>
                      <w:sz w:val="27"/>
                      <w:szCs w:val="27"/>
                      <w:bdr w:val="none" w:sz="0" w:space="0" w:color="auto" w:frame="1"/>
                      <w:lang w:val="en-US"/>
                    </w:rPr>
                    <w:t>)</w:t>
                  </w:r>
                  <w:r w:rsidR="00BD702E">
                    <w:rPr>
                      <w:rStyle w:val="ac"/>
                      <w:rFonts w:ascii="inherit" w:hAnsi="inherit"/>
                      <w:color w:val="800080"/>
                      <w:sz w:val="27"/>
                      <w:szCs w:val="27"/>
                      <w:bdr w:val="none" w:sz="0" w:space="0" w:color="auto" w:frame="1"/>
                      <w:lang w:val="en-US"/>
                    </w:rPr>
                    <w:fldChar w:fldCharType="end"/>
                  </w: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.</w:t>
                  </w:r>
                </w:p>
              </w:tc>
            </w:tr>
          </w:tbl>
          <w:p w:rsidR="00866CFA" w:rsidRDefault="00866CFA" w:rsidP="00866CFA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</w:rPr>
            </w:pPr>
            <w:r>
              <w:rPr>
                <w:color w:val="444444"/>
                <w:sz w:val="27"/>
                <w:szCs w:val="27"/>
              </w:rPr>
              <w:t>(2)   </w:t>
            </w:r>
            <w:proofErr w:type="spellStart"/>
            <w:r>
              <w:rPr>
                <w:color w:val="444444"/>
                <w:sz w:val="27"/>
                <w:szCs w:val="27"/>
              </w:rPr>
              <w:t>Suma</w:t>
            </w:r>
            <w:proofErr w:type="spellEnd"/>
            <w:r>
              <w:rPr>
                <w:color w:val="444444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444444"/>
                <w:sz w:val="27"/>
                <w:szCs w:val="27"/>
              </w:rPr>
              <w:t>migrațiilor</w:t>
            </w:r>
            <w:proofErr w:type="spellEnd"/>
            <w:r>
              <w:rPr>
                <w:color w:val="444444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444444"/>
                <w:sz w:val="27"/>
                <w:szCs w:val="27"/>
              </w:rPr>
              <w:t>următoarelor</w:t>
            </w:r>
            <w:proofErr w:type="spellEnd"/>
            <w:r>
              <w:rPr>
                <w:color w:val="444444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444444"/>
                <w:sz w:val="27"/>
                <w:szCs w:val="27"/>
              </w:rPr>
              <w:t>substanțe</w:t>
            </w:r>
            <w:proofErr w:type="spellEnd"/>
            <w:r>
              <w:rPr>
                <w:color w:val="444444"/>
                <w:sz w:val="27"/>
                <w:szCs w:val="27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624"/>
            </w:tblGrid>
            <w:tr w:rsidR="00866CFA" w:rsidTr="00BA5621">
              <w:tc>
                <w:tcPr>
                  <w:tcW w:w="79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(a)</w:t>
                  </w:r>
                </w:p>
              </w:tc>
              <w:tc>
                <w:tcPr>
                  <w:tcW w:w="867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proofErr w:type="spellStart"/>
                  <w:proofErr w:type="gram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BADGE.HCl</w:t>
                  </w:r>
                  <w:proofErr w:type="spellEnd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 xml:space="preserve"> (</w:t>
                  </w:r>
                  <w:proofErr w:type="spell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nr</w:t>
                  </w:r>
                  <w:proofErr w:type="spellEnd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.</w:t>
                  </w:r>
                  <w:proofErr w:type="gramEnd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 xml:space="preserve"> </w:t>
                  </w:r>
                  <w:proofErr w:type="gram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CAS = 013836-48-1);</w:t>
                  </w:r>
                  <w:proofErr w:type="gramEnd"/>
                </w:p>
              </w:tc>
            </w:tr>
          </w:tbl>
          <w:p w:rsidR="00866CFA" w:rsidRDefault="00866CFA" w:rsidP="00866CFA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3622"/>
            </w:tblGrid>
            <w:tr w:rsidR="00866CFA" w:rsidTr="00BA5621">
              <w:tc>
                <w:tcPr>
                  <w:tcW w:w="79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(b)</w:t>
                  </w:r>
                </w:p>
              </w:tc>
              <w:tc>
                <w:tcPr>
                  <w:tcW w:w="866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proofErr w:type="gram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BADGE.2HCl (</w:t>
                  </w:r>
                  <w:proofErr w:type="spell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nr</w:t>
                  </w:r>
                  <w:proofErr w:type="spellEnd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.</w:t>
                  </w:r>
                  <w:proofErr w:type="gramEnd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 xml:space="preserve"> </w:t>
                  </w:r>
                  <w:proofErr w:type="gramStart"/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CAS = 004809-35-2);</w:t>
                  </w:r>
                  <w:proofErr w:type="gramEnd"/>
                </w:p>
              </w:tc>
            </w:tr>
          </w:tbl>
          <w:p w:rsidR="00866CFA" w:rsidRDefault="00866CFA" w:rsidP="00866CFA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3651"/>
            </w:tblGrid>
            <w:tr w:rsidR="00866CFA" w:rsidRPr="00B869D3" w:rsidTr="00BA5621">
              <w:tc>
                <w:tcPr>
                  <w:tcW w:w="72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(c)</w:t>
                  </w:r>
                </w:p>
              </w:tc>
              <w:tc>
                <w:tcPr>
                  <w:tcW w:w="873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Pr="00157AE5" w:rsidRDefault="00866CFA" w:rsidP="00BA5621">
                  <w:pPr>
                    <w:pStyle w:val="11"/>
                    <w:spacing w:before="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BADGE.H</w:t>
                  </w:r>
                  <w:r w:rsidRPr="00157AE5">
                    <w:rPr>
                      <w:rStyle w:val="sub"/>
                      <w:rFonts w:ascii="inherit" w:hAnsi="inherit"/>
                      <w:color w:val="444444"/>
                      <w:sz w:val="19"/>
                      <w:szCs w:val="19"/>
                      <w:bdr w:val="none" w:sz="0" w:space="0" w:color="auto" w:frame="1"/>
                      <w:vertAlign w:val="subscript"/>
                      <w:lang w:val="en-US"/>
                    </w:rPr>
                    <w:t>2</w:t>
                  </w: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O.HCl (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nr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. CAS = 227947-06-0)</w:t>
                  </w:r>
                </w:p>
              </w:tc>
            </w:tr>
          </w:tbl>
          <w:p w:rsidR="00866CFA" w:rsidRPr="00157AE5" w:rsidRDefault="00866CFA" w:rsidP="00866CFA">
            <w:pPr>
              <w:pStyle w:val="11"/>
              <w:shd w:val="clear" w:color="auto" w:fill="FFFFFF"/>
              <w:spacing w:before="12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nu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trebuie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depășească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următoarele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limite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3735"/>
            </w:tblGrid>
            <w:tr w:rsidR="00866CFA" w:rsidRPr="00B869D3" w:rsidTr="00BA5621">
              <w:tc>
                <w:tcPr>
                  <w:tcW w:w="51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—</w:t>
                  </w:r>
                </w:p>
              </w:tc>
              <w:tc>
                <w:tcPr>
                  <w:tcW w:w="894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Pr="00157AE5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1 mg/kg la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produse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alimentare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sau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simulanți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alimentari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sau</w:t>
                  </w:r>
                  <w:proofErr w:type="spellEnd"/>
                </w:p>
              </w:tc>
            </w:tr>
          </w:tbl>
          <w:p w:rsidR="00866CFA" w:rsidRDefault="00866CFA" w:rsidP="00866CFA">
            <w:pPr>
              <w:rPr>
                <w:vanish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"/>
              <w:gridCol w:w="3794"/>
            </w:tblGrid>
            <w:tr w:rsidR="00866CFA" w:rsidRPr="00B869D3" w:rsidTr="00BA5621">
              <w:tc>
                <w:tcPr>
                  <w:tcW w:w="37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Default="00866CFA" w:rsidP="00BA5621">
                  <w:pPr>
                    <w:pStyle w:val="11"/>
                    <w:spacing w:before="12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</w:rPr>
                  </w:pPr>
                  <w:r>
                    <w:rPr>
                      <w:rFonts w:ascii="inherit" w:hAnsi="inherit"/>
                      <w:color w:val="444444"/>
                      <w:sz w:val="27"/>
                      <w:szCs w:val="27"/>
                    </w:rPr>
                    <w:t>—</w:t>
                  </w:r>
                </w:p>
              </w:tc>
              <w:tc>
                <w:tcPr>
                  <w:tcW w:w="908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866CFA" w:rsidRPr="00157AE5" w:rsidRDefault="00866CFA" w:rsidP="00BA5621">
                  <w:pPr>
                    <w:pStyle w:val="11"/>
                    <w:spacing w:before="0" w:beforeAutospacing="0" w:after="0" w:afterAutospacing="0" w:line="312" w:lineRule="atLeast"/>
                    <w:jc w:val="both"/>
                    <w:textAlignment w:val="baseline"/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</w:pP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1 mg/6 dm</w:t>
                  </w:r>
                  <w:r w:rsidRPr="00157AE5">
                    <w:rPr>
                      <w:rStyle w:val="super"/>
                      <w:rFonts w:ascii="inherit" w:hAnsi="inherit"/>
                      <w:color w:val="444444"/>
                      <w:sz w:val="19"/>
                      <w:szCs w:val="19"/>
                      <w:bdr w:val="none" w:sz="0" w:space="0" w:color="auto" w:frame="1"/>
                      <w:vertAlign w:val="superscript"/>
                      <w:lang w:val="en-US"/>
                    </w:rPr>
                    <w:t>2</w:t>
                  </w:r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,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în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conformitate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cu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cazurile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prevăzute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la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articolul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7 din </w:t>
                  </w:r>
                  <w:proofErr w:type="spellStart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>Directiva</w:t>
                  </w:r>
                  <w:proofErr w:type="spellEnd"/>
                  <w:r w:rsidRPr="00157AE5">
                    <w:rPr>
                      <w:rFonts w:ascii="inherit" w:hAnsi="inherit"/>
                      <w:color w:val="444444"/>
                      <w:sz w:val="27"/>
                      <w:szCs w:val="27"/>
                      <w:lang w:val="en-US"/>
                    </w:rPr>
                    <w:t xml:space="preserve"> 2002/72/CE.</w:t>
                  </w:r>
                </w:p>
              </w:tc>
            </w:tr>
          </w:tbl>
          <w:p w:rsidR="00866CFA" w:rsidRPr="00157AE5" w:rsidRDefault="00866CFA" w:rsidP="00866CFA">
            <w:pPr>
              <w:pStyle w:val="11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color w:val="444444"/>
                <w:sz w:val="27"/>
                <w:szCs w:val="27"/>
                <w:lang w:val="en-US"/>
              </w:rPr>
            </w:pPr>
            <w:r w:rsidRPr="00157AE5">
              <w:rPr>
                <w:color w:val="444444"/>
                <w:sz w:val="27"/>
                <w:szCs w:val="27"/>
                <w:lang w:val="en-US"/>
              </w:rPr>
              <w:t>(3)  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Încercările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pentru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determinarea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migrației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se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realizează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în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conformitate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cu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normele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stabilite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lastRenderedPageBreak/>
              <w:t>Directiva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82/711/CEE a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Consiliului</w:t>
            </w:r>
            <w:proofErr w:type="spellEnd"/>
            <w:r w:rsidR="00BD702E">
              <w:fldChar w:fldCharType="begin"/>
            </w:r>
            <w:r w:rsidR="00BD702E">
              <w:instrText xml:space="preserve"> HYPERLINK "http://eur-lex.europa.eu/legal-content/RO/TXT/?uri=CELEX%3A32005R1895" \l "ntr2-L_2005302RO.01003101-E0002" </w:instrText>
            </w:r>
            <w:r w:rsidR="00BD702E">
              <w:fldChar w:fldCharType="separate"/>
            </w:r>
            <w:r w:rsidRPr="00157AE5">
              <w:rPr>
                <w:rStyle w:val="ac"/>
                <w:rFonts w:ascii="inherit" w:hAnsi="inherit"/>
                <w:color w:val="800080"/>
                <w:sz w:val="27"/>
                <w:szCs w:val="27"/>
                <w:bdr w:val="none" w:sz="0" w:space="0" w:color="auto" w:frame="1"/>
                <w:lang w:val="en-US"/>
              </w:rPr>
              <w:t> (</w:t>
            </w:r>
            <w:r w:rsidRPr="00157AE5">
              <w:rPr>
                <w:rStyle w:val="super"/>
                <w:rFonts w:ascii="inherit" w:hAnsi="inherit"/>
                <w:color w:val="800080"/>
                <w:sz w:val="19"/>
                <w:szCs w:val="19"/>
                <w:bdr w:val="none" w:sz="0" w:space="0" w:color="auto" w:frame="1"/>
                <w:vertAlign w:val="superscript"/>
                <w:lang w:val="en-US"/>
              </w:rPr>
              <w:t>2</w:t>
            </w:r>
            <w:r w:rsidRPr="00157AE5">
              <w:rPr>
                <w:rStyle w:val="ac"/>
                <w:rFonts w:ascii="inherit" w:hAnsi="inherit"/>
                <w:color w:val="800080"/>
                <w:sz w:val="27"/>
                <w:szCs w:val="27"/>
                <w:bdr w:val="none" w:sz="0" w:space="0" w:color="auto" w:frame="1"/>
                <w:lang w:val="en-US"/>
              </w:rPr>
              <w:t>)</w:t>
            </w:r>
            <w:r w:rsidR="00BD702E">
              <w:rPr>
                <w:rStyle w:val="ac"/>
                <w:rFonts w:ascii="inherit" w:hAnsi="inherit"/>
                <w:color w:val="800080"/>
                <w:sz w:val="27"/>
                <w:szCs w:val="27"/>
                <w:bdr w:val="none" w:sz="0" w:space="0" w:color="auto" w:frame="1"/>
                <w:lang w:val="en-US"/>
              </w:rPr>
              <w:fldChar w:fldCharType="end"/>
            </w:r>
            <w:r w:rsidRPr="00157AE5">
              <w:rPr>
                <w:rStyle w:val="apple-converted-space"/>
                <w:color w:val="444444"/>
                <w:sz w:val="27"/>
                <w:szCs w:val="27"/>
                <w:lang w:val="en-US"/>
              </w:rPr>
              <w:t> 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și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de </w:t>
            </w:r>
            <w:proofErr w:type="spellStart"/>
            <w:r w:rsidRPr="00157AE5">
              <w:rPr>
                <w:color w:val="444444"/>
                <w:sz w:val="27"/>
                <w:szCs w:val="27"/>
                <w:lang w:val="en-US"/>
              </w:rPr>
              <w:t>Directiva</w:t>
            </w:r>
            <w:proofErr w:type="spellEnd"/>
            <w:r w:rsidRPr="00157AE5">
              <w:rPr>
                <w:color w:val="444444"/>
                <w:sz w:val="27"/>
                <w:szCs w:val="27"/>
                <w:lang w:val="en-US"/>
              </w:rPr>
              <w:t xml:space="preserve"> 2002/72/CE.</w:t>
            </w:r>
          </w:p>
          <w:p w:rsidR="00866CFA" w:rsidRPr="00157AE5" w:rsidRDefault="00866CFA" w:rsidP="00866CFA">
            <w:pPr>
              <w:pStyle w:val="doc-ti"/>
              <w:shd w:val="clear" w:color="auto" w:fill="FFFFFF"/>
              <w:spacing w:before="240" w:beforeAutospacing="0" w:after="120" w:afterAutospacing="0" w:line="312" w:lineRule="atLeast"/>
              <w:jc w:val="center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3544" w:type="dxa"/>
          </w:tcPr>
          <w:p w:rsidR="00B869D3" w:rsidRPr="00E831EA" w:rsidRDefault="00B869D3" w:rsidP="00B869D3">
            <w:pPr>
              <w:jc w:val="right"/>
              <w:rPr>
                <w:rStyle w:val="a4"/>
                <w:i w:val="0"/>
                <w:sz w:val="28"/>
                <w:szCs w:val="28"/>
                <w:lang w:val="en-US"/>
              </w:rPr>
            </w:pPr>
          </w:p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b/>
                <w:i w:val="0"/>
                <w:lang w:val="en-US"/>
              </w:rPr>
            </w:pPr>
            <w:proofErr w:type="spellStart"/>
            <w:r w:rsidRPr="00B869D3">
              <w:rPr>
                <w:rStyle w:val="a4"/>
                <w:b/>
                <w:lang w:val="en-US"/>
              </w:rPr>
              <w:t>Limite</w:t>
            </w:r>
            <w:proofErr w:type="spellEnd"/>
            <w:r w:rsidRPr="00B869D3">
              <w:rPr>
                <w:rStyle w:val="a4"/>
                <w:b/>
                <w:lang w:val="en-US"/>
              </w:rPr>
              <w:t xml:space="preserve"> de </w:t>
            </w:r>
            <w:proofErr w:type="spellStart"/>
            <w:r w:rsidRPr="00B869D3">
              <w:rPr>
                <w:rStyle w:val="a4"/>
                <w:b/>
                <w:lang w:val="en-US"/>
              </w:rPr>
              <w:t>migrație</w:t>
            </w:r>
            <w:proofErr w:type="spellEnd"/>
            <w:r w:rsidRPr="00B869D3">
              <w:rPr>
                <w:rStyle w:val="a4"/>
                <w:b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lang w:val="en-US"/>
              </w:rPr>
              <w:t>specifice</w:t>
            </w:r>
            <w:proofErr w:type="spellEnd"/>
            <w:r w:rsidRPr="00B869D3">
              <w:rPr>
                <w:rStyle w:val="a4"/>
                <w:b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lang w:val="en-US"/>
              </w:rPr>
              <w:t>pentru</w:t>
            </w:r>
            <w:proofErr w:type="spellEnd"/>
            <w:r w:rsidRPr="00B869D3">
              <w:rPr>
                <w:rStyle w:val="a4"/>
                <w:b/>
                <w:lang w:val="en-US"/>
              </w:rPr>
              <w:t xml:space="preserve"> BADGE </w:t>
            </w:r>
            <w:proofErr w:type="spellStart"/>
            <w:r w:rsidRPr="00B869D3">
              <w:rPr>
                <w:rStyle w:val="a4"/>
                <w:b/>
                <w:lang w:val="en-US"/>
              </w:rPr>
              <w:t>și</w:t>
            </w:r>
            <w:proofErr w:type="spellEnd"/>
            <w:r w:rsidRPr="00B869D3">
              <w:rPr>
                <w:rStyle w:val="a4"/>
                <w:b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lang w:val="en-US"/>
              </w:rPr>
              <w:t>unii</w:t>
            </w:r>
            <w:proofErr w:type="spellEnd"/>
            <w:r w:rsidRPr="00B869D3">
              <w:rPr>
                <w:rStyle w:val="a4"/>
                <w:b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lang w:val="en-US"/>
              </w:rPr>
              <w:t>dintre</w:t>
            </w:r>
            <w:proofErr w:type="spellEnd"/>
            <w:r w:rsidRPr="00B869D3">
              <w:rPr>
                <w:rStyle w:val="a4"/>
                <w:b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lang w:val="en-US"/>
              </w:rPr>
              <w:t>derivații</w:t>
            </w:r>
            <w:proofErr w:type="spellEnd"/>
            <w:r w:rsidRPr="00B869D3">
              <w:rPr>
                <w:rStyle w:val="a4"/>
                <w:b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b/>
                <w:lang w:val="en-US"/>
              </w:rPr>
              <w:t>acestuia</w:t>
            </w:r>
            <w:proofErr w:type="spellEnd"/>
          </w:p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i w:val="0"/>
                <w:lang w:val="en-US"/>
              </w:rPr>
            </w:pPr>
            <w:r w:rsidRPr="00B869D3">
              <w:rPr>
                <w:rStyle w:val="a4"/>
                <w:lang w:val="en-US"/>
              </w:rPr>
              <w:t>1</w:t>
            </w:r>
            <w:r w:rsidRPr="00B869D3">
              <w:rPr>
                <w:rStyle w:val="a4"/>
                <w:lang w:val="ro-RO"/>
              </w:rPr>
              <w:t>.</w:t>
            </w:r>
            <w:r w:rsidRPr="00B869D3">
              <w:rPr>
                <w:rStyle w:val="a4"/>
                <w:lang w:val="en-US"/>
              </w:rPr>
              <w:t xml:space="preserve">   Suma </w:t>
            </w:r>
            <w:proofErr w:type="spellStart"/>
            <w:r w:rsidRPr="00B869D3">
              <w:rPr>
                <w:rStyle w:val="a4"/>
                <w:lang w:val="en-US"/>
              </w:rPr>
              <w:t>migrațiilor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următoarelor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substanțe</w:t>
            </w:r>
            <w:proofErr w:type="spellEnd"/>
            <w:r w:rsidRPr="00B869D3">
              <w:rPr>
                <w:rStyle w:val="a4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3114"/>
            </w:tblGrid>
            <w:tr w:rsidR="00B869D3" w:rsidRPr="002906CC" w:rsidTr="00AC5F5E">
              <w:tc>
                <w:tcPr>
                  <w:tcW w:w="33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1)</w:t>
                  </w:r>
                </w:p>
              </w:tc>
              <w:tc>
                <w:tcPr>
                  <w:tcW w:w="889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BADGE [= 2</w:t>
                  </w:r>
                  <w:proofErr w:type="gramStart"/>
                  <w:r w:rsidRPr="00B869D3">
                    <w:rPr>
                      <w:rStyle w:val="a4"/>
                      <w:lang w:val="en-US"/>
                    </w:rPr>
                    <w:t>,2</w:t>
                  </w:r>
                  <w:proofErr w:type="gramEnd"/>
                  <w:r w:rsidRPr="00B869D3">
                    <w:rPr>
                      <w:rStyle w:val="a4"/>
                      <w:lang w:val="en-US"/>
                    </w:rPr>
                    <w:t>-bis(4-hidroxifenil)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propan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-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bis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(2,3-epoxipropil)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eter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>] (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nr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>. CAS = 001675-54-3);</w:t>
                  </w:r>
                </w:p>
              </w:tc>
            </w:tr>
            <w:tr w:rsidR="00B869D3" w:rsidRPr="00B869D3" w:rsidTr="00AC5F5E">
              <w:tc>
                <w:tcPr>
                  <w:tcW w:w="33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2</w:t>
                  </w:r>
                  <w:r w:rsidRPr="00B869D3">
                    <w:rPr>
                      <w:rStyle w:val="a4"/>
                      <w:lang w:val="en-US"/>
                    </w:rPr>
                    <w:lastRenderedPageBreak/>
                    <w:t>)</w:t>
                  </w:r>
                </w:p>
              </w:tc>
              <w:tc>
                <w:tcPr>
                  <w:tcW w:w="889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lastRenderedPageBreak/>
                    <w:t>BADGE.H2O (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nr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. </w:t>
                  </w:r>
                  <w:r w:rsidRPr="00B869D3">
                    <w:rPr>
                      <w:rStyle w:val="a4"/>
                      <w:lang w:val="en-US"/>
                    </w:rPr>
                    <w:lastRenderedPageBreak/>
                    <w:t>CAS = 076002-91-0);</w:t>
                  </w:r>
                </w:p>
              </w:tc>
            </w:tr>
            <w:tr w:rsidR="00B869D3" w:rsidRPr="00B869D3" w:rsidTr="00AC5F5E">
              <w:tc>
                <w:tcPr>
                  <w:tcW w:w="339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ro-RO"/>
                    </w:rPr>
                    <w:lastRenderedPageBreak/>
                    <w:t>3</w:t>
                  </w:r>
                  <w:r w:rsidRPr="00B869D3">
                    <w:rPr>
                      <w:rStyle w:val="a4"/>
                      <w:lang w:val="en-US"/>
                    </w:rPr>
                    <w:t>)</w:t>
                  </w:r>
                </w:p>
              </w:tc>
              <w:tc>
                <w:tcPr>
                  <w:tcW w:w="889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BADGE.2H2O (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nr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>. CAS = 005581-32-8)</w:t>
                  </w:r>
                </w:p>
              </w:tc>
            </w:tr>
          </w:tbl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i w:val="0"/>
                <w:lang w:val="en-US"/>
              </w:rPr>
            </w:pPr>
            <w:r w:rsidRPr="00B869D3">
              <w:rPr>
                <w:rStyle w:val="a4"/>
                <w:lang w:val="en-US"/>
              </w:rPr>
              <w:t xml:space="preserve">nu </w:t>
            </w:r>
            <w:proofErr w:type="spellStart"/>
            <w:r w:rsidRPr="00B869D3">
              <w:rPr>
                <w:rStyle w:val="a4"/>
                <w:lang w:val="en-US"/>
              </w:rPr>
              <w:t>trebuie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să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depășească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următoarele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limite</w:t>
            </w:r>
            <w:proofErr w:type="spellEnd"/>
            <w:r w:rsidRPr="00B869D3">
              <w:rPr>
                <w:rStyle w:val="a4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3098"/>
            </w:tblGrid>
            <w:tr w:rsidR="00B869D3" w:rsidRPr="00B869D3" w:rsidTr="00AC5F5E">
              <w:tc>
                <w:tcPr>
                  <w:tcW w:w="38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</w:rPr>
                  </w:pPr>
                  <w:r w:rsidRPr="00B869D3">
                    <w:rPr>
                      <w:rStyle w:val="a4"/>
                    </w:rPr>
                    <w:t>—</w:t>
                  </w:r>
                </w:p>
              </w:tc>
              <w:tc>
                <w:tcPr>
                  <w:tcW w:w="884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 xml:space="preserve">9 mg/kg la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produse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alimentare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sau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simulanți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alimentari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sau</w:t>
                  </w:r>
                  <w:proofErr w:type="spellEnd"/>
                </w:p>
              </w:tc>
            </w:tr>
            <w:tr w:rsidR="00B869D3" w:rsidRPr="00B869D3" w:rsidTr="00AC5F5E">
              <w:tc>
                <w:tcPr>
                  <w:tcW w:w="38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</w:rPr>
                  </w:pPr>
                  <w:r w:rsidRPr="00B869D3">
                    <w:rPr>
                      <w:rStyle w:val="a4"/>
                    </w:rPr>
                    <w:t>—</w:t>
                  </w:r>
                </w:p>
              </w:tc>
              <w:tc>
                <w:tcPr>
                  <w:tcW w:w="884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 xml:space="preserve">9 mg/6 dm2,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în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conformitate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cu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cazurile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prevăzute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la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punctele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15-18 al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Regulamentului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sanitar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privind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> 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materialele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şi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obiectele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din plastic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destinate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să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vină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în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contact cu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produsele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alimentare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aprobat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prin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Hotărîrea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Guvernului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nr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. 278 din 24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aprilie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2013.</w:t>
                  </w:r>
                </w:p>
              </w:tc>
            </w:tr>
          </w:tbl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i w:val="0"/>
                <w:lang w:val="en-US"/>
              </w:rPr>
            </w:pPr>
            <w:r w:rsidRPr="00B869D3">
              <w:rPr>
                <w:rStyle w:val="a4"/>
                <w:lang w:val="en-US"/>
              </w:rPr>
              <w:t>2</w:t>
            </w:r>
            <w:r w:rsidRPr="00B869D3">
              <w:rPr>
                <w:rStyle w:val="a4"/>
                <w:lang w:val="ro-RO"/>
              </w:rPr>
              <w:t>.</w:t>
            </w:r>
            <w:r w:rsidRPr="00B869D3">
              <w:rPr>
                <w:rStyle w:val="a4"/>
                <w:lang w:val="en-US"/>
              </w:rPr>
              <w:t xml:space="preserve">   Suma </w:t>
            </w:r>
            <w:proofErr w:type="spellStart"/>
            <w:r w:rsidRPr="00B869D3">
              <w:rPr>
                <w:rStyle w:val="a4"/>
                <w:lang w:val="en-US"/>
              </w:rPr>
              <w:t>migrațiilor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următoarelor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substanțe</w:t>
            </w:r>
            <w:proofErr w:type="spellEnd"/>
            <w:r w:rsidRPr="00B869D3">
              <w:rPr>
                <w:rStyle w:val="a4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3014"/>
            </w:tblGrid>
            <w:tr w:rsidR="00B869D3" w:rsidRPr="00B869D3" w:rsidTr="00AC5F5E">
              <w:tc>
                <w:tcPr>
                  <w:tcW w:w="63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1)</w:t>
                  </w:r>
                </w:p>
              </w:tc>
              <w:tc>
                <w:tcPr>
                  <w:tcW w:w="860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proofErr w:type="spellStart"/>
                  <w:r w:rsidRPr="00B869D3">
                    <w:rPr>
                      <w:rStyle w:val="a4"/>
                      <w:lang w:val="en-US"/>
                    </w:rPr>
                    <w:t>BADGE.HCl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(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nr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>. CAS = 013836-48-1);</w:t>
                  </w:r>
                </w:p>
              </w:tc>
            </w:tr>
          </w:tbl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i w:val="0"/>
                <w:lang w:val="en-US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2"/>
              <w:gridCol w:w="3020"/>
            </w:tblGrid>
            <w:tr w:rsidR="00B869D3" w:rsidRPr="00B869D3" w:rsidTr="00AC5F5E">
              <w:tc>
                <w:tcPr>
                  <w:tcW w:w="616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2)</w:t>
                  </w:r>
                </w:p>
              </w:tc>
              <w:tc>
                <w:tcPr>
                  <w:tcW w:w="861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BADGE.2HCl (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nr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>. CAS = 004809-35-2);</w:t>
                  </w:r>
                </w:p>
              </w:tc>
            </w:tr>
          </w:tbl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i w:val="0"/>
                <w:lang w:val="en-US"/>
              </w:rPr>
            </w:pP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3035"/>
            </w:tblGrid>
            <w:tr w:rsidR="00B869D3" w:rsidRPr="00B869D3" w:rsidTr="00AC5F5E">
              <w:tc>
                <w:tcPr>
                  <w:tcW w:w="571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3)</w:t>
                  </w:r>
                </w:p>
              </w:tc>
              <w:tc>
                <w:tcPr>
                  <w:tcW w:w="8662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>BADGE.H2O.HCl (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nr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>. CAS = 227947-06-0)</w:t>
                  </w:r>
                </w:p>
              </w:tc>
            </w:tr>
          </w:tbl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i w:val="0"/>
                <w:lang w:val="en-US"/>
              </w:rPr>
            </w:pPr>
            <w:r w:rsidRPr="00B869D3">
              <w:rPr>
                <w:rStyle w:val="a4"/>
                <w:lang w:val="en-US"/>
              </w:rPr>
              <w:t xml:space="preserve">nu </w:t>
            </w:r>
            <w:proofErr w:type="spellStart"/>
            <w:r w:rsidRPr="00B869D3">
              <w:rPr>
                <w:rStyle w:val="a4"/>
                <w:lang w:val="en-US"/>
              </w:rPr>
              <w:t>trebuie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să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depășească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următoarele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limite</w:t>
            </w:r>
            <w:proofErr w:type="spellEnd"/>
            <w:r w:rsidRPr="00B869D3">
              <w:rPr>
                <w:rStyle w:val="a4"/>
                <w:lang w:val="en-US"/>
              </w:rPr>
              <w:t>:</w:t>
            </w:r>
          </w:p>
          <w:tbl>
            <w:tblPr>
              <w:tblW w:w="5000" w:type="pct"/>
              <w:tblBorders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3098"/>
            </w:tblGrid>
            <w:tr w:rsidR="00B869D3" w:rsidRPr="00B869D3" w:rsidTr="00AC5F5E">
              <w:tc>
                <w:tcPr>
                  <w:tcW w:w="38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</w:rPr>
                  </w:pPr>
                  <w:r w:rsidRPr="00B869D3">
                    <w:rPr>
                      <w:rStyle w:val="a4"/>
                    </w:rPr>
                    <w:t>—</w:t>
                  </w:r>
                </w:p>
              </w:tc>
              <w:tc>
                <w:tcPr>
                  <w:tcW w:w="884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 xml:space="preserve">1 mg/kg la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produse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alimentare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lastRenderedPageBreak/>
                    <w:t>sau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simulanți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alimentari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sau</w:t>
                  </w:r>
                  <w:proofErr w:type="spellEnd"/>
                </w:p>
              </w:tc>
            </w:tr>
            <w:tr w:rsidR="00B869D3" w:rsidRPr="00B869D3" w:rsidTr="00AC5F5E">
              <w:tc>
                <w:tcPr>
                  <w:tcW w:w="385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</w:rPr>
                  </w:pPr>
                  <w:r w:rsidRPr="00B869D3">
                    <w:rPr>
                      <w:rStyle w:val="a4"/>
                    </w:rPr>
                    <w:lastRenderedPageBreak/>
                    <w:t>—</w:t>
                  </w:r>
                </w:p>
              </w:tc>
              <w:tc>
                <w:tcPr>
                  <w:tcW w:w="8848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30" w:type="dxa"/>
                  </w:tcMar>
                  <w:hideMark/>
                </w:tcPr>
                <w:p w:rsidR="00B869D3" w:rsidRPr="00B869D3" w:rsidRDefault="00B869D3" w:rsidP="00AC5F5E">
                  <w:pPr>
                    <w:spacing w:line="276" w:lineRule="auto"/>
                    <w:jc w:val="both"/>
                    <w:rPr>
                      <w:rStyle w:val="a4"/>
                      <w:i w:val="0"/>
                      <w:lang w:val="en-US"/>
                    </w:rPr>
                  </w:pPr>
                  <w:r w:rsidRPr="00B869D3">
                    <w:rPr>
                      <w:rStyle w:val="a4"/>
                      <w:lang w:val="en-US"/>
                    </w:rPr>
                    <w:t xml:space="preserve">1 mg/6 dm2,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în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conformitate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cu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cazurile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prevăzute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la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punctele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15-18 al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Regulamentului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sanitar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privind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> 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materialele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şi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obiectele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din plastic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destinate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să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vină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în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contact cu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produsele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alimentare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aprobat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prin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Hotărîrea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Guvernului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nr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. 278 din 24 </w:t>
                  </w:r>
                  <w:proofErr w:type="spellStart"/>
                  <w:r w:rsidRPr="00B869D3">
                    <w:rPr>
                      <w:rStyle w:val="a4"/>
                      <w:lang w:val="en-US"/>
                    </w:rPr>
                    <w:t>aprilie</w:t>
                  </w:r>
                  <w:proofErr w:type="spellEnd"/>
                  <w:r w:rsidRPr="00B869D3">
                    <w:rPr>
                      <w:rStyle w:val="a4"/>
                      <w:lang w:val="en-US"/>
                    </w:rPr>
                    <w:t xml:space="preserve"> 2013.</w:t>
                  </w:r>
                </w:p>
              </w:tc>
            </w:tr>
          </w:tbl>
          <w:p w:rsidR="00B869D3" w:rsidRPr="00B869D3" w:rsidRDefault="00B869D3" w:rsidP="00B869D3">
            <w:pPr>
              <w:spacing w:line="276" w:lineRule="auto"/>
              <w:jc w:val="both"/>
              <w:rPr>
                <w:rStyle w:val="a4"/>
                <w:i w:val="0"/>
                <w:lang w:val="en-US"/>
              </w:rPr>
            </w:pPr>
            <w:r w:rsidRPr="00B869D3">
              <w:rPr>
                <w:rStyle w:val="a4"/>
                <w:lang w:val="ro-RO"/>
              </w:rPr>
              <w:t>3.</w:t>
            </w:r>
            <w:r w:rsidRPr="00B869D3">
              <w:rPr>
                <w:rStyle w:val="a4"/>
                <w:lang w:val="en-US"/>
              </w:rPr>
              <w:t>  </w:t>
            </w:r>
            <w:proofErr w:type="spellStart"/>
            <w:r w:rsidRPr="00B869D3">
              <w:rPr>
                <w:rStyle w:val="a4"/>
                <w:lang w:val="en-US"/>
              </w:rPr>
              <w:t>Încercările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pentru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determinarea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migrației</w:t>
            </w:r>
            <w:proofErr w:type="spellEnd"/>
            <w:r w:rsidRPr="00B869D3">
              <w:rPr>
                <w:rStyle w:val="a4"/>
                <w:lang w:val="en-US"/>
              </w:rPr>
              <w:t xml:space="preserve"> se </w:t>
            </w:r>
            <w:proofErr w:type="spellStart"/>
            <w:r w:rsidRPr="00B869D3">
              <w:rPr>
                <w:rStyle w:val="a4"/>
                <w:lang w:val="en-US"/>
              </w:rPr>
              <w:t>realizează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în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conformitate</w:t>
            </w:r>
            <w:proofErr w:type="spellEnd"/>
            <w:r w:rsidRPr="00B869D3">
              <w:rPr>
                <w:rStyle w:val="a4"/>
                <w:lang w:val="en-US"/>
              </w:rPr>
              <w:t xml:space="preserve"> cu </w:t>
            </w:r>
            <w:proofErr w:type="spellStart"/>
            <w:r w:rsidRPr="00B869D3">
              <w:rPr>
                <w:rStyle w:val="a4"/>
                <w:lang w:val="en-US"/>
              </w:rPr>
              <w:t>normele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stabilite</w:t>
            </w:r>
            <w:proofErr w:type="spellEnd"/>
            <w:r w:rsidRPr="00B869D3">
              <w:rPr>
                <w:rStyle w:val="a4"/>
                <w:lang w:val="en-US"/>
              </w:rPr>
              <w:t xml:space="preserve"> de </w:t>
            </w:r>
            <w:proofErr w:type="spellStart"/>
            <w:r w:rsidRPr="00B869D3">
              <w:rPr>
                <w:rStyle w:val="a4"/>
                <w:lang w:val="en-US"/>
              </w:rPr>
              <w:t>Regulamentul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sanitar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privind</w:t>
            </w:r>
            <w:proofErr w:type="spellEnd"/>
            <w:r w:rsidRPr="00B869D3">
              <w:rPr>
                <w:rStyle w:val="a4"/>
                <w:lang w:val="en-US"/>
              </w:rPr>
              <w:t> </w:t>
            </w:r>
            <w:proofErr w:type="spellStart"/>
            <w:r w:rsidRPr="00B869D3">
              <w:rPr>
                <w:rStyle w:val="a4"/>
                <w:lang w:val="en-US"/>
              </w:rPr>
              <w:t>materialele</w:t>
            </w:r>
            <w:proofErr w:type="spellEnd"/>
            <w:r w:rsidRPr="00B869D3">
              <w:rPr>
                <w:rStyle w:val="a4"/>
                <w:lang w:val="en-US"/>
              </w:rPr>
              <w:t xml:space="preserve"> şi </w:t>
            </w:r>
            <w:proofErr w:type="spellStart"/>
            <w:r w:rsidRPr="00B869D3">
              <w:rPr>
                <w:rStyle w:val="a4"/>
                <w:lang w:val="en-US"/>
              </w:rPr>
              <w:t>obiectele</w:t>
            </w:r>
            <w:proofErr w:type="spellEnd"/>
            <w:r w:rsidRPr="00B869D3">
              <w:rPr>
                <w:rStyle w:val="a4"/>
                <w:lang w:val="en-US"/>
              </w:rPr>
              <w:t xml:space="preserve"> din plastic </w:t>
            </w:r>
            <w:proofErr w:type="spellStart"/>
            <w:r w:rsidRPr="00B869D3">
              <w:rPr>
                <w:rStyle w:val="a4"/>
                <w:lang w:val="en-US"/>
              </w:rPr>
              <w:t>destinate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să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vină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în</w:t>
            </w:r>
            <w:proofErr w:type="spellEnd"/>
            <w:r w:rsidRPr="00B869D3">
              <w:rPr>
                <w:rStyle w:val="a4"/>
                <w:lang w:val="en-US"/>
              </w:rPr>
              <w:t xml:space="preserve"> contact cu </w:t>
            </w:r>
            <w:proofErr w:type="spellStart"/>
            <w:r w:rsidRPr="00B869D3">
              <w:rPr>
                <w:rStyle w:val="a4"/>
                <w:lang w:val="en-US"/>
              </w:rPr>
              <w:t>produsele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alimentare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aprobat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prin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Hotărîrea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Guvernului</w:t>
            </w:r>
            <w:proofErr w:type="spellEnd"/>
            <w:r w:rsidRPr="00B869D3">
              <w:rPr>
                <w:rStyle w:val="a4"/>
                <w:lang w:val="en-US"/>
              </w:rPr>
              <w:t xml:space="preserve"> </w:t>
            </w:r>
            <w:proofErr w:type="spellStart"/>
            <w:r w:rsidRPr="00B869D3">
              <w:rPr>
                <w:rStyle w:val="a4"/>
                <w:lang w:val="en-US"/>
              </w:rPr>
              <w:t>nr</w:t>
            </w:r>
            <w:proofErr w:type="spellEnd"/>
            <w:r w:rsidRPr="00B869D3">
              <w:rPr>
                <w:rStyle w:val="a4"/>
                <w:lang w:val="en-US"/>
              </w:rPr>
              <w:t xml:space="preserve">. 278 din 24 </w:t>
            </w:r>
            <w:proofErr w:type="spellStart"/>
            <w:r w:rsidRPr="00B869D3">
              <w:rPr>
                <w:rStyle w:val="a4"/>
                <w:lang w:val="en-US"/>
              </w:rPr>
              <w:t>aprilie</w:t>
            </w:r>
            <w:proofErr w:type="spellEnd"/>
            <w:r w:rsidRPr="00B869D3">
              <w:rPr>
                <w:rStyle w:val="a4"/>
                <w:lang w:val="en-US"/>
              </w:rPr>
              <w:t xml:space="preserve"> 2013.</w:t>
            </w:r>
          </w:p>
          <w:p w:rsidR="00866CFA" w:rsidRPr="00B869D3" w:rsidRDefault="00866CFA" w:rsidP="00866CFA">
            <w:pPr>
              <w:rPr>
                <w:vanish/>
                <w:lang w:val="en-US"/>
              </w:rPr>
            </w:pPr>
          </w:p>
          <w:p w:rsidR="00866CFA" w:rsidRPr="00B869D3" w:rsidRDefault="00866CFA" w:rsidP="00866CFA">
            <w:pPr>
              <w:rPr>
                <w:vanish/>
                <w:lang w:val="en-US"/>
              </w:rPr>
            </w:pPr>
          </w:p>
          <w:p w:rsidR="00866CFA" w:rsidRPr="00157AE5" w:rsidRDefault="00866CFA" w:rsidP="00B869D3">
            <w:pPr>
              <w:pStyle w:val="11"/>
              <w:shd w:val="clear" w:color="auto" w:fill="FFFFFF"/>
              <w:spacing w:before="0" w:beforeAutospacing="0" w:after="0" w:afterAutospacing="0" w:line="312" w:lineRule="atLeast"/>
              <w:jc w:val="both"/>
              <w:textAlignment w:val="baseline"/>
              <w:rPr>
                <w:b/>
                <w:bCs/>
                <w:color w:val="444444"/>
                <w:sz w:val="27"/>
                <w:szCs w:val="27"/>
                <w:lang w:val="en-US"/>
              </w:rPr>
            </w:pPr>
          </w:p>
        </w:tc>
        <w:tc>
          <w:tcPr>
            <w:tcW w:w="1559" w:type="dxa"/>
          </w:tcPr>
          <w:p w:rsidR="00866CFA" w:rsidRPr="00402E7D" w:rsidRDefault="00866CFA" w:rsidP="00DA75E0">
            <w:pPr>
              <w:rPr>
                <w:b/>
                <w:lang w:val="ro-RO"/>
              </w:rPr>
            </w:pPr>
          </w:p>
        </w:tc>
        <w:tc>
          <w:tcPr>
            <w:tcW w:w="1985" w:type="dxa"/>
          </w:tcPr>
          <w:p w:rsidR="00866CFA" w:rsidRPr="00402E7D" w:rsidRDefault="00866CFA" w:rsidP="00DA75E0">
            <w:pPr>
              <w:rPr>
                <w:b/>
                <w:lang w:val="ro-RO"/>
              </w:rPr>
            </w:pPr>
          </w:p>
        </w:tc>
        <w:tc>
          <w:tcPr>
            <w:tcW w:w="1559" w:type="dxa"/>
          </w:tcPr>
          <w:p w:rsidR="00866CFA" w:rsidRPr="00402E7D" w:rsidRDefault="00866CFA" w:rsidP="00DA75E0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984" w:type="dxa"/>
          </w:tcPr>
          <w:p w:rsidR="00866CFA" w:rsidRPr="00402E7D" w:rsidRDefault="00866CFA" w:rsidP="00DA75E0">
            <w:pPr>
              <w:jc w:val="center"/>
              <w:rPr>
                <w:b/>
                <w:lang w:val="ro-RO"/>
              </w:rPr>
            </w:pPr>
          </w:p>
        </w:tc>
      </w:tr>
    </w:tbl>
    <w:p w:rsidR="00E16E35" w:rsidRPr="00632379" w:rsidRDefault="00E16E35">
      <w:pPr>
        <w:rPr>
          <w:lang w:val="en-US"/>
        </w:rPr>
      </w:pPr>
    </w:p>
    <w:sectPr w:rsidR="00E16E35" w:rsidRPr="00632379" w:rsidSect="00204094">
      <w:footerReference w:type="default" r:id="rId9"/>
      <w:pgSz w:w="16839" w:h="11907" w:orient="landscape" w:code="9"/>
      <w:pgMar w:top="284" w:right="1275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2E" w:rsidRDefault="00BD702E" w:rsidP="007B7883">
      <w:r>
        <w:separator/>
      </w:r>
    </w:p>
  </w:endnote>
  <w:endnote w:type="continuationSeparator" w:id="0">
    <w:p w:rsidR="00BD702E" w:rsidRDefault="00BD702E" w:rsidP="007B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732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413" w:rsidRDefault="000D3575">
        <w:pPr>
          <w:pStyle w:val="a9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6C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A6413" w:rsidRDefault="003A641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2E" w:rsidRDefault="00BD702E" w:rsidP="007B7883">
      <w:r>
        <w:separator/>
      </w:r>
    </w:p>
  </w:footnote>
  <w:footnote w:type="continuationSeparator" w:id="0">
    <w:p w:rsidR="00BD702E" w:rsidRDefault="00BD702E" w:rsidP="007B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00057B37"/>
    <w:multiLevelType w:val="hybridMultilevel"/>
    <w:tmpl w:val="148ED4F6"/>
    <w:lvl w:ilvl="0" w:tplc="0562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90093"/>
    <w:multiLevelType w:val="hybridMultilevel"/>
    <w:tmpl w:val="8350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A2D92"/>
    <w:multiLevelType w:val="hybridMultilevel"/>
    <w:tmpl w:val="762AC608"/>
    <w:lvl w:ilvl="0" w:tplc="25A4582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15F22"/>
    <w:multiLevelType w:val="multilevel"/>
    <w:tmpl w:val="BDE0B4C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95306A"/>
    <w:multiLevelType w:val="hybridMultilevel"/>
    <w:tmpl w:val="314EE750"/>
    <w:lvl w:ilvl="0" w:tplc="B3BA5DA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1AD058A6"/>
    <w:multiLevelType w:val="multilevel"/>
    <w:tmpl w:val="57F00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964392"/>
    <w:multiLevelType w:val="hybridMultilevel"/>
    <w:tmpl w:val="0DA6F568"/>
    <w:lvl w:ilvl="0" w:tplc="CE38B0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95FF3"/>
    <w:multiLevelType w:val="hybridMultilevel"/>
    <w:tmpl w:val="55DE8C98"/>
    <w:lvl w:ilvl="0" w:tplc="91948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2AE1810"/>
    <w:multiLevelType w:val="hybridMultilevel"/>
    <w:tmpl w:val="E8DAB6D4"/>
    <w:lvl w:ilvl="0" w:tplc="53BE090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16570"/>
    <w:multiLevelType w:val="hybridMultilevel"/>
    <w:tmpl w:val="EB70D0A4"/>
    <w:lvl w:ilvl="0" w:tplc="55561E0A">
      <w:start w:val="1"/>
      <w:numFmt w:val="decimal"/>
      <w:lvlText w:val="%1)"/>
      <w:lvlJc w:val="left"/>
      <w:pPr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10">
    <w:nsid w:val="2ABC2A36"/>
    <w:multiLevelType w:val="hybridMultilevel"/>
    <w:tmpl w:val="69F6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65778"/>
    <w:multiLevelType w:val="hybridMultilevel"/>
    <w:tmpl w:val="94C8293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F0B04"/>
    <w:multiLevelType w:val="hybridMultilevel"/>
    <w:tmpl w:val="55DE8C98"/>
    <w:lvl w:ilvl="0" w:tplc="919486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ADC2AD1"/>
    <w:multiLevelType w:val="hybridMultilevel"/>
    <w:tmpl w:val="286E5B48"/>
    <w:lvl w:ilvl="0" w:tplc="308CD23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65" w:hanging="360"/>
      </w:pPr>
    </w:lvl>
    <w:lvl w:ilvl="2" w:tplc="0418001B" w:tentative="1">
      <w:start w:val="1"/>
      <w:numFmt w:val="lowerRoman"/>
      <w:lvlText w:val="%3."/>
      <w:lvlJc w:val="right"/>
      <w:pPr>
        <w:ind w:left="2385" w:hanging="180"/>
      </w:pPr>
    </w:lvl>
    <w:lvl w:ilvl="3" w:tplc="0418000F" w:tentative="1">
      <w:start w:val="1"/>
      <w:numFmt w:val="decimal"/>
      <w:lvlText w:val="%4."/>
      <w:lvlJc w:val="left"/>
      <w:pPr>
        <w:ind w:left="3105" w:hanging="360"/>
      </w:pPr>
    </w:lvl>
    <w:lvl w:ilvl="4" w:tplc="04180019" w:tentative="1">
      <w:start w:val="1"/>
      <w:numFmt w:val="lowerLetter"/>
      <w:lvlText w:val="%5."/>
      <w:lvlJc w:val="left"/>
      <w:pPr>
        <w:ind w:left="3825" w:hanging="360"/>
      </w:pPr>
    </w:lvl>
    <w:lvl w:ilvl="5" w:tplc="0418001B" w:tentative="1">
      <w:start w:val="1"/>
      <w:numFmt w:val="lowerRoman"/>
      <w:lvlText w:val="%6."/>
      <w:lvlJc w:val="right"/>
      <w:pPr>
        <w:ind w:left="4545" w:hanging="180"/>
      </w:pPr>
    </w:lvl>
    <w:lvl w:ilvl="6" w:tplc="0418000F" w:tentative="1">
      <w:start w:val="1"/>
      <w:numFmt w:val="decimal"/>
      <w:lvlText w:val="%7."/>
      <w:lvlJc w:val="left"/>
      <w:pPr>
        <w:ind w:left="5265" w:hanging="360"/>
      </w:pPr>
    </w:lvl>
    <w:lvl w:ilvl="7" w:tplc="04180019" w:tentative="1">
      <w:start w:val="1"/>
      <w:numFmt w:val="lowerLetter"/>
      <w:lvlText w:val="%8."/>
      <w:lvlJc w:val="left"/>
      <w:pPr>
        <w:ind w:left="5985" w:hanging="360"/>
      </w:pPr>
    </w:lvl>
    <w:lvl w:ilvl="8" w:tplc="0418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54A054A6"/>
    <w:multiLevelType w:val="singleLevel"/>
    <w:tmpl w:val="5776D36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55B5E4A"/>
    <w:multiLevelType w:val="hybridMultilevel"/>
    <w:tmpl w:val="3C62D520"/>
    <w:lvl w:ilvl="0" w:tplc="25A4582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174DB5"/>
    <w:multiLevelType w:val="hybridMultilevel"/>
    <w:tmpl w:val="F5985F6A"/>
    <w:lvl w:ilvl="0" w:tplc="DC38F8B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ED5D12"/>
    <w:multiLevelType w:val="hybridMultilevel"/>
    <w:tmpl w:val="88A6EA58"/>
    <w:lvl w:ilvl="0" w:tplc="25A4582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480739"/>
    <w:multiLevelType w:val="singleLevel"/>
    <w:tmpl w:val="6A4C5DA8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59B96397"/>
    <w:multiLevelType w:val="hybridMultilevel"/>
    <w:tmpl w:val="457AE0E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4E52"/>
    <w:multiLevelType w:val="hybridMultilevel"/>
    <w:tmpl w:val="91C84064"/>
    <w:lvl w:ilvl="0" w:tplc="F1666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4A3406"/>
    <w:multiLevelType w:val="multilevel"/>
    <w:tmpl w:val="48E86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2">
    <w:nsid w:val="6C3A3902"/>
    <w:multiLevelType w:val="hybridMultilevel"/>
    <w:tmpl w:val="ADCE4DD0"/>
    <w:lvl w:ilvl="0" w:tplc="0562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260CB3"/>
    <w:multiLevelType w:val="hybridMultilevel"/>
    <w:tmpl w:val="813AEE2A"/>
    <w:lvl w:ilvl="0" w:tplc="25A4582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2870B6"/>
    <w:multiLevelType w:val="hybridMultilevel"/>
    <w:tmpl w:val="EB70D0A4"/>
    <w:lvl w:ilvl="0" w:tplc="55561E0A">
      <w:start w:val="1"/>
      <w:numFmt w:val="decimal"/>
      <w:lvlText w:val="%1)"/>
      <w:lvlJc w:val="left"/>
      <w:pPr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  <w:rPr>
        <w:rFonts w:cs="Times New Roman"/>
      </w:rPr>
    </w:lvl>
  </w:abstractNum>
  <w:abstractNum w:abstractNumId="25">
    <w:nsid w:val="75871084"/>
    <w:multiLevelType w:val="hybridMultilevel"/>
    <w:tmpl w:val="57EC6580"/>
    <w:lvl w:ilvl="0" w:tplc="81200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021C2"/>
    <w:multiLevelType w:val="hybridMultilevel"/>
    <w:tmpl w:val="628E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4F32F1"/>
    <w:multiLevelType w:val="hybridMultilevel"/>
    <w:tmpl w:val="AD5AE05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B6D73"/>
    <w:multiLevelType w:val="hybridMultilevel"/>
    <w:tmpl w:val="ADCE4DD0"/>
    <w:lvl w:ilvl="0" w:tplc="0562D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24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14"/>
  </w:num>
  <w:num w:numId="11">
    <w:abstractNumId w:val="18"/>
  </w:num>
  <w:num w:numId="12">
    <w:abstractNumId w:val="17"/>
  </w:num>
  <w:num w:numId="13">
    <w:abstractNumId w:val="15"/>
  </w:num>
  <w:num w:numId="14">
    <w:abstractNumId w:val="23"/>
  </w:num>
  <w:num w:numId="15">
    <w:abstractNumId w:val="2"/>
  </w:num>
  <w:num w:numId="16">
    <w:abstractNumId w:val="20"/>
  </w:num>
  <w:num w:numId="17">
    <w:abstractNumId w:val="5"/>
  </w:num>
  <w:num w:numId="18">
    <w:abstractNumId w:val="21"/>
  </w:num>
  <w:num w:numId="19">
    <w:abstractNumId w:val="27"/>
  </w:num>
  <w:num w:numId="20">
    <w:abstractNumId w:val="8"/>
  </w:num>
  <w:num w:numId="21">
    <w:abstractNumId w:val="11"/>
  </w:num>
  <w:num w:numId="22">
    <w:abstractNumId w:val="19"/>
  </w:num>
  <w:num w:numId="23">
    <w:abstractNumId w:val="16"/>
  </w:num>
  <w:num w:numId="24">
    <w:abstractNumId w:val="26"/>
  </w:num>
  <w:num w:numId="25">
    <w:abstractNumId w:val="10"/>
  </w:num>
  <w:num w:numId="26">
    <w:abstractNumId w:val="1"/>
  </w:num>
  <w:num w:numId="27">
    <w:abstractNumId w:val="28"/>
  </w:num>
  <w:num w:numId="28">
    <w:abstractNumId w:val="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94"/>
    <w:rsid w:val="00064FE0"/>
    <w:rsid w:val="00067D35"/>
    <w:rsid w:val="00083D42"/>
    <w:rsid w:val="00086A3B"/>
    <w:rsid w:val="00087883"/>
    <w:rsid w:val="000B1D78"/>
    <w:rsid w:val="000C49D1"/>
    <w:rsid w:val="000D0510"/>
    <w:rsid w:val="000D3575"/>
    <w:rsid w:val="000E5156"/>
    <w:rsid w:val="000F5D9B"/>
    <w:rsid w:val="00133C5B"/>
    <w:rsid w:val="00141A42"/>
    <w:rsid w:val="001E1240"/>
    <w:rsid w:val="00204094"/>
    <w:rsid w:val="00212D4F"/>
    <w:rsid w:val="00223C8F"/>
    <w:rsid w:val="00226CAA"/>
    <w:rsid w:val="00251C64"/>
    <w:rsid w:val="00253FD3"/>
    <w:rsid w:val="002602DB"/>
    <w:rsid w:val="00260DEE"/>
    <w:rsid w:val="00261EEE"/>
    <w:rsid w:val="00274939"/>
    <w:rsid w:val="00286C57"/>
    <w:rsid w:val="002906CC"/>
    <w:rsid w:val="002B6684"/>
    <w:rsid w:val="002C1572"/>
    <w:rsid w:val="003036AB"/>
    <w:rsid w:val="00304AEE"/>
    <w:rsid w:val="00311C2B"/>
    <w:rsid w:val="00335320"/>
    <w:rsid w:val="003409A3"/>
    <w:rsid w:val="003512CC"/>
    <w:rsid w:val="003641A8"/>
    <w:rsid w:val="00374CBA"/>
    <w:rsid w:val="00380CBA"/>
    <w:rsid w:val="003867E7"/>
    <w:rsid w:val="003A0A91"/>
    <w:rsid w:val="003A5A44"/>
    <w:rsid w:val="003A6413"/>
    <w:rsid w:val="003D2109"/>
    <w:rsid w:val="003E28A6"/>
    <w:rsid w:val="00402E7D"/>
    <w:rsid w:val="0040685F"/>
    <w:rsid w:val="0041779C"/>
    <w:rsid w:val="0042431A"/>
    <w:rsid w:val="00440B5E"/>
    <w:rsid w:val="00446C34"/>
    <w:rsid w:val="00466DF2"/>
    <w:rsid w:val="00490B9A"/>
    <w:rsid w:val="004A5A63"/>
    <w:rsid w:val="004B745D"/>
    <w:rsid w:val="004C1E9C"/>
    <w:rsid w:val="00504FEC"/>
    <w:rsid w:val="005152B7"/>
    <w:rsid w:val="00536002"/>
    <w:rsid w:val="00543BD0"/>
    <w:rsid w:val="00547925"/>
    <w:rsid w:val="00573D5F"/>
    <w:rsid w:val="00582706"/>
    <w:rsid w:val="005C2C6E"/>
    <w:rsid w:val="006046EE"/>
    <w:rsid w:val="0060748D"/>
    <w:rsid w:val="006076FA"/>
    <w:rsid w:val="00613AE4"/>
    <w:rsid w:val="006140BB"/>
    <w:rsid w:val="00621558"/>
    <w:rsid w:val="00626FBB"/>
    <w:rsid w:val="00627B54"/>
    <w:rsid w:val="00632379"/>
    <w:rsid w:val="006568FD"/>
    <w:rsid w:val="00657919"/>
    <w:rsid w:val="00674363"/>
    <w:rsid w:val="00675F15"/>
    <w:rsid w:val="00680C06"/>
    <w:rsid w:val="0069021D"/>
    <w:rsid w:val="006950BE"/>
    <w:rsid w:val="006A5F9C"/>
    <w:rsid w:val="006A6858"/>
    <w:rsid w:val="006B1ABD"/>
    <w:rsid w:val="00736C12"/>
    <w:rsid w:val="00744677"/>
    <w:rsid w:val="0075360C"/>
    <w:rsid w:val="00765F86"/>
    <w:rsid w:val="007929BF"/>
    <w:rsid w:val="00796E69"/>
    <w:rsid w:val="007A3EAA"/>
    <w:rsid w:val="007A4D10"/>
    <w:rsid w:val="007B1D42"/>
    <w:rsid w:val="007B7883"/>
    <w:rsid w:val="007D0AE4"/>
    <w:rsid w:val="007D47B4"/>
    <w:rsid w:val="007E025A"/>
    <w:rsid w:val="008024FA"/>
    <w:rsid w:val="00815BA8"/>
    <w:rsid w:val="00822470"/>
    <w:rsid w:val="00837B98"/>
    <w:rsid w:val="00866CFA"/>
    <w:rsid w:val="008713A0"/>
    <w:rsid w:val="00880E36"/>
    <w:rsid w:val="0089490C"/>
    <w:rsid w:val="008A0B88"/>
    <w:rsid w:val="008B59CA"/>
    <w:rsid w:val="008D5B4C"/>
    <w:rsid w:val="008E41FF"/>
    <w:rsid w:val="008E61BD"/>
    <w:rsid w:val="008F4A08"/>
    <w:rsid w:val="00911D82"/>
    <w:rsid w:val="00984E4E"/>
    <w:rsid w:val="00990C3D"/>
    <w:rsid w:val="00A3541E"/>
    <w:rsid w:val="00A60468"/>
    <w:rsid w:val="00A710AE"/>
    <w:rsid w:val="00A71F40"/>
    <w:rsid w:val="00A73721"/>
    <w:rsid w:val="00A770D1"/>
    <w:rsid w:val="00AA46CC"/>
    <w:rsid w:val="00AB0E61"/>
    <w:rsid w:val="00AB3616"/>
    <w:rsid w:val="00AC25B1"/>
    <w:rsid w:val="00AC7BC1"/>
    <w:rsid w:val="00AD4F03"/>
    <w:rsid w:val="00AE0A9F"/>
    <w:rsid w:val="00AE2BC5"/>
    <w:rsid w:val="00B0078E"/>
    <w:rsid w:val="00B159F8"/>
    <w:rsid w:val="00B303F0"/>
    <w:rsid w:val="00B53DB4"/>
    <w:rsid w:val="00B54ED5"/>
    <w:rsid w:val="00B60D0C"/>
    <w:rsid w:val="00B63179"/>
    <w:rsid w:val="00B75A54"/>
    <w:rsid w:val="00B869D3"/>
    <w:rsid w:val="00BA53F8"/>
    <w:rsid w:val="00BB3944"/>
    <w:rsid w:val="00BC1C1E"/>
    <w:rsid w:val="00BD702E"/>
    <w:rsid w:val="00BD74F3"/>
    <w:rsid w:val="00BE30AF"/>
    <w:rsid w:val="00C234A9"/>
    <w:rsid w:val="00C26B27"/>
    <w:rsid w:val="00C32CD9"/>
    <w:rsid w:val="00C52D24"/>
    <w:rsid w:val="00C7122B"/>
    <w:rsid w:val="00C9090F"/>
    <w:rsid w:val="00CB7E16"/>
    <w:rsid w:val="00CD00FC"/>
    <w:rsid w:val="00CD51F1"/>
    <w:rsid w:val="00CE1587"/>
    <w:rsid w:val="00CE4BD8"/>
    <w:rsid w:val="00CF0F61"/>
    <w:rsid w:val="00D447D6"/>
    <w:rsid w:val="00D77CBC"/>
    <w:rsid w:val="00D91FE2"/>
    <w:rsid w:val="00DA0002"/>
    <w:rsid w:val="00DA757E"/>
    <w:rsid w:val="00DA75E0"/>
    <w:rsid w:val="00DC0624"/>
    <w:rsid w:val="00DD160F"/>
    <w:rsid w:val="00DE0365"/>
    <w:rsid w:val="00E01B0B"/>
    <w:rsid w:val="00E07D80"/>
    <w:rsid w:val="00E16E35"/>
    <w:rsid w:val="00E22D51"/>
    <w:rsid w:val="00E52EB8"/>
    <w:rsid w:val="00E5474C"/>
    <w:rsid w:val="00E60694"/>
    <w:rsid w:val="00E777D9"/>
    <w:rsid w:val="00E835D9"/>
    <w:rsid w:val="00E91D06"/>
    <w:rsid w:val="00EA37AA"/>
    <w:rsid w:val="00EB0636"/>
    <w:rsid w:val="00EB1A41"/>
    <w:rsid w:val="00EB446D"/>
    <w:rsid w:val="00EB6DD8"/>
    <w:rsid w:val="00EF427B"/>
    <w:rsid w:val="00F339A9"/>
    <w:rsid w:val="00F63C5E"/>
    <w:rsid w:val="00F8202D"/>
    <w:rsid w:val="00FA20EA"/>
    <w:rsid w:val="00FB63F6"/>
    <w:rsid w:val="00FB73EA"/>
    <w:rsid w:val="00FE0E39"/>
    <w:rsid w:val="00FE522A"/>
    <w:rsid w:val="00FF3D51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1D82"/>
    <w:pPr>
      <w:keepNext/>
      <w:jc w:val="center"/>
      <w:outlineLvl w:val="0"/>
    </w:pPr>
    <w:rPr>
      <w:i/>
      <w:noProof/>
      <w:szCs w:val="20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Char Char"/>
    <w:basedOn w:val="a"/>
    <w:rsid w:val="00E60694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styleId="a4">
    <w:name w:val="Emphasis"/>
    <w:basedOn w:val="a0"/>
    <w:qFormat/>
    <w:rsid w:val="00E60694"/>
    <w:rPr>
      <w:i/>
      <w:iCs/>
    </w:rPr>
  </w:style>
  <w:style w:type="paragraph" w:customStyle="1" w:styleId="Default">
    <w:name w:val="Default"/>
    <w:rsid w:val="00792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7929BF"/>
    <w:rPr>
      <w:color w:val="auto"/>
    </w:rPr>
  </w:style>
  <w:style w:type="paragraph" w:styleId="a5">
    <w:name w:val="Normal (Web)"/>
    <w:basedOn w:val="a"/>
    <w:uiPriority w:val="99"/>
    <w:semiHidden/>
    <w:unhideWhenUsed/>
    <w:rsid w:val="007929BF"/>
    <w:pPr>
      <w:spacing w:before="100" w:beforeAutospacing="1" w:after="100" w:afterAutospacing="1"/>
    </w:pPr>
    <w:rPr>
      <w:lang w:val="en-US" w:eastAsia="en-US"/>
    </w:rPr>
  </w:style>
  <w:style w:type="paragraph" w:styleId="a6">
    <w:name w:val="No Spacing"/>
    <w:uiPriority w:val="1"/>
    <w:qFormat/>
    <w:rsid w:val="00547925"/>
    <w:pPr>
      <w:spacing w:after="0" w:line="240" w:lineRule="auto"/>
    </w:pPr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7B7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8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B7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8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FB73EA"/>
    <w:pPr>
      <w:ind w:left="720"/>
      <w:contextualSpacing/>
    </w:pPr>
  </w:style>
  <w:style w:type="character" w:styleId="ac">
    <w:name w:val="Hyperlink"/>
    <w:rsid w:val="00815BA8"/>
    <w:rPr>
      <w:rFonts w:ascii="Arial" w:hAnsi="Arial" w:cs="Arial" w:hint="default"/>
      <w:b/>
      <w:bCs/>
      <w:strike w:val="0"/>
      <w:dstrike w:val="0"/>
      <w:color w:val="276096"/>
      <w:sz w:val="17"/>
      <w:szCs w:val="17"/>
      <w:u w:val="none"/>
      <w:effect w:val="none"/>
    </w:rPr>
  </w:style>
  <w:style w:type="character" w:styleId="ad">
    <w:name w:val="Strong"/>
    <w:basedOn w:val="a0"/>
    <w:uiPriority w:val="22"/>
    <w:qFormat/>
    <w:rsid w:val="00E777D9"/>
    <w:rPr>
      <w:b/>
      <w:bCs/>
    </w:rPr>
  </w:style>
  <w:style w:type="character" w:customStyle="1" w:styleId="apple-converted-space">
    <w:name w:val="apple-converted-space"/>
    <w:basedOn w:val="a0"/>
    <w:rsid w:val="00E777D9"/>
  </w:style>
  <w:style w:type="paragraph" w:customStyle="1" w:styleId="doc-ti">
    <w:name w:val="doc-ti"/>
    <w:basedOn w:val="a"/>
    <w:rsid w:val="00E777D9"/>
    <w:pPr>
      <w:spacing w:before="100" w:beforeAutospacing="1" w:after="100" w:afterAutospacing="1"/>
    </w:pPr>
    <w:rPr>
      <w:lang w:val="ro-RO" w:eastAsia="ro-RO"/>
    </w:rPr>
  </w:style>
  <w:style w:type="character" w:customStyle="1" w:styleId="10">
    <w:name w:val="Заголовок 1 Знак"/>
    <w:basedOn w:val="a0"/>
    <w:link w:val="1"/>
    <w:rsid w:val="00911D82"/>
    <w:rPr>
      <w:rFonts w:ascii="Times New Roman" w:eastAsia="Times New Roman" w:hAnsi="Times New Roman" w:cs="Times New Roman"/>
      <w:i/>
      <w:noProof/>
      <w:sz w:val="24"/>
      <w:szCs w:val="20"/>
      <w:lang w:val="ro-RO" w:eastAsia="ro-RO"/>
    </w:rPr>
  </w:style>
  <w:style w:type="paragraph" w:styleId="ae">
    <w:name w:val="Body Text"/>
    <w:basedOn w:val="a"/>
    <w:link w:val="af"/>
    <w:rsid w:val="00911D82"/>
    <w:pPr>
      <w:jc w:val="both"/>
    </w:pPr>
    <w:rPr>
      <w:rFonts w:ascii="Arial" w:hAnsi="Arial"/>
      <w:szCs w:val="20"/>
      <w:lang w:val="ro-RO" w:eastAsia="en-US"/>
    </w:rPr>
  </w:style>
  <w:style w:type="character" w:customStyle="1" w:styleId="af">
    <w:name w:val="Основной текст Знак"/>
    <w:basedOn w:val="a0"/>
    <w:link w:val="ae"/>
    <w:rsid w:val="00911D82"/>
    <w:rPr>
      <w:rFonts w:ascii="Arial" w:eastAsia="Times New Roman" w:hAnsi="Arial" w:cs="Times New Roman"/>
      <w:sz w:val="24"/>
      <w:szCs w:val="20"/>
      <w:lang w:val="ro-RO"/>
    </w:rPr>
  </w:style>
  <w:style w:type="character" w:styleId="af0">
    <w:name w:val="footnote reference"/>
    <w:basedOn w:val="a0"/>
    <w:semiHidden/>
    <w:rsid w:val="00911D82"/>
    <w:rPr>
      <w:vertAlign w:val="superscript"/>
    </w:rPr>
  </w:style>
  <w:style w:type="paragraph" w:styleId="2">
    <w:name w:val="Body Text Indent 2"/>
    <w:basedOn w:val="a"/>
    <w:link w:val="20"/>
    <w:rsid w:val="00911D82"/>
    <w:pPr>
      <w:ind w:left="360"/>
      <w:jc w:val="both"/>
    </w:pPr>
    <w:rPr>
      <w:noProof/>
      <w:szCs w:val="20"/>
      <w:lang w:val="ro-RO" w:eastAsia="ro-RO"/>
    </w:rPr>
  </w:style>
  <w:style w:type="character" w:customStyle="1" w:styleId="20">
    <w:name w:val="Основной текст с отступом 2 Знак"/>
    <w:basedOn w:val="a0"/>
    <w:link w:val="2"/>
    <w:rsid w:val="00911D82"/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  <w:style w:type="paragraph" w:styleId="af1">
    <w:name w:val="Body Text Indent"/>
    <w:basedOn w:val="a"/>
    <w:link w:val="af2"/>
    <w:rsid w:val="00911D82"/>
    <w:pPr>
      <w:ind w:left="360"/>
    </w:pPr>
    <w:rPr>
      <w:noProof/>
      <w:szCs w:val="20"/>
      <w:lang w:val="ro-RO" w:eastAsia="ro-RO"/>
    </w:rPr>
  </w:style>
  <w:style w:type="character" w:customStyle="1" w:styleId="af2">
    <w:name w:val="Основной текст с отступом Знак"/>
    <w:basedOn w:val="a0"/>
    <w:link w:val="af1"/>
    <w:rsid w:val="00911D82"/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  <w:style w:type="paragraph" w:styleId="af3">
    <w:name w:val="footnote text"/>
    <w:basedOn w:val="a"/>
    <w:link w:val="af4"/>
    <w:semiHidden/>
    <w:rsid w:val="00911D82"/>
    <w:rPr>
      <w:rFonts w:ascii="Arial" w:hAnsi="Arial"/>
      <w:sz w:val="20"/>
      <w:szCs w:val="20"/>
      <w:lang w:val="ro-RO" w:eastAsia="ro-RO"/>
    </w:rPr>
  </w:style>
  <w:style w:type="character" w:customStyle="1" w:styleId="af4">
    <w:name w:val="Текст сноски Знак"/>
    <w:basedOn w:val="a0"/>
    <w:link w:val="af3"/>
    <w:semiHidden/>
    <w:rsid w:val="00911D82"/>
    <w:rPr>
      <w:rFonts w:ascii="Arial" w:eastAsia="Times New Roman" w:hAnsi="Arial" w:cs="Times New Roman"/>
      <w:sz w:val="20"/>
      <w:szCs w:val="20"/>
      <w:lang w:val="ro-RO" w:eastAsia="ro-RO"/>
    </w:rPr>
  </w:style>
  <w:style w:type="character" w:customStyle="1" w:styleId="docbody1">
    <w:name w:val="doc_body1"/>
    <w:rsid w:val="007A3EAA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i-art">
    <w:name w:val="ti-art"/>
    <w:basedOn w:val="a"/>
    <w:rsid w:val="00402E7D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02E7D"/>
    <w:pPr>
      <w:spacing w:before="100" w:beforeAutospacing="1" w:after="100" w:afterAutospacing="1"/>
    </w:pPr>
  </w:style>
  <w:style w:type="character" w:customStyle="1" w:styleId="italic">
    <w:name w:val="italic"/>
    <w:basedOn w:val="a0"/>
    <w:rsid w:val="00402E7D"/>
  </w:style>
  <w:style w:type="paragraph" w:customStyle="1" w:styleId="signatory">
    <w:name w:val="signatory"/>
    <w:basedOn w:val="a"/>
    <w:rsid w:val="00402E7D"/>
    <w:pPr>
      <w:spacing w:before="100" w:beforeAutospacing="1" w:after="100" w:afterAutospacing="1"/>
    </w:pPr>
  </w:style>
  <w:style w:type="paragraph" w:customStyle="1" w:styleId="ti-tbl">
    <w:name w:val="ti-tbl"/>
    <w:basedOn w:val="a"/>
    <w:rsid w:val="00402E7D"/>
    <w:pPr>
      <w:spacing w:before="100" w:beforeAutospacing="1" w:after="100" w:afterAutospacing="1"/>
    </w:pPr>
  </w:style>
  <w:style w:type="paragraph" w:customStyle="1" w:styleId="ti-grseq-1">
    <w:name w:val="ti-grseq-1"/>
    <w:basedOn w:val="a"/>
    <w:rsid w:val="00621558"/>
    <w:pPr>
      <w:spacing w:before="100" w:beforeAutospacing="1" w:after="100" w:afterAutospacing="1"/>
    </w:pPr>
  </w:style>
  <w:style w:type="paragraph" w:customStyle="1" w:styleId="sti-art">
    <w:name w:val="sti-art"/>
    <w:basedOn w:val="a"/>
    <w:rsid w:val="00A71F40"/>
    <w:pPr>
      <w:spacing w:before="100" w:beforeAutospacing="1" w:after="100" w:afterAutospacing="1"/>
    </w:pPr>
  </w:style>
  <w:style w:type="character" w:customStyle="1" w:styleId="super">
    <w:name w:val="super"/>
    <w:basedOn w:val="a0"/>
    <w:rsid w:val="00866CFA"/>
  </w:style>
  <w:style w:type="character" w:customStyle="1" w:styleId="sub">
    <w:name w:val="sub"/>
    <w:basedOn w:val="a0"/>
    <w:rsid w:val="00866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1D82"/>
    <w:pPr>
      <w:keepNext/>
      <w:jc w:val="center"/>
      <w:outlineLvl w:val="0"/>
    </w:pPr>
    <w:rPr>
      <w:i/>
      <w:noProof/>
      <w:szCs w:val="20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Знак Знак Char Char"/>
    <w:basedOn w:val="a"/>
    <w:rsid w:val="00E60694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character" w:styleId="a4">
    <w:name w:val="Emphasis"/>
    <w:basedOn w:val="a0"/>
    <w:qFormat/>
    <w:rsid w:val="00E60694"/>
    <w:rPr>
      <w:i/>
      <w:iCs/>
    </w:rPr>
  </w:style>
  <w:style w:type="paragraph" w:customStyle="1" w:styleId="Default">
    <w:name w:val="Default"/>
    <w:rsid w:val="00792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7929BF"/>
    <w:rPr>
      <w:color w:val="auto"/>
    </w:rPr>
  </w:style>
  <w:style w:type="paragraph" w:styleId="a5">
    <w:name w:val="Normal (Web)"/>
    <w:basedOn w:val="a"/>
    <w:uiPriority w:val="99"/>
    <w:semiHidden/>
    <w:unhideWhenUsed/>
    <w:rsid w:val="007929BF"/>
    <w:pPr>
      <w:spacing w:before="100" w:beforeAutospacing="1" w:after="100" w:afterAutospacing="1"/>
    </w:pPr>
    <w:rPr>
      <w:lang w:val="en-US" w:eastAsia="en-US"/>
    </w:rPr>
  </w:style>
  <w:style w:type="paragraph" w:styleId="a6">
    <w:name w:val="No Spacing"/>
    <w:uiPriority w:val="1"/>
    <w:qFormat/>
    <w:rsid w:val="00547925"/>
    <w:pPr>
      <w:spacing w:after="0" w:line="240" w:lineRule="auto"/>
    </w:pPr>
    <w:rPr>
      <w:rFonts w:eastAsiaTheme="minorEastAsia"/>
    </w:rPr>
  </w:style>
  <w:style w:type="paragraph" w:styleId="a7">
    <w:name w:val="header"/>
    <w:basedOn w:val="a"/>
    <w:link w:val="a8"/>
    <w:uiPriority w:val="99"/>
    <w:unhideWhenUsed/>
    <w:rsid w:val="007B7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8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B7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88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FB73EA"/>
    <w:pPr>
      <w:ind w:left="720"/>
      <w:contextualSpacing/>
    </w:pPr>
  </w:style>
  <w:style w:type="character" w:styleId="ac">
    <w:name w:val="Hyperlink"/>
    <w:rsid w:val="00815BA8"/>
    <w:rPr>
      <w:rFonts w:ascii="Arial" w:hAnsi="Arial" w:cs="Arial" w:hint="default"/>
      <w:b/>
      <w:bCs/>
      <w:strike w:val="0"/>
      <w:dstrike w:val="0"/>
      <w:color w:val="276096"/>
      <w:sz w:val="17"/>
      <w:szCs w:val="17"/>
      <w:u w:val="none"/>
      <w:effect w:val="none"/>
    </w:rPr>
  </w:style>
  <w:style w:type="character" w:styleId="ad">
    <w:name w:val="Strong"/>
    <w:basedOn w:val="a0"/>
    <w:uiPriority w:val="22"/>
    <w:qFormat/>
    <w:rsid w:val="00E777D9"/>
    <w:rPr>
      <w:b/>
      <w:bCs/>
    </w:rPr>
  </w:style>
  <w:style w:type="character" w:customStyle="1" w:styleId="apple-converted-space">
    <w:name w:val="apple-converted-space"/>
    <w:basedOn w:val="a0"/>
    <w:rsid w:val="00E777D9"/>
  </w:style>
  <w:style w:type="paragraph" w:customStyle="1" w:styleId="doc-ti">
    <w:name w:val="doc-ti"/>
    <w:basedOn w:val="a"/>
    <w:rsid w:val="00E777D9"/>
    <w:pPr>
      <w:spacing w:before="100" w:beforeAutospacing="1" w:after="100" w:afterAutospacing="1"/>
    </w:pPr>
    <w:rPr>
      <w:lang w:val="ro-RO" w:eastAsia="ro-RO"/>
    </w:rPr>
  </w:style>
  <w:style w:type="character" w:customStyle="1" w:styleId="10">
    <w:name w:val="Заголовок 1 Знак"/>
    <w:basedOn w:val="a0"/>
    <w:link w:val="1"/>
    <w:rsid w:val="00911D82"/>
    <w:rPr>
      <w:rFonts w:ascii="Times New Roman" w:eastAsia="Times New Roman" w:hAnsi="Times New Roman" w:cs="Times New Roman"/>
      <w:i/>
      <w:noProof/>
      <w:sz w:val="24"/>
      <w:szCs w:val="20"/>
      <w:lang w:val="ro-RO" w:eastAsia="ro-RO"/>
    </w:rPr>
  </w:style>
  <w:style w:type="paragraph" w:styleId="ae">
    <w:name w:val="Body Text"/>
    <w:basedOn w:val="a"/>
    <w:link w:val="af"/>
    <w:rsid w:val="00911D82"/>
    <w:pPr>
      <w:jc w:val="both"/>
    </w:pPr>
    <w:rPr>
      <w:rFonts w:ascii="Arial" w:hAnsi="Arial"/>
      <w:szCs w:val="20"/>
      <w:lang w:val="ro-RO" w:eastAsia="en-US"/>
    </w:rPr>
  </w:style>
  <w:style w:type="character" w:customStyle="1" w:styleId="af">
    <w:name w:val="Основной текст Знак"/>
    <w:basedOn w:val="a0"/>
    <w:link w:val="ae"/>
    <w:rsid w:val="00911D82"/>
    <w:rPr>
      <w:rFonts w:ascii="Arial" w:eastAsia="Times New Roman" w:hAnsi="Arial" w:cs="Times New Roman"/>
      <w:sz w:val="24"/>
      <w:szCs w:val="20"/>
      <w:lang w:val="ro-RO"/>
    </w:rPr>
  </w:style>
  <w:style w:type="character" w:styleId="af0">
    <w:name w:val="footnote reference"/>
    <w:basedOn w:val="a0"/>
    <w:semiHidden/>
    <w:rsid w:val="00911D82"/>
    <w:rPr>
      <w:vertAlign w:val="superscript"/>
    </w:rPr>
  </w:style>
  <w:style w:type="paragraph" w:styleId="2">
    <w:name w:val="Body Text Indent 2"/>
    <w:basedOn w:val="a"/>
    <w:link w:val="20"/>
    <w:rsid w:val="00911D82"/>
    <w:pPr>
      <w:ind w:left="360"/>
      <w:jc w:val="both"/>
    </w:pPr>
    <w:rPr>
      <w:noProof/>
      <w:szCs w:val="20"/>
      <w:lang w:val="ro-RO" w:eastAsia="ro-RO"/>
    </w:rPr>
  </w:style>
  <w:style w:type="character" w:customStyle="1" w:styleId="20">
    <w:name w:val="Основной текст с отступом 2 Знак"/>
    <w:basedOn w:val="a0"/>
    <w:link w:val="2"/>
    <w:rsid w:val="00911D82"/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  <w:style w:type="paragraph" w:styleId="af1">
    <w:name w:val="Body Text Indent"/>
    <w:basedOn w:val="a"/>
    <w:link w:val="af2"/>
    <w:rsid w:val="00911D82"/>
    <w:pPr>
      <w:ind w:left="360"/>
    </w:pPr>
    <w:rPr>
      <w:noProof/>
      <w:szCs w:val="20"/>
      <w:lang w:val="ro-RO" w:eastAsia="ro-RO"/>
    </w:rPr>
  </w:style>
  <w:style w:type="character" w:customStyle="1" w:styleId="af2">
    <w:name w:val="Основной текст с отступом Знак"/>
    <w:basedOn w:val="a0"/>
    <w:link w:val="af1"/>
    <w:rsid w:val="00911D82"/>
    <w:rPr>
      <w:rFonts w:ascii="Times New Roman" w:eastAsia="Times New Roman" w:hAnsi="Times New Roman" w:cs="Times New Roman"/>
      <w:noProof/>
      <w:sz w:val="24"/>
      <w:szCs w:val="20"/>
      <w:lang w:val="ro-RO" w:eastAsia="ro-RO"/>
    </w:rPr>
  </w:style>
  <w:style w:type="paragraph" w:styleId="af3">
    <w:name w:val="footnote text"/>
    <w:basedOn w:val="a"/>
    <w:link w:val="af4"/>
    <w:semiHidden/>
    <w:rsid w:val="00911D82"/>
    <w:rPr>
      <w:rFonts w:ascii="Arial" w:hAnsi="Arial"/>
      <w:sz w:val="20"/>
      <w:szCs w:val="20"/>
      <w:lang w:val="ro-RO" w:eastAsia="ro-RO"/>
    </w:rPr>
  </w:style>
  <w:style w:type="character" w:customStyle="1" w:styleId="af4">
    <w:name w:val="Текст сноски Знак"/>
    <w:basedOn w:val="a0"/>
    <w:link w:val="af3"/>
    <w:semiHidden/>
    <w:rsid w:val="00911D82"/>
    <w:rPr>
      <w:rFonts w:ascii="Arial" w:eastAsia="Times New Roman" w:hAnsi="Arial" w:cs="Times New Roman"/>
      <w:sz w:val="20"/>
      <w:szCs w:val="20"/>
      <w:lang w:val="ro-RO" w:eastAsia="ro-RO"/>
    </w:rPr>
  </w:style>
  <w:style w:type="character" w:customStyle="1" w:styleId="docbody1">
    <w:name w:val="doc_body1"/>
    <w:rsid w:val="007A3EAA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ti-art">
    <w:name w:val="ti-art"/>
    <w:basedOn w:val="a"/>
    <w:rsid w:val="00402E7D"/>
    <w:pPr>
      <w:spacing w:before="100" w:beforeAutospacing="1" w:after="100" w:afterAutospacing="1"/>
    </w:pPr>
  </w:style>
  <w:style w:type="paragraph" w:customStyle="1" w:styleId="11">
    <w:name w:val="Обычный1"/>
    <w:basedOn w:val="a"/>
    <w:rsid w:val="00402E7D"/>
    <w:pPr>
      <w:spacing w:before="100" w:beforeAutospacing="1" w:after="100" w:afterAutospacing="1"/>
    </w:pPr>
  </w:style>
  <w:style w:type="character" w:customStyle="1" w:styleId="italic">
    <w:name w:val="italic"/>
    <w:basedOn w:val="a0"/>
    <w:rsid w:val="00402E7D"/>
  </w:style>
  <w:style w:type="paragraph" w:customStyle="1" w:styleId="signatory">
    <w:name w:val="signatory"/>
    <w:basedOn w:val="a"/>
    <w:rsid w:val="00402E7D"/>
    <w:pPr>
      <w:spacing w:before="100" w:beforeAutospacing="1" w:after="100" w:afterAutospacing="1"/>
    </w:pPr>
  </w:style>
  <w:style w:type="paragraph" w:customStyle="1" w:styleId="ti-tbl">
    <w:name w:val="ti-tbl"/>
    <w:basedOn w:val="a"/>
    <w:rsid w:val="00402E7D"/>
    <w:pPr>
      <w:spacing w:before="100" w:beforeAutospacing="1" w:after="100" w:afterAutospacing="1"/>
    </w:pPr>
  </w:style>
  <w:style w:type="paragraph" w:customStyle="1" w:styleId="ti-grseq-1">
    <w:name w:val="ti-grseq-1"/>
    <w:basedOn w:val="a"/>
    <w:rsid w:val="00621558"/>
    <w:pPr>
      <w:spacing w:before="100" w:beforeAutospacing="1" w:after="100" w:afterAutospacing="1"/>
    </w:pPr>
  </w:style>
  <w:style w:type="paragraph" w:customStyle="1" w:styleId="sti-art">
    <w:name w:val="sti-art"/>
    <w:basedOn w:val="a"/>
    <w:rsid w:val="00A71F40"/>
    <w:pPr>
      <w:spacing w:before="100" w:beforeAutospacing="1" w:after="100" w:afterAutospacing="1"/>
    </w:pPr>
  </w:style>
  <w:style w:type="character" w:customStyle="1" w:styleId="super">
    <w:name w:val="super"/>
    <w:basedOn w:val="a0"/>
    <w:rsid w:val="00866CFA"/>
  </w:style>
  <w:style w:type="character" w:customStyle="1" w:styleId="sub">
    <w:name w:val="sub"/>
    <w:basedOn w:val="a0"/>
    <w:rsid w:val="00866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9919">
          <w:marLeft w:val="810"/>
          <w:marRight w:val="81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9344">
              <w:marLeft w:val="4005"/>
              <w:marRight w:val="8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34887-BF66-4B6A-9BD8-E0E9D53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1981</Words>
  <Characters>11297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Iulia Mihalachi</cp:lastModifiedBy>
  <cp:revision>2</cp:revision>
  <cp:lastPrinted>2013-11-12T09:03:00Z</cp:lastPrinted>
  <dcterms:created xsi:type="dcterms:W3CDTF">2017-03-14T10:52:00Z</dcterms:created>
  <dcterms:modified xsi:type="dcterms:W3CDTF">2017-03-14T10:52:00Z</dcterms:modified>
</cp:coreProperties>
</file>