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E5" w:rsidRPr="00157AE5" w:rsidRDefault="00157AE5" w:rsidP="00157AE5">
      <w:pPr>
        <w:pStyle w:val="doc-ti"/>
        <w:shd w:val="clear" w:color="auto" w:fill="FFFFFF"/>
        <w:spacing w:before="0" w:beforeAutospacing="0" w:after="0" w:afterAutospacing="0" w:line="312" w:lineRule="atLeast"/>
        <w:jc w:val="center"/>
        <w:textAlignment w:val="baseline"/>
        <w:rPr>
          <w:b/>
          <w:bCs/>
          <w:color w:val="444444"/>
          <w:sz w:val="27"/>
          <w:szCs w:val="27"/>
          <w:lang w:val="en-US"/>
        </w:rPr>
      </w:pPr>
      <w:bookmarkStart w:id="0" w:name="_GoBack"/>
      <w:bookmarkEnd w:id="0"/>
      <w:r w:rsidRPr="00157AE5">
        <w:rPr>
          <w:rFonts w:ascii="inherit" w:hAnsi="inherit"/>
          <w:b/>
          <w:bCs/>
          <w:color w:val="444444"/>
          <w:sz w:val="27"/>
          <w:szCs w:val="27"/>
          <w:bdr w:val="none" w:sz="0" w:space="0" w:color="auto" w:frame="1"/>
          <w:lang w:val="en-US"/>
        </w:rPr>
        <w:t>REGULAMENTUL</w:t>
      </w:r>
      <w:r w:rsidRPr="00157AE5">
        <w:rPr>
          <w:rStyle w:val="apple-converted-space"/>
          <w:b/>
          <w:bCs/>
          <w:color w:val="444444"/>
          <w:sz w:val="27"/>
          <w:szCs w:val="27"/>
          <w:lang w:val="en-US"/>
        </w:rPr>
        <w:t> </w:t>
      </w:r>
      <w:r w:rsidRPr="00157AE5">
        <w:rPr>
          <w:b/>
          <w:bCs/>
          <w:color w:val="444444"/>
          <w:sz w:val="27"/>
          <w:szCs w:val="27"/>
          <w:lang w:val="en-US"/>
        </w:rPr>
        <w:t>(CE)</w:t>
      </w:r>
      <w:r w:rsidRPr="00157AE5">
        <w:rPr>
          <w:rStyle w:val="apple-converted-space"/>
          <w:b/>
          <w:bCs/>
          <w:color w:val="444444"/>
          <w:sz w:val="27"/>
          <w:szCs w:val="27"/>
          <w:lang w:val="en-US"/>
        </w:rPr>
        <w:t> </w:t>
      </w:r>
      <w:r w:rsidRPr="00157AE5">
        <w:rPr>
          <w:rFonts w:ascii="inherit" w:hAnsi="inherit"/>
          <w:b/>
          <w:bCs/>
          <w:color w:val="444444"/>
          <w:sz w:val="27"/>
          <w:szCs w:val="27"/>
          <w:bdr w:val="none" w:sz="0" w:space="0" w:color="auto" w:frame="1"/>
          <w:lang w:val="en-US"/>
        </w:rPr>
        <w:t>NR.</w:t>
      </w:r>
      <w:r w:rsidRPr="00157AE5">
        <w:rPr>
          <w:b/>
          <w:bCs/>
          <w:color w:val="444444"/>
          <w:sz w:val="27"/>
          <w:szCs w:val="27"/>
          <w:lang w:val="en-US"/>
        </w:rPr>
        <w:t> 1895/2005</w:t>
      </w:r>
      <w:r w:rsidRPr="00157AE5">
        <w:rPr>
          <w:rStyle w:val="apple-converted-space"/>
          <w:b/>
          <w:bCs/>
          <w:color w:val="444444"/>
          <w:sz w:val="27"/>
          <w:szCs w:val="27"/>
          <w:lang w:val="en-US"/>
        </w:rPr>
        <w:t> </w:t>
      </w:r>
      <w:r w:rsidRPr="00157AE5">
        <w:rPr>
          <w:rFonts w:ascii="inherit" w:hAnsi="inherit"/>
          <w:b/>
          <w:bCs/>
          <w:color w:val="444444"/>
          <w:sz w:val="27"/>
          <w:szCs w:val="27"/>
          <w:bdr w:val="none" w:sz="0" w:space="0" w:color="auto" w:frame="1"/>
          <w:lang w:val="en-US"/>
        </w:rPr>
        <w:t>AL COMISIEI</w:t>
      </w:r>
    </w:p>
    <w:p w:rsidR="00157AE5" w:rsidRPr="00157AE5" w:rsidRDefault="00157AE5" w:rsidP="00157AE5">
      <w:pPr>
        <w:pStyle w:val="doc-ti"/>
        <w:shd w:val="clear" w:color="auto" w:fill="FFFFFF"/>
        <w:spacing w:before="24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din 18 noiembrie 2005</w:t>
      </w:r>
    </w:p>
    <w:p w:rsidR="00157AE5" w:rsidRPr="00157AE5" w:rsidRDefault="00157AE5" w:rsidP="00157AE5">
      <w:pPr>
        <w:pStyle w:val="doc-ti"/>
        <w:shd w:val="clear" w:color="auto" w:fill="FFFFFF"/>
        <w:spacing w:before="24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privind limitarea utilizării anumitor derivați epoxidici în materialele și obiectele destinate să vină în contact cu produse alimentare</w:t>
      </w:r>
    </w:p>
    <w:p w:rsidR="00157AE5" w:rsidRPr="00157AE5" w:rsidRDefault="00157AE5" w:rsidP="00157AE5">
      <w:pPr>
        <w:pStyle w:val="doc-ti"/>
        <w:shd w:val="clear" w:color="auto" w:fill="FFFFFF"/>
        <w:spacing w:before="24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(Text cu relevanță pentru SEE)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COMISIA COMUNITĂȚILOR EUROPENE,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având în vedere Tratatul de instituire a Comunității Europene,</w:t>
      </w:r>
    </w:p>
    <w:p w:rsidR="00157AE5" w:rsidRPr="00157AE5" w:rsidRDefault="00157AE5" w:rsidP="00157AE5">
      <w:pPr>
        <w:pStyle w:val="1"/>
        <w:shd w:val="clear" w:color="auto" w:fill="FFFFFF"/>
        <w:spacing w:before="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având în vedere Regulamentul (CE) nr. 1935/2004 al Parlamentului European și al Consiliului din 27 octombrie 2004 privind materialele și obiectele destinate să vină în contact cu produsele alimentare și de abrogare a </w:t>
      </w:r>
      <w:proofErr w:type="spellStart"/>
      <w:r w:rsidRPr="00157AE5">
        <w:rPr>
          <w:color w:val="444444"/>
          <w:sz w:val="27"/>
          <w:szCs w:val="27"/>
          <w:lang w:val="en-US"/>
        </w:rPr>
        <w:t>Directivelor</w:t>
      </w:r>
      <w:proofErr w:type="spellEnd"/>
      <w:r w:rsidRPr="00157AE5">
        <w:rPr>
          <w:color w:val="444444"/>
          <w:sz w:val="27"/>
          <w:szCs w:val="27"/>
          <w:lang w:val="en-US"/>
        </w:rPr>
        <w:t xml:space="preserve"> 80/590/CEE </w:t>
      </w:r>
      <w:proofErr w:type="spellStart"/>
      <w:r w:rsidRPr="00157AE5">
        <w:rPr>
          <w:color w:val="444444"/>
          <w:sz w:val="27"/>
          <w:szCs w:val="27"/>
          <w:lang w:val="en-US"/>
        </w:rPr>
        <w:t>și</w:t>
      </w:r>
      <w:proofErr w:type="spellEnd"/>
      <w:r w:rsidRPr="00157AE5">
        <w:rPr>
          <w:color w:val="444444"/>
          <w:sz w:val="27"/>
          <w:szCs w:val="27"/>
          <w:lang w:val="en-US"/>
        </w:rPr>
        <w:t xml:space="preserve"> 89/109/CEE</w:t>
      </w:r>
      <w:hyperlink r:id="rId5" w:anchor="ntr1-L_2005302RO.01002801-E0001" w:history="1">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1</w:t>
        </w:r>
        <w:r w:rsidRPr="00157AE5">
          <w:rPr>
            <w:rStyle w:val="a9"/>
            <w:rFonts w:ascii="inherit" w:hAnsi="inherit"/>
            <w:color w:val="800080"/>
            <w:sz w:val="27"/>
            <w:szCs w:val="27"/>
            <w:bdr w:val="none" w:sz="0" w:space="0" w:color="auto" w:frame="1"/>
            <w:lang w:val="en-US"/>
          </w:rPr>
          <w:t>)</w:t>
        </w:r>
      </w:hyperlink>
      <w:r w:rsidRPr="00157AE5">
        <w:rPr>
          <w:color w:val="444444"/>
          <w:sz w:val="27"/>
          <w:szCs w:val="27"/>
          <w:lang w:val="en-US"/>
        </w:rPr>
        <w:t xml:space="preserve">, </w:t>
      </w:r>
      <w:proofErr w:type="spellStart"/>
      <w:r w:rsidRPr="00157AE5">
        <w:rPr>
          <w:color w:val="444444"/>
          <w:sz w:val="27"/>
          <w:szCs w:val="27"/>
          <w:lang w:val="en-US"/>
        </w:rPr>
        <w:t>în</w:t>
      </w:r>
      <w:proofErr w:type="spellEnd"/>
      <w:r w:rsidRPr="00157AE5">
        <w:rPr>
          <w:color w:val="444444"/>
          <w:sz w:val="27"/>
          <w:szCs w:val="27"/>
          <w:lang w:val="en-US"/>
        </w:rPr>
        <w:t xml:space="preserve"> special </w:t>
      </w:r>
      <w:proofErr w:type="spellStart"/>
      <w:r w:rsidRPr="00157AE5">
        <w:rPr>
          <w:color w:val="444444"/>
          <w:sz w:val="27"/>
          <w:szCs w:val="27"/>
          <w:lang w:val="en-US"/>
        </w:rPr>
        <w:t>articolul</w:t>
      </w:r>
      <w:proofErr w:type="spellEnd"/>
      <w:r w:rsidRPr="00157AE5">
        <w:rPr>
          <w:color w:val="444444"/>
          <w:sz w:val="27"/>
          <w:szCs w:val="27"/>
          <w:lang w:val="en-US"/>
        </w:rPr>
        <w:t xml:space="preserve"> 5 alineatul (1),</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după consultarea Autorității Europene pentru Siguranța Alimentară,</w:t>
      </w:r>
    </w:p>
    <w:p w:rsid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rPr>
      </w:pPr>
      <w:proofErr w:type="spellStart"/>
      <w:r>
        <w:rPr>
          <w:color w:val="444444"/>
          <w:sz w:val="27"/>
          <w:szCs w:val="27"/>
        </w:rPr>
        <w:t>întrucât</w:t>
      </w:r>
      <w:proofErr w:type="spellEnd"/>
      <w:r>
        <w:rPr>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663FE2"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 xml:space="preserve">Pentru a evita riscurile pentru sănătatea umană și barierele în calea liberei circulații a mărfurilor, Directiva 2002/16/CE a Comisiei din 20 februarie 2002 privind utilizarea anumitor derivați epoxidici în materialele și obiectele destinate să vină în contact cu </w:t>
            </w:r>
            <w:proofErr w:type="spellStart"/>
            <w:r w:rsidRPr="00157AE5">
              <w:rPr>
                <w:rFonts w:ascii="inherit" w:hAnsi="inherit"/>
                <w:color w:val="444444"/>
                <w:sz w:val="27"/>
                <w:szCs w:val="27"/>
                <w:lang w:val="en-US"/>
              </w:rPr>
              <w:t>produsele</w:t>
            </w:r>
            <w:proofErr w:type="spellEnd"/>
            <w:r w:rsidRPr="00157AE5">
              <w:rPr>
                <w:rFonts w:ascii="inherit" w:hAnsi="inherit"/>
                <w:color w:val="444444"/>
                <w:sz w:val="27"/>
                <w:szCs w:val="27"/>
                <w:lang w:val="en-US"/>
              </w:rPr>
              <w:t xml:space="preserve"> </w:t>
            </w:r>
            <w:proofErr w:type="spellStart"/>
            <w:r w:rsidRPr="00157AE5">
              <w:rPr>
                <w:rFonts w:ascii="inherit" w:hAnsi="inherit"/>
                <w:color w:val="444444"/>
                <w:sz w:val="27"/>
                <w:szCs w:val="27"/>
                <w:lang w:val="en-US"/>
              </w:rPr>
              <w:t>alimentare</w:t>
            </w:r>
            <w:proofErr w:type="spellEnd"/>
            <w:r>
              <w:rPr>
                <w:rFonts w:ascii="inherit" w:hAnsi="inherit"/>
                <w:color w:val="444444"/>
                <w:sz w:val="27"/>
                <w:szCs w:val="27"/>
              </w:rPr>
              <w:fldChar w:fldCharType="begin"/>
            </w:r>
            <w:r w:rsidRPr="00157AE5">
              <w:rPr>
                <w:rFonts w:ascii="inherit" w:hAnsi="inherit"/>
                <w:color w:val="444444"/>
                <w:sz w:val="27"/>
                <w:szCs w:val="27"/>
                <w:lang w:val="en-US"/>
              </w:rPr>
              <w:instrText xml:space="preserve"> HYPERLINK "http://eur-lex.europa.eu/legal-content/RO/TXT/?uri=CELEX%3A32005R1895" \l "ntr2-L_2005302RO.01002801-E0002" </w:instrText>
            </w:r>
            <w:r>
              <w:rPr>
                <w:rFonts w:ascii="inherit" w:hAnsi="inherit"/>
                <w:color w:val="444444"/>
                <w:sz w:val="27"/>
                <w:szCs w:val="27"/>
              </w:rPr>
              <w:fldChar w:fldCharType="separate"/>
            </w:r>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2</w:t>
            </w:r>
            <w:r w:rsidRPr="00157AE5">
              <w:rPr>
                <w:rStyle w:val="a9"/>
                <w:rFonts w:ascii="inherit" w:hAnsi="inherit"/>
                <w:color w:val="800080"/>
                <w:sz w:val="27"/>
                <w:szCs w:val="27"/>
                <w:bdr w:val="none" w:sz="0" w:space="0" w:color="auto" w:frame="1"/>
                <w:lang w:val="en-US"/>
              </w:rPr>
              <w:t>)</w:t>
            </w:r>
            <w:r>
              <w:rPr>
                <w:rFonts w:ascii="inherit" w:hAnsi="inherit"/>
                <w:color w:val="444444"/>
                <w:sz w:val="27"/>
                <w:szCs w:val="27"/>
              </w:rPr>
              <w:fldChar w:fldCharType="end"/>
            </w:r>
            <w:r w:rsidRPr="00157AE5">
              <w:rPr>
                <w:rStyle w:val="apple-converted-space"/>
                <w:rFonts w:ascii="inherit" w:hAnsi="inherit"/>
                <w:color w:val="444444"/>
                <w:sz w:val="27"/>
                <w:szCs w:val="27"/>
                <w:lang w:val="en-US"/>
              </w:rPr>
              <w:t> </w:t>
            </w:r>
            <w:proofErr w:type="spellStart"/>
            <w:r w:rsidRPr="00157AE5">
              <w:rPr>
                <w:rFonts w:ascii="inherit" w:hAnsi="inherit"/>
                <w:color w:val="444444"/>
                <w:sz w:val="27"/>
                <w:szCs w:val="27"/>
                <w:lang w:val="en-US"/>
              </w:rPr>
              <w:t>stabilește</w:t>
            </w:r>
            <w:proofErr w:type="spellEnd"/>
            <w:r w:rsidRPr="00157AE5">
              <w:rPr>
                <w:rFonts w:ascii="inherit" w:hAnsi="inherit"/>
                <w:color w:val="444444"/>
                <w:sz w:val="27"/>
                <w:szCs w:val="27"/>
                <w:lang w:val="en-US"/>
              </w:rPr>
              <w:t xml:space="preserve"> </w:t>
            </w:r>
            <w:proofErr w:type="spellStart"/>
            <w:r w:rsidRPr="00157AE5">
              <w:rPr>
                <w:rFonts w:ascii="inherit" w:hAnsi="inherit"/>
                <w:color w:val="444444"/>
                <w:sz w:val="27"/>
                <w:szCs w:val="27"/>
                <w:lang w:val="en-US"/>
              </w:rPr>
              <w:t>limite</w:t>
            </w:r>
            <w:proofErr w:type="spellEnd"/>
            <w:r w:rsidRPr="00157AE5">
              <w:rPr>
                <w:rFonts w:ascii="inherit" w:hAnsi="inherit"/>
                <w:color w:val="444444"/>
                <w:sz w:val="27"/>
                <w:szCs w:val="27"/>
                <w:lang w:val="en-US"/>
              </w:rPr>
              <w:t xml:space="preserve"> de </w:t>
            </w:r>
            <w:proofErr w:type="spellStart"/>
            <w:r w:rsidRPr="00157AE5">
              <w:rPr>
                <w:rFonts w:ascii="inherit" w:hAnsi="inherit"/>
                <w:color w:val="444444"/>
                <w:sz w:val="27"/>
                <w:szCs w:val="27"/>
                <w:lang w:val="en-US"/>
              </w:rPr>
              <w:t>migrație</w:t>
            </w:r>
            <w:proofErr w:type="spellEnd"/>
            <w:r w:rsidRPr="00157AE5">
              <w:rPr>
                <w:rFonts w:ascii="inherit" w:hAnsi="inherit"/>
                <w:color w:val="444444"/>
                <w:sz w:val="27"/>
                <w:szCs w:val="27"/>
                <w:lang w:val="en-US"/>
              </w:rPr>
              <w:t xml:space="preserve"> specifice pentru 2,2-bis(4-hidroxifenil)propan-bis(2,3-epoxipropil) eter („BADGE”, adică Bisfenol-A DiGglicidil Eter), bis(hidroxifenil)metan - bis(2,3-epoxipropil) eteri („BFDGE”, adică Bisfenol-F DiGglicidil Eter) și novolac glicidil eteri (NOGE), precum și pentru unii derivați ai acestora.</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Directiva 2002/16/CE prevede că utilizarea și/sau prezența BFDGE și NOGE poate continua numai până la 31 decembrie 2004. Pentru BADGE, perioada de tranziție a fost prelungită până la 31 decembrie 2005, în așteptarea prezentării prevăzute de noi date toxicologice și a evaluării acestora de către Autoritatea Europeană pentru Siguranță Alimentară (autoritatea).</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Datele toxicologice solicitate pentru BADGE au fost transmise. Autoritatea a ajuns la concluzia că BADGE, BADGE.H</w:t>
            </w:r>
            <w:r w:rsidRPr="00157AE5">
              <w:rPr>
                <w:rStyle w:val="sub"/>
                <w:rFonts w:ascii="inherit" w:hAnsi="inherit"/>
                <w:color w:val="444444"/>
                <w:sz w:val="19"/>
                <w:szCs w:val="19"/>
                <w:bdr w:val="none" w:sz="0" w:space="0" w:color="auto" w:frame="1"/>
                <w:vertAlign w:val="subscript"/>
                <w:lang w:val="en-US"/>
              </w:rPr>
              <w:t>2</w:t>
            </w:r>
            <w:r w:rsidRPr="00157AE5">
              <w:rPr>
                <w:rFonts w:ascii="inherit" w:hAnsi="inherit"/>
                <w:color w:val="444444"/>
                <w:sz w:val="27"/>
                <w:szCs w:val="27"/>
                <w:lang w:val="en-US"/>
              </w:rPr>
              <w:t>O și BADGE.2H</w:t>
            </w:r>
            <w:r w:rsidRPr="00157AE5">
              <w:rPr>
                <w:rStyle w:val="sub"/>
                <w:rFonts w:ascii="inherit" w:hAnsi="inherit"/>
                <w:color w:val="444444"/>
                <w:sz w:val="19"/>
                <w:szCs w:val="19"/>
                <w:bdr w:val="none" w:sz="0" w:space="0" w:color="auto" w:frame="1"/>
                <w:vertAlign w:val="subscript"/>
                <w:lang w:val="en-US"/>
              </w:rPr>
              <w:t>2</w:t>
            </w:r>
            <w:r w:rsidRPr="00157AE5">
              <w:rPr>
                <w:rFonts w:ascii="inherit" w:hAnsi="inherit"/>
                <w:color w:val="444444"/>
                <w:sz w:val="27"/>
                <w:szCs w:val="27"/>
                <w:lang w:val="en-US"/>
              </w:rPr>
              <w:t>O nu ridică probleme de cancerigenicitate și genotoxicitate</w:t>
            </w:r>
            <w:r w:rsidRPr="00157AE5">
              <w:rPr>
                <w:rStyle w:val="apple-converted-space"/>
                <w:rFonts w:ascii="inherit" w:hAnsi="inherit"/>
                <w:color w:val="444444"/>
                <w:sz w:val="27"/>
                <w:szCs w:val="27"/>
                <w:lang w:val="en-US"/>
              </w:rPr>
              <w:t> </w:t>
            </w:r>
            <w:r w:rsidRPr="00157AE5">
              <w:rPr>
                <w:rStyle w:val="italic"/>
                <w:rFonts w:ascii="inherit" w:hAnsi="inherit"/>
                <w:i/>
                <w:iCs/>
                <w:color w:val="444444"/>
                <w:sz w:val="27"/>
                <w:szCs w:val="27"/>
                <w:bdr w:val="none" w:sz="0" w:space="0" w:color="auto" w:frame="1"/>
                <w:lang w:val="en-US"/>
              </w:rPr>
              <w:t>in vivo</w:t>
            </w:r>
            <w:r w:rsidRPr="00157AE5">
              <w:rPr>
                <w:rStyle w:val="apple-converted-space"/>
                <w:rFonts w:ascii="inherit" w:hAnsi="inherit"/>
                <w:color w:val="444444"/>
                <w:sz w:val="27"/>
                <w:szCs w:val="27"/>
                <w:lang w:val="en-US"/>
              </w:rPr>
              <w:t> </w:t>
            </w:r>
            <w:r w:rsidRPr="00157AE5">
              <w:rPr>
                <w:rFonts w:ascii="inherit" w:hAnsi="inherit"/>
                <w:color w:val="444444"/>
                <w:sz w:val="27"/>
                <w:szCs w:val="27"/>
                <w:lang w:val="en-US"/>
              </w:rPr>
              <w:t>și că pentru aceste substanțe se poate stabili doza zilnică tolerabilă de 0,15 mg/kg greutate corporală. Prin urmare, se poate stabili o limită de migrație specifică LMS(T) mai mare pentru BADGE, BADGE.H</w:t>
            </w:r>
            <w:r w:rsidRPr="00157AE5">
              <w:rPr>
                <w:rStyle w:val="sub"/>
                <w:rFonts w:ascii="inherit" w:hAnsi="inherit"/>
                <w:color w:val="444444"/>
                <w:sz w:val="19"/>
                <w:szCs w:val="19"/>
                <w:bdr w:val="none" w:sz="0" w:space="0" w:color="auto" w:frame="1"/>
                <w:vertAlign w:val="subscript"/>
                <w:lang w:val="en-US"/>
              </w:rPr>
              <w:t>2</w:t>
            </w:r>
            <w:r w:rsidRPr="00157AE5">
              <w:rPr>
                <w:rFonts w:ascii="inherit" w:hAnsi="inherit"/>
                <w:color w:val="444444"/>
                <w:sz w:val="27"/>
                <w:szCs w:val="27"/>
                <w:lang w:val="en-US"/>
              </w:rPr>
              <w:t>O și BADGE.2H</w:t>
            </w:r>
            <w:r w:rsidRPr="00157AE5">
              <w:rPr>
                <w:rStyle w:val="sub"/>
                <w:rFonts w:ascii="inherit" w:hAnsi="inherit"/>
                <w:color w:val="444444"/>
                <w:sz w:val="19"/>
                <w:szCs w:val="19"/>
                <w:bdr w:val="none" w:sz="0" w:space="0" w:color="auto" w:frame="1"/>
                <w:vertAlign w:val="subscript"/>
                <w:lang w:val="en-US"/>
              </w:rPr>
              <w:t>2</w:t>
            </w:r>
            <w:r w:rsidRPr="00157AE5">
              <w:rPr>
                <w:rFonts w:ascii="inherit" w:hAnsi="inherit"/>
                <w:color w:val="444444"/>
                <w:sz w:val="27"/>
                <w:szCs w:val="27"/>
                <w:lang w:val="en-US"/>
              </w:rPr>
              <w:t>O. În ceea ce privește clorohidrinele BADGE, având în vedere lipsa datelor privind genotoxicitatea</w:t>
            </w:r>
            <w:r w:rsidRPr="00157AE5">
              <w:rPr>
                <w:rStyle w:val="apple-converted-space"/>
                <w:rFonts w:ascii="inherit" w:hAnsi="inherit"/>
                <w:color w:val="444444"/>
                <w:sz w:val="27"/>
                <w:szCs w:val="27"/>
                <w:lang w:val="en-US"/>
              </w:rPr>
              <w:t> </w:t>
            </w:r>
            <w:r w:rsidRPr="00157AE5">
              <w:rPr>
                <w:rStyle w:val="italic"/>
                <w:rFonts w:ascii="inherit" w:hAnsi="inherit"/>
                <w:i/>
                <w:iCs/>
                <w:color w:val="444444"/>
                <w:sz w:val="27"/>
                <w:szCs w:val="27"/>
                <w:bdr w:val="none" w:sz="0" w:space="0" w:color="auto" w:frame="1"/>
                <w:lang w:val="en-US"/>
              </w:rPr>
              <w:t>in vivo</w:t>
            </w:r>
            <w:r w:rsidRPr="00157AE5">
              <w:rPr>
                <w:rFonts w:ascii="inherit" w:hAnsi="inherit"/>
                <w:color w:val="444444"/>
                <w:sz w:val="27"/>
                <w:szCs w:val="27"/>
                <w:lang w:val="en-US"/>
              </w:rPr>
              <w:t>, autoritatea consideră că limita de migrație specifică actuală, de 1 mg/kg de produse alimentare sau simulanți alimentari, este în continuare corespunzătoare.</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Prin urmare, comercializarea și utilizarea materialelor și obiectelor conținând BADGE în conformitate cu prezentul regulament se autorizează în întreaga Comunitate începând cu 1 ianuarie 2006.</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 xml:space="preserve">Datele toxicologice solicitate pentru NOGE și BFDGE nu au fost transmise la timp pentru a permite evaluarea lor de către autoritate și pentru a continua </w:t>
            </w:r>
            <w:r w:rsidRPr="00157AE5">
              <w:rPr>
                <w:rFonts w:ascii="inherit" w:hAnsi="inherit"/>
                <w:color w:val="444444"/>
                <w:sz w:val="27"/>
                <w:szCs w:val="27"/>
                <w:lang w:val="en-US"/>
              </w:rPr>
              <w:lastRenderedPageBreak/>
              <w:t>utilizarea lor. Prin urmare, în conformitate cu Directiva 2002/16/CE, nu se mai autorizează utilizarea și/sau prezența BFDGE și NOGE de la 1 ianuarie 2005. Cu toate acestea, ar trebui să se autorizeze epuizarea stocurilor existente.</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Pentru recipientele de dimensiuni mari, se autorizează utilizarea și/sau prezența BADGE, NOGE și BFDGE. Raportul mare dintre volum și suprafață, utilizarea repetată în cursul duratei de viață a acestora, care reduce migrația, și faptul că vin în contact cu produsele alimentare de obicei la temperatura ambiantă sugerează că nu este necesară stabilirea unei limite de migrație pentru BADGE, NOGE și BFDGE utilizate la acest tip de recipiente.</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În conformitate cu articolul 16 din Regulamentul (CE) nr. 1935/2004, materialele și obiectele care fac obiectul unor măsuri specifice trebuie să fie însoțite de o declarație scrisă care să specifice faptul că respectă normele aplicabile lor. Această cerință nu a fost inclusă încă în Directiva 2002/16/CE. Prin urmare, este necesară introducerea obligației menționate și prevederea unei perioade de tranziție.</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Având în vedere modificările necesare și din motive de claritate, Directiva 2002/16/CE ar trebui să fie înlocuită cu un regulament nou.</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 xml:space="preserve">Directiva 2002/16/CE prevede că cerințele sale referitoare la BADGE, BFDGE și NOGE nu se aplică materialelor și obiectelor aduse în contact cu produsele alimentare înainte de 1 martie 2003. Aceste materiale și obiecte se pot comercializa în continuare, cu condiția ca data umplerii să fie menționată. Data respectivă se poate înlocui cu termenul de valabilitate astfel cum este prevăzut de Directiva 2000/13/CE a Parlamentului European și a Consiliului din 20 martie 2000 privind apropierea legislațiilor statelor membre referitoare la etichetarea și prezentarea produselor alimentare, precum și la </w:t>
            </w:r>
            <w:proofErr w:type="spellStart"/>
            <w:r w:rsidRPr="00157AE5">
              <w:rPr>
                <w:rFonts w:ascii="inherit" w:hAnsi="inherit"/>
                <w:color w:val="444444"/>
                <w:sz w:val="27"/>
                <w:szCs w:val="27"/>
                <w:lang w:val="en-US"/>
              </w:rPr>
              <w:t>publicitatea</w:t>
            </w:r>
            <w:proofErr w:type="spellEnd"/>
            <w:r w:rsidRPr="00157AE5">
              <w:rPr>
                <w:rFonts w:ascii="inherit" w:hAnsi="inherit"/>
                <w:color w:val="444444"/>
                <w:sz w:val="27"/>
                <w:szCs w:val="27"/>
                <w:lang w:val="en-US"/>
              </w:rPr>
              <w:t xml:space="preserve"> </w:t>
            </w:r>
            <w:proofErr w:type="spellStart"/>
            <w:r w:rsidRPr="00157AE5">
              <w:rPr>
                <w:rFonts w:ascii="inherit" w:hAnsi="inherit"/>
                <w:color w:val="444444"/>
                <w:sz w:val="27"/>
                <w:szCs w:val="27"/>
                <w:lang w:val="en-US"/>
              </w:rPr>
              <w:t>acestora</w:t>
            </w:r>
            <w:proofErr w:type="spellEnd"/>
            <w:r w:rsidR="00663FE2">
              <w:fldChar w:fldCharType="begin"/>
            </w:r>
            <w:r w:rsidR="00663FE2">
              <w:instrText xml:space="preserve"> HYP</w:instrText>
            </w:r>
            <w:r w:rsidR="00663FE2">
              <w:instrText xml:space="preserve">ERLINK "http://eur-lex.europa.eu/legal-content/RO/TXT/?uri=CELEX%3A32005R1895" \l "ntr3-L_2005302RO.01002801-E0003" </w:instrText>
            </w:r>
            <w:r w:rsidR="00663FE2">
              <w:fldChar w:fldCharType="separate"/>
            </w:r>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3</w:t>
            </w:r>
            <w:r w:rsidRPr="00157AE5">
              <w:rPr>
                <w:rStyle w:val="a9"/>
                <w:rFonts w:ascii="inherit" w:hAnsi="inherit"/>
                <w:color w:val="800080"/>
                <w:sz w:val="27"/>
                <w:szCs w:val="27"/>
                <w:bdr w:val="none" w:sz="0" w:space="0" w:color="auto" w:frame="1"/>
                <w:lang w:val="en-US"/>
              </w:rPr>
              <w:t>)</w:t>
            </w:r>
            <w:r w:rsidR="00663FE2">
              <w:rPr>
                <w:rStyle w:val="a9"/>
                <w:rFonts w:ascii="inherit" w:hAnsi="inherit"/>
                <w:color w:val="800080"/>
                <w:sz w:val="27"/>
                <w:szCs w:val="27"/>
                <w:bdr w:val="none" w:sz="0" w:space="0" w:color="auto" w:frame="1"/>
                <w:lang w:val="en-US"/>
              </w:rPr>
              <w:fldChar w:fldCharType="end"/>
            </w:r>
            <w:r w:rsidRPr="00157AE5">
              <w:rPr>
                <w:rStyle w:val="apple-converted-space"/>
                <w:rFonts w:ascii="inherit" w:hAnsi="inherit"/>
                <w:color w:val="444444"/>
                <w:sz w:val="27"/>
                <w:szCs w:val="27"/>
                <w:lang w:val="en-US"/>
              </w:rPr>
              <w:t> </w:t>
            </w:r>
            <w:proofErr w:type="spellStart"/>
            <w:r w:rsidRPr="00157AE5">
              <w:rPr>
                <w:rFonts w:ascii="inherit" w:hAnsi="inherit"/>
                <w:color w:val="444444"/>
                <w:sz w:val="27"/>
                <w:szCs w:val="27"/>
                <w:lang w:val="en-US"/>
              </w:rPr>
              <w:t>sau</w:t>
            </w:r>
            <w:proofErr w:type="spellEnd"/>
            <w:r w:rsidRPr="00157AE5">
              <w:rPr>
                <w:rFonts w:ascii="inherit" w:hAnsi="inherit"/>
                <w:color w:val="444444"/>
                <w:sz w:val="27"/>
                <w:szCs w:val="27"/>
                <w:lang w:val="en-US"/>
              </w:rPr>
              <w:t xml:space="preserve"> cu o </w:t>
            </w:r>
            <w:proofErr w:type="spellStart"/>
            <w:r w:rsidRPr="00157AE5">
              <w:rPr>
                <w:rFonts w:ascii="inherit" w:hAnsi="inherit"/>
                <w:color w:val="444444"/>
                <w:sz w:val="27"/>
                <w:szCs w:val="27"/>
                <w:lang w:val="en-US"/>
              </w:rPr>
              <w:t>altă</w:t>
            </w:r>
            <w:proofErr w:type="spellEnd"/>
            <w:r w:rsidRPr="00157AE5">
              <w:rPr>
                <w:rFonts w:ascii="inherit" w:hAnsi="inherit"/>
                <w:color w:val="444444"/>
                <w:sz w:val="27"/>
                <w:szCs w:val="27"/>
                <w:lang w:val="en-US"/>
              </w:rPr>
              <w:t xml:space="preserve"> indicație, precum numărul lotului solicitat de Directiva 89/396/CEE a Consiliului din 14 iunie 1989 privind indicarea sau marcarea care permite identificarea lotului din care face parte un produs alimentar</w:t>
            </w:r>
            <w:hyperlink r:id="rId6" w:anchor="ntr4-L_2005302RO.01002801-E0004" w:history="1">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4</w:t>
              </w:r>
              <w:r w:rsidRPr="00157AE5">
                <w:rPr>
                  <w:rStyle w:val="a9"/>
                  <w:rFonts w:ascii="inherit" w:hAnsi="inherit"/>
                  <w:color w:val="800080"/>
                  <w:sz w:val="27"/>
                  <w:szCs w:val="27"/>
                  <w:bdr w:val="none" w:sz="0" w:space="0" w:color="auto" w:frame="1"/>
                  <w:lang w:val="en-US"/>
                </w:rPr>
                <w:t>)</w:t>
              </w:r>
            </w:hyperlink>
            <w:r w:rsidRPr="00157AE5">
              <w:rPr>
                <w:rFonts w:ascii="inherit" w:hAnsi="inherit"/>
                <w:color w:val="444444"/>
                <w:sz w:val="27"/>
                <w:szCs w:val="27"/>
                <w:lang w:val="en-US"/>
              </w:rPr>
              <w:t>, pentru produsele alimentare ambalate în aceste materiale și obiecte, sub rezerva stabilirii unei legături între indicația respectivă și data umplerii, astfel încât să fie posibilă întotdeauna identificarea acesteia din urmă.</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0"/>
        <w:gridCol w:w="87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În consecință, Directiva 2002/16/CE ar trebui să fie abrogată.</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05"/>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Măsurile prevăzute de prezentul regulament sunt conforme cu avizul Comitetului permanent pentru lanțul alimentar și sănătatea animală,</w:t>
            </w:r>
          </w:p>
        </w:tc>
      </w:tr>
    </w:tbl>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ADOPTĂ PREZENTUL REGULAMENT:</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1</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Domeniul de aplicare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(1)   Prezentul regulament se aplică materialelor și obiectelor, inclusiv materialelor și obiectelor active și inteligente, destinate să intre în contact cu produsele alimentare, menționate la articolul 1 alineatul (2) din Regulamentul (CE) nr. 1935/2004, care sunt </w:t>
      </w:r>
      <w:r w:rsidRPr="00157AE5">
        <w:rPr>
          <w:color w:val="444444"/>
          <w:sz w:val="27"/>
          <w:szCs w:val="27"/>
          <w:lang w:val="en-US"/>
        </w:rPr>
        <w:lastRenderedPageBreak/>
        <w:t>fabricate din substanțele prezentate în continuare sau conțin una sau mai multe dintre aceste substanțe: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55"/>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2,2-bis(4-hidroxifenil)propan - bis(2,3-epoxipropil) eter, denumit în continuare „BADGE” (nr. CAS 001675-54-3) și unii dintre derivații acestuia;</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0"/>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bis(hidroxifenil)metan - bis(2,3-epoxipropil) eteri, denumiți în continuare „BFDGE” (nr. CAS 039817-09-9);</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8"/>
        <w:gridCol w:w="8902"/>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alți novolac glicidil eteri, denumiți în continuare „NOGE”.</w:t>
            </w:r>
          </w:p>
        </w:tc>
      </w:tr>
    </w:tbl>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(2)   În sensul prezentului regulament, expresia „materiale și obiecte” reprezintă: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
        <w:gridCol w:w="8937"/>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materiale și obiecte realizate din orice tip de materiale plastice;</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9"/>
        <w:gridCol w:w="8871"/>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materiale și obiecte cu straturi superficiale de acoperire și</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674"/>
        <w:gridCol w:w="6786"/>
      </w:tblGrid>
      <w:tr w:rsid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proofErr w:type="spellStart"/>
            <w:r>
              <w:rPr>
                <w:rFonts w:ascii="inherit" w:hAnsi="inherit"/>
                <w:color w:val="444444"/>
                <w:sz w:val="27"/>
                <w:szCs w:val="27"/>
              </w:rPr>
              <w:t>adezivii</w:t>
            </w:r>
            <w:proofErr w:type="spellEnd"/>
            <w:r>
              <w:rPr>
                <w:rFonts w:ascii="inherit" w:hAnsi="inherit"/>
                <w:color w:val="444444"/>
                <w:sz w:val="27"/>
                <w:szCs w:val="27"/>
              </w:rPr>
              <w:t>.</w:t>
            </w:r>
          </w:p>
        </w:tc>
      </w:tr>
    </w:tbl>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(3)   Prezentul regulament nu se aplică recipientelor sau rezervoarelor de depozitare cu o capacitate mai mare de 10 000 de litri sau conductelor care aparțin acestora sau sunt conectate la acestea, prevăzute cu straturi de acoperire speciale denumite „învelișuri pentru trafic intens”.</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2</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BADGE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Materialele și obiectele nu trebuie să elibereze substanțele enumerate în anexa I într-o cantitate care depășește limitele stabilite în anexa menționată.</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3</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BFDGE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Se interzice utilizarea și/sau prezența BFDGE la fabricarea materialelor și obiectelor.</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4</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NOGE</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Se interzice utilizarea și/sau prezența NOGE la fabricarea materialelor și obiectelor.</w:t>
      </w:r>
    </w:p>
    <w:p w:rsid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rPr>
      </w:pPr>
      <w:proofErr w:type="spellStart"/>
      <w:r>
        <w:rPr>
          <w:i/>
          <w:iCs/>
          <w:color w:val="444444"/>
          <w:sz w:val="27"/>
          <w:szCs w:val="27"/>
        </w:rPr>
        <w:t>Articolul</w:t>
      </w:r>
      <w:proofErr w:type="spellEnd"/>
      <w:r>
        <w:rPr>
          <w:i/>
          <w:iCs/>
          <w:color w:val="444444"/>
          <w:sz w:val="27"/>
          <w:szCs w:val="27"/>
        </w:rPr>
        <w:t xml:space="preserve"> 5</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Declarația scrisă</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În etapele de comercializare, altele decât etapele de vânzare cu amănuntul, materialele și obiectele care conțin BADGE și derivații acestuia trebuie </w:t>
      </w:r>
      <w:proofErr w:type="gramStart"/>
      <w:r w:rsidRPr="00157AE5">
        <w:rPr>
          <w:color w:val="444444"/>
          <w:sz w:val="27"/>
          <w:szCs w:val="27"/>
          <w:lang w:val="en-US"/>
        </w:rPr>
        <w:t>să</w:t>
      </w:r>
      <w:proofErr w:type="gramEnd"/>
      <w:r w:rsidRPr="00157AE5">
        <w:rPr>
          <w:color w:val="444444"/>
          <w:sz w:val="27"/>
          <w:szCs w:val="27"/>
          <w:lang w:val="en-US"/>
        </w:rPr>
        <w:t xml:space="preserve"> fie însoțite de o declarație scrisă în conformitate cu articolul 16 din Regulamentul (CE) nr. </w:t>
      </w:r>
      <w:proofErr w:type="gramStart"/>
      <w:r w:rsidRPr="00157AE5">
        <w:rPr>
          <w:color w:val="444444"/>
          <w:sz w:val="27"/>
          <w:szCs w:val="27"/>
          <w:lang w:val="en-US"/>
        </w:rPr>
        <w:t>1935/2004.</w:t>
      </w:r>
      <w:proofErr w:type="gramEnd"/>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O documentație corespunzătoare </w:t>
      </w:r>
      <w:proofErr w:type="gramStart"/>
      <w:r w:rsidRPr="00157AE5">
        <w:rPr>
          <w:color w:val="444444"/>
          <w:sz w:val="27"/>
          <w:szCs w:val="27"/>
          <w:lang w:val="en-US"/>
        </w:rPr>
        <w:t>este</w:t>
      </w:r>
      <w:proofErr w:type="gramEnd"/>
      <w:r w:rsidRPr="00157AE5">
        <w:rPr>
          <w:color w:val="444444"/>
          <w:sz w:val="27"/>
          <w:szCs w:val="27"/>
          <w:lang w:val="en-US"/>
        </w:rPr>
        <w:t xml:space="preserve"> disponibilă pentru demonstrarea acestei conformități. Această documentație se pune la dispoziția autorităților competente, la cererea acestora.</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lastRenderedPageBreak/>
        <w:t>Articolul 6</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Dispoziții tranzitorii</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(1)   Articolele 2, 3 și 4 nu se aplică materialelor și obiectelor menționate la articolul 1 alineatul (2) literele (b) și (c) care sunt aduse în contact cu produsele alimentare înainte de 1 martie 2003.</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(2)   Articolele 3 și 4 nu se aplică materialelor și obiectelor care sunt în conformitate cu Directiva 2002/16/CE și care sunt aduse în contact cu produsele alimentare înainte de 1 ianuarie 2005.</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proofErr w:type="gramStart"/>
      <w:r w:rsidRPr="00157AE5">
        <w:rPr>
          <w:color w:val="444444"/>
          <w:sz w:val="27"/>
          <w:szCs w:val="27"/>
          <w:lang w:val="en-US"/>
        </w:rPr>
        <w:t>(3)   Articolul 5 nu se aplică materialelor și obiectelor menționate la articolul 1 alineatul (2) literele (a), (b) și (c) care sunt aduse în contact cu produsele alimentare înainte de 1 ianuarie 2007.</w:t>
      </w:r>
      <w:proofErr w:type="gramEnd"/>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(4)   Materialele și obiectele menționate la alineatele (1), (2) și (3) se pot comercializa, cu condiția ca data de umplere </w:t>
      </w:r>
      <w:proofErr w:type="gramStart"/>
      <w:r w:rsidRPr="00157AE5">
        <w:rPr>
          <w:color w:val="444444"/>
          <w:sz w:val="27"/>
          <w:szCs w:val="27"/>
          <w:lang w:val="en-US"/>
        </w:rPr>
        <w:t>să</w:t>
      </w:r>
      <w:proofErr w:type="gramEnd"/>
      <w:r w:rsidRPr="00157AE5">
        <w:rPr>
          <w:color w:val="444444"/>
          <w:sz w:val="27"/>
          <w:szCs w:val="27"/>
          <w:lang w:val="en-US"/>
        </w:rPr>
        <w:t xml:space="preserve"> fie specificată pe materiale sau obiecte. Data de umplere se poate înlocui cu o </w:t>
      </w:r>
      <w:proofErr w:type="gramStart"/>
      <w:r w:rsidRPr="00157AE5">
        <w:rPr>
          <w:color w:val="444444"/>
          <w:sz w:val="27"/>
          <w:szCs w:val="27"/>
          <w:lang w:val="en-US"/>
        </w:rPr>
        <w:t>altă</w:t>
      </w:r>
      <w:proofErr w:type="gramEnd"/>
      <w:r w:rsidRPr="00157AE5">
        <w:rPr>
          <w:color w:val="444444"/>
          <w:sz w:val="27"/>
          <w:szCs w:val="27"/>
          <w:lang w:val="en-US"/>
        </w:rPr>
        <w:t xml:space="preserve"> indicație, cu condiția ca aceasta să permită identificarea datei de umplere. La cerere, data de umplere se pune la dispoziția autorităților competente și </w:t>
      </w:r>
      <w:proofErr w:type="gramStart"/>
      <w:r w:rsidRPr="00157AE5">
        <w:rPr>
          <w:color w:val="444444"/>
          <w:sz w:val="27"/>
          <w:szCs w:val="27"/>
          <w:lang w:val="en-US"/>
        </w:rPr>
        <w:t>a</w:t>
      </w:r>
      <w:proofErr w:type="gramEnd"/>
      <w:r w:rsidRPr="00157AE5">
        <w:rPr>
          <w:color w:val="444444"/>
          <w:sz w:val="27"/>
          <w:szCs w:val="27"/>
          <w:lang w:val="en-US"/>
        </w:rPr>
        <w:t xml:space="preserve"> oricărei persoane care veghează la aplicarea cerințelor prezentului regulament.</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(5)   Alineatele (1) până la (4) se aplică fără </w:t>
      </w:r>
      <w:proofErr w:type="gramStart"/>
      <w:r w:rsidRPr="00157AE5">
        <w:rPr>
          <w:color w:val="444444"/>
          <w:sz w:val="27"/>
          <w:szCs w:val="27"/>
          <w:lang w:val="en-US"/>
        </w:rPr>
        <w:t>a</w:t>
      </w:r>
      <w:proofErr w:type="gramEnd"/>
      <w:r w:rsidRPr="00157AE5">
        <w:rPr>
          <w:color w:val="444444"/>
          <w:sz w:val="27"/>
          <w:szCs w:val="27"/>
          <w:lang w:val="en-US"/>
        </w:rPr>
        <w:t xml:space="preserve"> aduce atingere cerințelor Directivei 2000/13/CE.</w:t>
      </w:r>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7</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Abrogarea</w:t>
      </w:r>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proofErr w:type="gramStart"/>
      <w:r w:rsidRPr="00157AE5">
        <w:rPr>
          <w:color w:val="444444"/>
          <w:sz w:val="27"/>
          <w:szCs w:val="27"/>
          <w:lang w:val="en-US"/>
        </w:rPr>
        <w:t>Directiva 2002/16/CE se abrogă.</w:t>
      </w:r>
      <w:proofErr w:type="gramEnd"/>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proofErr w:type="gramStart"/>
      <w:r w:rsidRPr="00157AE5">
        <w:rPr>
          <w:color w:val="444444"/>
          <w:sz w:val="27"/>
          <w:szCs w:val="27"/>
          <w:lang w:val="en-US"/>
        </w:rPr>
        <w:t>Trimiterile la directiva abrogată se interpretează ca trimiteri la prezentul regulament și se citesc în conformitate cu tabelul de corespondență prevăzut în anexa II.</w:t>
      </w:r>
      <w:proofErr w:type="gramEnd"/>
    </w:p>
    <w:p w:rsidR="00157AE5" w:rsidRPr="00157AE5" w:rsidRDefault="00157AE5" w:rsidP="00157AE5">
      <w:pPr>
        <w:pStyle w:val="ti-art"/>
        <w:shd w:val="clear" w:color="auto" w:fill="FFFFFF"/>
        <w:spacing w:before="360" w:beforeAutospacing="0" w:after="120" w:afterAutospacing="0" w:line="312" w:lineRule="atLeast"/>
        <w:jc w:val="center"/>
        <w:textAlignment w:val="baseline"/>
        <w:rPr>
          <w:i/>
          <w:iCs/>
          <w:color w:val="444444"/>
          <w:sz w:val="27"/>
          <w:szCs w:val="27"/>
          <w:lang w:val="en-US"/>
        </w:rPr>
      </w:pPr>
      <w:r w:rsidRPr="00157AE5">
        <w:rPr>
          <w:i/>
          <w:iCs/>
          <w:color w:val="444444"/>
          <w:sz w:val="27"/>
          <w:szCs w:val="27"/>
          <w:lang w:val="en-US"/>
        </w:rPr>
        <w:t>Articolul 8</w:t>
      </w:r>
    </w:p>
    <w:p w:rsidR="00157AE5" w:rsidRPr="00157AE5" w:rsidRDefault="00157AE5" w:rsidP="00157AE5">
      <w:pPr>
        <w:pStyle w:val="sti-art"/>
        <w:shd w:val="clear" w:color="auto" w:fill="FFFFFF"/>
        <w:spacing w:before="6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Intrarea în vigoare</w:t>
      </w:r>
    </w:p>
    <w:p w:rsidR="00157AE5" w:rsidRPr="00157AE5" w:rsidRDefault="00157AE5" w:rsidP="00157AE5">
      <w:pPr>
        <w:pStyle w:val="1"/>
        <w:shd w:val="clear" w:color="auto" w:fill="FFFFFF"/>
        <w:spacing w:before="0" w:beforeAutospacing="0" w:after="0" w:afterAutospacing="0" w:line="312" w:lineRule="atLeast"/>
        <w:jc w:val="both"/>
        <w:textAlignment w:val="baseline"/>
        <w:rPr>
          <w:color w:val="444444"/>
          <w:sz w:val="27"/>
          <w:szCs w:val="27"/>
          <w:lang w:val="en-US"/>
        </w:rPr>
      </w:pPr>
      <w:proofErr w:type="gramStart"/>
      <w:r w:rsidRPr="00157AE5">
        <w:rPr>
          <w:color w:val="444444"/>
          <w:sz w:val="27"/>
          <w:szCs w:val="27"/>
          <w:lang w:val="en-US"/>
        </w:rPr>
        <w:t>Prezentul regulament intră în vigoare în a douăzecea zi de la data publicării în</w:t>
      </w:r>
      <w:r w:rsidRPr="00157AE5">
        <w:rPr>
          <w:rStyle w:val="apple-converted-space"/>
          <w:color w:val="444444"/>
          <w:sz w:val="27"/>
          <w:szCs w:val="27"/>
          <w:lang w:val="en-US"/>
        </w:rPr>
        <w:t> </w:t>
      </w:r>
      <w:r w:rsidRPr="00157AE5">
        <w:rPr>
          <w:rStyle w:val="italic"/>
          <w:rFonts w:ascii="inherit" w:hAnsi="inherit"/>
          <w:i/>
          <w:iCs/>
          <w:color w:val="444444"/>
          <w:sz w:val="27"/>
          <w:szCs w:val="27"/>
          <w:bdr w:val="none" w:sz="0" w:space="0" w:color="auto" w:frame="1"/>
          <w:lang w:val="en-US"/>
        </w:rPr>
        <w:t>Jurnalul Oficial al Uniunii Europene</w:t>
      </w:r>
      <w:r w:rsidRPr="00157AE5">
        <w:rPr>
          <w:color w:val="444444"/>
          <w:sz w:val="27"/>
          <w:szCs w:val="27"/>
          <w:lang w:val="en-US"/>
        </w:rPr>
        <w:t>.</w:t>
      </w:r>
      <w:proofErr w:type="gramEnd"/>
    </w:p>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proofErr w:type="gramStart"/>
      <w:r w:rsidRPr="00157AE5">
        <w:rPr>
          <w:color w:val="444444"/>
          <w:sz w:val="27"/>
          <w:szCs w:val="27"/>
          <w:lang w:val="en-US"/>
        </w:rPr>
        <w:t>Se aplică de la 1 ianuarie 2006.</w:t>
      </w:r>
      <w:proofErr w:type="gramEnd"/>
    </w:p>
    <w:p w:rsidR="00157AE5" w:rsidRPr="00157AE5" w:rsidRDefault="00157AE5" w:rsidP="00157AE5">
      <w:pPr>
        <w:pStyle w:val="1"/>
        <w:shd w:val="clear" w:color="auto" w:fill="FFFFFF"/>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 xml:space="preserve">Prezentul regulament </w:t>
      </w:r>
      <w:proofErr w:type="gramStart"/>
      <w:r w:rsidRPr="00157AE5">
        <w:rPr>
          <w:rFonts w:ascii="inherit" w:hAnsi="inherit"/>
          <w:color w:val="444444"/>
          <w:sz w:val="27"/>
          <w:szCs w:val="27"/>
          <w:lang w:val="en-US"/>
        </w:rPr>
        <w:t>este</w:t>
      </w:r>
      <w:proofErr w:type="gramEnd"/>
      <w:r w:rsidRPr="00157AE5">
        <w:rPr>
          <w:rFonts w:ascii="inherit" w:hAnsi="inherit"/>
          <w:color w:val="444444"/>
          <w:sz w:val="27"/>
          <w:szCs w:val="27"/>
          <w:lang w:val="en-US"/>
        </w:rPr>
        <w:t xml:space="preserve"> obligatoriu în toate elementele sale și se aplică direct în toate statele membre.</w:t>
      </w:r>
    </w:p>
    <w:p w:rsidR="00157AE5" w:rsidRPr="00157AE5" w:rsidRDefault="00157AE5" w:rsidP="00157AE5">
      <w:pPr>
        <w:pStyle w:val="1"/>
        <w:shd w:val="clear" w:color="auto" w:fill="FFFFFF"/>
        <w:spacing w:before="120" w:beforeAutospacing="0" w:after="0" w:afterAutospacing="0" w:line="312" w:lineRule="atLeast"/>
        <w:jc w:val="both"/>
        <w:textAlignment w:val="baseline"/>
        <w:rPr>
          <w:rFonts w:ascii="inherit" w:hAnsi="inherit"/>
          <w:color w:val="444444"/>
          <w:sz w:val="27"/>
          <w:szCs w:val="27"/>
          <w:lang w:val="en-US"/>
        </w:rPr>
      </w:pPr>
      <w:proofErr w:type="gramStart"/>
      <w:r w:rsidRPr="00157AE5">
        <w:rPr>
          <w:rFonts w:ascii="inherit" w:hAnsi="inherit"/>
          <w:color w:val="444444"/>
          <w:sz w:val="27"/>
          <w:szCs w:val="27"/>
          <w:lang w:val="en-US"/>
        </w:rPr>
        <w:t>Adoptat la Bruxelles, 18 noiembrie 2005.</w:t>
      </w:r>
      <w:proofErr w:type="gramEnd"/>
    </w:p>
    <w:p w:rsidR="00157AE5" w:rsidRPr="00157AE5" w:rsidRDefault="00157AE5" w:rsidP="00157AE5">
      <w:pPr>
        <w:pStyle w:val="signatory"/>
        <w:shd w:val="clear" w:color="auto" w:fill="FFFFFF"/>
        <w:spacing w:before="0" w:beforeAutospacing="0" w:after="0" w:afterAutospacing="0" w:line="312" w:lineRule="atLeast"/>
        <w:jc w:val="center"/>
        <w:textAlignment w:val="baseline"/>
        <w:rPr>
          <w:rFonts w:ascii="inherit" w:hAnsi="inherit"/>
          <w:color w:val="444444"/>
          <w:sz w:val="27"/>
          <w:szCs w:val="27"/>
          <w:lang w:val="en-US"/>
        </w:rPr>
      </w:pPr>
      <w:r w:rsidRPr="00157AE5">
        <w:rPr>
          <w:rStyle w:val="italic"/>
          <w:rFonts w:ascii="inherit" w:hAnsi="inherit"/>
          <w:i/>
          <w:iCs/>
          <w:color w:val="444444"/>
          <w:sz w:val="27"/>
          <w:szCs w:val="27"/>
          <w:bdr w:val="none" w:sz="0" w:space="0" w:color="auto" w:frame="1"/>
          <w:lang w:val="en-US"/>
        </w:rPr>
        <w:t>Pentru Comisie</w:t>
      </w:r>
    </w:p>
    <w:p w:rsidR="00157AE5" w:rsidRDefault="00157AE5" w:rsidP="00157AE5">
      <w:pPr>
        <w:pStyle w:val="signatory"/>
        <w:shd w:val="clear" w:color="auto" w:fill="FFFFFF"/>
        <w:spacing w:before="0" w:beforeAutospacing="0" w:after="0" w:afterAutospacing="0" w:line="312" w:lineRule="atLeast"/>
        <w:jc w:val="center"/>
        <w:textAlignment w:val="baseline"/>
        <w:rPr>
          <w:rFonts w:ascii="inherit" w:hAnsi="inherit"/>
          <w:color w:val="444444"/>
          <w:sz w:val="27"/>
          <w:szCs w:val="27"/>
        </w:rPr>
      </w:pPr>
      <w:proofErr w:type="spellStart"/>
      <w:r>
        <w:rPr>
          <w:rFonts w:ascii="inherit" w:hAnsi="inherit"/>
          <w:color w:val="444444"/>
          <w:sz w:val="27"/>
          <w:szCs w:val="27"/>
        </w:rPr>
        <w:t>Markos</w:t>
      </w:r>
      <w:proofErr w:type="spellEnd"/>
      <w:r>
        <w:rPr>
          <w:rStyle w:val="apple-converted-space"/>
          <w:rFonts w:ascii="inherit" w:hAnsi="inherit"/>
          <w:color w:val="444444"/>
          <w:sz w:val="27"/>
          <w:szCs w:val="27"/>
        </w:rPr>
        <w:t> </w:t>
      </w:r>
      <w:r>
        <w:rPr>
          <w:rFonts w:ascii="inherit" w:hAnsi="inherit"/>
          <w:color w:val="444444"/>
          <w:sz w:val="27"/>
          <w:szCs w:val="27"/>
          <w:bdr w:val="none" w:sz="0" w:space="0" w:color="auto" w:frame="1"/>
        </w:rPr>
        <w:t>KYPRIANOU</w:t>
      </w:r>
    </w:p>
    <w:p w:rsidR="00157AE5" w:rsidRDefault="00157AE5" w:rsidP="00157AE5">
      <w:pPr>
        <w:pStyle w:val="signatory"/>
        <w:shd w:val="clear" w:color="auto" w:fill="FFFFFF"/>
        <w:spacing w:before="0" w:beforeAutospacing="0" w:after="0" w:afterAutospacing="0" w:line="312" w:lineRule="atLeast"/>
        <w:jc w:val="center"/>
        <w:textAlignment w:val="baseline"/>
        <w:rPr>
          <w:rFonts w:ascii="inherit" w:hAnsi="inherit"/>
          <w:color w:val="444444"/>
          <w:sz w:val="27"/>
          <w:szCs w:val="27"/>
        </w:rPr>
      </w:pPr>
      <w:proofErr w:type="spellStart"/>
      <w:r>
        <w:rPr>
          <w:rStyle w:val="italic"/>
          <w:rFonts w:ascii="inherit" w:hAnsi="inherit"/>
          <w:i/>
          <w:iCs/>
          <w:color w:val="444444"/>
          <w:sz w:val="27"/>
          <w:szCs w:val="27"/>
          <w:bdr w:val="none" w:sz="0" w:space="0" w:color="auto" w:frame="1"/>
        </w:rPr>
        <w:t>Membru</w:t>
      </w:r>
      <w:proofErr w:type="spellEnd"/>
      <w:r>
        <w:rPr>
          <w:rStyle w:val="italic"/>
          <w:rFonts w:ascii="inherit" w:hAnsi="inherit"/>
          <w:i/>
          <w:iCs/>
          <w:color w:val="444444"/>
          <w:sz w:val="27"/>
          <w:szCs w:val="27"/>
          <w:bdr w:val="none" w:sz="0" w:space="0" w:color="auto" w:frame="1"/>
        </w:rPr>
        <w:t xml:space="preserve"> </w:t>
      </w:r>
      <w:proofErr w:type="spellStart"/>
      <w:r>
        <w:rPr>
          <w:rStyle w:val="italic"/>
          <w:rFonts w:ascii="inherit" w:hAnsi="inherit"/>
          <w:i/>
          <w:iCs/>
          <w:color w:val="444444"/>
          <w:sz w:val="27"/>
          <w:szCs w:val="27"/>
          <w:bdr w:val="none" w:sz="0" w:space="0" w:color="auto" w:frame="1"/>
        </w:rPr>
        <w:t>al</w:t>
      </w:r>
      <w:proofErr w:type="spellEnd"/>
      <w:r>
        <w:rPr>
          <w:rStyle w:val="italic"/>
          <w:rFonts w:ascii="inherit" w:hAnsi="inherit"/>
          <w:i/>
          <w:iCs/>
          <w:color w:val="444444"/>
          <w:sz w:val="27"/>
          <w:szCs w:val="27"/>
          <w:bdr w:val="none" w:sz="0" w:space="0" w:color="auto" w:frame="1"/>
        </w:rPr>
        <w:t xml:space="preserve"> </w:t>
      </w:r>
      <w:proofErr w:type="spellStart"/>
      <w:r>
        <w:rPr>
          <w:rStyle w:val="italic"/>
          <w:rFonts w:ascii="inherit" w:hAnsi="inherit"/>
          <w:i/>
          <w:iCs/>
          <w:color w:val="444444"/>
          <w:sz w:val="27"/>
          <w:szCs w:val="27"/>
          <w:bdr w:val="none" w:sz="0" w:space="0" w:color="auto" w:frame="1"/>
        </w:rPr>
        <w:t>Comisiei</w:t>
      </w:r>
      <w:proofErr w:type="spellEnd"/>
    </w:p>
    <w:p w:rsidR="00157AE5" w:rsidRDefault="00663FE2" w:rsidP="00157AE5">
      <w:pPr>
        <w:spacing w:before="240" w:after="60"/>
      </w:pPr>
      <w:r>
        <w:pict>
          <v:rect id="_x0000_i1025" style="width:146.75pt;height:.75pt" o:hrpct="0" o:hrstd="t" o:hrnoshade="t" o:hr="t" fillcolor="black" stroked="f"/>
        </w:pict>
      </w:r>
    </w:p>
    <w:p w:rsidR="00157AE5" w:rsidRP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lang w:val="en-US"/>
        </w:rPr>
      </w:pPr>
      <w:hyperlink r:id="rId7" w:anchor="ntc1-L_2005302RO.01002801-E0001" w:history="1">
        <w:r w:rsidR="00157AE5" w:rsidRPr="00157AE5">
          <w:rPr>
            <w:rStyle w:val="a9"/>
            <w:rFonts w:ascii="inherit" w:hAnsi="inherit"/>
            <w:color w:val="800080"/>
            <w:sz w:val="19"/>
            <w:szCs w:val="19"/>
            <w:bdr w:val="none" w:sz="0" w:space="0" w:color="auto" w:frame="1"/>
            <w:lang w:val="en-US"/>
          </w:rPr>
          <w:t>(</w:t>
        </w:r>
        <w:r w:rsidR="00157AE5" w:rsidRPr="00157AE5">
          <w:rPr>
            <w:rStyle w:val="super"/>
            <w:rFonts w:ascii="inherit" w:hAnsi="inherit"/>
            <w:color w:val="800080"/>
            <w:sz w:val="13"/>
            <w:szCs w:val="13"/>
            <w:bdr w:val="none" w:sz="0" w:space="0" w:color="auto" w:frame="1"/>
            <w:vertAlign w:val="superscript"/>
            <w:lang w:val="en-US"/>
          </w:rPr>
          <w:t>1</w:t>
        </w:r>
        <w:r w:rsidR="00157AE5" w:rsidRPr="00157AE5">
          <w:rPr>
            <w:rStyle w:val="a9"/>
            <w:rFonts w:ascii="inherit" w:hAnsi="inherit"/>
            <w:color w:val="800080"/>
            <w:sz w:val="19"/>
            <w:szCs w:val="19"/>
            <w:bdr w:val="none" w:sz="0" w:space="0" w:color="auto" w:frame="1"/>
            <w:lang w:val="en-US"/>
          </w:rPr>
          <w:t>)</w:t>
        </w:r>
      </w:hyperlink>
      <w:r w:rsidR="00157AE5" w:rsidRPr="00157AE5">
        <w:rPr>
          <w:color w:val="444444"/>
          <w:sz w:val="19"/>
          <w:szCs w:val="19"/>
          <w:lang w:val="en-US"/>
        </w:rPr>
        <w:t>  </w:t>
      </w:r>
      <w:hyperlink r:id="rId8" w:history="1">
        <w:r w:rsidR="00157AE5" w:rsidRPr="00157AE5">
          <w:rPr>
            <w:rStyle w:val="a9"/>
            <w:rFonts w:ascii="inherit" w:hAnsi="inherit"/>
            <w:color w:val="800080"/>
            <w:sz w:val="19"/>
            <w:szCs w:val="19"/>
            <w:bdr w:val="none" w:sz="0" w:space="0" w:color="auto" w:frame="1"/>
            <w:lang w:val="en-US"/>
          </w:rPr>
          <w:t>JO L 338, 13.11.2004, p. 4</w:t>
        </w:r>
      </w:hyperlink>
      <w:r w:rsidR="00157AE5" w:rsidRPr="00157AE5">
        <w:rPr>
          <w:color w:val="444444"/>
          <w:sz w:val="19"/>
          <w:szCs w:val="19"/>
          <w:lang w:val="en-US"/>
        </w:rPr>
        <w:t>.</w:t>
      </w:r>
    </w:p>
    <w:p w:rsidR="00157AE5" w:rsidRP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lang w:val="en-US"/>
        </w:rPr>
      </w:pPr>
      <w:hyperlink r:id="rId9" w:anchor="ntc2-L_2005302RO.01002801-E0002" w:history="1">
        <w:r w:rsidR="00157AE5" w:rsidRPr="00157AE5">
          <w:rPr>
            <w:rStyle w:val="a9"/>
            <w:rFonts w:ascii="inherit" w:hAnsi="inherit"/>
            <w:color w:val="800080"/>
            <w:sz w:val="19"/>
            <w:szCs w:val="19"/>
            <w:bdr w:val="none" w:sz="0" w:space="0" w:color="auto" w:frame="1"/>
            <w:lang w:val="en-US"/>
          </w:rPr>
          <w:t>(</w:t>
        </w:r>
        <w:r w:rsidR="00157AE5" w:rsidRPr="00157AE5">
          <w:rPr>
            <w:rStyle w:val="super"/>
            <w:rFonts w:ascii="inherit" w:hAnsi="inherit"/>
            <w:color w:val="800080"/>
            <w:sz w:val="13"/>
            <w:szCs w:val="13"/>
            <w:bdr w:val="none" w:sz="0" w:space="0" w:color="auto" w:frame="1"/>
            <w:vertAlign w:val="superscript"/>
            <w:lang w:val="en-US"/>
          </w:rPr>
          <w:t>2</w:t>
        </w:r>
        <w:r w:rsidR="00157AE5" w:rsidRPr="00157AE5">
          <w:rPr>
            <w:rStyle w:val="a9"/>
            <w:rFonts w:ascii="inherit" w:hAnsi="inherit"/>
            <w:color w:val="800080"/>
            <w:sz w:val="19"/>
            <w:szCs w:val="19"/>
            <w:bdr w:val="none" w:sz="0" w:space="0" w:color="auto" w:frame="1"/>
            <w:lang w:val="en-US"/>
          </w:rPr>
          <w:t>)</w:t>
        </w:r>
      </w:hyperlink>
      <w:r w:rsidR="00157AE5" w:rsidRPr="00157AE5">
        <w:rPr>
          <w:color w:val="444444"/>
          <w:sz w:val="19"/>
          <w:szCs w:val="19"/>
          <w:lang w:val="en-US"/>
        </w:rPr>
        <w:t>  </w:t>
      </w:r>
      <w:hyperlink r:id="rId10" w:history="1">
        <w:r w:rsidR="00157AE5" w:rsidRPr="00157AE5">
          <w:rPr>
            <w:rStyle w:val="a9"/>
            <w:rFonts w:ascii="inherit" w:hAnsi="inherit"/>
            <w:color w:val="800080"/>
            <w:sz w:val="19"/>
            <w:szCs w:val="19"/>
            <w:bdr w:val="none" w:sz="0" w:space="0" w:color="auto" w:frame="1"/>
            <w:lang w:val="en-US"/>
          </w:rPr>
          <w:t>JO L 51, 22.2.2002, p. 27</w:t>
        </w:r>
      </w:hyperlink>
      <w:r w:rsidR="00157AE5" w:rsidRPr="00157AE5">
        <w:rPr>
          <w:color w:val="444444"/>
          <w:sz w:val="19"/>
          <w:szCs w:val="19"/>
          <w:lang w:val="en-US"/>
        </w:rPr>
        <w:t>, regulament astfel cum a fost modificat prin Directiva 2004/13/CE (</w:t>
      </w:r>
      <w:hyperlink r:id="rId11" w:history="1">
        <w:r w:rsidR="00157AE5" w:rsidRPr="00157AE5">
          <w:rPr>
            <w:rStyle w:val="a9"/>
            <w:rFonts w:ascii="inherit" w:hAnsi="inherit"/>
            <w:color w:val="800080"/>
            <w:sz w:val="19"/>
            <w:szCs w:val="19"/>
            <w:bdr w:val="none" w:sz="0" w:space="0" w:color="auto" w:frame="1"/>
            <w:lang w:val="en-US"/>
          </w:rPr>
          <w:t>JO L 27, 30.1.2004, p. 46</w:t>
        </w:r>
      </w:hyperlink>
      <w:r w:rsidR="00157AE5" w:rsidRPr="00157AE5">
        <w:rPr>
          <w:color w:val="444444"/>
          <w:sz w:val="19"/>
          <w:szCs w:val="19"/>
          <w:lang w:val="en-US"/>
        </w:rPr>
        <w:t>).</w:t>
      </w:r>
    </w:p>
    <w:p w:rsidR="00157AE5" w:rsidRP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lang w:val="en-US"/>
        </w:rPr>
      </w:pPr>
      <w:hyperlink r:id="rId12" w:anchor="ntc3-L_2005302RO.01002801-E0003" w:history="1">
        <w:r w:rsidR="00157AE5" w:rsidRPr="00157AE5">
          <w:rPr>
            <w:rStyle w:val="a9"/>
            <w:rFonts w:ascii="inherit" w:hAnsi="inherit"/>
            <w:color w:val="800080"/>
            <w:sz w:val="19"/>
            <w:szCs w:val="19"/>
            <w:bdr w:val="none" w:sz="0" w:space="0" w:color="auto" w:frame="1"/>
            <w:lang w:val="en-US"/>
          </w:rPr>
          <w:t>(</w:t>
        </w:r>
        <w:r w:rsidR="00157AE5" w:rsidRPr="00157AE5">
          <w:rPr>
            <w:rStyle w:val="super"/>
            <w:rFonts w:ascii="inherit" w:hAnsi="inherit"/>
            <w:color w:val="800080"/>
            <w:sz w:val="13"/>
            <w:szCs w:val="13"/>
            <w:bdr w:val="none" w:sz="0" w:space="0" w:color="auto" w:frame="1"/>
            <w:vertAlign w:val="superscript"/>
            <w:lang w:val="en-US"/>
          </w:rPr>
          <w:t>3</w:t>
        </w:r>
        <w:r w:rsidR="00157AE5" w:rsidRPr="00157AE5">
          <w:rPr>
            <w:rStyle w:val="a9"/>
            <w:rFonts w:ascii="inherit" w:hAnsi="inherit"/>
            <w:color w:val="800080"/>
            <w:sz w:val="19"/>
            <w:szCs w:val="19"/>
            <w:bdr w:val="none" w:sz="0" w:space="0" w:color="auto" w:frame="1"/>
            <w:lang w:val="en-US"/>
          </w:rPr>
          <w:t>)</w:t>
        </w:r>
      </w:hyperlink>
      <w:r w:rsidR="00157AE5" w:rsidRPr="00157AE5">
        <w:rPr>
          <w:color w:val="444444"/>
          <w:sz w:val="19"/>
          <w:szCs w:val="19"/>
          <w:lang w:val="en-US"/>
        </w:rPr>
        <w:t>  </w:t>
      </w:r>
      <w:hyperlink r:id="rId13" w:history="1">
        <w:r w:rsidR="00157AE5" w:rsidRPr="00157AE5">
          <w:rPr>
            <w:rStyle w:val="a9"/>
            <w:rFonts w:ascii="inherit" w:hAnsi="inherit"/>
            <w:color w:val="800080"/>
            <w:sz w:val="19"/>
            <w:szCs w:val="19"/>
            <w:bdr w:val="none" w:sz="0" w:space="0" w:color="auto" w:frame="1"/>
            <w:lang w:val="en-US"/>
          </w:rPr>
          <w:t>JO L 109, 6.5.2000, p. 29</w:t>
        </w:r>
      </w:hyperlink>
      <w:r w:rsidR="00157AE5" w:rsidRPr="00157AE5">
        <w:rPr>
          <w:color w:val="444444"/>
          <w:sz w:val="19"/>
          <w:szCs w:val="19"/>
          <w:lang w:val="en-US"/>
        </w:rPr>
        <w:t>, directivă astfel cum a fost modificată ultima dată prin Directiva 2003/89/CE (</w:t>
      </w:r>
      <w:hyperlink r:id="rId14" w:history="1">
        <w:r w:rsidR="00157AE5" w:rsidRPr="00157AE5">
          <w:rPr>
            <w:rStyle w:val="a9"/>
            <w:rFonts w:ascii="inherit" w:hAnsi="inherit"/>
            <w:color w:val="800080"/>
            <w:sz w:val="19"/>
            <w:szCs w:val="19"/>
            <w:bdr w:val="none" w:sz="0" w:space="0" w:color="auto" w:frame="1"/>
            <w:lang w:val="en-US"/>
          </w:rPr>
          <w:t>JO L 308, 25.11.2003, p. 15</w:t>
        </w:r>
      </w:hyperlink>
      <w:r w:rsidR="00157AE5" w:rsidRPr="00157AE5">
        <w:rPr>
          <w:color w:val="444444"/>
          <w:sz w:val="19"/>
          <w:szCs w:val="19"/>
          <w:lang w:val="en-US"/>
        </w:rPr>
        <w:t>).</w:t>
      </w:r>
    </w:p>
    <w:p w:rsidR="00157AE5" w:rsidRP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lang w:val="en-US"/>
        </w:rPr>
      </w:pPr>
      <w:hyperlink r:id="rId15" w:anchor="ntc4-L_2005302RO.01002801-E0004" w:history="1">
        <w:r w:rsidR="00157AE5" w:rsidRPr="00157AE5">
          <w:rPr>
            <w:rStyle w:val="a9"/>
            <w:rFonts w:ascii="inherit" w:hAnsi="inherit"/>
            <w:color w:val="800080"/>
            <w:sz w:val="19"/>
            <w:szCs w:val="19"/>
            <w:bdr w:val="none" w:sz="0" w:space="0" w:color="auto" w:frame="1"/>
            <w:lang w:val="en-US"/>
          </w:rPr>
          <w:t>(</w:t>
        </w:r>
        <w:r w:rsidR="00157AE5" w:rsidRPr="00157AE5">
          <w:rPr>
            <w:rStyle w:val="super"/>
            <w:rFonts w:ascii="inherit" w:hAnsi="inherit"/>
            <w:color w:val="800080"/>
            <w:sz w:val="13"/>
            <w:szCs w:val="13"/>
            <w:bdr w:val="none" w:sz="0" w:space="0" w:color="auto" w:frame="1"/>
            <w:vertAlign w:val="superscript"/>
            <w:lang w:val="en-US"/>
          </w:rPr>
          <w:t>4</w:t>
        </w:r>
        <w:r w:rsidR="00157AE5" w:rsidRPr="00157AE5">
          <w:rPr>
            <w:rStyle w:val="a9"/>
            <w:rFonts w:ascii="inherit" w:hAnsi="inherit"/>
            <w:color w:val="800080"/>
            <w:sz w:val="19"/>
            <w:szCs w:val="19"/>
            <w:bdr w:val="none" w:sz="0" w:space="0" w:color="auto" w:frame="1"/>
            <w:lang w:val="en-US"/>
          </w:rPr>
          <w:t>)</w:t>
        </w:r>
      </w:hyperlink>
      <w:r w:rsidR="00157AE5" w:rsidRPr="00157AE5">
        <w:rPr>
          <w:color w:val="444444"/>
          <w:sz w:val="19"/>
          <w:szCs w:val="19"/>
          <w:lang w:val="en-US"/>
        </w:rPr>
        <w:t>  </w:t>
      </w:r>
      <w:hyperlink r:id="rId16" w:history="1">
        <w:r w:rsidR="00157AE5" w:rsidRPr="00157AE5">
          <w:rPr>
            <w:rStyle w:val="a9"/>
            <w:rFonts w:ascii="inherit" w:hAnsi="inherit"/>
            <w:color w:val="800080"/>
            <w:sz w:val="19"/>
            <w:szCs w:val="19"/>
            <w:bdr w:val="none" w:sz="0" w:space="0" w:color="auto" w:frame="1"/>
            <w:lang w:val="en-US"/>
          </w:rPr>
          <w:t>JO L 186, 30.6.1989, p. 21</w:t>
        </w:r>
      </w:hyperlink>
      <w:r w:rsidR="00157AE5" w:rsidRPr="00157AE5">
        <w:rPr>
          <w:color w:val="444444"/>
          <w:sz w:val="19"/>
          <w:szCs w:val="19"/>
          <w:lang w:val="en-US"/>
        </w:rPr>
        <w:t>, directivă astfel cum a fost modificată ultima dată prin Directiva 91/11/CEE (</w:t>
      </w:r>
      <w:hyperlink r:id="rId17" w:history="1">
        <w:r w:rsidR="00157AE5" w:rsidRPr="00157AE5">
          <w:rPr>
            <w:rStyle w:val="a9"/>
            <w:rFonts w:ascii="inherit" w:hAnsi="inherit"/>
            <w:color w:val="800080"/>
            <w:sz w:val="19"/>
            <w:szCs w:val="19"/>
            <w:bdr w:val="none" w:sz="0" w:space="0" w:color="auto" w:frame="1"/>
            <w:lang w:val="en-US"/>
          </w:rPr>
          <w:t>JO L 65, 11.3.1992, p. 32</w:t>
        </w:r>
      </w:hyperlink>
      <w:r w:rsidR="00157AE5" w:rsidRPr="00157AE5">
        <w:rPr>
          <w:color w:val="444444"/>
          <w:sz w:val="19"/>
          <w:szCs w:val="19"/>
          <w:lang w:val="en-US"/>
        </w:rPr>
        <w:t>).</w:t>
      </w:r>
    </w:p>
    <w:p w:rsidR="00157AE5" w:rsidRDefault="00663FE2" w:rsidP="00157AE5">
      <w:pPr>
        <w:spacing w:before="120" w:after="120"/>
      </w:pPr>
      <w:r>
        <w:pict>
          <v:rect id="_x0000_i1026" style="width:73.4pt;height:.75pt" o:hrpct="0" o:hralign="center" o:hrstd="t" o:hrnoshade="t" o:hr="t" fillcolor="black" stroked="f"/>
        </w:pict>
      </w:r>
    </w:p>
    <w:p w:rsidR="00157AE5" w:rsidRPr="00157AE5" w:rsidRDefault="00157AE5" w:rsidP="00157AE5">
      <w:pPr>
        <w:pStyle w:val="doc-ti"/>
        <w:shd w:val="clear" w:color="auto" w:fill="FFFFFF"/>
        <w:spacing w:before="240" w:beforeAutospacing="0" w:after="120" w:afterAutospacing="0" w:line="312" w:lineRule="atLeast"/>
        <w:jc w:val="center"/>
        <w:textAlignment w:val="baseline"/>
        <w:rPr>
          <w:b/>
          <w:bCs/>
          <w:color w:val="444444"/>
          <w:sz w:val="27"/>
          <w:szCs w:val="27"/>
          <w:lang w:val="en-US"/>
        </w:rPr>
      </w:pPr>
      <w:r w:rsidRPr="00157AE5">
        <w:rPr>
          <w:b/>
          <w:bCs/>
          <w:color w:val="444444"/>
          <w:sz w:val="27"/>
          <w:szCs w:val="27"/>
          <w:lang w:val="en-US"/>
        </w:rPr>
        <w:t>ANEXA I</w:t>
      </w:r>
    </w:p>
    <w:p w:rsidR="00157AE5" w:rsidRPr="00157AE5" w:rsidRDefault="00157AE5" w:rsidP="00157AE5">
      <w:pPr>
        <w:pStyle w:val="ti-grseq-1"/>
        <w:shd w:val="clear" w:color="auto" w:fill="FFFFFF"/>
        <w:spacing w:before="240" w:beforeAutospacing="0" w:after="120" w:afterAutospacing="0" w:line="312" w:lineRule="atLeast"/>
        <w:jc w:val="both"/>
        <w:textAlignment w:val="baseline"/>
        <w:rPr>
          <w:b/>
          <w:bCs/>
          <w:color w:val="444444"/>
          <w:sz w:val="27"/>
          <w:szCs w:val="27"/>
          <w:lang w:val="en-US"/>
        </w:rPr>
      </w:pPr>
      <w:r w:rsidRPr="00157AE5">
        <w:rPr>
          <w:b/>
          <w:bCs/>
          <w:color w:val="444444"/>
          <w:sz w:val="27"/>
          <w:szCs w:val="27"/>
          <w:lang w:val="en-US"/>
        </w:rPr>
        <w:t>Limite de migrație specifice pentru BADGE și unii dintre derivații acestuia</w:t>
      </w:r>
    </w:p>
    <w:p w:rsid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rPr>
      </w:pPr>
      <w:r>
        <w:rPr>
          <w:color w:val="444444"/>
          <w:sz w:val="27"/>
          <w:szCs w:val="27"/>
        </w:rPr>
        <w:t>(1)   </w:t>
      </w:r>
      <w:proofErr w:type="spellStart"/>
      <w:r>
        <w:rPr>
          <w:color w:val="444444"/>
          <w:sz w:val="27"/>
          <w:szCs w:val="27"/>
        </w:rPr>
        <w:t>Suma</w:t>
      </w:r>
      <w:proofErr w:type="spellEnd"/>
      <w:r>
        <w:rPr>
          <w:color w:val="444444"/>
          <w:sz w:val="27"/>
          <w:szCs w:val="27"/>
        </w:rPr>
        <w:t xml:space="preserve"> </w:t>
      </w:r>
      <w:proofErr w:type="spellStart"/>
      <w:r>
        <w:rPr>
          <w:color w:val="444444"/>
          <w:sz w:val="27"/>
          <w:szCs w:val="27"/>
        </w:rPr>
        <w:t>migrațiilor</w:t>
      </w:r>
      <w:proofErr w:type="spellEnd"/>
      <w:r>
        <w:rPr>
          <w:color w:val="444444"/>
          <w:sz w:val="27"/>
          <w:szCs w:val="27"/>
        </w:rPr>
        <w:t xml:space="preserve"> </w:t>
      </w:r>
      <w:proofErr w:type="spellStart"/>
      <w:r>
        <w:rPr>
          <w:color w:val="444444"/>
          <w:sz w:val="27"/>
          <w:szCs w:val="27"/>
        </w:rPr>
        <w:t>următoarelor</w:t>
      </w:r>
      <w:proofErr w:type="spellEnd"/>
      <w:r>
        <w:rPr>
          <w:color w:val="444444"/>
          <w:sz w:val="27"/>
          <w:szCs w:val="27"/>
        </w:rPr>
        <w:t xml:space="preserve"> </w:t>
      </w:r>
      <w:proofErr w:type="spellStart"/>
      <w:r>
        <w:rPr>
          <w:color w:val="444444"/>
          <w:sz w:val="27"/>
          <w:szCs w:val="27"/>
        </w:rPr>
        <w:t>substanțe</w:t>
      </w:r>
      <w:proofErr w:type="spellEnd"/>
      <w:r>
        <w:rPr>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55"/>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BADGE [= 2,2-bis(4-hidroxifenil)propan - bis(2,3-epoxipropil) eter] (nr. CAS = 001675-54-3);</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7"/>
        <w:gridCol w:w="8643"/>
      </w:tblGrid>
      <w:tr w:rsid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0" w:beforeAutospacing="0" w:after="0" w:afterAutospacing="0" w:line="312" w:lineRule="atLeast"/>
              <w:jc w:val="both"/>
              <w:textAlignment w:val="baseline"/>
              <w:rPr>
                <w:rFonts w:ascii="inherit" w:hAnsi="inherit"/>
                <w:color w:val="444444"/>
                <w:sz w:val="27"/>
                <w:szCs w:val="27"/>
              </w:rPr>
            </w:pPr>
            <w:proofErr w:type="gramStart"/>
            <w:r>
              <w:rPr>
                <w:rFonts w:ascii="inherit" w:hAnsi="inherit"/>
                <w:color w:val="444444"/>
                <w:sz w:val="27"/>
                <w:szCs w:val="27"/>
              </w:rPr>
              <w:t>BADGE.H</w:t>
            </w:r>
            <w:r>
              <w:rPr>
                <w:rStyle w:val="sub"/>
                <w:rFonts w:ascii="inherit" w:hAnsi="inherit"/>
                <w:color w:val="444444"/>
                <w:sz w:val="19"/>
                <w:szCs w:val="19"/>
                <w:bdr w:val="none" w:sz="0" w:space="0" w:color="auto" w:frame="1"/>
                <w:vertAlign w:val="subscript"/>
              </w:rPr>
              <w:t>2</w:t>
            </w:r>
            <w:r>
              <w:rPr>
                <w:rFonts w:ascii="inherit" w:hAnsi="inherit"/>
                <w:color w:val="444444"/>
                <w:sz w:val="27"/>
                <w:szCs w:val="27"/>
              </w:rPr>
              <w:t>O (</w:t>
            </w:r>
            <w:proofErr w:type="spellStart"/>
            <w:r>
              <w:rPr>
                <w:rFonts w:ascii="inherit" w:hAnsi="inherit"/>
                <w:color w:val="444444"/>
                <w:sz w:val="27"/>
                <w:szCs w:val="27"/>
              </w:rPr>
              <w:t>nr</w:t>
            </w:r>
            <w:proofErr w:type="spellEnd"/>
            <w:r>
              <w:rPr>
                <w:rFonts w:ascii="inherit" w:hAnsi="inherit"/>
                <w:color w:val="444444"/>
                <w:sz w:val="27"/>
                <w:szCs w:val="27"/>
              </w:rPr>
              <w:t>.</w:t>
            </w:r>
            <w:proofErr w:type="gramEnd"/>
            <w:r>
              <w:rPr>
                <w:rFonts w:ascii="inherit" w:hAnsi="inherit"/>
                <w:color w:val="444444"/>
                <w:sz w:val="27"/>
                <w:szCs w:val="27"/>
              </w:rPr>
              <w:t xml:space="preserve"> </w:t>
            </w:r>
            <w:proofErr w:type="gramStart"/>
            <w:r>
              <w:rPr>
                <w:rFonts w:ascii="inherit" w:hAnsi="inherit"/>
                <w:color w:val="444444"/>
                <w:sz w:val="27"/>
                <w:szCs w:val="27"/>
              </w:rPr>
              <w:t>CAS = 076002-91-0);</w:t>
            </w:r>
            <w:proofErr w:type="gramEnd"/>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1"/>
        <w:gridCol w:w="8679"/>
      </w:tblGrid>
      <w:tr w:rsid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0" w:beforeAutospacing="0" w:after="0" w:afterAutospacing="0" w:line="312" w:lineRule="atLeast"/>
              <w:jc w:val="both"/>
              <w:textAlignment w:val="baseline"/>
              <w:rPr>
                <w:rFonts w:ascii="inherit" w:hAnsi="inherit"/>
                <w:color w:val="444444"/>
                <w:sz w:val="27"/>
                <w:szCs w:val="27"/>
              </w:rPr>
            </w:pPr>
            <w:proofErr w:type="gramStart"/>
            <w:r>
              <w:rPr>
                <w:rFonts w:ascii="inherit" w:hAnsi="inherit"/>
                <w:color w:val="444444"/>
                <w:sz w:val="27"/>
                <w:szCs w:val="27"/>
              </w:rPr>
              <w:t>BADGE.2H</w:t>
            </w:r>
            <w:r>
              <w:rPr>
                <w:rStyle w:val="sub"/>
                <w:rFonts w:ascii="inherit" w:hAnsi="inherit"/>
                <w:color w:val="444444"/>
                <w:sz w:val="19"/>
                <w:szCs w:val="19"/>
                <w:bdr w:val="none" w:sz="0" w:space="0" w:color="auto" w:frame="1"/>
                <w:vertAlign w:val="subscript"/>
              </w:rPr>
              <w:t>2</w:t>
            </w:r>
            <w:r>
              <w:rPr>
                <w:rFonts w:ascii="inherit" w:hAnsi="inherit"/>
                <w:color w:val="444444"/>
                <w:sz w:val="27"/>
                <w:szCs w:val="27"/>
              </w:rPr>
              <w:t>O (</w:t>
            </w:r>
            <w:proofErr w:type="spellStart"/>
            <w:r>
              <w:rPr>
                <w:rFonts w:ascii="inherit" w:hAnsi="inherit"/>
                <w:color w:val="444444"/>
                <w:sz w:val="27"/>
                <w:szCs w:val="27"/>
              </w:rPr>
              <w:t>nr</w:t>
            </w:r>
            <w:proofErr w:type="spellEnd"/>
            <w:r>
              <w:rPr>
                <w:rFonts w:ascii="inherit" w:hAnsi="inherit"/>
                <w:color w:val="444444"/>
                <w:sz w:val="27"/>
                <w:szCs w:val="27"/>
              </w:rPr>
              <w:t>.</w:t>
            </w:r>
            <w:proofErr w:type="gramEnd"/>
            <w:r>
              <w:rPr>
                <w:rFonts w:ascii="inherit" w:hAnsi="inherit"/>
                <w:color w:val="444444"/>
                <w:sz w:val="27"/>
                <w:szCs w:val="27"/>
              </w:rPr>
              <w:t xml:space="preserve"> </w:t>
            </w:r>
            <w:proofErr w:type="gramStart"/>
            <w:r>
              <w:rPr>
                <w:rFonts w:ascii="inherit" w:hAnsi="inherit"/>
                <w:color w:val="444444"/>
                <w:sz w:val="27"/>
                <w:szCs w:val="27"/>
              </w:rPr>
              <w:t>CAS = 005581-32-8)</w:t>
            </w:r>
            <w:proofErr w:type="gramEnd"/>
          </w:p>
        </w:tc>
      </w:tr>
    </w:tbl>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nu trebuie să depășească următoarele limite: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8"/>
        <w:gridCol w:w="8942"/>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9 mg/kg la produse alimentare sau simulanți alimentari sau</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85"/>
      </w:tblGrid>
      <w:tr w:rsidR="00157AE5" w:rsidRPr="00663FE2"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9 mg/6 dm</w:t>
            </w:r>
            <w:r w:rsidRPr="00157AE5">
              <w:rPr>
                <w:rStyle w:val="super"/>
                <w:rFonts w:ascii="inherit" w:hAnsi="inherit"/>
                <w:color w:val="444444"/>
                <w:sz w:val="19"/>
                <w:szCs w:val="19"/>
                <w:bdr w:val="none" w:sz="0" w:space="0" w:color="auto" w:frame="1"/>
                <w:vertAlign w:val="superscript"/>
                <w:lang w:val="en-US"/>
              </w:rPr>
              <w:t>2</w:t>
            </w:r>
            <w:r w:rsidRPr="00157AE5">
              <w:rPr>
                <w:rFonts w:ascii="inherit" w:hAnsi="inherit"/>
                <w:color w:val="444444"/>
                <w:sz w:val="27"/>
                <w:szCs w:val="27"/>
                <w:lang w:val="en-US"/>
              </w:rPr>
              <w:t xml:space="preserve">, în conformitate cu cazurile prevăzute la articolul 7 din </w:t>
            </w:r>
            <w:proofErr w:type="spellStart"/>
            <w:r w:rsidRPr="00157AE5">
              <w:rPr>
                <w:rFonts w:ascii="inherit" w:hAnsi="inherit"/>
                <w:color w:val="444444"/>
                <w:sz w:val="27"/>
                <w:szCs w:val="27"/>
                <w:lang w:val="en-US"/>
              </w:rPr>
              <w:t>Directiva</w:t>
            </w:r>
            <w:proofErr w:type="spellEnd"/>
            <w:r w:rsidRPr="00157AE5">
              <w:rPr>
                <w:rFonts w:ascii="inherit" w:hAnsi="inherit"/>
                <w:color w:val="444444"/>
                <w:sz w:val="27"/>
                <w:szCs w:val="27"/>
                <w:lang w:val="en-US"/>
              </w:rPr>
              <w:t xml:space="preserve"> 2002/72/CE a </w:t>
            </w:r>
            <w:proofErr w:type="spellStart"/>
            <w:r w:rsidRPr="00157AE5">
              <w:rPr>
                <w:rFonts w:ascii="inherit" w:hAnsi="inherit"/>
                <w:color w:val="444444"/>
                <w:sz w:val="27"/>
                <w:szCs w:val="27"/>
                <w:lang w:val="en-US"/>
              </w:rPr>
              <w:t>Comisiei</w:t>
            </w:r>
            <w:proofErr w:type="spellEnd"/>
            <w:r>
              <w:rPr>
                <w:rFonts w:ascii="inherit" w:hAnsi="inherit"/>
                <w:color w:val="444444"/>
                <w:sz w:val="27"/>
                <w:szCs w:val="27"/>
              </w:rPr>
              <w:fldChar w:fldCharType="begin"/>
            </w:r>
            <w:r w:rsidRPr="00157AE5">
              <w:rPr>
                <w:rFonts w:ascii="inherit" w:hAnsi="inherit"/>
                <w:color w:val="444444"/>
                <w:sz w:val="27"/>
                <w:szCs w:val="27"/>
                <w:lang w:val="en-US"/>
              </w:rPr>
              <w:instrText xml:space="preserve"> HYPERLINK "http://eur-lex.europa.eu/legal-content/RO/TXT/?uri=CELEX%3A32005R1895" \l "ntr1-L_2005302RO.01003101-E0001" </w:instrText>
            </w:r>
            <w:r>
              <w:rPr>
                <w:rFonts w:ascii="inherit" w:hAnsi="inherit"/>
                <w:color w:val="444444"/>
                <w:sz w:val="27"/>
                <w:szCs w:val="27"/>
              </w:rPr>
              <w:fldChar w:fldCharType="separate"/>
            </w:r>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1</w:t>
            </w:r>
            <w:r w:rsidRPr="00157AE5">
              <w:rPr>
                <w:rStyle w:val="a9"/>
                <w:rFonts w:ascii="inherit" w:hAnsi="inherit"/>
                <w:color w:val="800080"/>
                <w:sz w:val="27"/>
                <w:szCs w:val="27"/>
                <w:bdr w:val="none" w:sz="0" w:space="0" w:color="auto" w:frame="1"/>
                <w:lang w:val="en-US"/>
              </w:rPr>
              <w:t>)</w:t>
            </w:r>
            <w:r>
              <w:rPr>
                <w:rFonts w:ascii="inherit" w:hAnsi="inherit"/>
                <w:color w:val="444444"/>
                <w:sz w:val="27"/>
                <w:szCs w:val="27"/>
              </w:rPr>
              <w:fldChar w:fldCharType="end"/>
            </w:r>
            <w:r w:rsidRPr="00157AE5">
              <w:rPr>
                <w:rFonts w:ascii="inherit" w:hAnsi="inherit"/>
                <w:color w:val="444444"/>
                <w:sz w:val="27"/>
                <w:szCs w:val="27"/>
                <w:lang w:val="en-US"/>
              </w:rPr>
              <w:t>.</w:t>
            </w:r>
          </w:p>
        </w:tc>
      </w:tr>
    </w:tbl>
    <w:p w:rsid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rPr>
      </w:pPr>
      <w:r>
        <w:rPr>
          <w:color w:val="444444"/>
          <w:sz w:val="27"/>
          <w:szCs w:val="27"/>
        </w:rPr>
        <w:t>(2)   </w:t>
      </w:r>
      <w:proofErr w:type="spellStart"/>
      <w:r>
        <w:rPr>
          <w:color w:val="444444"/>
          <w:sz w:val="27"/>
          <w:szCs w:val="27"/>
        </w:rPr>
        <w:t>Suma</w:t>
      </w:r>
      <w:proofErr w:type="spellEnd"/>
      <w:r>
        <w:rPr>
          <w:color w:val="444444"/>
          <w:sz w:val="27"/>
          <w:szCs w:val="27"/>
        </w:rPr>
        <w:t xml:space="preserve"> </w:t>
      </w:r>
      <w:proofErr w:type="spellStart"/>
      <w:r>
        <w:rPr>
          <w:color w:val="444444"/>
          <w:sz w:val="27"/>
          <w:szCs w:val="27"/>
        </w:rPr>
        <w:t>migrațiilor</w:t>
      </w:r>
      <w:proofErr w:type="spellEnd"/>
      <w:r>
        <w:rPr>
          <w:color w:val="444444"/>
          <w:sz w:val="27"/>
          <w:szCs w:val="27"/>
        </w:rPr>
        <w:t xml:space="preserve"> </w:t>
      </w:r>
      <w:proofErr w:type="spellStart"/>
      <w:r>
        <w:rPr>
          <w:color w:val="444444"/>
          <w:sz w:val="27"/>
          <w:szCs w:val="27"/>
        </w:rPr>
        <w:t>următoarelor</w:t>
      </w:r>
      <w:proofErr w:type="spellEnd"/>
      <w:r>
        <w:rPr>
          <w:color w:val="444444"/>
          <w:sz w:val="27"/>
          <w:szCs w:val="27"/>
        </w:rPr>
        <w:t xml:space="preserve"> </w:t>
      </w:r>
      <w:proofErr w:type="spellStart"/>
      <w:r>
        <w:rPr>
          <w:color w:val="444444"/>
          <w:sz w:val="27"/>
          <w:szCs w:val="27"/>
        </w:rPr>
        <w:t>substanțe</w:t>
      </w:r>
      <w:proofErr w:type="spellEnd"/>
      <w:r>
        <w:rPr>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90"/>
        <w:gridCol w:w="8670"/>
      </w:tblGrid>
      <w:tr w:rsid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proofErr w:type="spellStart"/>
            <w:proofErr w:type="gramStart"/>
            <w:r>
              <w:rPr>
                <w:rFonts w:ascii="inherit" w:hAnsi="inherit"/>
                <w:color w:val="444444"/>
                <w:sz w:val="27"/>
                <w:szCs w:val="27"/>
              </w:rPr>
              <w:t>BADGE.HCl</w:t>
            </w:r>
            <w:proofErr w:type="spellEnd"/>
            <w:r>
              <w:rPr>
                <w:rFonts w:ascii="inherit" w:hAnsi="inherit"/>
                <w:color w:val="444444"/>
                <w:sz w:val="27"/>
                <w:szCs w:val="27"/>
              </w:rPr>
              <w:t xml:space="preserve"> (</w:t>
            </w:r>
            <w:proofErr w:type="spellStart"/>
            <w:r>
              <w:rPr>
                <w:rFonts w:ascii="inherit" w:hAnsi="inherit"/>
                <w:color w:val="444444"/>
                <w:sz w:val="27"/>
                <w:szCs w:val="27"/>
              </w:rPr>
              <w:t>nr</w:t>
            </w:r>
            <w:proofErr w:type="spellEnd"/>
            <w:r>
              <w:rPr>
                <w:rFonts w:ascii="inherit" w:hAnsi="inherit"/>
                <w:color w:val="444444"/>
                <w:sz w:val="27"/>
                <w:szCs w:val="27"/>
              </w:rPr>
              <w:t>.</w:t>
            </w:r>
            <w:proofErr w:type="gramEnd"/>
            <w:r>
              <w:rPr>
                <w:rFonts w:ascii="inherit" w:hAnsi="inherit"/>
                <w:color w:val="444444"/>
                <w:sz w:val="27"/>
                <w:szCs w:val="27"/>
              </w:rPr>
              <w:t xml:space="preserve"> </w:t>
            </w:r>
            <w:proofErr w:type="gramStart"/>
            <w:r>
              <w:rPr>
                <w:rFonts w:ascii="inherit" w:hAnsi="inherit"/>
                <w:color w:val="444444"/>
                <w:sz w:val="27"/>
                <w:szCs w:val="27"/>
              </w:rPr>
              <w:t>CAS = 013836-48-1);</w:t>
            </w:r>
            <w:proofErr w:type="gramEnd"/>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95"/>
        <w:gridCol w:w="8665"/>
      </w:tblGrid>
      <w:tr w:rsid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proofErr w:type="gramStart"/>
            <w:r>
              <w:rPr>
                <w:rFonts w:ascii="inherit" w:hAnsi="inherit"/>
                <w:color w:val="444444"/>
                <w:sz w:val="27"/>
                <w:szCs w:val="27"/>
              </w:rPr>
              <w:t>BADGE.2HCl (</w:t>
            </w:r>
            <w:proofErr w:type="spellStart"/>
            <w:r>
              <w:rPr>
                <w:rFonts w:ascii="inherit" w:hAnsi="inherit"/>
                <w:color w:val="444444"/>
                <w:sz w:val="27"/>
                <w:szCs w:val="27"/>
              </w:rPr>
              <w:t>nr</w:t>
            </w:r>
            <w:proofErr w:type="spellEnd"/>
            <w:r>
              <w:rPr>
                <w:rFonts w:ascii="inherit" w:hAnsi="inherit"/>
                <w:color w:val="444444"/>
                <w:sz w:val="27"/>
                <w:szCs w:val="27"/>
              </w:rPr>
              <w:t>.</w:t>
            </w:r>
            <w:proofErr w:type="gramEnd"/>
            <w:r>
              <w:rPr>
                <w:rFonts w:ascii="inherit" w:hAnsi="inherit"/>
                <w:color w:val="444444"/>
                <w:sz w:val="27"/>
                <w:szCs w:val="27"/>
              </w:rPr>
              <w:t xml:space="preserve"> </w:t>
            </w:r>
            <w:proofErr w:type="gramStart"/>
            <w:r>
              <w:rPr>
                <w:rFonts w:ascii="inherit" w:hAnsi="inherit"/>
                <w:color w:val="444444"/>
                <w:sz w:val="27"/>
                <w:szCs w:val="27"/>
              </w:rPr>
              <w:t>CAS = 004809-35-2);</w:t>
            </w:r>
            <w:proofErr w:type="gramEnd"/>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4"/>
        <w:gridCol w:w="8736"/>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BADGE.H</w:t>
            </w:r>
            <w:r w:rsidRPr="00157AE5">
              <w:rPr>
                <w:rStyle w:val="sub"/>
                <w:rFonts w:ascii="inherit" w:hAnsi="inherit"/>
                <w:color w:val="444444"/>
                <w:sz w:val="19"/>
                <w:szCs w:val="19"/>
                <w:bdr w:val="none" w:sz="0" w:space="0" w:color="auto" w:frame="1"/>
                <w:vertAlign w:val="subscript"/>
                <w:lang w:val="en-US"/>
              </w:rPr>
              <w:t>2</w:t>
            </w:r>
            <w:r w:rsidRPr="00157AE5">
              <w:rPr>
                <w:rFonts w:ascii="inherit" w:hAnsi="inherit"/>
                <w:color w:val="444444"/>
                <w:sz w:val="27"/>
                <w:szCs w:val="27"/>
                <w:lang w:val="en-US"/>
              </w:rPr>
              <w:t>O.HCl (nr. CAS = 227947-06-0)</w:t>
            </w:r>
          </w:p>
        </w:tc>
      </w:tr>
    </w:tbl>
    <w:p w:rsidR="00157AE5" w:rsidRPr="00157AE5" w:rsidRDefault="00157AE5" w:rsidP="00157AE5">
      <w:pPr>
        <w:pStyle w:val="1"/>
        <w:shd w:val="clear" w:color="auto" w:fill="FFFFFF"/>
        <w:spacing w:before="120" w:beforeAutospacing="0" w:after="0" w:afterAutospacing="0" w:line="312" w:lineRule="atLeast"/>
        <w:jc w:val="both"/>
        <w:textAlignment w:val="baseline"/>
        <w:rPr>
          <w:color w:val="444444"/>
          <w:sz w:val="27"/>
          <w:szCs w:val="27"/>
          <w:lang w:val="en-US"/>
        </w:rPr>
      </w:pPr>
      <w:r w:rsidRPr="00157AE5">
        <w:rPr>
          <w:color w:val="444444"/>
          <w:sz w:val="27"/>
          <w:szCs w:val="27"/>
          <w:lang w:val="en-US"/>
        </w:rPr>
        <w:t>nu trebuie să depășească următoarele limite: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8"/>
        <w:gridCol w:w="8942"/>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12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1 mg/kg la produse alimentare sau simulanți alimentari sau</w:t>
            </w:r>
          </w:p>
        </w:tc>
      </w:tr>
    </w:tbl>
    <w:p w:rsidR="00157AE5" w:rsidRDefault="00157AE5" w:rsidP="00157AE5">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85"/>
      </w:tblGrid>
      <w:tr w:rsidR="00157AE5" w:rsidRPr="00157AE5" w:rsidTr="00157AE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Default="00157AE5">
            <w:pPr>
              <w:pStyle w:val="1"/>
              <w:spacing w:before="120" w:beforeAutospacing="0" w:after="0" w:afterAutospacing="0" w:line="312" w:lineRule="atLeast"/>
              <w:jc w:val="both"/>
              <w:textAlignment w:val="baseline"/>
              <w:rPr>
                <w:rFonts w:ascii="inherit" w:hAnsi="inherit"/>
                <w:color w:val="444444"/>
                <w:sz w:val="27"/>
                <w:szCs w:val="27"/>
              </w:rPr>
            </w:pPr>
            <w:r>
              <w:rPr>
                <w:rFonts w:ascii="inherit" w:hAnsi="inherit"/>
                <w:color w:val="444444"/>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57AE5" w:rsidRPr="00157AE5" w:rsidRDefault="00157AE5">
            <w:pPr>
              <w:pStyle w:val="1"/>
              <w:spacing w:before="0" w:beforeAutospacing="0" w:after="0" w:afterAutospacing="0" w:line="312" w:lineRule="atLeast"/>
              <w:jc w:val="both"/>
              <w:textAlignment w:val="baseline"/>
              <w:rPr>
                <w:rFonts w:ascii="inherit" w:hAnsi="inherit"/>
                <w:color w:val="444444"/>
                <w:sz w:val="27"/>
                <w:szCs w:val="27"/>
                <w:lang w:val="en-US"/>
              </w:rPr>
            </w:pPr>
            <w:r w:rsidRPr="00157AE5">
              <w:rPr>
                <w:rFonts w:ascii="inherit" w:hAnsi="inherit"/>
                <w:color w:val="444444"/>
                <w:sz w:val="27"/>
                <w:szCs w:val="27"/>
                <w:lang w:val="en-US"/>
              </w:rPr>
              <w:t>1 mg/6 dm</w:t>
            </w:r>
            <w:r w:rsidRPr="00157AE5">
              <w:rPr>
                <w:rStyle w:val="super"/>
                <w:rFonts w:ascii="inherit" w:hAnsi="inherit"/>
                <w:color w:val="444444"/>
                <w:sz w:val="19"/>
                <w:szCs w:val="19"/>
                <w:bdr w:val="none" w:sz="0" w:space="0" w:color="auto" w:frame="1"/>
                <w:vertAlign w:val="superscript"/>
                <w:lang w:val="en-US"/>
              </w:rPr>
              <w:t>2</w:t>
            </w:r>
            <w:r w:rsidRPr="00157AE5">
              <w:rPr>
                <w:rFonts w:ascii="inherit" w:hAnsi="inherit"/>
                <w:color w:val="444444"/>
                <w:sz w:val="27"/>
                <w:szCs w:val="27"/>
                <w:lang w:val="en-US"/>
              </w:rPr>
              <w:t>, în conformitate cu cazurile prevăzute la articolul 7 din Directiva 2002/72/CE.</w:t>
            </w:r>
          </w:p>
        </w:tc>
      </w:tr>
    </w:tbl>
    <w:p w:rsidR="00157AE5" w:rsidRPr="00157AE5" w:rsidRDefault="00157AE5" w:rsidP="00157AE5">
      <w:pPr>
        <w:pStyle w:val="1"/>
        <w:shd w:val="clear" w:color="auto" w:fill="FFFFFF"/>
        <w:spacing w:before="0" w:beforeAutospacing="0" w:after="0" w:afterAutospacing="0" w:line="312" w:lineRule="atLeast"/>
        <w:jc w:val="both"/>
        <w:textAlignment w:val="baseline"/>
        <w:rPr>
          <w:color w:val="444444"/>
          <w:sz w:val="27"/>
          <w:szCs w:val="27"/>
          <w:lang w:val="en-US"/>
        </w:rPr>
      </w:pPr>
      <w:r w:rsidRPr="00157AE5">
        <w:rPr>
          <w:color w:val="444444"/>
          <w:sz w:val="27"/>
          <w:szCs w:val="27"/>
          <w:lang w:val="en-US"/>
        </w:rPr>
        <w:t xml:space="preserve">(3)   Încercările pentru determinarea migrației se realizează în conformitate cu normele stabilite de </w:t>
      </w:r>
      <w:proofErr w:type="spellStart"/>
      <w:r w:rsidRPr="00157AE5">
        <w:rPr>
          <w:color w:val="444444"/>
          <w:sz w:val="27"/>
          <w:szCs w:val="27"/>
          <w:lang w:val="en-US"/>
        </w:rPr>
        <w:t>Directiva</w:t>
      </w:r>
      <w:proofErr w:type="spellEnd"/>
      <w:r w:rsidRPr="00157AE5">
        <w:rPr>
          <w:color w:val="444444"/>
          <w:sz w:val="27"/>
          <w:szCs w:val="27"/>
          <w:lang w:val="en-US"/>
        </w:rPr>
        <w:t xml:space="preserve"> 82/711/CEE a </w:t>
      </w:r>
      <w:proofErr w:type="spellStart"/>
      <w:r w:rsidRPr="00157AE5">
        <w:rPr>
          <w:color w:val="444444"/>
          <w:sz w:val="27"/>
          <w:szCs w:val="27"/>
          <w:lang w:val="en-US"/>
        </w:rPr>
        <w:t>Consiliului</w:t>
      </w:r>
      <w:proofErr w:type="spellEnd"/>
      <w:r>
        <w:rPr>
          <w:color w:val="444444"/>
          <w:sz w:val="27"/>
          <w:szCs w:val="27"/>
        </w:rPr>
        <w:fldChar w:fldCharType="begin"/>
      </w:r>
      <w:r w:rsidRPr="00157AE5">
        <w:rPr>
          <w:color w:val="444444"/>
          <w:sz w:val="27"/>
          <w:szCs w:val="27"/>
          <w:lang w:val="en-US"/>
        </w:rPr>
        <w:instrText xml:space="preserve"> HYPERLINK "http://eur-lex.europa.eu/legal-content/RO/TXT/?uri=CELEX%3A32005R1895" \l "ntr2-L_2005302RO.01003101-E0002" </w:instrText>
      </w:r>
      <w:r>
        <w:rPr>
          <w:color w:val="444444"/>
          <w:sz w:val="27"/>
          <w:szCs w:val="27"/>
        </w:rPr>
        <w:fldChar w:fldCharType="separate"/>
      </w:r>
      <w:r w:rsidRPr="00157AE5">
        <w:rPr>
          <w:rStyle w:val="a9"/>
          <w:rFonts w:ascii="inherit" w:hAnsi="inherit"/>
          <w:color w:val="800080"/>
          <w:sz w:val="27"/>
          <w:szCs w:val="27"/>
          <w:bdr w:val="none" w:sz="0" w:space="0" w:color="auto" w:frame="1"/>
          <w:lang w:val="en-US"/>
        </w:rPr>
        <w:t> (</w:t>
      </w:r>
      <w:r w:rsidRPr="00157AE5">
        <w:rPr>
          <w:rStyle w:val="super"/>
          <w:rFonts w:ascii="inherit" w:hAnsi="inherit"/>
          <w:color w:val="800080"/>
          <w:sz w:val="19"/>
          <w:szCs w:val="19"/>
          <w:bdr w:val="none" w:sz="0" w:space="0" w:color="auto" w:frame="1"/>
          <w:vertAlign w:val="superscript"/>
          <w:lang w:val="en-US"/>
        </w:rPr>
        <w:t>2</w:t>
      </w:r>
      <w:r w:rsidRPr="00157AE5">
        <w:rPr>
          <w:rStyle w:val="a9"/>
          <w:rFonts w:ascii="inherit" w:hAnsi="inherit"/>
          <w:color w:val="800080"/>
          <w:sz w:val="27"/>
          <w:szCs w:val="27"/>
          <w:bdr w:val="none" w:sz="0" w:space="0" w:color="auto" w:frame="1"/>
          <w:lang w:val="en-US"/>
        </w:rPr>
        <w:t>)</w:t>
      </w:r>
      <w:r>
        <w:rPr>
          <w:color w:val="444444"/>
          <w:sz w:val="27"/>
          <w:szCs w:val="27"/>
        </w:rPr>
        <w:fldChar w:fldCharType="end"/>
      </w:r>
      <w:r w:rsidRPr="00157AE5">
        <w:rPr>
          <w:rStyle w:val="apple-converted-space"/>
          <w:color w:val="444444"/>
          <w:sz w:val="27"/>
          <w:szCs w:val="27"/>
          <w:lang w:val="en-US"/>
        </w:rPr>
        <w:t> </w:t>
      </w:r>
      <w:proofErr w:type="spellStart"/>
      <w:r w:rsidRPr="00157AE5">
        <w:rPr>
          <w:color w:val="444444"/>
          <w:sz w:val="27"/>
          <w:szCs w:val="27"/>
          <w:lang w:val="en-US"/>
        </w:rPr>
        <w:t>și</w:t>
      </w:r>
      <w:proofErr w:type="spellEnd"/>
      <w:r w:rsidRPr="00157AE5">
        <w:rPr>
          <w:color w:val="444444"/>
          <w:sz w:val="27"/>
          <w:szCs w:val="27"/>
          <w:lang w:val="en-US"/>
        </w:rPr>
        <w:t xml:space="preserve"> de </w:t>
      </w:r>
      <w:proofErr w:type="spellStart"/>
      <w:r w:rsidRPr="00157AE5">
        <w:rPr>
          <w:color w:val="444444"/>
          <w:sz w:val="27"/>
          <w:szCs w:val="27"/>
          <w:lang w:val="en-US"/>
        </w:rPr>
        <w:t>Directiva</w:t>
      </w:r>
      <w:proofErr w:type="spellEnd"/>
      <w:r w:rsidRPr="00157AE5">
        <w:rPr>
          <w:color w:val="444444"/>
          <w:sz w:val="27"/>
          <w:szCs w:val="27"/>
          <w:lang w:val="en-US"/>
        </w:rPr>
        <w:t xml:space="preserve"> 2002/72/CE.</w:t>
      </w:r>
    </w:p>
    <w:p w:rsidR="00157AE5" w:rsidRDefault="00663FE2" w:rsidP="00157AE5">
      <w:pPr>
        <w:spacing w:before="240" w:after="60"/>
      </w:pPr>
      <w:r>
        <w:pict>
          <v:rect id="_x0000_i1027" style="width:146.75pt;height:.75pt" o:hrpct="0" o:hrstd="t" o:hrnoshade="t" o:hr="t" fillcolor="black" stroked="f"/>
        </w:pict>
      </w:r>
    </w:p>
    <w:p w:rsid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rPr>
      </w:pPr>
      <w:hyperlink r:id="rId18" w:anchor="ntc1-L_2005302RO.01003101-E0001" w:history="1">
        <w:r w:rsidR="00157AE5">
          <w:rPr>
            <w:rStyle w:val="a9"/>
            <w:rFonts w:ascii="inherit" w:hAnsi="inherit"/>
            <w:color w:val="800080"/>
            <w:sz w:val="19"/>
            <w:szCs w:val="19"/>
            <w:bdr w:val="none" w:sz="0" w:space="0" w:color="auto" w:frame="1"/>
          </w:rPr>
          <w:t>(</w:t>
        </w:r>
        <w:r w:rsidR="00157AE5">
          <w:rPr>
            <w:rStyle w:val="super"/>
            <w:rFonts w:ascii="inherit" w:hAnsi="inherit"/>
            <w:color w:val="800080"/>
            <w:sz w:val="13"/>
            <w:szCs w:val="13"/>
            <w:bdr w:val="none" w:sz="0" w:space="0" w:color="auto" w:frame="1"/>
            <w:vertAlign w:val="superscript"/>
          </w:rPr>
          <w:t>1</w:t>
        </w:r>
        <w:r w:rsidR="00157AE5">
          <w:rPr>
            <w:rStyle w:val="a9"/>
            <w:rFonts w:ascii="inherit" w:hAnsi="inherit"/>
            <w:color w:val="800080"/>
            <w:sz w:val="19"/>
            <w:szCs w:val="19"/>
            <w:bdr w:val="none" w:sz="0" w:space="0" w:color="auto" w:frame="1"/>
          </w:rPr>
          <w:t>)</w:t>
        </w:r>
      </w:hyperlink>
      <w:r w:rsidR="00157AE5">
        <w:rPr>
          <w:color w:val="444444"/>
          <w:sz w:val="19"/>
          <w:szCs w:val="19"/>
        </w:rPr>
        <w:t>  </w:t>
      </w:r>
      <w:hyperlink r:id="rId19" w:history="1">
        <w:r w:rsidR="00157AE5">
          <w:rPr>
            <w:rStyle w:val="a9"/>
            <w:rFonts w:ascii="inherit" w:hAnsi="inherit"/>
            <w:color w:val="800080"/>
            <w:sz w:val="19"/>
            <w:szCs w:val="19"/>
            <w:bdr w:val="none" w:sz="0" w:space="0" w:color="auto" w:frame="1"/>
          </w:rPr>
          <w:t>JO L 39, 13.2.2003, p. 1</w:t>
        </w:r>
      </w:hyperlink>
      <w:r w:rsidR="00157AE5">
        <w:rPr>
          <w:color w:val="444444"/>
          <w:sz w:val="19"/>
          <w:szCs w:val="19"/>
        </w:rPr>
        <w:t>.</w:t>
      </w:r>
    </w:p>
    <w:p w:rsidR="00157AE5" w:rsidRDefault="00663FE2" w:rsidP="00157AE5">
      <w:pPr>
        <w:pStyle w:val="note"/>
        <w:shd w:val="clear" w:color="auto" w:fill="FFFFFF"/>
        <w:spacing w:before="0" w:beforeAutospacing="0" w:after="0" w:afterAutospacing="0" w:line="312" w:lineRule="atLeast"/>
        <w:jc w:val="both"/>
        <w:textAlignment w:val="baseline"/>
        <w:rPr>
          <w:color w:val="444444"/>
          <w:sz w:val="19"/>
          <w:szCs w:val="19"/>
        </w:rPr>
      </w:pPr>
      <w:hyperlink r:id="rId20" w:anchor="ntc2-L_2005302RO.01003101-E0002" w:history="1">
        <w:r w:rsidR="00157AE5">
          <w:rPr>
            <w:rStyle w:val="a9"/>
            <w:rFonts w:ascii="inherit" w:hAnsi="inherit"/>
            <w:color w:val="800080"/>
            <w:sz w:val="19"/>
            <w:szCs w:val="19"/>
            <w:bdr w:val="none" w:sz="0" w:space="0" w:color="auto" w:frame="1"/>
          </w:rPr>
          <w:t>(</w:t>
        </w:r>
        <w:r w:rsidR="00157AE5">
          <w:rPr>
            <w:rStyle w:val="super"/>
            <w:rFonts w:ascii="inherit" w:hAnsi="inherit"/>
            <w:color w:val="800080"/>
            <w:sz w:val="13"/>
            <w:szCs w:val="13"/>
            <w:bdr w:val="none" w:sz="0" w:space="0" w:color="auto" w:frame="1"/>
            <w:vertAlign w:val="superscript"/>
          </w:rPr>
          <w:t>2</w:t>
        </w:r>
        <w:r w:rsidR="00157AE5">
          <w:rPr>
            <w:rStyle w:val="a9"/>
            <w:rFonts w:ascii="inherit" w:hAnsi="inherit"/>
            <w:color w:val="800080"/>
            <w:sz w:val="19"/>
            <w:szCs w:val="19"/>
            <w:bdr w:val="none" w:sz="0" w:space="0" w:color="auto" w:frame="1"/>
          </w:rPr>
          <w:t>)</w:t>
        </w:r>
      </w:hyperlink>
      <w:r w:rsidR="00157AE5">
        <w:rPr>
          <w:color w:val="444444"/>
          <w:sz w:val="19"/>
          <w:szCs w:val="19"/>
        </w:rPr>
        <w:t>  </w:t>
      </w:r>
      <w:hyperlink r:id="rId21" w:history="1">
        <w:r w:rsidR="00157AE5">
          <w:rPr>
            <w:rStyle w:val="a9"/>
            <w:rFonts w:ascii="inherit" w:hAnsi="inherit"/>
            <w:color w:val="800080"/>
            <w:sz w:val="19"/>
            <w:szCs w:val="19"/>
            <w:bdr w:val="none" w:sz="0" w:space="0" w:color="auto" w:frame="1"/>
          </w:rPr>
          <w:t>JO L 297, 23.10.1982, p. 26</w:t>
        </w:r>
      </w:hyperlink>
      <w:r w:rsidR="00157AE5">
        <w:rPr>
          <w:color w:val="444444"/>
          <w:sz w:val="19"/>
          <w:szCs w:val="19"/>
        </w:rPr>
        <w:t>.</w:t>
      </w:r>
    </w:p>
    <w:p w:rsidR="00157AE5" w:rsidRDefault="00663FE2" w:rsidP="00157AE5">
      <w:pPr>
        <w:spacing w:before="120" w:after="120"/>
      </w:pPr>
      <w:r>
        <w:pict>
          <v:rect id="_x0000_i1028" style="width:73.4pt;height:.75pt" o:hrpct="0" o:hralign="center" o:hrstd="t" o:hrnoshade="t" o:hr="t" fillcolor="black" stroked="f"/>
        </w:pict>
      </w:r>
    </w:p>
    <w:p w:rsidR="00157AE5" w:rsidRDefault="00157AE5" w:rsidP="00157AE5">
      <w:pPr>
        <w:pStyle w:val="doc-ti"/>
        <w:shd w:val="clear" w:color="auto" w:fill="FFFFFF"/>
        <w:spacing w:before="240" w:beforeAutospacing="0" w:after="120" w:afterAutospacing="0" w:line="312" w:lineRule="atLeast"/>
        <w:jc w:val="center"/>
        <w:textAlignment w:val="baseline"/>
        <w:rPr>
          <w:b/>
          <w:bCs/>
          <w:color w:val="444444"/>
          <w:sz w:val="27"/>
          <w:szCs w:val="27"/>
        </w:rPr>
      </w:pPr>
      <w:r>
        <w:rPr>
          <w:b/>
          <w:bCs/>
          <w:color w:val="444444"/>
          <w:sz w:val="27"/>
          <w:szCs w:val="27"/>
        </w:rPr>
        <w:t>ANEXA II</w:t>
      </w:r>
    </w:p>
    <w:p w:rsidR="00157AE5" w:rsidRDefault="00157AE5" w:rsidP="00157AE5">
      <w:pPr>
        <w:pStyle w:val="ti-tbl"/>
        <w:shd w:val="clear" w:color="auto" w:fill="FFFFFF"/>
        <w:spacing w:before="120" w:beforeAutospacing="0" w:after="120" w:afterAutospacing="0" w:line="312" w:lineRule="atLeast"/>
        <w:jc w:val="center"/>
        <w:textAlignment w:val="baseline"/>
        <w:rPr>
          <w:color w:val="444444"/>
          <w:sz w:val="27"/>
          <w:szCs w:val="27"/>
        </w:rPr>
      </w:pPr>
      <w:proofErr w:type="spellStart"/>
      <w:r>
        <w:rPr>
          <w:color w:val="444444"/>
          <w:sz w:val="27"/>
          <w:szCs w:val="27"/>
        </w:rPr>
        <w:t>Tabel</w:t>
      </w:r>
      <w:proofErr w:type="spellEnd"/>
      <w:r>
        <w:rPr>
          <w:color w:val="444444"/>
          <w:sz w:val="27"/>
          <w:szCs w:val="27"/>
        </w:rPr>
        <w:t xml:space="preserve"> </w:t>
      </w:r>
      <w:proofErr w:type="spellStart"/>
      <w:r>
        <w:rPr>
          <w:color w:val="444444"/>
          <w:sz w:val="27"/>
          <w:szCs w:val="27"/>
        </w:rPr>
        <w:t>de</w:t>
      </w:r>
      <w:proofErr w:type="spellEnd"/>
      <w:r>
        <w:rPr>
          <w:color w:val="444444"/>
          <w:sz w:val="27"/>
          <w:szCs w:val="27"/>
        </w:rPr>
        <w:t xml:space="preserve"> </w:t>
      </w:r>
      <w:proofErr w:type="spellStart"/>
      <w:r>
        <w:rPr>
          <w:color w:val="444444"/>
          <w:sz w:val="27"/>
          <w:szCs w:val="27"/>
        </w:rPr>
        <w:t>corespondență</w:t>
      </w:r>
      <w:proofErr w:type="spellEnd"/>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09"/>
        <w:gridCol w:w="2351"/>
      </w:tblGrid>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Pr="00157AE5" w:rsidRDefault="00157AE5">
            <w:pPr>
              <w:pStyle w:val="tbl-hdr"/>
              <w:spacing w:before="60" w:beforeAutospacing="0" w:after="60" w:afterAutospacing="0" w:line="312" w:lineRule="atLeast"/>
              <w:ind w:right="195"/>
              <w:jc w:val="center"/>
              <w:textAlignment w:val="baseline"/>
              <w:rPr>
                <w:rFonts w:ascii="inherit" w:hAnsi="inherit"/>
                <w:b/>
                <w:bCs/>
                <w:color w:val="444444"/>
                <w:lang w:val="en-US"/>
              </w:rPr>
            </w:pPr>
            <w:r w:rsidRPr="00157AE5">
              <w:rPr>
                <w:rFonts w:ascii="inherit" w:hAnsi="inherit"/>
                <w:b/>
                <w:bCs/>
                <w:color w:val="444444"/>
                <w:lang w:val="en-US"/>
              </w:rPr>
              <w:lastRenderedPageBreak/>
              <w:t>Directiva 2002/16/CE, astfel cum a fost modificată prin Directiva 2004/13/CE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hdr"/>
              <w:spacing w:before="60" w:beforeAutospacing="0" w:after="60" w:afterAutospacing="0" w:line="312" w:lineRule="atLeast"/>
              <w:ind w:right="195"/>
              <w:jc w:val="center"/>
              <w:textAlignment w:val="baseline"/>
              <w:rPr>
                <w:rFonts w:ascii="inherit" w:hAnsi="inherit"/>
                <w:b/>
                <w:bCs/>
                <w:color w:val="444444"/>
              </w:rPr>
            </w:pPr>
            <w:proofErr w:type="spellStart"/>
            <w:r>
              <w:rPr>
                <w:rFonts w:ascii="inherit" w:hAnsi="inherit"/>
                <w:b/>
                <w:bCs/>
                <w:color w:val="444444"/>
              </w:rPr>
              <w:t>Prezentul</w:t>
            </w:r>
            <w:proofErr w:type="spellEnd"/>
            <w:r>
              <w:rPr>
                <w:rFonts w:ascii="inherit" w:hAnsi="inherit"/>
                <w:b/>
                <w:bCs/>
                <w:color w:val="444444"/>
              </w:rPr>
              <w:t xml:space="preserve"> </w:t>
            </w:r>
            <w:proofErr w:type="spellStart"/>
            <w:r>
              <w:rPr>
                <w:rFonts w:ascii="inherit" w:hAnsi="inherit"/>
                <w:b/>
                <w:bCs/>
                <w:color w:val="444444"/>
              </w:rPr>
              <w:t>regulament</w:t>
            </w:r>
            <w:proofErr w:type="spellEnd"/>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1</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2</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3</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4</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r>
              <w:rPr>
                <w:rFonts w:ascii="inherit" w:hAnsi="inherit"/>
                <w:color w:val="44444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5</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6</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7</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8</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8</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Articolul</w:t>
            </w:r>
            <w:proofErr w:type="spellEnd"/>
            <w:r>
              <w:rPr>
                <w:rFonts w:ascii="inherit" w:hAnsi="inherit"/>
                <w:color w:val="444444"/>
              </w:rPr>
              <w:t xml:space="preserve">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r>
              <w:rPr>
                <w:rFonts w:ascii="inherit" w:hAnsi="inherit"/>
                <w:color w:val="444444"/>
              </w:rPr>
              <w:t>--</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Anexa</w:t>
            </w:r>
            <w:proofErr w:type="spellEnd"/>
            <w:r>
              <w:rPr>
                <w:rFonts w:ascii="inherit" w:hAnsi="inherit"/>
                <w:color w:val="444444"/>
              </w:rPr>
              <w:t xml:space="preserve"> 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Anexa</w:t>
            </w:r>
            <w:proofErr w:type="spellEnd"/>
            <w:r>
              <w:rPr>
                <w:rFonts w:ascii="inherit" w:hAnsi="inherit"/>
                <w:color w:val="444444"/>
              </w:rPr>
              <w:t xml:space="preserve"> I</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Anexa</w:t>
            </w:r>
            <w:proofErr w:type="spellEnd"/>
            <w:r>
              <w:rPr>
                <w:rFonts w:ascii="inherit" w:hAnsi="inherit"/>
                <w:color w:val="444444"/>
              </w:rPr>
              <w:t xml:space="preserve"> 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r>
              <w:rPr>
                <w:rFonts w:ascii="inherit" w:hAnsi="inherit"/>
                <w:color w:val="444444"/>
              </w:rPr>
              <w:t>--</w:t>
            </w:r>
          </w:p>
        </w:tc>
      </w:tr>
      <w:tr w:rsidR="00157AE5" w:rsidTr="00157AE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Anexa</w:t>
            </w:r>
            <w:proofErr w:type="spellEnd"/>
            <w:r>
              <w:rPr>
                <w:rFonts w:ascii="inherit" w:hAnsi="inherit"/>
                <w:color w:val="444444"/>
              </w:rPr>
              <w:t xml:space="preserve"> 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57AE5" w:rsidRDefault="00157AE5">
            <w:pPr>
              <w:pStyle w:val="tbl-txt"/>
              <w:spacing w:before="60" w:beforeAutospacing="0" w:after="60" w:afterAutospacing="0" w:line="312" w:lineRule="atLeast"/>
              <w:textAlignment w:val="baseline"/>
              <w:rPr>
                <w:rFonts w:ascii="inherit" w:hAnsi="inherit"/>
                <w:color w:val="444444"/>
              </w:rPr>
            </w:pPr>
            <w:proofErr w:type="spellStart"/>
            <w:r>
              <w:rPr>
                <w:rFonts w:ascii="inherit" w:hAnsi="inherit"/>
                <w:color w:val="444444"/>
              </w:rPr>
              <w:t>Anexa</w:t>
            </w:r>
            <w:proofErr w:type="spellEnd"/>
            <w:r>
              <w:rPr>
                <w:rFonts w:ascii="inherit" w:hAnsi="inherit"/>
                <w:color w:val="444444"/>
              </w:rPr>
              <w:t xml:space="preserve"> II</w:t>
            </w:r>
          </w:p>
        </w:tc>
      </w:tr>
    </w:tbl>
    <w:p w:rsidR="003B603F" w:rsidRDefault="003B603F"/>
    <w:sectPr w:rsidR="003B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B"/>
    <w:rsid w:val="00157AE5"/>
    <w:rsid w:val="003B603F"/>
    <w:rsid w:val="00474F8B"/>
    <w:rsid w:val="00606AF7"/>
    <w:rsid w:val="0066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paragraph" w:customStyle="1" w:styleId="doc-ti">
    <w:name w:val="doc-ti"/>
    <w:basedOn w:val="a"/>
    <w:rsid w:val="00157AE5"/>
    <w:pPr>
      <w:spacing w:before="100" w:beforeAutospacing="1" w:after="100" w:afterAutospacing="1"/>
    </w:pPr>
  </w:style>
  <w:style w:type="character" w:customStyle="1" w:styleId="apple-converted-space">
    <w:name w:val="apple-converted-space"/>
    <w:basedOn w:val="a0"/>
    <w:rsid w:val="00157AE5"/>
  </w:style>
  <w:style w:type="paragraph" w:customStyle="1" w:styleId="1">
    <w:name w:val="Обычный1"/>
    <w:basedOn w:val="a"/>
    <w:rsid w:val="00157AE5"/>
    <w:pPr>
      <w:spacing w:before="100" w:beforeAutospacing="1" w:after="100" w:afterAutospacing="1"/>
    </w:pPr>
  </w:style>
  <w:style w:type="character" w:styleId="a9">
    <w:name w:val="Hyperlink"/>
    <w:basedOn w:val="a0"/>
    <w:uiPriority w:val="99"/>
    <w:semiHidden/>
    <w:unhideWhenUsed/>
    <w:rsid w:val="00157AE5"/>
    <w:rPr>
      <w:color w:val="0000FF"/>
      <w:u w:val="single"/>
    </w:rPr>
  </w:style>
  <w:style w:type="character" w:customStyle="1" w:styleId="super">
    <w:name w:val="super"/>
    <w:basedOn w:val="a0"/>
    <w:rsid w:val="00157AE5"/>
  </w:style>
  <w:style w:type="character" w:customStyle="1" w:styleId="sub">
    <w:name w:val="sub"/>
    <w:basedOn w:val="a0"/>
    <w:rsid w:val="00157AE5"/>
  </w:style>
  <w:style w:type="character" w:customStyle="1" w:styleId="italic">
    <w:name w:val="italic"/>
    <w:basedOn w:val="a0"/>
    <w:rsid w:val="00157AE5"/>
  </w:style>
  <w:style w:type="paragraph" w:customStyle="1" w:styleId="ti-art">
    <w:name w:val="ti-art"/>
    <w:basedOn w:val="a"/>
    <w:rsid w:val="00157AE5"/>
    <w:pPr>
      <w:spacing w:before="100" w:beforeAutospacing="1" w:after="100" w:afterAutospacing="1"/>
    </w:pPr>
  </w:style>
  <w:style w:type="paragraph" w:customStyle="1" w:styleId="sti-art">
    <w:name w:val="sti-art"/>
    <w:basedOn w:val="a"/>
    <w:rsid w:val="00157AE5"/>
    <w:pPr>
      <w:spacing w:before="100" w:beforeAutospacing="1" w:after="100" w:afterAutospacing="1"/>
    </w:pPr>
  </w:style>
  <w:style w:type="paragraph" w:customStyle="1" w:styleId="signatory">
    <w:name w:val="signatory"/>
    <w:basedOn w:val="a"/>
    <w:rsid w:val="00157AE5"/>
    <w:pPr>
      <w:spacing w:before="100" w:beforeAutospacing="1" w:after="100" w:afterAutospacing="1"/>
    </w:pPr>
  </w:style>
  <w:style w:type="paragraph" w:customStyle="1" w:styleId="note">
    <w:name w:val="note"/>
    <w:basedOn w:val="a"/>
    <w:rsid w:val="00157AE5"/>
    <w:pPr>
      <w:spacing w:before="100" w:beforeAutospacing="1" w:after="100" w:afterAutospacing="1"/>
    </w:pPr>
  </w:style>
  <w:style w:type="paragraph" w:customStyle="1" w:styleId="ti-grseq-1">
    <w:name w:val="ti-grseq-1"/>
    <w:basedOn w:val="a"/>
    <w:rsid w:val="00157AE5"/>
    <w:pPr>
      <w:spacing w:before="100" w:beforeAutospacing="1" w:after="100" w:afterAutospacing="1"/>
    </w:pPr>
  </w:style>
  <w:style w:type="paragraph" w:customStyle="1" w:styleId="ti-tbl">
    <w:name w:val="ti-tbl"/>
    <w:basedOn w:val="a"/>
    <w:rsid w:val="00157AE5"/>
    <w:pPr>
      <w:spacing w:before="100" w:beforeAutospacing="1" w:after="100" w:afterAutospacing="1"/>
    </w:pPr>
  </w:style>
  <w:style w:type="paragraph" w:customStyle="1" w:styleId="tbl-hdr">
    <w:name w:val="tbl-hdr"/>
    <w:basedOn w:val="a"/>
    <w:rsid w:val="00157AE5"/>
    <w:pPr>
      <w:spacing w:before="100" w:beforeAutospacing="1" w:after="100" w:afterAutospacing="1"/>
    </w:pPr>
  </w:style>
  <w:style w:type="paragraph" w:customStyle="1" w:styleId="tbl-txt">
    <w:name w:val="tbl-txt"/>
    <w:basedOn w:val="a"/>
    <w:rsid w:val="00157A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paragraph" w:customStyle="1" w:styleId="doc-ti">
    <w:name w:val="doc-ti"/>
    <w:basedOn w:val="a"/>
    <w:rsid w:val="00157AE5"/>
    <w:pPr>
      <w:spacing w:before="100" w:beforeAutospacing="1" w:after="100" w:afterAutospacing="1"/>
    </w:pPr>
  </w:style>
  <w:style w:type="character" w:customStyle="1" w:styleId="apple-converted-space">
    <w:name w:val="apple-converted-space"/>
    <w:basedOn w:val="a0"/>
    <w:rsid w:val="00157AE5"/>
  </w:style>
  <w:style w:type="paragraph" w:customStyle="1" w:styleId="1">
    <w:name w:val="Обычный1"/>
    <w:basedOn w:val="a"/>
    <w:rsid w:val="00157AE5"/>
    <w:pPr>
      <w:spacing w:before="100" w:beforeAutospacing="1" w:after="100" w:afterAutospacing="1"/>
    </w:pPr>
  </w:style>
  <w:style w:type="character" w:styleId="a9">
    <w:name w:val="Hyperlink"/>
    <w:basedOn w:val="a0"/>
    <w:uiPriority w:val="99"/>
    <w:semiHidden/>
    <w:unhideWhenUsed/>
    <w:rsid w:val="00157AE5"/>
    <w:rPr>
      <w:color w:val="0000FF"/>
      <w:u w:val="single"/>
    </w:rPr>
  </w:style>
  <w:style w:type="character" w:customStyle="1" w:styleId="super">
    <w:name w:val="super"/>
    <w:basedOn w:val="a0"/>
    <w:rsid w:val="00157AE5"/>
  </w:style>
  <w:style w:type="character" w:customStyle="1" w:styleId="sub">
    <w:name w:val="sub"/>
    <w:basedOn w:val="a0"/>
    <w:rsid w:val="00157AE5"/>
  </w:style>
  <w:style w:type="character" w:customStyle="1" w:styleId="italic">
    <w:name w:val="italic"/>
    <w:basedOn w:val="a0"/>
    <w:rsid w:val="00157AE5"/>
  </w:style>
  <w:style w:type="paragraph" w:customStyle="1" w:styleId="ti-art">
    <w:name w:val="ti-art"/>
    <w:basedOn w:val="a"/>
    <w:rsid w:val="00157AE5"/>
    <w:pPr>
      <w:spacing w:before="100" w:beforeAutospacing="1" w:after="100" w:afterAutospacing="1"/>
    </w:pPr>
  </w:style>
  <w:style w:type="paragraph" w:customStyle="1" w:styleId="sti-art">
    <w:name w:val="sti-art"/>
    <w:basedOn w:val="a"/>
    <w:rsid w:val="00157AE5"/>
    <w:pPr>
      <w:spacing w:before="100" w:beforeAutospacing="1" w:after="100" w:afterAutospacing="1"/>
    </w:pPr>
  </w:style>
  <w:style w:type="paragraph" w:customStyle="1" w:styleId="signatory">
    <w:name w:val="signatory"/>
    <w:basedOn w:val="a"/>
    <w:rsid w:val="00157AE5"/>
    <w:pPr>
      <w:spacing w:before="100" w:beforeAutospacing="1" w:after="100" w:afterAutospacing="1"/>
    </w:pPr>
  </w:style>
  <w:style w:type="paragraph" w:customStyle="1" w:styleId="note">
    <w:name w:val="note"/>
    <w:basedOn w:val="a"/>
    <w:rsid w:val="00157AE5"/>
    <w:pPr>
      <w:spacing w:before="100" w:beforeAutospacing="1" w:after="100" w:afterAutospacing="1"/>
    </w:pPr>
  </w:style>
  <w:style w:type="paragraph" w:customStyle="1" w:styleId="ti-grseq-1">
    <w:name w:val="ti-grseq-1"/>
    <w:basedOn w:val="a"/>
    <w:rsid w:val="00157AE5"/>
    <w:pPr>
      <w:spacing w:before="100" w:beforeAutospacing="1" w:after="100" w:afterAutospacing="1"/>
    </w:pPr>
  </w:style>
  <w:style w:type="paragraph" w:customStyle="1" w:styleId="ti-tbl">
    <w:name w:val="ti-tbl"/>
    <w:basedOn w:val="a"/>
    <w:rsid w:val="00157AE5"/>
    <w:pPr>
      <w:spacing w:before="100" w:beforeAutospacing="1" w:after="100" w:afterAutospacing="1"/>
    </w:pPr>
  </w:style>
  <w:style w:type="paragraph" w:customStyle="1" w:styleId="tbl-hdr">
    <w:name w:val="tbl-hdr"/>
    <w:basedOn w:val="a"/>
    <w:rsid w:val="00157AE5"/>
    <w:pPr>
      <w:spacing w:before="100" w:beforeAutospacing="1" w:after="100" w:afterAutospacing="1"/>
    </w:pPr>
  </w:style>
  <w:style w:type="paragraph" w:customStyle="1" w:styleId="tbl-txt">
    <w:name w:val="tbl-txt"/>
    <w:basedOn w:val="a"/>
    <w:rsid w:val="00157A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44730">
      <w:bodyDiv w:val="1"/>
      <w:marLeft w:val="0"/>
      <w:marRight w:val="0"/>
      <w:marTop w:val="0"/>
      <w:marBottom w:val="0"/>
      <w:divBdr>
        <w:top w:val="none" w:sz="0" w:space="0" w:color="auto"/>
        <w:left w:val="none" w:sz="0" w:space="0" w:color="auto"/>
        <w:bottom w:val="none" w:sz="0" w:space="0" w:color="auto"/>
        <w:right w:val="none" w:sz="0" w:space="0" w:color="auto"/>
      </w:divBdr>
      <w:divsChild>
        <w:div w:id="201869481">
          <w:marLeft w:val="810"/>
          <w:marRight w:val="810"/>
          <w:marTop w:val="360"/>
          <w:marBottom w:val="0"/>
          <w:divBdr>
            <w:top w:val="none" w:sz="0" w:space="0" w:color="auto"/>
            <w:left w:val="none" w:sz="0" w:space="0" w:color="auto"/>
            <w:bottom w:val="none" w:sz="0" w:space="0" w:color="auto"/>
            <w:right w:val="none" w:sz="0" w:space="0" w:color="auto"/>
          </w:divBdr>
          <w:divsChild>
            <w:div w:id="182388304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UTO/?uri=OJ:L:2004:338:TOC" TargetMode="External"/><Relationship Id="rId13" Type="http://schemas.openxmlformats.org/officeDocument/2006/relationships/hyperlink" Target="http://eur-lex.europa.eu/legal-content/RO/AUTO/?uri=OJ:L:2000:109:TOC" TargetMode="External"/><Relationship Id="rId18" Type="http://schemas.openxmlformats.org/officeDocument/2006/relationships/hyperlink" Target="http://eur-lex.europa.eu/legal-content/RO/TXT/?uri=CELEX%3A32005R1895" TargetMode="External"/><Relationship Id="rId3" Type="http://schemas.openxmlformats.org/officeDocument/2006/relationships/settings" Target="settings.xml"/><Relationship Id="rId21" Type="http://schemas.openxmlformats.org/officeDocument/2006/relationships/hyperlink" Target="http://eur-lex.europa.eu/legal-content/RO/AUTO/?uri=OJ:L:1982:297:TOC" TargetMode="External"/><Relationship Id="rId7" Type="http://schemas.openxmlformats.org/officeDocument/2006/relationships/hyperlink" Target="http://eur-lex.europa.eu/legal-content/RO/TXT/?uri=CELEX%3A32005R1895" TargetMode="External"/><Relationship Id="rId12" Type="http://schemas.openxmlformats.org/officeDocument/2006/relationships/hyperlink" Target="http://eur-lex.europa.eu/legal-content/RO/TXT/?uri=CELEX%3A32005R1895" TargetMode="External"/><Relationship Id="rId17" Type="http://schemas.openxmlformats.org/officeDocument/2006/relationships/hyperlink" Target="http://eur-lex.europa.eu/legal-content/RO/AUTO/?uri=OJ:L:1992:065:TOC" TargetMode="External"/><Relationship Id="rId2" Type="http://schemas.microsoft.com/office/2007/relationships/stylesWithEffects" Target="stylesWithEffects.xml"/><Relationship Id="rId16" Type="http://schemas.openxmlformats.org/officeDocument/2006/relationships/hyperlink" Target="http://eur-lex.europa.eu/legal-content/RO/AUTO/?uri=OJ:L:1989:186:TOC" TargetMode="External"/><Relationship Id="rId20" Type="http://schemas.openxmlformats.org/officeDocument/2006/relationships/hyperlink" Target="http://eur-lex.europa.eu/legal-content/RO/TXT/?uri=CELEX%3A32005R1895" TargetMode="External"/><Relationship Id="rId1" Type="http://schemas.openxmlformats.org/officeDocument/2006/relationships/styles" Target="styles.xml"/><Relationship Id="rId6" Type="http://schemas.openxmlformats.org/officeDocument/2006/relationships/hyperlink" Target="http://eur-lex.europa.eu/legal-content/RO/TXT/?uri=CELEX%3A32005R1895" TargetMode="External"/><Relationship Id="rId11" Type="http://schemas.openxmlformats.org/officeDocument/2006/relationships/hyperlink" Target="http://eur-lex.europa.eu/legal-content/RO/AUTO/?uri=OJ:L:2004:027:TOC" TargetMode="External"/><Relationship Id="rId5" Type="http://schemas.openxmlformats.org/officeDocument/2006/relationships/hyperlink" Target="http://eur-lex.europa.eu/legal-content/RO/TXT/?uri=CELEX%3A32005R1895" TargetMode="External"/><Relationship Id="rId15" Type="http://schemas.openxmlformats.org/officeDocument/2006/relationships/hyperlink" Target="http://eur-lex.europa.eu/legal-content/RO/TXT/?uri=CELEX%3A32005R1895" TargetMode="External"/><Relationship Id="rId23" Type="http://schemas.openxmlformats.org/officeDocument/2006/relationships/theme" Target="theme/theme1.xml"/><Relationship Id="rId10" Type="http://schemas.openxmlformats.org/officeDocument/2006/relationships/hyperlink" Target="http://eur-lex.europa.eu/legal-content/RO/AUTO/?uri=OJ:L:2002:051:TOC" TargetMode="External"/><Relationship Id="rId19" Type="http://schemas.openxmlformats.org/officeDocument/2006/relationships/hyperlink" Target="http://eur-lex.europa.eu/legal-content/RO/AUTO/?uri=OJ:L:2003:039:TOC" TargetMode="External"/><Relationship Id="rId4" Type="http://schemas.openxmlformats.org/officeDocument/2006/relationships/webSettings" Target="webSettings.xml"/><Relationship Id="rId9" Type="http://schemas.openxmlformats.org/officeDocument/2006/relationships/hyperlink" Target="http://eur-lex.europa.eu/legal-content/RO/TXT/?uri=CELEX%3A32005R1895" TargetMode="External"/><Relationship Id="rId14" Type="http://schemas.openxmlformats.org/officeDocument/2006/relationships/hyperlink" Target="http://eur-lex.europa.eu/legal-content/RO/AUTO/?uri=OJ:L:2003:308:T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11435</Characters>
  <Application>Microsoft Office Word</Application>
  <DocSecurity>0</DocSecurity>
  <Lines>95</Lines>
  <Paragraphs>26</Paragraphs>
  <ScaleCrop>false</ScaleCrop>
  <Company>by adguard</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2017-03-14T10:51:00Z</dcterms:created>
  <dcterms:modified xsi:type="dcterms:W3CDTF">2017-03-14T10:51:00Z</dcterms:modified>
</cp:coreProperties>
</file>