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AE5" w:rsidRPr="00157AE5" w:rsidRDefault="00157AE5" w:rsidP="00157AE5">
      <w:pPr>
        <w:pStyle w:val="doc-ti"/>
        <w:shd w:val="clear" w:color="auto" w:fill="FFFFFF"/>
        <w:spacing w:before="0" w:beforeAutospacing="0" w:after="0" w:afterAutospacing="0" w:line="312" w:lineRule="atLeast"/>
        <w:jc w:val="center"/>
        <w:textAlignment w:val="baseline"/>
        <w:rPr>
          <w:b/>
          <w:bCs/>
          <w:color w:val="444444"/>
          <w:sz w:val="27"/>
          <w:szCs w:val="27"/>
          <w:lang w:val="en-US"/>
        </w:rPr>
      </w:pPr>
      <w:bookmarkStart w:id="0" w:name="_GoBack"/>
      <w:bookmarkEnd w:id="0"/>
      <w:r w:rsidRPr="00157AE5">
        <w:rPr>
          <w:rFonts w:ascii="inherit" w:hAnsi="inherit"/>
          <w:b/>
          <w:bCs/>
          <w:color w:val="444444"/>
          <w:sz w:val="27"/>
          <w:szCs w:val="27"/>
          <w:bdr w:val="none" w:sz="0" w:space="0" w:color="auto" w:frame="1"/>
          <w:lang w:val="en-US"/>
        </w:rPr>
        <w:t>REGULAMENTUL</w:t>
      </w:r>
      <w:r w:rsidRPr="00157AE5">
        <w:rPr>
          <w:rStyle w:val="apple-converted-space"/>
          <w:b/>
          <w:bCs/>
          <w:color w:val="444444"/>
          <w:sz w:val="27"/>
          <w:szCs w:val="27"/>
          <w:lang w:val="en-US"/>
        </w:rPr>
        <w:t> </w:t>
      </w:r>
      <w:r w:rsidRPr="00157AE5">
        <w:rPr>
          <w:b/>
          <w:bCs/>
          <w:color w:val="444444"/>
          <w:sz w:val="27"/>
          <w:szCs w:val="27"/>
          <w:lang w:val="en-US"/>
        </w:rPr>
        <w:t>(CE)</w:t>
      </w:r>
      <w:r w:rsidRPr="00157AE5">
        <w:rPr>
          <w:rStyle w:val="apple-converted-space"/>
          <w:b/>
          <w:bCs/>
          <w:color w:val="444444"/>
          <w:sz w:val="27"/>
          <w:szCs w:val="27"/>
          <w:lang w:val="en-US"/>
        </w:rPr>
        <w:t> </w:t>
      </w:r>
      <w:r w:rsidRPr="00157AE5">
        <w:rPr>
          <w:rFonts w:ascii="inherit" w:hAnsi="inherit"/>
          <w:b/>
          <w:bCs/>
          <w:color w:val="444444"/>
          <w:sz w:val="27"/>
          <w:szCs w:val="27"/>
          <w:bdr w:val="none" w:sz="0" w:space="0" w:color="auto" w:frame="1"/>
          <w:lang w:val="en-US"/>
        </w:rPr>
        <w:t>NR.</w:t>
      </w:r>
      <w:r w:rsidRPr="00157AE5">
        <w:rPr>
          <w:b/>
          <w:bCs/>
          <w:color w:val="444444"/>
          <w:sz w:val="27"/>
          <w:szCs w:val="27"/>
          <w:lang w:val="en-US"/>
        </w:rPr>
        <w:t> 1895/2005</w:t>
      </w:r>
      <w:r w:rsidRPr="00157AE5">
        <w:rPr>
          <w:rStyle w:val="apple-converted-space"/>
          <w:b/>
          <w:bCs/>
          <w:color w:val="444444"/>
          <w:sz w:val="27"/>
          <w:szCs w:val="27"/>
          <w:lang w:val="en-US"/>
        </w:rPr>
        <w:t> </w:t>
      </w:r>
      <w:r w:rsidRPr="00157AE5">
        <w:rPr>
          <w:rFonts w:ascii="inherit" w:hAnsi="inherit"/>
          <w:b/>
          <w:bCs/>
          <w:color w:val="444444"/>
          <w:sz w:val="27"/>
          <w:szCs w:val="27"/>
          <w:bdr w:val="none" w:sz="0" w:space="0" w:color="auto" w:frame="1"/>
          <w:lang w:val="en-US"/>
        </w:rPr>
        <w:t>AL COMISIEI</w:t>
      </w:r>
    </w:p>
    <w:p w:rsidR="00157AE5" w:rsidRPr="00157AE5" w:rsidRDefault="00157AE5" w:rsidP="00157AE5">
      <w:pPr>
        <w:pStyle w:val="doc-ti"/>
        <w:shd w:val="clear" w:color="auto" w:fill="FFFFFF"/>
        <w:spacing w:before="240" w:beforeAutospacing="0" w:after="120" w:afterAutospacing="0" w:line="312" w:lineRule="atLeast"/>
        <w:jc w:val="center"/>
        <w:textAlignment w:val="baseline"/>
        <w:rPr>
          <w:b/>
          <w:bCs/>
          <w:color w:val="444444"/>
          <w:sz w:val="27"/>
          <w:szCs w:val="27"/>
          <w:lang w:val="en-US"/>
        </w:rPr>
      </w:pPr>
      <w:r w:rsidRPr="00157AE5">
        <w:rPr>
          <w:b/>
          <w:bCs/>
          <w:color w:val="444444"/>
          <w:sz w:val="27"/>
          <w:szCs w:val="27"/>
          <w:lang w:val="en-US"/>
        </w:rPr>
        <w:t>din 18 noiembrie 2005</w:t>
      </w:r>
    </w:p>
    <w:p w:rsidR="00157AE5" w:rsidRPr="00157AE5" w:rsidRDefault="00157AE5" w:rsidP="00157AE5">
      <w:pPr>
        <w:pStyle w:val="doc-ti"/>
        <w:shd w:val="clear" w:color="auto" w:fill="FFFFFF"/>
        <w:spacing w:before="240" w:beforeAutospacing="0" w:after="120" w:afterAutospacing="0" w:line="312" w:lineRule="atLeast"/>
        <w:jc w:val="center"/>
        <w:textAlignment w:val="baseline"/>
        <w:rPr>
          <w:b/>
          <w:bCs/>
          <w:color w:val="444444"/>
          <w:sz w:val="27"/>
          <w:szCs w:val="27"/>
          <w:lang w:val="en-US"/>
        </w:rPr>
      </w:pPr>
      <w:r w:rsidRPr="00157AE5">
        <w:rPr>
          <w:b/>
          <w:bCs/>
          <w:color w:val="444444"/>
          <w:sz w:val="27"/>
          <w:szCs w:val="27"/>
          <w:lang w:val="en-US"/>
        </w:rPr>
        <w:t>privind limitarea utilizării anumitor derivați epoxidici în materialele și obiectele destinate să vină în contact cu produse alimentare</w:t>
      </w:r>
    </w:p>
    <w:p w:rsidR="00157AE5" w:rsidRPr="00157AE5" w:rsidRDefault="00157AE5" w:rsidP="00157AE5">
      <w:pPr>
        <w:pStyle w:val="doc-ti"/>
        <w:shd w:val="clear" w:color="auto" w:fill="FFFFFF"/>
        <w:spacing w:before="240" w:beforeAutospacing="0" w:after="120" w:afterAutospacing="0" w:line="312" w:lineRule="atLeast"/>
        <w:jc w:val="center"/>
        <w:textAlignment w:val="baseline"/>
        <w:rPr>
          <w:b/>
          <w:bCs/>
          <w:color w:val="444444"/>
          <w:sz w:val="27"/>
          <w:szCs w:val="27"/>
          <w:lang w:val="en-US"/>
        </w:rPr>
      </w:pPr>
      <w:r w:rsidRPr="00157AE5">
        <w:rPr>
          <w:b/>
          <w:bCs/>
          <w:color w:val="444444"/>
          <w:sz w:val="27"/>
          <w:szCs w:val="27"/>
          <w:lang w:val="en-US"/>
        </w:rPr>
        <w:t>(Text cu relevanță pentru SEE)</w:t>
      </w:r>
    </w:p>
    <w:p w:rsidR="00157AE5" w:rsidRPr="00157AE5" w:rsidRDefault="00157AE5" w:rsidP="00157AE5">
      <w:pPr>
        <w:pStyle w:val="1"/>
        <w:shd w:val="clear" w:color="auto" w:fill="FFFFFF"/>
        <w:spacing w:before="120" w:beforeAutospacing="0" w:after="0" w:afterAutospacing="0" w:line="312" w:lineRule="atLeast"/>
        <w:jc w:val="both"/>
        <w:textAlignment w:val="baseline"/>
        <w:rPr>
          <w:color w:val="444444"/>
          <w:sz w:val="27"/>
          <w:szCs w:val="27"/>
          <w:lang w:val="en-US"/>
        </w:rPr>
      </w:pPr>
      <w:r w:rsidRPr="00157AE5">
        <w:rPr>
          <w:color w:val="444444"/>
          <w:sz w:val="27"/>
          <w:szCs w:val="27"/>
          <w:lang w:val="en-US"/>
        </w:rPr>
        <w:t>COMISIA COMUNITĂȚILOR EUROPENE,</w:t>
      </w:r>
    </w:p>
    <w:p w:rsidR="00157AE5" w:rsidRPr="00157AE5" w:rsidRDefault="00157AE5" w:rsidP="00157AE5">
      <w:pPr>
        <w:pStyle w:val="1"/>
        <w:shd w:val="clear" w:color="auto" w:fill="FFFFFF"/>
        <w:spacing w:before="120" w:beforeAutospacing="0" w:after="0" w:afterAutospacing="0" w:line="312" w:lineRule="atLeast"/>
        <w:jc w:val="both"/>
        <w:textAlignment w:val="baseline"/>
        <w:rPr>
          <w:color w:val="444444"/>
          <w:sz w:val="27"/>
          <w:szCs w:val="27"/>
          <w:lang w:val="en-US"/>
        </w:rPr>
      </w:pPr>
      <w:r w:rsidRPr="00157AE5">
        <w:rPr>
          <w:color w:val="444444"/>
          <w:sz w:val="27"/>
          <w:szCs w:val="27"/>
          <w:lang w:val="en-US"/>
        </w:rPr>
        <w:t>având în vedere Tratatul de instituire a Comunității Europene,</w:t>
      </w:r>
    </w:p>
    <w:p w:rsidR="00157AE5" w:rsidRPr="00157AE5" w:rsidRDefault="00157AE5" w:rsidP="00157AE5">
      <w:pPr>
        <w:pStyle w:val="1"/>
        <w:shd w:val="clear" w:color="auto" w:fill="FFFFFF"/>
        <w:spacing w:before="0" w:beforeAutospacing="0" w:after="0" w:afterAutospacing="0" w:line="312" w:lineRule="atLeast"/>
        <w:jc w:val="both"/>
        <w:textAlignment w:val="baseline"/>
        <w:rPr>
          <w:color w:val="444444"/>
          <w:sz w:val="27"/>
          <w:szCs w:val="27"/>
          <w:lang w:val="en-US"/>
        </w:rPr>
      </w:pPr>
      <w:r w:rsidRPr="00157AE5">
        <w:rPr>
          <w:color w:val="444444"/>
          <w:sz w:val="27"/>
          <w:szCs w:val="27"/>
          <w:lang w:val="en-US"/>
        </w:rPr>
        <w:t xml:space="preserve">având în vedere Regulamentul (CE) nr. 1935/2004 al Parlamentului European și al Consiliului din 27 octombrie 2004 privind materialele și obiectele destinate să vină în contact cu produsele alimentare și de abrogare a </w:t>
      </w:r>
      <w:proofErr w:type="spellStart"/>
      <w:r w:rsidRPr="00157AE5">
        <w:rPr>
          <w:color w:val="444444"/>
          <w:sz w:val="27"/>
          <w:szCs w:val="27"/>
          <w:lang w:val="en-US"/>
        </w:rPr>
        <w:t>Directivelor</w:t>
      </w:r>
      <w:proofErr w:type="spellEnd"/>
      <w:r w:rsidRPr="00157AE5">
        <w:rPr>
          <w:color w:val="444444"/>
          <w:sz w:val="27"/>
          <w:szCs w:val="27"/>
          <w:lang w:val="en-US"/>
        </w:rPr>
        <w:t xml:space="preserve"> 80/590/CEE </w:t>
      </w:r>
      <w:proofErr w:type="spellStart"/>
      <w:r w:rsidRPr="00157AE5">
        <w:rPr>
          <w:color w:val="444444"/>
          <w:sz w:val="27"/>
          <w:szCs w:val="27"/>
          <w:lang w:val="en-US"/>
        </w:rPr>
        <w:t>și</w:t>
      </w:r>
      <w:proofErr w:type="spellEnd"/>
      <w:r w:rsidRPr="00157AE5">
        <w:rPr>
          <w:color w:val="444444"/>
          <w:sz w:val="27"/>
          <w:szCs w:val="27"/>
          <w:lang w:val="en-US"/>
        </w:rPr>
        <w:t xml:space="preserve"> 89/109/CEE</w:t>
      </w:r>
      <w:hyperlink r:id="rId5" w:anchor="ntr1-L_2005302RO.01002801-E0001" w:history="1">
        <w:r w:rsidRPr="00157AE5">
          <w:rPr>
            <w:rStyle w:val="a9"/>
            <w:rFonts w:ascii="inherit" w:hAnsi="inherit"/>
            <w:color w:val="800080"/>
            <w:sz w:val="27"/>
            <w:szCs w:val="27"/>
            <w:bdr w:val="none" w:sz="0" w:space="0" w:color="auto" w:frame="1"/>
            <w:lang w:val="en-US"/>
          </w:rPr>
          <w:t> (</w:t>
        </w:r>
        <w:r w:rsidRPr="00157AE5">
          <w:rPr>
            <w:rStyle w:val="super"/>
            <w:rFonts w:ascii="inherit" w:hAnsi="inherit"/>
            <w:color w:val="800080"/>
            <w:sz w:val="19"/>
            <w:szCs w:val="19"/>
            <w:bdr w:val="none" w:sz="0" w:space="0" w:color="auto" w:frame="1"/>
            <w:vertAlign w:val="superscript"/>
            <w:lang w:val="en-US"/>
          </w:rPr>
          <w:t>1</w:t>
        </w:r>
        <w:r w:rsidRPr="00157AE5">
          <w:rPr>
            <w:rStyle w:val="a9"/>
            <w:rFonts w:ascii="inherit" w:hAnsi="inherit"/>
            <w:color w:val="800080"/>
            <w:sz w:val="27"/>
            <w:szCs w:val="27"/>
            <w:bdr w:val="none" w:sz="0" w:space="0" w:color="auto" w:frame="1"/>
            <w:lang w:val="en-US"/>
          </w:rPr>
          <w:t>)</w:t>
        </w:r>
      </w:hyperlink>
      <w:r w:rsidRPr="00157AE5">
        <w:rPr>
          <w:color w:val="444444"/>
          <w:sz w:val="27"/>
          <w:szCs w:val="27"/>
          <w:lang w:val="en-US"/>
        </w:rPr>
        <w:t xml:space="preserve">, </w:t>
      </w:r>
      <w:proofErr w:type="spellStart"/>
      <w:r w:rsidRPr="00157AE5">
        <w:rPr>
          <w:color w:val="444444"/>
          <w:sz w:val="27"/>
          <w:szCs w:val="27"/>
          <w:lang w:val="en-US"/>
        </w:rPr>
        <w:t>în</w:t>
      </w:r>
      <w:proofErr w:type="spellEnd"/>
      <w:r w:rsidRPr="00157AE5">
        <w:rPr>
          <w:color w:val="444444"/>
          <w:sz w:val="27"/>
          <w:szCs w:val="27"/>
          <w:lang w:val="en-US"/>
        </w:rPr>
        <w:t xml:space="preserve"> special </w:t>
      </w:r>
      <w:proofErr w:type="spellStart"/>
      <w:r w:rsidRPr="00157AE5">
        <w:rPr>
          <w:color w:val="444444"/>
          <w:sz w:val="27"/>
          <w:szCs w:val="27"/>
          <w:lang w:val="en-US"/>
        </w:rPr>
        <w:t>articolul</w:t>
      </w:r>
      <w:proofErr w:type="spellEnd"/>
      <w:r w:rsidRPr="00157AE5">
        <w:rPr>
          <w:color w:val="444444"/>
          <w:sz w:val="27"/>
          <w:szCs w:val="27"/>
          <w:lang w:val="en-US"/>
        </w:rPr>
        <w:t xml:space="preserve"> 5 alineatul (1),</w:t>
      </w:r>
    </w:p>
    <w:p w:rsidR="00157AE5" w:rsidRPr="00157AE5" w:rsidRDefault="00157AE5" w:rsidP="00157AE5">
      <w:pPr>
        <w:pStyle w:val="1"/>
        <w:shd w:val="clear" w:color="auto" w:fill="FFFFFF"/>
        <w:spacing w:before="120" w:beforeAutospacing="0" w:after="0" w:afterAutospacing="0" w:line="312" w:lineRule="atLeast"/>
        <w:jc w:val="both"/>
        <w:textAlignment w:val="baseline"/>
        <w:rPr>
          <w:color w:val="444444"/>
          <w:sz w:val="27"/>
          <w:szCs w:val="27"/>
          <w:lang w:val="en-US"/>
        </w:rPr>
      </w:pPr>
      <w:r w:rsidRPr="00157AE5">
        <w:rPr>
          <w:color w:val="444444"/>
          <w:sz w:val="27"/>
          <w:szCs w:val="27"/>
          <w:lang w:val="en-US"/>
        </w:rPr>
        <w:t>după consultarea Autorității Europene pentru Siguranța Alimentară,</w:t>
      </w:r>
    </w:p>
    <w:p w:rsidR="00157AE5" w:rsidRDefault="00157AE5" w:rsidP="00157AE5">
      <w:pPr>
        <w:pStyle w:val="1"/>
        <w:shd w:val="clear" w:color="auto" w:fill="FFFFFF"/>
        <w:spacing w:before="120" w:beforeAutospacing="0" w:after="0" w:afterAutospacing="0" w:line="312" w:lineRule="atLeast"/>
        <w:jc w:val="both"/>
        <w:textAlignment w:val="baseline"/>
        <w:rPr>
          <w:color w:val="444444"/>
          <w:sz w:val="27"/>
          <w:szCs w:val="27"/>
        </w:rPr>
      </w:pPr>
      <w:proofErr w:type="spellStart"/>
      <w:r>
        <w:rPr>
          <w:color w:val="444444"/>
          <w:sz w:val="27"/>
          <w:szCs w:val="27"/>
        </w:rPr>
        <w:t>întrucât</w:t>
      </w:r>
      <w:proofErr w:type="spellEnd"/>
      <w:r>
        <w:rPr>
          <w:color w:val="444444"/>
          <w:sz w:val="27"/>
          <w:szCs w:val="27"/>
        </w:rPr>
        <w:t>:</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420"/>
        <w:gridCol w:w="9040"/>
      </w:tblGrid>
      <w:tr w:rsidR="00157AE5" w:rsidRPr="00663FE2" w:rsidTr="00157AE5">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157AE5" w:rsidRDefault="00157AE5">
            <w:pPr>
              <w:pStyle w:val="1"/>
              <w:spacing w:before="120" w:beforeAutospacing="0" w:after="0" w:afterAutospacing="0" w:line="312" w:lineRule="atLeast"/>
              <w:jc w:val="both"/>
              <w:textAlignment w:val="baseline"/>
              <w:rPr>
                <w:rFonts w:ascii="inherit" w:hAnsi="inherit"/>
                <w:color w:val="444444"/>
                <w:sz w:val="27"/>
                <w:szCs w:val="27"/>
              </w:rPr>
            </w:pPr>
            <w:r>
              <w:rPr>
                <w:rFonts w:ascii="inherit" w:hAnsi="inherit"/>
                <w:color w:val="444444"/>
                <w:sz w:val="27"/>
                <w:szCs w:val="27"/>
              </w:rPr>
              <w:t>(1)</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157AE5" w:rsidRPr="00157AE5" w:rsidRDefault="00157AE5">
            <w:pPr>
              <w:pStyle w:val="1"/>
              <w:spacing w:before="0" w:beforeAutospacing="0" w:after="0" w:afterAutospacing="0" w:line="312" w:lineRule="atLeast"/>
              <w:jc w:val="both"/>
              <w:textAlignment w:val="baseline"/>
              <w:rPr>
                <w:rFonts w:ascii="inherit" w:hAnsi="inherit"/>
                <w:color w:val="444444"/>
                <w:sz w:val="27"/>
                <w:szCs w:val="27"/>
                <w:lang w:val="en-US"/>
              </w:rPr>
            </w:pPr>
            <w:r w:rsidRPr="00157AE5">
              <w:rPr>
                <w:rFonts w:ascii="inherit" w:hAnsi="inherit"/>
                <w:color w:val="444444"/>
                <w:sz w:val="27"/>
                <w:szCs w:val="27"/>
                <w:lang w:val="en-US"/>
              </w:rPr>
              <w:t xml:space="preserve">Pentru a evita riscurile pentru sănătatea umană și barierele în calea liberei circulații a mărfurilor, Directiva 2002/16/CE a Comisiei din 20 februarie 2002 privind utilizarea anumitor derivați epoxidici în materialele și obiectele destinate să vină în contact cu </w:t>
            </w:r>
            <w:proofErr w:type="spellStart"/>
            <w:r w:rsidRPr="00157AE5">
              <w:rPr>
                <w:rFonts w:ascii="inherit" w:hAnsi="inherit"/>
                <w:color w:val="444444"/>
                <w:sz w:val="27"/>
                <w:szCs w:val="27"/>
                <w:lang w:val="en-US"/>
              </w:rPr>
              <w:t>produsele</w:t>
            </w:r>
            <w:proofErr w:type="spellEnd"/>
            <w:r w:rsidRPr="00157AE5">
              <w:rPr>
                <w:rFonts w:ascii="inherit" w:hAnsi="inherit"/>
                <w:color w:val="444444"/>
                <w:sz w:val="27"/>
                <w:szCs w:val="27"/>
                <w:lang w:val="en-US"/>
              </w:rPr>
              <w:t xml:space="preserve"> </w:t>
            </w:r>
            <w:proofErr w:type="spellStart"/>
            <w:r w:rsidRPr="00157AE5">
              <w:rPr>
                <w:rFonts w:ascii="inherit" w:hAnsi="inherit"/>
                <w:color w:val="444444"/>
                <w:sz w:val="27"/>
                <w:szCs w:val="27"/>
                <w:lang w:val="en-US"/>
              </w:rPr>
              <w:t>alimentare</w:t>
            </w:r>
            <w:proofErr w:type="spellEnd"/>
            <w:r>
              <w:rPr>
                <w:rFonts w:ascii="inherit" w:hAnsi="inherit"/>
                <w:color w:val="444444"/>
                <w:sz w:val="27"/>
                <w:szCs w:val="27"/>
              </w:rPr>
              <w:fldChar w:fldCharType="begin"/>
            </w:r>
            <w:r w:rsidRPr="00157AE5">
              <w:rPr>
                <w:rFonts w:ascii="inherit" w:hAnsi="inherit"/>
                <w:color w:val="444444"/>
                <w:sz w:val="27"/>
                <w:szCs w:val="27"/>
                <w:lang w:val="en-US"/>
              </w:rPr>
              <w:instrText xml:space="preserve"> HYPERLINK "http://eur-lex.europa.eu/legal-content/RO/TXT/?uri=CELEX%3A32005R1895" \l "ntr2-L_2005302RO.01002801-E0002" </w:instrText>
            </w:r>
            <w:r>
              <w:rPr>
                <w:rFonts w:ascii="inherit" w:hAnsi="inherit"/>
                <w:color w:val="444444"/>
                <w:sz w:val="27"/>
                <w:szCs w:val="27"/>
              </w:rPr>
              <w:fldChar w:fldCharType="separate"/>
            </w:r>
            <w:r w:rsidRPr="00157AE5">
              <w:rPr>
                <w:rStyle w:val="a9"/>
                <w:rFonts w:ascii="inherit" w:hAnsi="inherit"/>
                <w:color w:val="800080"/>
                <w:sz w:val="27"/>
                <w:szCs w:val="27"/>
                <w:bdr w:val="none" w:sz="0" w:space="0" w:color="auto" w:frame="1"/>
                <w:lang w:val="en-US"/>
              </w:rPr>
              <w:t> (</w:t>
            </w:r>
            <w:r w:rsidRPr="00157AE5">
              <w:rPr>
                <w:rStyle w:val="super"/>
                <w:rFonts w:ascii="inherit" w:hAnsi="inherit"/>
                <w:color w:val="800080"/>
                <w:sz w:val="19"/>
                <w:szCs w:val="19"/>
                <w:bdr w:val="none" w:sz="0" w:space="0" w:color="auto" w:frame="1"/>
                <w:vertAlign w:val="superscript"/>
                <w:lang w:val="en-US"/>
              </w:rPr>
              <w:t>2</w:t>
            </w:r>
            <w:r w:rsidRPr="00157AE5">
              <w:rPr>
                <w:rStyle w:val="a9"/>
                <w:rFonts w:ascii="inherit" w:hAnsi="inherit"/>
                <w:color w:val="800080"/>
                <w:sz w:val="27"/>
                <w:szCs w:val="27"/>
                <w:bdr w:val="none" w:sz="0" w:space="0" w:color="auto" w:frame="1"/>
                <w:lang w:val="en-US"/>
              </w:rPr>
              <w:t>)</w:t>
            </w:r>
            <w:r>
              <w:rPr>
                <w:rFonts w:ascii="inherit" w:hAnsi="inherit"/>
                <w:color w:val="444444"/>
                <w:sz w:val="27"/>
                <w:szCs w:val="27"/>
              </w:rPr>
              <w:fldChar w:fldCharType="end"/>
            </w:r>
            <w:r w:rsidRPr="00157AE5">
              <w:rPr>
                <w:rStyle w:val="apple-converted-space"/>
                <w:rFonts w:ascii="inherit" w:hAnsi="inherit"/>
                <w:color w:val="444444"/>
                <w:sz w:val="27"/>
                <w:szCs w:val="27"/>
                <w:lang w:val="en-US"/>
              </w:rPr>
              <w:t> </w:t>
            </w:r>
            <w:proofErr w:type="spellStart"/>
            <w:r w:rsidRPr="00157AE5">
              <w:rPr>
                <w:rFonts w:ascii="inherit" w:hAnsi="inherit"/>
                <w:color w:val="444444"/>
                <w:sz w:val="27"/>
                <w:szCs w:val="27"/>
                <w:lang w:val="en-US"/>
              </w:rPr>
              <w:t>stabilește</w:t>
            </w:r>
            <w:proofErr w:type="spellEnd"/>
            <w:r w:rsidRPr="00157AE5">
              <w:rPr>
                <w:rFonts w:ascii="inherit" w:hAnsi="inherit"/>
                <w:color w:val="444444"/>
                <w:sz w:val="27"/>
                <w:szCs w:val="27"/>
                <w:lang w:val="en-US"/>
              </w:rPr>
              <w:t xml:space="preserve"> </w:t>
            </w:r>
            <w:proofErr w:type="spellStart"/>
            <w:r w:rsidRPr="00157AE5">
              <w:rPr>
                <w:rFonts w:ascii="inherit" w:hAnsi="inherit"/>
                <w:color w:val="444444"/>
                <w:sz w:val="27"/>
                <w:szCs w:val="27"/>
                <w:lang w:val="en-US"/>
              </w:rPr>
              <w:t>limite</w:t>
            </w:r>
            <w:proofErr w:type="spellEnd"/>
            <w:r w:rsidRPr="00157AE5">
              <w:rPr>
                <w:rFonts w:ascii="inherit" w:hAnsi="inherit"/>
                <w:color w:val="444444"/>
                <w:sz w:val="27"/>
                <w:szCs w:val="27"/>
                <w:lang w:val="en-US"/>
              </w:rPr>
              <w:t xml:space="preserve"> de </w:t>
            </w:r>
            <w:proofErr w:type="spellStart"/>
            <w:r w:rsidRPr="00157AE5">
              <w:rPr>
                <w:rFonts w:ascii="inherit" w:hAnsi="inherit"/>
                <w:color w:val="444444"/>
                <w:sz w:val="27"/>
                <w:szCs w:val="27"/>
                <w:lang w:val="en-US"/>
              </w:rPr>
              <w:t>migrație</w:t>
            </w:r>
            <w:proofErr w:type="spellEnd"/>
            <w:r w:rsidRPr="00157AE5">
              <w:rPr>
                <w:rFonts w:ascii="inherit" w:hAnsi="inherit"/>
                <w:color w:val="444444"/>
                <w:sz w:val="27"/>
                <w:szCs w:val="27"/>
                <w:lang w:val="en-US"/>
              </w:rPr>
              <w:t xml:space="preserve"> specifice pentru 2,2-bis(4-hidroxifenil)propan-bis(2,3-epoxipropil) eter („BADGE”, adică Bisfenol-A DiGglicidil Eter), bis(hidroxifenil)metan - bis(2,3-epoxipropil) eteri („BFDGE”, adică Bisfenol-F DiGglicidil Eter) și novolac glicidil eteri (NOGE), precum și pentru unii derivați ai acestora.</w:t>
            </w:r>
          </w:p>
        </w:tc>
      </w:tr>
    </w:tbl>
    <w:p w:rsidR="00157AE5" w:rsidRDefault="00157AE5" w:rsidP="00157AE5">
      <w:pPr>
        <w:rPr>
          <w:vanish/>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420"/>
        <w:gridCol w:w="9040"/>
      </w:tblGrid>
      <w:tr w:rsidR="00157AE5" w:rsidRPr="00157AE5" w:rsidTr="00157AE5">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157AE5" w:rsidRDefault="00157AE5">
            <w:pPr>
              <w:pStyle w:val="1"/>
              <w:spacing w:before="120" w:beforeAutospacing="0" w:after="0" w:afterAutospacing="0" w:line="312" w:lineRule="atLeast"/>
              <w:jc w:val="both"/>
              <w:textAlignment w:val="baseline"/>
              <w:rPr>
                <w:rFonts w:ascii="inherit" w:hAnsi="inherit"/>
                <w:color w:val="444444"/>
                <w:sz w:val="27"/>
                <w:szCs w:val="27"/>
              </w:rPr>
            </w:pPr>
            <w:r>
              <w:rPr>
                <w:rFonts w:ascii="inherit" w:hAnsi="inherit"/>
                <w:color w:val="444444"/>
                <w:sz w:val="27"/>
                <w:szCs w:val="27"/>
              </w:rPr>
              <w:t>(2)</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157AE5" w:rsidRPr="00157AE5" w:rsidRDefault="00157AE5">
            <w:pPr>
              <w:pStyle w:val="1"/>
              <w:spacing w:before="120" w:beforeAutospacing="0" w:after="0" w:afterAutospacing="0" w:line="312" w:lineRule="atLeast"/>
              <w:jc w:val="both"/>
              <w:textAlignment w:val="baseline"/>
              <w:rPr>
                <w:rFonts w:ascii="inherit" w:hAnsi="inherit"/>
                <w:color w:val="444444"/>
                <w:sz w:val="27"/>
                <w:szCs w:val="27"/>
                <w:lang w:val="en-US"/>
              </w:rPr>
            </w:pPr>
            <w:r w:rsidRPr="00157AE5">
              <w:rPr>
                <w:rFonts w:ascii="inherit" w:hAnsi="inherit"/>
                <w:color w:val="444444"/>
                <w:sz w:val="27"/>
                <w:szCs w:val="27"/>
                <w:lang w:val="en-US"/>
              </w:rPr>
              <w:t>Directiva 2002/16/CE prevede că utilizarea și/sau prezența BFDGE și NOGE poate continua numai până la 31 decembrie 2004. Pentru BADGE, perioada de tranziție a fost prelungită până la 31 decembrie 2005, în așteptarea prezentării prevăzute de noi date toxicologice și a evaluării acestora de către Autoritatea Europeană pentru Siguranță Alimentară (autoritatea).</w:t>
            </w:r>
          </w:p>
        </w:tc>
      </w:tr>
    </w:tbl>
    <w:p w:rsidR="00157AE5" w:rsidRDefault="00157AE5" w:rsidP="00157AE5">
      <w:pPr>
        <w:rPr>
          <w:vanish/>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420"/>
        <w:gridCol w:w="9040"/>
      </w:tblGrid>
      <w:tr w:rsidR="00157AE5" w:rsidRPr="00157AE5" w:rsidTr="00157AE5">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157AE5" w:rsidRDefault="00157AE5">
            <w:pPr>
              <w:pStyle w:val="1"/>
              <w:spacing w:before="120" w:beforeAutospacing="0" w:after="0" w:afterAutospacing="0" w:line="312" w:lineRule="atLeast"/>
              <w:jc w:val="both"/>
              <w:textAlignment w:val="baseline"/>
              <w:rPr>
                <w:rFonts w:ascii="inherit" w:hAnsi="inherit"/>
                <w:color w:val="444444"/>
                <w:sz w:val="27"/>
                <w:szCs w:val="27"/>
              </w:rPr>
            </w:pPr>
            <w:r>
              <w:rPr>
                <w:rFonts w:ascii="inherit" w:hAnsi="inherit"/>
                <w:color w:val="444444"/>
                <w:sz w:val="27"/>
                <w:szCs w:val="27"/>
              </w:rPr>
              <w:t>(3)</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157AE5" w:rsidRPr="00157AE5" w:rsidRDefault="00157AE5">
            <w:pPr>
              <w:pStyle w:val="1"/>
              <w:spacing w:before="0" w:beforeAutospacing="0" w:after="0" w:afterAutospacing="0" w:line="312" w:lineRule="atLeast"/>
              <w:jc w:val="both"/>
              <w:textAlignment w:val="baseline"/>
              <w:rPr>
                <w:rFonts w:ascii="inherit" w:hAnsi="inherit"/>
                <w:color w:val="444444"/>
                <w:sz w:val="27"/>
                <w:szCs w:val="27"/>
                <w:lang w:val="en-US"/>
              </w:rPr>
            </w:pPr>
            <w:r w:rsidRPr="00157AE5">
              <w:rPr>
                <w:rFonts w:ascii="inherit" w:hAnsi="inherit"/>
                <w:color w:val="444444"/>
                <w:sz w:val="27"/>
                <w:szCs w:val="27"/>
                <w:lang w:val="en-US"/>
              </w:rPr>
              <w:t>Datele toxicologice solicitate pentru BADGE au fost transmise. Autoritatea a ajuns la concluzia că BADGE, BADGE.H</w:t>
            </w:r>
            <w:r w:rsidRPr="00157AE5">
              <w:rPr>
                <w:rStyle w:val="sub"/>
                <w:rFonts w:ascii="inherit" w:hAnsi="inherit"/>
                <w:color w:val="444444"/>
                <w:sz w:val="19"/>
                <w:szCs w:val="19"/>
                <w:bdr w:val="none" w:sz="0" w:space="0" w:color="auto" w:frame="1"/>
                <w:vertAlign w:val="subscript"/>
                <w:lang w:val="en-US"/>
              </w:rPr>
              <w:t>2</w:t>
            </w:r>
            <w:r w:rsidRPr="00157AE5">
              <w:rPr>
                <w:rFonts w:ascii="inherit" w:hAnsi="inherit"/>
                <w:color w:val="444444"/>
                <w:sz w:val="27"/>
                <w:szCs w:val="27"/>
                <w:lang w:val="en-US"/>
              </w:rPr>
              <w:t>O și BADGE.2H</w:t>
            </w:r>
            <w:r w:rsidRPr="00157AE5">
              <w:rPr>
                <w:rStyle w:val="sub"/>
                <w:rFonts w:ascii="inherit" w:hAnsi="inherit"/>
                <w:color w:val="444444"/>
                <w:sz w:val="19"/>
                <w:szCs w:val="19"/>
                <w:bdr w:val="none" w:sz="0" w:space="0" w:color="auto" w:frame="1"/>
                <w:vertAlign w:val="subscript"/>
                <w:lang w:val="en-US"/>
              </w:rPr>
              <w:t>2</w:t>
            </w:r>
            <w:r w:rsidRPr="00157AE5">
              <w:rPr>
                <w:rFonts w:ascii="inherit" w:hAnsi="inherit"/>
                <w:color w:val="444444"/>
                <w:sz w:val="27"/>
                <w:szCs w:val="27"/>
                <w:lang w:val="en-US"/>
              </w:rPr>
              <w:t>O nu ridică probleme de cancerigenicitate și genotoxicitate</w:t>
            </w:r>
            <w:r w:rsidRPr="00157AE5">
              <w:rPr>
                <w:rStyle w:val="apple-converted-space"/>
                <w:rFonts w:ascii="inherit" w:hAnsi="inherit"/>
                <w:color w:val="444444"/>
                <w:sz w:val="27"/>
                <w:szCs w:val="27"/>
                <w:lang w:val="en-US"/>
              </w:rPr>
              <w:t> </w:t>
            </w:r>
            <w:r w:rsidRPr="00157AE5">
              <w:rPr>
                <w:rStyle w:val="italic"/>
                <w:rFonts w:ascii="inherit" w:hAnsi="inherit"/>
                <w:i/>
                <w:iCs/>
                <w:color w:val="444444"/>
                <w:sz w:val="27"/>
                <w:szCs w:val="27"/>
                <w:bdr w:val="none" w:sz="0" w:space="0" w:color="auto" w:frame="1"/>
                <w:lang w:val="en-US"/>
              </w:rPr>
              <w:t>in vivo</w:t>
            </w:r>
            <w:r w:rsidRPr="00157AE5">
              <w:rPr>
                <w:rStyle w:val="apple-converted-space"/>
                <w:rFonts w:ascii="inherit" w:hAnsi="inherit"/>
                <w:color w:val="444444"/>
                <w:sz w:val="27"/>
                <w:szCs w:val="27"/>
                <w:lang w:val="en-US"/>
              </w:rPr>
              <w:t> </w:t>
            </w:r>
            <w:r w:rsidRPr="00157AE5">
              <w:rPr>
                <w:rFonts w:ascii="inherit" w:hAnsi="inherit"/>
                <w:color w:val="444444"/>
                <w:sz w:val="27"/>
                <w:szCs w:val="27"/>
                <w:lang w:val="en-US"/>
              </w:rPr>
              <w:t>și că pentru aceste substanțe se poate stabili doza zilnică tolerabilă de 0,15 mg/kg greutate corporală. Prin urmare, se poate stabili o limită de migrație specifică LMS(T) mai mare pentru BADGE, BADGE.H</w:t>
            </w:r>
            <w:r w:rsidRPr="00157AE5">
              <w:rPr>
                <w:rStyle w:val="sub"/>
                <w:rFonts w:ascii="inherit" w:hAnsi="inherit"/>
                <w:color w:val="444444"/>
                <w:sz w:val="19"/>
                <w:szCs w:val="19"/>
                <w:bdr w:val="none" w:sz="0" w:space="0" w:color="auto" w:frame="1"/>
                <w:vertAlign w:val="subscript"/>
                <w:lang w:val="en-US"/>
              </w:rPr>
              <w:t>2</w:t>
            </w:r>
            <w:r w:rsidRPr="00157AE5">
              <w:rPr>
                <w:rFonts w:ascii="inherit" w:hAnsi="inherit"/>
                <w:color w:val="444444"/>
                <w:sz w:val="27"/>
                <w:szCs w:val="27"/>
                <w:lang w:val="en-US"/>
              </w:rPr>
              <w:t>O și BADGE.2H</w:t>
            </w:r>
            <w:r w:rsidRPr="00157AE5">
              <w:rPr>
                <w:rStyle w:val="sub"/>
                <w:rFonts w:ascii="inherit" w:hAnsi="inherit"/>
                <w:color w:val="444444"/>
                <w:sz w:val="19"/>
                <w:szCs w:val="19"/>
                <w:bdr w:val="none" w:sz="0" w:space="0" w:color="auto" w:frame="1"/>
                <w:vertAlign w:val="subscript"/>
                <w:lang w:val="en-US"/>
              </w:rPr>
              <w:t>2</w:t>
            </w:r>
            <w:r w:rsidRPr="00157AE5">
              <w:rPr>
                <w:rFonts w:ascii="inherit" w:hAnsi="inherit"/>
                <w:color w:val="444444"/>
                <w:sz w:val="27"/>
                <w:szCs w:val="27"/>
                <w:lang w:val="en-US"/>
              </w:rPr>
              <w:t>O. În ceea ce privește clorohidrinele BADGE, având în vedere lipsa datelor privind genotoxicitatea</w:t>
            </w:r>
            <w:r w:rsidRPr="00157AE5">
              <w:rPr>
                <w:rStyle w:val="apple-converted-space"/>
                <w:rFonts w:ascii="inherit" w:hAnsi="inherit"/>
                <w:color w:val="444444"/>
                <w:sz w:val="27"/>
                <w:szCs w:val="27"/>
                <w:lang w:val="en-US"/>
              </w:rPr>
              <w:t> </w:t>
            </w:r>
            <w:r w:rsidRPr="00157AE5">
              <w:rPr>
                <w:rStyle w:val="italic"/>
                <w:rFonts w:ascii="inherit" w:hAnsi="inherit"/>
                <w:i/>
                <w:iCs/>
                <w:color w:val="444444"/>
                <w:sz w:val="27"/>
                <w:szCs w:val="27"/>
                <w:bdr w:val="none" w:sz="0" w:space="0" w:color="auto" w:frame="1"/>
                <w:lang w:val="en-US"/>
              </w:rPr>
              <w:t>in vivo</w:t>
            </w:r>
            <w:r w:rsidRPr="00157AE5">
              <w:rPr>
                <w:rFonts w:ascii="inherit" w:hAnsi="inherit"/>
                <w:color w:val="444444"/>
                <w:sz w:val="27"/>
                <w:szCs w:val="27"/>
                <w:lang w:val="en-US"/>
              </w:rPr>
              <w:t>, autoritatea consideră că limita de migrație specifică actuală, de 1 mg/kg de produse alimentare sau simulanți alimentari, este în continuare corespunzătoare.</w:t>
            </w:r>
          </w:p>
        </w:tc>
      </w:tr>
    </w:tbl>
    <w:p w:rsidR="00157AE5" w:rsidRDefault="00157AE5" w:rsidP="00157AE5">
      <w:pPr>
        <w:rPr>
          <w:vanish/>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420"/>
        <w:gridCol w:w="9040"/>
      </w:tblGrid>
      <w:tr w:rsidR="00157AE5" w:rsidRPr="00157AE5" w:rsidTr="00157AE5">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157AE5" w:rsidRDefault="00157AE5">
            <w:pPr>
              <w:pStyle w:val="1"/>
              <w:spacing w:before="120" w:beforeAutospacing="0" w:after="0" w:afterAutospacing="0" w:line="312" w:lineRule="atLeast"/>
              <w:jc w:val="both"/>
              <w:textAlignment w:val="baseline"/>
              <w:rPr>
                <w:rFonts w:ascii="inherit" w:hAnsi="inherit"/>
                <w:color w:val="444444"/>
                <w:sz w:val="27"/>
                <w:szCs w:val="27"/>
              </w:rPr>
            </w:pPr>
            <w:r>
              <w:rPr>
                <w:rFonts w:ascii="inherit" w:hAnsi="inherit"/>
                <w:color w:val="444444"/>
                <w:sz w:val="27"/>
                <w:szCs w:val="27"/>
              </w:rPr>
              <w:t>(4)</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157AE5" w:rsidRPr="00157AE5" w:rsidRDefault="00157AE5">
            <w:pPr>
              <w:pStyle w:val="1"/>
              <w:spacing w:before="120" w:beforeAutospacing="0" w:after="0" w:afterAutospacing="0" w:line="312" w:lineRule="atLeast"/>
              <w:jc w:val="both"/>
              <w:textAlignment w:val="baseline"/>
              <w:rPr>
                <w:rFonts w:ascii="inherit" w:hAnsi="inherit"/>
                <w:color w:val="444444"/>
                <w:sz w:val="27"/>
                <w:szCs w:val="27"/>
                <w:lang w:val="en-US"/>
              </w:rPr>
            </w:pPr>
            <w:r w:rsidRPr="00157AE5">
              <w:rPr>
                <w:rFonts w:ascii="inherit" w:hAnsi="inherit"/>
                <w:color w:val="444444"/>
                <w:sz w:val="27"/>
                <w:szCs w:val="27"/>
                <w:lang w:val="en-US"/>
              </w:rPr>
              <w:t>Prin urmare, comercializarea și utilizarea materialelor și obiectelor conținând BADGE în conformitate cu prezentul regulament se autorizează în întreaga Comunitate începând cu 1 ianuarie 2006.</w:t>
            </w:r>
          </w:p>
        </w:tc>
      </w:tr>
    </w:tbl>
    <w:p w:rsidR="00157AE5" w:rsidRDefault="00157AE5" w:rsidP="00157AE5">
      <w:pPr>
        <w:rPr>
          <w:vanish/>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420"/>
        <w:gridCol w:w="9040"/>
      </w:tblGrid>
      <w:tr w:rsidR="00157AE5" w:rsidRPr="00157AE5" w:rsidTr="00157AE5">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157AE5" w:rsidRDefault="00157AE5">
            <w:pPr>
              <w:pStyle w:val="1"/>
              <w:spacing w:before="120" w:beforeAutospacing="0" w:after="0" w:afterAutospacing="0" w:line="312" w:lineRule="atLeast"/>
              <w:jc w:val="both"/>
              <w:textAlignment w:val="baseline"/>
              <w:rPr>
                <w:rFonts w:ascii="inherit" w:hAnsi="inherit"/>
                <w:color w:val="444444"/>
                <w:sz w:val="27"/>
                <w:szCs w:val="27"/>
              </w:rPr>
            </w:pPr>
            <w:r>
              <w:rPr>
                <w:rFonts w:ascii="inherit" w:hAnsi="inherit"/>
                <w:color w:val="444444"/>
                <w:sz w:val="27"/>
                <w:szCs w:val="27"/>
              </w:rPr>
              <w:t>(5)</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157AE5" w:rsidRPr="00157AE5" w:rsidRDefault="00157AE5">
            <w:pPr>
              <w:pStyle w:val="1"/>
              <w:spacing w:before="120" w:beforeAutospacing="0" w:after="0" w:afterAutospacing="0" w:line="312" w:lineRule="atLeast"/>
              <w:jc w:val="both"/>
              <w:textAlignment w:val="baseline"/>
              <w:rPr>
                <w:rFonts w:ascii="inherit" w:hAnsi="inherit"/>
                <w:color w:val="444444"/>
                <w:sz w:val="27"/>
                <w:szCs w:val="27"/>
                <w:lang w:val="en-US"/>
              </w:rPr>
            </w:pPr>
            <w:r w:rsidRPr="00157AE5">
              <w:rPr>
                <w:rFonts w:ascii="inherit" w:hAnsi="inherit"/>
                <w:color w:val="444444"/>
                <w:sz w:val="27"/>
                <w:szCs w:val="27"/>
                <w:lang w:val="en-US"/>
              </w:rPr>
              <w:t xml:space="preserve">Datele toxicologice solicitate pentru NOGE și BFDGE nu au fost transmise la timp pentru a permite evaluarea lor de către autoritate și pentru a continua </w:t>
            </w:r>
            <w:r w:rsidRPr="00157AE5">
              <w:rPr>
                <w:rFonts w:ascii="inherit" w:hAnsi="inherit"/>
                <w:color w:val="444444"/>
                <w:sz w:val="27"/>
                <w:szCs w:val="27"/>
                <w:lang w:val="en-US"/>
              </w:rPr>
              <w:lastRenderedPageBreak/>
              <w:t>utilizarea lor. Prin urmare, în conformitate cu Directiva 2002/16/CE, nu se mai autorizează utilizarea și/sau prezența BFDGE și NOGE de la 1 ianuarie 2005. Cu toate acestea, ar trebui să se autorizeze epuizarea stocurilor existente.</w:t>
            </w:r>
          </w:p>
        </w:tc>
      </w:tr>
    </w:tbl>
    <w:p w:rsidR="00157AE5" w:rsidRDefault="00157AE5" w:rsidP="00157AE5">
      <w:pPr>
        <w:rPr>
          <w:vanish/>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420"/>
        <w:gridCol w:w="9040"/>
      </w:tblGrid>
      <w:tr w:rsidR="00157AE5" w:rsidRPr="00157AE5" w:rsidTr="00157AE5">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157AE5" w:rsidRDefault="00157AE5">
            <w:pPr>
              <w:pStyle w:val="1"/>
              <w:spacing w:before="120" w:beforeAutospacing="0" w:after="0" w:afterAutospacing="0" w:line="312" w:lineRule="atLeast"/>
              <w:jc w:val="both"/>
              <w:textAlignment w:val="baseline"/>
              <w:rPr>
                <w:rFonts w:ascii="inherit" w:hAnsi="inherit"/>
                <w:color w:val="444444"/>
                <w:sz w:val="27"/>
                <w:szCs w:val="27"/>
              </w:rPr>
            </w:pPr>
            <w:r>
              <w:rPr>
                <w:rFonts w:ascii="inherit" w:hAnsi="inherit"/>
                <w:color w:val="444444"/>
                <w:sz w:val="27"/>
                <w:szCs w:val="27"/>
              </w:rPr>
              <w:t>(6)</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157AE5" w:rsidRPr="00157AE5" w:rsidRDefault="00157AE5">
            <w:pPr>
              <w:pStyle w:val="1"/>
              <w:spacing w:before="120" w:beforeAutospacing="0" w:after="0" w:afterAutospacing="0" w:line="312" w:lineRule="atLeast"/>
              <w:jc w:val="both"/>
              <w:textAlignment w:val="baseline"/>
              <w:rPr>
                <w:rFonts w:ascii="inherit" w:hAnsi="inherit"/>
                <w:color w:val="444444"/>
                <w:sz w:val="27"/>
                <w:szCs w:val="27"/>
                <w:lang w:val="en-US"/>
              </w:rPr>
            </w:pPr>
            <w:r w:rsidRPr="00157AE5">
              <w:rPr>
                <w:rFonts w:ascii="inherit" w:hAnsi="inherit"/>
                <w:color w:val="444444"/>
                <w:sz w:val="27"/>
                <w:szCs w:val="27"/>
                <w:lang w:val="en-US"/>
              </w:rPr>
              <w:t>Pentru recipientele de dimensiuni mari, se autorizează utilizarea și/sau prezența BADGE, NOGE și BFDGE. Raportul mare dintre volum și suprafață, utilizarea repetată în cursul duratei de viață a acestora, care reduce migrația, și faptul că vin în contact cu produsele alimentare de obicei la temperatura ambiantă sugerează că nu este necesară stabilirea unei limite de migrație pentru BADGE, NOGE și BFDGE utilizate la acest tip de recipiente.</w:t>
            </w:r>
          </w:p>
        </w:tc>
      </w:tr>
    </w:tbl>
    <w:p w:rsidR="00157AE5" w:rsidRDefault="00157AE5" w:rsidP="00157AE5">
      <w:pPr>
        <w:rPr>
          <w:vanish/>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420"/>
        <w:gridCol w:w="9040"/>
      </w:tblGrid>
      <w:tr w:rsidR="00157AE5" w:rsidRPr="00157AE5" w:rsidTr="00157AE5">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157AE5" w:rsidRDefault="00157AE5">
            <w:pPr>
              <w:pStyle w:val="1"/>
              <w:spacing w:before="120" w:beforeAutospacing="0" w:after="0" w:afterAutospacing="0" w:line="312" w:lineRule="atLeast"/>
              <w:jc w:val="both"/>
              <w:textAlignment w:val="baseline"/>
              <w:rPr>
                <w:rFonts w:ascii="inherit" w:hAnsi="inherit"/>
                <w:color w:val="444444"/>
                <w:sz w:val="27"/>
                <w:szCs w:val="27"/>
              </w:rPr>
            </w:pPr>
            <w:r>
              <w:rPr>
                <w:rFonts w:ascii="inherit" w:hAnsi="inherit"/>
                <w:color w:val="444444"/>
                <w:sz w:val="27"/>
                <w:szCs w:val="27"/>
              </w:rPr>
              <w:t>(7)</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157AE5" w:rsidRPr="00157AE5" w:rsidRDefault="00157AE5">
            <w:pPr>
              <w:pStyle w:val="1"/>
              <w:spacing w:before="120" w:beforeAutospacing="0" w:after="0" w:afterAutospacing="0" w:line="312" w:lineRule="atLeast"/>
              <w:jc w:val="both"/>
              <w:textAlignment w:val="baseline"/>
              <w:rPr>
                <w:rFonts w:ascii="inherit" w:hAnsi="inherit"/>
                <w:color w:val="444444"/>
                <w:sz w:val="27"/>
                <w:szCs w:val="27"/>
                <w:lang w:val="en-US"/>
              </w:rPr>
            </w:pPr>
            <w:r w:rsidRPr="00157AE5">
              <w:rPr>
                <w:rFonts w:ascii="inherit" w:hAnsi="inherit"/>
                <w:color w:val="444444"/>
                <w:sz w:val="27"/>
                <w:szCs w:val="27"/>
                <w:lang w:val="en-US"/>
              </w:rPr>
              <w:t>În conformitate cu articolul 16 din Regulamentul (CE) nr. 1935/2004, materialele și obiectele care fac obiectul unor măsuri specifice trebuie să fie însoțite de o declarație scrisă care să specifice faptul că respectă normele aplicabile lor. Această cerință nu a fost inclusă încă în Directiva 2002/16/CE. Prin urmare, este necesară introducerea obligației menționate și prevederea unei perioade de tranziție.</w:t>
            </w:r>
          </w:p>
        </w:tc>
      </w:tr>
    </w:tbl>
    <w:p w:rsidR="00157AE5" w:rsidRDefault="00157AE5" w:rsidP="00157AE5">
      <w:pPr>
        <w:rPr>
          <w:vanish/>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420"/>
        <w:gridCol w:w="9040"/>
      </w:tblGrid>
      <w:tr w:rsidR="00157AE5" w:rsidRPr="00157AE5" w:rsidTr="00157AE5">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157AE5" w:rsidRDefault="00157AE5">
            <w:pPr>
              <w:pStyle w:val="1"/>
              <w:spacing w:before="120" w:beforeAutospacing="0" w:after="0" w:afterAutospacing="0" w:line="312" w:lineRule="atLeast"/>
              <w:jc w:val="both"/>
              <w:textAlignment w:val="baseline"/>
              <w:rPr>
                <w:rFonts w:ascii="inherit" w:hAnsi="inherit"/>
                <w:color w:val="444444"/>
                <w:sz w:val="27"/>
                <w:szCs w:val="27"/>
              </w:rPr>
            </w:pPr>
            <w:r>
              <w:rPr>
                <w:rFonts w:ascii="inherit" w:hAnsi="inherit"/>
                <w:color w:val="444444"/>
                <w:sz w:val="27"/>
                <w:szCs w:val="27"/>
              </w:rPr>
              <w:t>(8)</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157AE5" w:rsidRPr="00157AE5" w:rsidRDefault="00157AE5">
            <w:pPr>
              <w:pStyle w:val="1"/>
              <w:spacing w:before="120" w:beforeAutospacing="0" w:after="0" w:afterAutospacing="0" w:line="312" w:lineRule="atLeast"/>
              <w:jc w:val="both"/>
              <w:textAlignment w:val="baseline"/>
              <w:rPr>
                <w:rFonts w:ascii="inherit" w:hAnsi="inherit"/>
                <w:color w:val="444444"/>
                <w:sz w:val="27"/>
                <w:szCs w:val="27"/>
                <w:lang w:val="en-US"/>
              </w:rPr>
            </w:pPr>
            <w:r w:rsidRPr="00157AE5">
              <w:rPr>
                <w:rFonts w:ascii="inherit" w:hAnsi="inherit"/>
                <w:color w:val="444444"/>
                <w:sz w:val="27"/>
                <w:szCs w:val="27"/>
                <w:lang w:val="en-US"/>
              </w:rPr>
              <w:t>Având în vedere modificările necesare și din motive de claritate, Directiva 2002/16/CE ar trebui să fie înlocuită cu un regulament nou.</w:t>
            </w:r>
          </w:p>
        </w:tc>
      </w:tr>
    </w:tbl>
    <w:p w:rsidR="00157AE5" w:rsidRDefault="00157AE5" w:rsidP="00157AE5">
      <w:pPr>
        <w:rPr>
          <w:vanish/>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420"/>
        <w:gridCol w:w="9040"/>
      </w:tblGrid>
      <w:tr w:rsidR="00157AE5" w:rsidRPr="00157AE5" w:rsidTr="00157AE5">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157AE5" w:rsidRDefault="00157AE5">
            <w:pPr>
              <w:pStyle w:val="1"/>
              <w:spacing w:before="120" w:beforeAutospacing="0" w:after="0" w:afterAutospacing="0" w:line="312" w:lineRule="atLeast"/>
              <w:jc w:val="both"/>
              <w:textAlignment w:val="baseline"/>
              <w:rPr>
                <w:rFonts w:ascii="inherit" w:hAnsi="inherit"/>
                <w:color w:val="444444"/>
                <w:sz w:val="27"/>
                <w:szCs w:val="27"/>
              </w:rPr>
            </w:pPr>
            <w:r>
              <w:rPr>
                <w:rFonts w:ascii="inherit" w:hAnsi="inherit"/>
                <w:color w:val="444444"/>
                <w:sz w:val="27"/>
                <w:szCs w:val="27"/>
              </w:rPr>
              <w:t>(9)</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157AE5" w:rsidRPr="00157AE5" w:rsidRDefault="00157AE5">
            <w:pPr>
              <w:pStyle w:val="1"/>
              <w:spacing w:before="0" w:beforeAutospacing="0" w:after="0" w:afterAutospacing="0" w:line="312" w:lineRule="atLeast"/>
              <w:jc w:val="both"/>
              <w:textAlignment w:val="baseline"/>
              <w:rPr>
                <w:rFonts w:ascii="inherit" w:hAnsi="inherit"/>
                <w:color w:val="444444"/>
                <w:sz w:val="27"/>
                <w:szCs w:val="27"/>
                <w:lang w:val="en-US"/>
              </w:rPr>
            </w:pPr>
            <w:r w:rsidRPr="00157AE5">
              <w:rPr>
                <w:rFonts w:ascii="inherit" w:hAnsi="inherit"/>
                <w:color w:val="444444"/>
                <w:sz w:val="27"/>
                <w:szCs w:val="27"/>
                <w:lang w:val="en-US"/>
              </w:rPr>
              <w:t xml:space="preserve">Directiva 2002/16/CE prevede că cerințele sale referitoare la BADGE, BFDGE și NOGE nu se aplică materialelor și obiectelor aduse în contact cu produsele alimentare înainte de 1 martie 2003. Aceste materiale și obiecte se pot comercializa în continuare, cu condiția ca data umplerii să fie menționată. Data respectivă se poate înlocui cu termenul de valabilitate astfel cum este prevăzut de Directiva 2000/13/CE a Parlamentului European și a Consiliului din 20 martie 2000 privind apropierea legislațiilor statelor membre referitoare la etichetarea și prezentarea produselor alimentare, precum și la </w:t>
            </w:r>
            <w:proofErr w:type="spellStart"/>
            <w:r w:rsidRPr="00157AE5">
              <w:rPr>
                <w:rFonts w:ascii="inherit" w:hAnsi="inherit"/>
                <w:color w:val="444444"/>
                <w:sz w:val="27"/>
                <w:szCs w:val="27"/>
                <w:lang w:val="en-US"/>
              </w:rPr>
              <w:t>publicitatea</w:t>
            </w:r>
            <w:proofErr w:type="spellEnd"/>
            <w:r w:rsidRPr="00157AE5">
              <w:rPr>
                <w:rFonts w:ascii="inherit" w:hAnsi="inherit"/>
                <w:color w:val="444444"/>
                <w:sz w:val="27"/>
                <w:szCs w:val="27"/>
                <w:lang w:val="en-US"/>
              </w:rPr>
              <w:t xml:space="preserve"> </w:t>
            </w:r>
            <w:proofErr w:type="spellStart"/>
            <w:r w:rsidRPr="00157AE5">
              <w:rPr>
                <w:rFonts w:ascii="inherit" w:hAnsi="inherit"/>
                <w:color w:val="444444"/>
                <w:sz w:val="27"/>
                <w:szCs w:val="27"/>
                <w:lang w:val="en-US"/>
              </w:rPr>
              <w:t>acestora</w:t>
            </w:r>
            <w:proofErr w:type="spellEnd"/>
            <w:r w:rsidR="00663FE2">
              <w:fldChar w:fldCharType="begin"/>
            </w:r>
            <w:r w:rsidR="00663FE2">
              <w:instrText xml:space="preserve"> HYP</w:instrText>
            </w:r>
            <w:r w:rsidR="00663FE2">
              <w:instrText xml:space="preserve">ERLINK "http://eur-lex.europa.eu/legal-content/RO/TXT/?uri=CELEX%3A32005R1895" \l "ntr3-L_2005302RO.01002801-E0003" </w:instrText>
            </w:r>
            <w:r w:rsidR="00663FE2">
              <w:fldChar w:fldCharType="separate"/>
            </w:r>
            <w:r w:rsidRPr="00157AE5">
              <w:rPr>
                <w:rStyle w:val="a9"/>
                <w:rFonts w:ascii="inherit" w:hAnsi="inherit"/>
                <w:color w:val="800080"/>
                <w:sz w:val="27"/>
                <w:szCs w:val="27"/>
                <w:bdr w:val="none" w:sz="0" w:space="0" w:color="auto" w:frame="1"/>
                <w:lang w:val="en-US"/>
              </w:rPr>
              <w:t> (</w:t>
            </w:r>
            <w:r w:rsidRPr="00157AE5">
              <w:rPr>
                <w:rStyle w:val="super"/>
                <w:rFonts w:ascii="inherit" w:hAnsi="inherit"/>
                <w:color w:val="800080"/>
                <w:sz w:val="19"/>
                <w:szCs w:val="19"/>
                <w:bdr w:val="none" w:sz="0" w:space="0" w:color="auto" w:frame="1"/>
                <w:vertAlign w:val="superscript"/>
                <w:lang w:val="en-US"/>
              </w:rPr>
              <w:t>3</w:t>
            </w:r>
            <w:r w:rsidRPr="00157AE5">
              <w:rPr>
                <w:rStyle w:val="a9"/>
                <w:rFonts w:ascii="inherit" w:hAnsi="inherit"/>
                <w:color w:val="800080"/>
                <w:sz w:val="27"/>
                <w:szCs w:val="27"/>
                <w:bdr w:val="none" w:sz="0" w:space="0" w:color="auto" w:frame="1"/>
                <w:lang w:val="en-US"/>
              </w:rPr>
              <w:t>)</w:t>
            </w:r>
            <w:r w:rsidR="00663FE2">
              <w:rPr>
                <w:rStyle w:val="a9"/>
                <w:rFonts w:ascii="inherit" w:hAnsi="inherit"/>
                <w:color w:val="800080"/>
                <w:sz w:val="27"/>
                <w:szCs w:val="27"/>
                <w:bdr w:val="none" w:sz="0" w:space="0" w:color="auto" w:frame="1"/>
                <w:lang w:val="en-US"/>
              </w:rPr>
              <w:fldChar w:fldCharType="end"/>
            </w:r>
            <w:r w:rsidRPr="00157AE5">
              <w:rPr>
                <w:rStyle w:val="apple-converted-space"/>
                <w:rFonts w:ascii="inherit" w:hAnsi="inherit"/>
                <w:color w:val="444444"/>
                <w:sz w:val="27"/>
                <w:szCs w:val="27"/>
                <w:lang w:val="en-US"/>
              </w:rPr>
              <w:t> </w:t>
            </w:r>
            <w:proofErr w:type="spellStart"/>
            <w:r w:rsidRPr="00157AE5">
              <w:rPr>
                <w:rFonts w:ascii="inherit" w:hAnsi="inherit"/>
                <w:color w:val="444444"/>
                <w:sz w:val="27"/>
                <w:szCs w:val="27"/>
                <w:lang w:val="en-US"/>
              </w:rPr>
              <w:t>sau</w:t>
            </w:r>
            <w:proofErr w:type="spellEnd"/>
            <w:r w:rsidRPr="00157AE5">
              <w:rPr>
                <w:rFonts w:ascii="inherit" w:hAnsi="inherit"/>
                <w:color w:val="444444"/>
                <w:sz w:val="27"/>
                <w:szCs w:val="27"/>
                <w:lang w:val="en-US"/>
              </w:rPr>
              <w:t xml:space="preserve"> cu o </w:t>
            </w:r>
            <w:proofErr w:type="spellStart"/>
            <w:r w:rsidRPr="00157AE5">
              <w:rPr>
                <w:rFonts w:ascii="inherit" w:hAnsi="inherit"/>
                <w:color w:val="444444"/>
                <w:sz w:val="27"/>
                <w:szCs w:val="27"/>
                <w:lang w:val="en-US"/>
              </w:rPr>
              <w:t>altă</w:t>
            </w:r>
            <w:proofErr w:type="spellEnd"/>
            <w:r w:rsidRPr="00157AE5">
              <w:rPr>
                <w:rFonts w:ascii="inherit" w:hAnsi="inherit"/>
                <w:color w:val="444444"/>
                <w:sz w:val="27"/>
                <w:szCs w:val="27"/>
                <w:lang w:val="en-US"/>
              </w:rPr>
              <w:t xml:space="preserve"> indicație, precum numărul lotului solicitat de Directiva 89/396/CEE a Consiliului din 14 iunie 1989 privind indicarea sau marcarea care permite identificarea lotului din care face parte un produs alimentar</w:t>
            </w:r>
            <w:hyperlink r:id="rId6" w:anchor="ntr4-L_2005302RO.01002801-E0004" w:history="1">
              <w:r w:rsidRPr="00157AE5">
                <w:rPr>
                  <w:rStyle w:val="a9"/>
                  <w:rFonts w:ascii="inherit" w:hAnsi="inherit"/>
                  <w:color w:val="800080"/>
                  <w:sz w:val="27"/>
                  <w:szCs w:val="27"/>
                  <w:bdr w:val="none" w:sz="0" w:space="0" w:color="auto" w:frame="1"/>
                  <w:lang w:val="en-US"/>
                </w:rPr>
                <w:t> (</w:t>
              </w:r>
              <w:r w:rsidRPr="00157AE5">
                <w:rPr>
                  <w:rStyle w:val="super"/>
                  <w:rFonts w:ascii="inherit" w:hAnsi="inherit"/>
                  <w:color w:val="800080"/>
                  <w:sz w:val="19"/>
                  <w:szCs w:val="19"/>
                  <w:bdr w:val="none" w:sz="0" w:space="0" w:color="auto" w:frame="1"/>
                  <w:vertAlign w:val="superscript"/>
                  <w:lang w:val="en-US"/>
                </w:rPr>
                <w:t>4</w:t>
              </w:r>
              <w:r w:rsidRPr="00157AE5">
                <w:rPr>
                  <w:rStyle w:val="a9"/>
                  <w:rFonts w:ascii="inherit" w:hAnsi="inherit"/>
                  <w:color w:val="800080"/>
                  <w:sz w:val="27"/>
                  <w:szCs w:val="27"/>
                  <w:bdr w:val="none" w:sz="0" w:space="0" w:color="auto" w:frame="1"/>
                  <w:lang w:val="en-US"/>
                </w:rPr>
                <w:t>)</w:t>
              </w:r>
            </w:hyperlink>
            <w:r w:rsidRPr="00157AE5">
              <w:rPr>
                <w:rFonts w:ascii="inherit" w:hAnsi="inherit"/>
                <w:color w:val="444444"/>
                <w:sz w:val="27"/>
                <w:szCs w:val="27"/>
                <w:lang w:val="en-US"/>
              </w:rPr>
              <w:t>, pentru produsele alimentare ambalate în aceste materiale și obiecte, sub rezerva stabilirii unei legături între indicația respectivă și data umplerii, astfel încât să fie posibilă întotdeauna identificarea acesteia din urmă.</w:t>
            </w:r>
          </w:p>
        </w:tc>
      </w:tr>
    </w:tbl>
    <w:p w:rsidR="00157AE5" w:rsidRDefault="00157AE5" w:rsidP="00157AE5">
      <w:pPr>
        <w:rPr>
          <w:vanish/>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720"/>
        <w:gridCol w:w="8740"/>
      </w:tblGrid>
      <w:tr w:rsidR="00157AE5" w:rsidRPr="00157AE5" w:rsidTr="00157AE5">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157AE5" w:rsidRDefault="00157AE5">
            <w:pPr>
              <w:pStyle w:val="1"/>
              <w:spacing w:before="120" w:beforeAutospacing="0" w:after="0" w:afterAutospacing="0" w:line="312" w:lineRule="atLeast"/>
              <w:jc w:val="both"/>
              <w:textAlignment w:val="baseline"/>
              <w:rPr>
                <w:rFonts w:ascii="inherit" w:hAnsi="inherit"/>
                <w:color w:val="444444"/>
                <w:sz w:val="27"/>
                <w:szCs w:val="27"/>
              </w:rPr>
            </w:pPr>
            <w:r>
              <w:rPr>
                <w:rFonts w:ascii="inherit" w:hAnsi="inherit"/>
                <w:color w:val="444444"/>
                <w:sz w:val="27"/>
                <w:szCs w:val="27"/>
              </w:rPr>
              <w:t>(10)</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157AE5" w:rsidRPr="00157AE5" w:rsidRDefault="00157AE5">
            <w:pPr>
              <w:pStyle w:val="1"/>
              <w:spacing w:before="120" w:beforeAutospacing="0" w:after="0" w:afterAutospacing="0" w:line="312" w:lineRule="atLeast"/>
              <w:jc w:val="both"/>
              <w:textAlignment w:val="baseline"/>
              <w:rPr>
                <w:rFonts w:ascii="inherit" w:hAnsi="inherit"/>
                <w:color w:val="444444"/>
                <w:sz w:val="27"/>
                <w:szCs w:val="27"/>
                <w:lang w:val="en-US"/>
              </w:rPr>
            </w:pPr>
            <w:r w:rsidRPr="00157AE5">
              <w:rPr>
                <w:rFonts w:ascii="inherit" w:hAnsi="inherit"/>
                <w:color w:val="444444"/>
                <w:sz w:val="27"/>
                <w:szCs w:val="27"/>
                <w:lang w:val="en-US"/>
              </w:rPr>
              <w:t>În consecință, Directiva 2002/16/CE ar trebui să fie abrogată.</w:t>
            </w:r>
          </w:p>
        </w:tc>
      </w:tr>
    </w:tbl>
    <w:p w:rsidR="00157AE5" w:rsidRDefault="00157AE5" w:rsidP="00157AE5">
      <w:pPr>
        <w:rPr>
          <w:vanish/>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555"/>
        <w:gridCol w:w="8905"/>
      </w:tblGrid>
      <w:tr w:rsidR="00157AE5" w:rsidRPr="00157AE5" w:rsidTr="00157AE5">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157AE5" w:rsidRDefault="00157AE5">
            <w:pPr>
              <w:pStyle w:val="1"/>
              <w:spacing w:before="120" w:beforeAutospacing="0" w:after="0" w:afterAutospacing="0" w:line="312" w:lineRule="atLeast"/>
              <w:jc w:val="both"/>
              <w:textAlignment w:val="baseline"/>
              <w:rPr>
                <w:rFonts w:ascii="inherit" w:hAnsi="inherit"/>
                <w:color w:val="444444"/>
                <w:sz w:val="27"/>
                <w:szCs w:val="27"/>
              </w:rPr>
            </w:pPr>
            <w:r>
              <w:rPr>
                <w:rFonts w:ascii="inherit" w:hAnsi="inherit"/>
                <w:color w:val="444444"/>
                <w:sz w:val="27"/>
                <w:szCs w:val="27"/>
              </w:rPr>
              <w:t>(11)</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157AE5" w:rsidRPr="00157AE5" w:rsidRDefault="00157AE5">
            <w:pPr>
              <w:pStyle w:val="1"/>
              <w:spacing w:before="120" w:beforeAutospacing="0" w:after="0" w:afterAutospacing="0" w:line="312" w:lineRule="atLeast"/>
              <w:jc w:val="both"/>
              <w:textAlignment w:val="baseline"/>
              <w:rPr>
                <w:rFonts w:ascii="inherit" w:hAnsi="inherit"/>
                <w:color w:val="444444"/>
                <w:sz w:val="27"/>
                <w:szCs w:val="27"/>
                <w:lang w:val="en-US"/>
              </w:rPr>
            </w:pPr>
            <w:r w:rsidRPr="00157AE5">
              <w:rPr>
                <w:rFonts w:ascii="inherit" w:hAnsi="inherit"/>
                <w:color w:val="444444"/>
                <w:sz w:val="27"/>
                <w:szCs w:val="27"/>
                <w:lang w:val="en-US"/>
              </w:rPr>
              <w:t>Măsurile prevăzute de prezentul regulament sunt conforme cu avizul Comitetului permanent pentru lanțul alimentar și sănătatea animală,</w:t>
            </w:r>
          </w:p>
        </w:tc>
      </w:tr>
    </w:tbl>
    <w:p w:rsidR="00157AE5" w:rsidRPr="00157AE5" w:rsidRDefault="00157AE5" w:rsidP="00157AE5">
      <w:pPr>
        <w:pStyle w:val="1"/>
        <w:shd w:val="clear" w:color="auto" w:fill="FFFFFF"/>
        <w:spacing w:before="120" w:beforeAutospacing="0" w:after="0" w:afterAutospacing="0" w:line="312" w:lineRule="atLeast"/>
        <w:jc w:val="both"/>
        <w:textAlignment w:val="baseline"/>
        <w:rPr>
          <w:color w:val="444444"/>
          <w:sz w:val="27"/>
          <w:szCs w:val="27"/>
          <w:lang w:val="en-US"/>
        </w:rPr>
      </w:pPr>
      <w:r w:rsidRPr="00157AE5">
        <w:rPr>
          <w:color w:val="444444"/>
          <w:sz w:val="27"/>
          <w:szCs w:val="27"/>
          <w:lang w:val="en-US"/>
        </w:rPr>
        <w:t>ADOPTĂ PREZENTUL REGULAMENT:</w:t>
      </w:r>
    </w:p>
    <w:p w:rsidR="00157AE5" w:rsidRPr="00157AE5" w:rsidRDefault="00157AE5" w:rsidP="00157AE5">
      <w:pPr>
        <w:pStyle w:val="ti-art"/>
        <w:shd w:val="clear" w:color="auto" w:fill="FFFFFF"/>
        <w:spacing w:before="360" w:beforeAutospacing="0" w:after="120" w:afterAutospacing="0" w:line="312" w:lineRule="atLeast"/>
        <w:jc w:val="center"/>
        <w:textAlignment w:val="baseline"/>
        <w:rPr>
          <w:i/>
          <w:iCs/>
          <w:color w:val="444444"/>
          <w:sz w:val="27"/>
          <w:szCs w:val="27"/>
          <w:lang w:val="en-US"/>
        </w:rPr>
      </w:pPr>
      <w:r w:rsidRPr="00157AE5">
        <w:rPr>
          <w:i/>
          <w:iCs/>
          <w:color w:val="444444"/>
          <w:sz w:val="27"/>
          <w:szCs w:val="27"/>
          <w:lang w:val="en-US"/>
        </w:rPr>
        <w:t>Articolul 1</w:t>
      </w:r>
    </w:p>
    <w:p w:rsidR="00157AE5" w:rsidRPr="00157AE5" w:rsidRDefault="00157AE5" w:rsidP="00157AE5">
      <w:pPr>
        <w:pStyle w:val="sti-art"/>
        <w:shd w:val="clear" w:color="auto" w:fill="FFFFFF"/>
        <w:spacing w:before="60" w:beforeAutospacing="0" w:after="120" w:afterAutospacing="0" w:line="312" w:lineRule="atLeast"/>
        <w:jc w:val="center"/>
        <w:textAlignment w:val="baseline"/>
        <w:rPr>
          <w:b/>
          <w:bCs/>
          <w:color w:val="444444"/>
          <w:sz w:val="27"/>
          <w:szCs w:val="27"/>
          <w:lang w:val="en-US"/>
        </w:rPr>
      </w:pPr>
      <w:r w:rsidRPr="00157AE5">
        <w:rPr>
          <w:b/>
          <w:bCs/>
          <w:color w:val="444444"/>
          <w:sz w:val="27"/>
          <w:szCs w:val="27"/>
          <w:lang w:val="en-US"/>
        </w:rPr>
        <w:t>Domeniul de aplicare</w:t>
      </w:r>
    </w:p>
    <w:p w:rsidR="00157AE5" w:rsidRPr="00157AE5" w:rsidRDefault="00157AE5" w:rsidP="00157AE5">
      <w:pPr>
        <w:pStyle w:val="1"/>
        <w:shd w:val="clear" w:color="auto" w:fill="FFFFFF"/>
        <w:spacing w:before="120" w:beforeAutospacing="0" w:after="0" w:afterAutospacing="0" w:line="312" w:lineRule="atLeast"/>
        <w:jc w:val="both"/>
        <w:textAlignment w:val="baseline"/>
        <w:rPr>
          <w:color w:val="444444"/>
          <w:sz w:val="27"/>
          <w:szCs w:val="27"/>
          <w:lang w:val="en-US"/>
        </w:rPr>
      </w:pPr>
      <w:r w:rsidRPr="00157AE5">
        <w:rPr>
          <w:color w:val="444444"/>
          <w:sz w:val="27"/>
          <w:szCs w:val="27"/>
          <w:lang w:val="en-US"/>
        </w:rPr>
        <w:t xml:space="preserve">(1)   Prezentul regulament se aplică materialelor și obiectelor, inclusiv materialelor și obiectelor active și inteligente, destinate să intre în contact cu produsele alimentare, menționate la articolul 1 alineatul (2) din Regulamentul (CE) nr. 1935/2004, care sunt </w:t>
      </w:r>
      <w:r w:rsidRPr="00157AE5">
        <w:rPr>
          <w:color w:val="444444"/>
          <w:sz w:val="27"/>
          <w:szCs w:val="27"/>
          <w:lang w:val="en-US"/>
        </w:rPr>
        <w:lastRenderedPageBreak/>
        <w:t>fabricate din substanțele prezentate în continuare sau conțin una sau mai multe dintre aceste substanțe: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405"/>
        <w:gridCol w:w="9055"/>
      </w:tblGrid>
      <w:tr w:rsidR="00157AE5" w:rsidRPr="00157AE5" w:rsidTr="00157AE5">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157AE5" w:rsidRDefault="00157AE5">
            <w:pPr>
              <w:pStyle w:val="1"/>
              <w:spacing w:before="120" w:beforeAutospacing="0" w:after="0" w:afterAutospacing="0" w:line="312" w:lineRule="atLeast"/>
              <w:jc w:val="both"/>
              <w:textAlignment w:val="baseline"/>
              <w:rPr>
                <w:rFonts w:ascii="inherit" w:hAnsi="inherit"/>
                <w:color w:val="444444"/>
                <w:sz w:val="27"/>
                <w:szCs w:val="27"/>
              </w:rPr>
            </w:pPr>
            <w:r>
              <w:rPr>
                <w:rFonts w:ascii="inherit" w:hAnsi="inherit"/>
                <w:color w:val="444444"/>
                <w:sz w:val="27"/>
                <w:szCs w:val="27"/>
              </w:rPr>
              <w:t>(a)</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157AE5" w:rsidRPr="00157AE5" w:rsidRDefault="00157AE5">
            <w:pPr>
              <w:pStyle w:val="1"/>
              <w:spacing w:before="120" w:beforeAutospacing="0" w:after="0" w:afterAutospacing="0" w:line="312" w:lineRule="atLeast"/>
              <w:jc w:val="both"/>
              <w:textAlignment w:val="baseline"/>
              <w:rPr>
                <w:rFonts w:ascii="inherit" w:hAnsi="inherit"/>
                <w:color w:val="444444"/>
                <w:sz w:val="27"/>
                <w:szCs w:val="27"/>
                <w:lang w:val="en-US"/>
              </w:rPr>
            </w:pPr>
            <w:r w:rsidRPr="00157AE5">
              <w:rPr>
                <w:rFonts w:ascii="inherit" w:hAnsi="inherit"/>
                <w:color w:val="444444"/>
                <w:sz w:val="27"/>
                <w:szCs w:val="27"/>
                <w:lang w:val="en-US"/>
              </w:rPr>
              <w:t>2,2-bis(4-hidroxifenil)propan - bis(2,3-epoxipropil) eter, denumit în continuare „BADGE” (nr. CAS 001675-54-3) și unii dintre derivații acestuia;</w:t>
            </w:r>
          </w:p>
        </w:tc>
      </w:tr>
    </w:tbl>
    <w:p w:rsidR="00157AE5" w:rsidRDefault="00157AE5" w:rsidP="00157AE5">
      <w:pPr>
        <w:rPr>
          <w:vanish/>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420"/>
        <w:gridCol w:w="9040"/>
      </w:tblGrid>
      <w:tr w:rsidR="00157AE5" w:rsidRPr="00157AE5" w:rsidTr="00157AE5">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157AE5" w:rsidRDefault="00157AE5">
            <w:pPr>
              <w:pStyle w:val="1"/>
              <w:spacing w:before="120" w:beforeAutospacing="0" w:after="0" w:afterAutospacing="0" w:line="312" w:lineRule="atLeast"/>
              <w:jc w:val="both"/>
              <w:textAlignment w:val="baseline"/>
              <w:rPr>
                <w:rFonts w:ascii="inherit" w:hAnsi="inherit"/>
                <w:color w:val="444444"/>
                <w:sz w:val="27"/>
                <w:szCs w:val="27"/>
              </w:rPr>
            </w:pPr>
            <w:r>
              <w:rPr>
                <w:rFonts w:ascii="inherit" w:hAnsi="inherit"/>
                <w:color w:val="444444"/>
                <w:sz w:val="27"/>
                <w:szCs w:val="27"/>
              </w:rPr>
              <w:t>(b)</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157AE5" w:rsidRPr="00157AE5" w:rsidRDefault="00157AE5">
            <w:pPr>
              <w:pStyle w:val="1"/>
              <w:spacing w:before="120" w:beforeAutospacing="0" w:after="0" w:afterAutospacing="0" w:line="312" w:lineRule="atLeast"/>
              <w:jc w:val="both"/>
              <w:textAlignment w:val="baseline"/>
              <w:rPr>
                <w:rFonts w:ascii="inherit" w:hAnsi="inherit"/>
                <w:color w:val="444444"/>
                <w:sz w:val="27"/>
                <w:szCs w:val="27"/>
                <w:lang w:val="en-US"/>
              </w:rPr>
            </w:pPr>
            <w:r w:rsidRPr="00157AE5">
              <w:rPr>
                <w:rFonts w:ascii="inherit" w:hAnsi="inherit"/>
                <w:color w:val="444444"/>
                <w:sz w:val="27"/>
                <w:szCs w:val="27"/>
                <w:lang w:val="en-US"/>
              </w:rPr>
              <w:t>bis(hidroxifenil)metan - bis(2,3-epoxipropil) eteri, denumiți în continuare „BFDGE” (nr. CAS 039817-09-9);</w:t>
            </w:r>
          </w:p>
        </w:tc>
      </w:tr>
    </w:tbl>
    <w:p w:rsidR="00157AE5" w:rsidRDefault="00157AE5" w:rsidP="00157AE5">
      <w:pPr>
        <w:rPr>
          <w:vanish/>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558"/>
        <w:gridCol w:w="8902"/>
      </w:tblGrid>
      <w:tr w:rsidR="00157AE5" w:rsidRPr="00157AE5" w:rsidTr="00157AE5">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157AE5" w:rsidRDefault="00157AE5">
            <w:pPr>
              <w:pStyle w:val="1"/>
              <w:spacing w:before="120" w:beforeAutospacing="0" w:after="0" w:afterAutospacing="0" w:line="312" w:lineRule="atLeast"/>
              <w:jc w:val="both"/>
              <w:textAlignment w:val="baseline"/>
              <w:rPr>
                <w:rFonts w:ascii="inherit" w:hAnsi="inherit"/>
                <w:color w:val="444444"/>
                <w:sz w:val="27"/>
                <w:szCs w:val="27"/>
              </w:rPr>
            </w:pPr>
            <w:r>
              <w:rPr>
                <w:rFonts w:ascii="inherit" w:hAnsi="inherit"/>
                <w:color w:val="444444"/>
                <w:sz w:val="27"/>
                <w:szCs w:val="27"/>
              </w:rPr>
              <w:t>(c)</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157AE5" w:rsidRPr="00157AE5" w:rsidRDefault="00157AE5">
            <w:pPr>
              <w:pStyle w:val="1"/>
              <w:spacing w:before="120" w:beforeAutospacing="0" w:after="0" w:afterAutospacing="0" w:line="312" w:lineRule="atLeast"/>
              <w:jc w:val="both"/>
              <w:textAlignment w:val="baseline"/>
              <w:rPr>
                <w:rFonts w:ascii="inherit" w:hAnsi="inherit"/>
                <w:color w:val="444444"/>
                <w:sz w:val="27"/>
                <w:szCs w:val="27"/>
                <w:lang w:val="en-US"/>
              </w:rPr>
            </w:pPr>
            <w:r w:rsidRPr="00157AE5">
              <w:rPr>
                <w:rFonts w:ascii="inherit" w:hAnsi="inherit"/>
                <w:color w:val="444444"/>
                <w:sz w:val="27"/>
                <w:szCs w:val="27"/>
                <w:lang w:val="en-US"/>
              </w:rPr>
              <w:t>alți novolac glicidil eteri, denumiți în continuare „NOGE”.</w:t>
            </w:r>
          </w:p>
        </w:tc>
      </w:tr>
    </w:tbl>
    <w:p w:rsidR="00157AE5" w:rsidRPr="00157AE5" w:rsidRDefault="00157AE5" w:rsidP="00157AE5">
      <w:pPr>
        <w:pStyle w:val="1"/>
        <w:shd w:val="clear" w:color="auto" w:fill="FFFFFF"/>
        <w:spacing w:before="120" w:beforeAutospacing="0" w:after="0" w:afterAutospacing="0" w:line="312" w:lineRule="atLeast"/>
        <w:jc w:val="both"/>
        <w:textAlignment w:val="baseline"/>
        <w:rPr>
          <w:color w:val="444444"/>
          <w:sz w:val="27"/>
          <w:szCs w:val="27"/>
          <w:lang w:val="en-US"/>
        </w:rPr>
      </w:pPr>
      <w:r w:rsidRPr="00157AE5">
        <w:rPr>
          <w:color w:val="444444"/>
          <w:sz w:val="27"/>
          <w:szCs w:val="27"/>
          <w:lang w:val="en-US"/>
        </w:rPr>
        <w:t>(2)   În sensul prezentului regulament, expresia „materiale și obiecte” reprezintă:</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523"/>
        <w:gridCol w:w="8937"/>
      </w:tblGrid>
      <w:tr w:rsidR="00157AE5" w:rsidRPr="00157AE5" w:rsidTr="00157AE5">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157AE5" w:rsidRDefault="00157AE5">
            <w:pPr>
              <w:pStyle w:val="1"/>
              <w:spacing w:before="120" w:beforeAutospacing="0" w:after="0" w:afterAutospacing="0" w:line="312" w:lineRule="atLeast"/>
              <w:jc w:val="both"/>
              <w:textAlignment w:val="baseline"/>
              <w:rPr>
                <w:rFonts w:ascii="inherit" w:hAnsi="inherit"/>
                <w:color w:val="444444"/>
                <w:sz w:val="27"/>
                <w:szCs w:val="27"/>
              </w:rPr>
            </w:pPr>
            <w:r>
              <w:rPr>
                <w:rFonts w:ascii="inherit" w:hAnsi="inherit"/>
                <w:color w:val="444444"/>
                <w:sz w:val="27"/>
                <w:szCs w:val="27"/>
              </w:rPr>
              <w:t>(a)</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157AE5" w:rsidRPr="00157AE5" w:rsidRDefault="00157AE5">
            <w:pPr>
              <w:pStyle w:val="1"/>
              <w:spacing w:before="120" w:beforeAutospacing="0" w:after="0" w:afterAutospacing="0" w:line="312" w:lineRule="atLeast"/>
              <w:jc w:val="both"/>
              <w:textAlignment w:val="baseline"/>
              <w:rPr>
                <w:rFonts w:ascii="inherit" w:hAnsi="inherit"/>
                <w:color w:val="444444"/>
                <w:sz w:val="27"/>
                <w:szCs w:val="27"/>
                <w:lang w:val="en-US"/>
              </w:rPr>
            </w:pPr>
            <w:r w:rsidRPr="00157AE5">
              <w:rPr>
                <w:rFonts w:ascii="inherit" w:hAnsi="inherit"/>
                <w:color w:val="444444"/>
                <w:sz w:val="27"/>
                <w:szCs w:val="27"/>
                <w:lang w:val="en-US"/>
              </w:rPr>
              <w:t>materiale și obiecte realizate din orice tip de materiale plastice;</w:t>
            </w:r>
          </w:p>
        </w:tc>
      </w:tr>
    </w:tbl>
    <w:p w:rsidR="00157AE5" w:rsidRDefault="00157AE5" w:rsidP="00157AE5">
      <w:pPr>
        <w:rPr>
          <w:vanish/>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589"/>
        <w:gridCol w:w="8871"/>
      </w:tblGrid>
      <w:tr w:rsidR="00157AE5" w:rsidRPr="00157AE5" w:rsidTr="00157AE5">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157AE5" w:rsidRDefault="00157AE5">
            <w:pPr>
              <w:pStyle w:val="1"/>
              <w:spacing w:before="120" w:beforeAutospacing="0" w:after="0" w:afterAutospacing="0" w:line="312" w:lineRule="atLeast"/>
              <w:jc w:val="both"/>
              <w:textAlignment w:val="baseline"/>
              <w:rPr>
                <w:rFonts w:ascii="inherit" w:hAnsi="inherit"/>
                <w:color w:val="444444"/>
                <w:sz w:val="27"/>
                <w:szCs w:val="27"/>
              </w:rPr>
            </w:pPr>
            <w:r>
              <w:rPr>
                <w:rFonts w:ascii="inherit" w:hAnsi="inherit"/>
                <w:color w:val="444444"/>
                <w:sz w:val="27"/>
                <w:szCs w:val="27"/>
              </w:rPr>
              <w:t>(b)</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157AE5" w:rsidRPr="00157AE5" w:rsidRDefault="00157AE5">
            <w:pPr>
              <w:pStyle w:val="1"/>
              <w:spacing w:before="120" w:beforeAutospacing="0" w:after="0" w:afterAutospacing="0" w:line="312" w:lineRule="atLeast"/>
              <w:jc w:val="both"/>
              <w:textAlignment w:val="baseline"/>
              <w:rPr>
                <w:rFonts w:ascii="inherit" w:hAnsi="inherit"/>
                <w:color w:val="444444"/>
                <w:sz w:val="27"/>
                <w:szCs w:val="27"/>
                <w:lang w:val="en-US"/>
              </w:rPr>
            </w:pPr>
            <w:r w:rsidRPr="00157AE5">
              <w:rPr>
                <w:rFonts w:ascii="inherit" w:hAnsi="inherit"/>
                <w:color w:val="444444"/>
                <w:sz w:val="27"/>
                <w:szCs w:val="27"/>
                <w:lang w:val="en-US"/>
              </w:rPr>
              <w:t>materiale și obiecte cu straturi superficiale de acoperire și</w:t>
            </w:r>
          </w:p>
        </w:tc>
      </w:tr>
    </w:tbl>
    <w:p w:rsidR="00157AE5" w:rsidRDefault="00157AE5" w:rsidP="00157AE5">
      <w:pPr>
        <w:rPr>
          <w:vanish/>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2674"/>
        <w:gridCol w:w="6786"/>
      </w:tblGrid>
      <w:tr w:rsidR="00157AE5" w:rsidTr="00157AE5">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157AE5" w:rsidRDefault="00157AE5">
            <w:pPr>
              <w:pStyle w:val="1"/>
              <w:spacing w:before="120" w:beforeAutospacing="0" w:after="0" w:afterAutospacing="0" w:line="312" w:lineRule="atLeast"/>
              <w:jc w:val="both"/>
              <w:textAlignment w:val="baseline"/>
              <w:rPr>
                <w:rFonts w:ascii="inherit" w:hAnsi="inherit"/>
                <w:color w:val="444444"/>
                <w:sz w:val="27"/>
                <w:szCs w:val="27"/>
              </w:rPr>
            </w:pPr>
            <w:r>
              <w:rPr>
                <w:rFonts w:ascii="inherit" w:hAnsi="inherit"/>
                <w:color w:val="444444"/>
                <w:sz w:val="27"/>
                <w:szCs w:val="27"/>
              </w:rPr>
              <w:t>(c)</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157AE5" w:rsidRDefault="00157AE5">
            <w:pPr>
              <w:pStyle w:val="1"/>
              <w:spacing w:before="120" w:beforeAutospacing="0" w:after="0" w:afterAutospacing="0" w:line="312" w:lineRule="atLeast"/>
              <w:jc w:val="both"/>
              <w:textAlignment w:val="baseline"/>
              <w:rPr>
                <w:rFonts w:ascii="inherit" w:hAnsi="inherit"/>
                <w:color w:val="444444"/>
                <w:sz w:val="27"/>
                <w:szCs w:val="27"/>
              </w:rPr>
            </w:pPr>
            <w:proofErr w:type="spellStart"/>
            <w:r>
              <w:rPr>
                <w:rFonts w:ascii="inherit" w:hAnsi="inherit"/>
                <w:color w:val="444444"/>
                <w:sz w:val="27"/>
                <w:szCs w:val="27"/>
              </w:rPr>
              <w:t>adezivii</w:t>
            </w:r>
            <w:proofErr w:type="spellEnd"/>
            <w:r>
              <w:rPr>
                <w:rFonts w:ascii="inherit" w:hAnsi="inherit"/>
                <w:color w:val="444444"/>
                <w:sz w:val="27"/>
                <w:szCs w:val="27"/>
              </w:rPr>
              <w:t>.</w:t>
            </w:r>
          </w:p>
        </w:tc>
      </w:tr>
    </w:tbl>
    <w:p w:rsidR="00157AE5" w:rsidRPr="00157AE5" w:rsidRDefault="00157AE5" w:rsidP="00157AE5">
      <w:pPr>
        <w:pStyle w:val="1"/>
        <w:shd w:val="clear" w:color="auto" w:fill="FFFFFF"/>
        <w:spacing w:before="120" w:beforeAutospacing="0" w:after="0" w:afterAutospacing="0" w:line="312" w:lineRule="atLeast"/>
        <w:jc w:val="both"/>
        <w:textAlignment w:val="baseline"/>
        <w:rPr>
          <w:color w:val="444444"/>
          <w:sz w:val="27"/>
          <w:szCs w:val="27"/>
          <w:lang w:val="en-US"/>
        </w:rPr>
      </w:pPr>
      <w:r w:rsidRPr="00157AE5">
        <w:rPr>
          <w:color w:val="444444"/>
          <w:sz w:val="27"/>
          <w:szCs w:val="27"/>
          <w:lang w:val="en-US"/>
        </w:rPr>
        <w:t>(3)   Prezentul regulament nu se aplică recipientelor sau rezervoarelor de depozitare cu o capacitate mai mare de 10 000 de litri sau conductelor care aparțin acestora sau sunt conectate la acestea, prevăzute cu straturi de acoperire speciale denumite „învelișuri pentru trafic intens”.</w:t>
      </w:r>
    </w:p>
    <w:p w:rsidR="00157AE5" w:rsidRPr="00157AE5" w:rsidRDefault="00157AE5" w:rsidP="00157AE5">
      <w:pPr>
        <w:pStyle w:val="ti-art"/>
        <w:shd w:val="clear" w:color="auto" w:fill="FFFFFF"/>
        <w:spacing w:before="360" w:beforeAutospacing="0" w:after="120" w:afterAutospacing="0" w:line="312" w:lineRule="atLeast"/>
        <w:jc w:val="center"/>
        <w:textAlignment w:val="baseline"/>
        <w:rPr>
          <w:i/>
          <w:iCs/>
          <w:color w:val="444444"/>
          <w:sz w:val="27"/>
          <w:szCs w:val="27"/>
          <w:lang w:val="en-US"/>
        </w:rPr>
      </w:pPr>
      <w:r w:rsidRPr="00157AE5">
        <w:rPr>
          <w:i/>
          <w:iCs/>
          <w:color w:val="444444"/>
          <w:sz w:val="27"/>
          <w:szCs w:val="27"/>
          <w:lang w:val="en-US"/>
        </w:rPr>
        <w:t>Articolul 2</w:t>
      </w:r>
    </w:p>
    <w:p w:rsidR="00157AE5" w:rsidRPr="00157AE5" w:rsidRDefault="00157AE5" w:rsidP="00157AE5">
      <w:pPr>
        <w:pStyle w:val="sti-art"/>
        <w:shd w:val="clear" w:color="auto" w:fill="FFFFFF"/>
        <w:spacing w:before="60" w:beforeAutospacing="0" w:after="120" w:afterAutospacing="0" w:line="312" w:lineRule="atLeast"/>
        <w:jc w:val="center"/>
        <w:textAlignment w:val="baseline"/>
        <w:rPr>
          <w:b/>
          <w:bCs/>
          <w:color w:val="444444"/>
          <w:sz w:val="27"/>
          <w:szCs w:val="27"/>
          <w:lang w:val="en-US"/>
        </w:rPr>
      </w:pPr>
      <w:r w:rsidRPr="00157AE5">
        <w:rPr>
          <w:b/>
          <w:bCs/>
          <w:color w:val="444444"/>
          <w:sz w:val="27"/>
          <w:szCs w:val="27"/>
          <w:lang w:val="en-US"/>
        </w:rPr>
        <w:t>BADGE</w:t>
      </w:r>
    </w:p>
    <w:p w:rsidR="00157AE5" w:rsidRPr="00157AE5" w:rsidRDefault="00157AE5" w:rsidP="00157AE5">
      <w:pPr>
        <w:pStyle w:val="1"/>
        <w:shd w:val="clear" w:color="auto" w:fill="FFFFFF"/>
        <w:spacing w:before="120" w:beforeAutospacing="0" w:after="0" w:afterAutospacing="0" w:line="312" w:lineRule="atLeast"/>
        <w:jc w:val="both"/>
        <w:textAlignment w:val="baseline"/>
        <w:rPr>
          <w:color w:val="444444"/>
          <w:sz w:val="27"/>
          <w:szCs w:val="27"/>
          <w:lang w:val="en-US"/>
        </w:rPr>
      </w:pPr>
      <w:r w:rsidRPr="00157AE5">
        <w:rPr>
          <w:color w:val="444444"/>
          <w:sz w:val="27"/>
          <w:szCs w:val="27"/>
          <w:lang w:val="en-US"/>
        </w:rPr>
        <w:t>Materialele și obiectele nu trebuie să elibereze substanțele enumerate în anexa I într-o cantitate care depășește limitele stabilite în anexa menționată.</w:t>
      </w:r>
    </w:p>
    <w:p w:rsidR="00157AE5" w:rsidRPr="00157AE5" w:rsidRDefault="00157AE5" w:rsidP="00157AE5">
      <w:pPr>
        <w:pStyle w:val="ti-art"/>
        <w:shd w:val="clear" w:color="auto" w:fill="FFFFFF"/>
        <w:spacing w:before="360" w:beforeAutospacing="0" w:after="120" w:afterAutospacing="0" w:line="312" w:lineRule="atLeast"/>
        <w:jc w:val="center"/>
        <w:textAlignment w:val="baseline"/>
        <w:rPr>
          <w:i/>
          <w:iCs/>
          <w:color w:val="444444"/>
          <w:sz w:val="27"/>
          <w:szCs w:val="27"/>
          <w:lang w:val="en-US"/>
        </w:rPr>
      </w:pPr>
      <w:r w:rsidRPr="00157AE5">
        <w:rPr>
          <w:i/>
          <w:iCs/>
          <w:color w:val="444444"/>
          <w:sz w:val="27"/>
          <w:szCs w:val="27"/>
          <w:lang w:val="en-US"/>
        </w:rPr>
        <w:t>Articolul 3</w:t>
      </w:r>
    </w:p>
    <w:p w:rsidR="00157AE5" w:rsidRPr="00157AE5" w:rsidRDefault="00157AE5" w:rsidP="00157AE5">
      <w:pPr>
        <w:pStyle w:val="sti-art"/>
        <w:shd w:val="clear" w:color="auto" w:fill="FFFFFF"/>
        <w:spacing w:before="60" w:beforeAutospacing="0" w:after="120" w:afterAutospacing="0" w:line="312" w:lineRule="atLeast"/>
        <w:jc w:val="center"/>
        <w:textAlignment w:val="baseline"/>
        <w:rPr>
          <w:b/>
          <w:bCs/>
          <w:color w:val="444444"/>
          <w:sz w:val="27"/>
          <w:szCs w:val="27"/>
          <w:lang w:val="en-US"/>
        </w:rPr>
      </w:pPr>
      <w:r w:rsidRPr="00157AE5">
        <w:rPr>
          <w:b/>
          <w:bCs/>
          <w:color w:val="444444"/>
          <w:sz w:val="27"/>
          <w:szCs w:val="27"/>
          <w:lang w:val="en-US"/>
        </w:rPr>
        <w:t>BFDGE</w:t>
      </w:r>
    </w:p>
    <w:p w:rsidR="00157AE5" w:rsidRPr="00157AE5" w:rsidRDefault="00157AE5" w:rsidP="00157AE5">
      <w:pPr>
        <w:pStyle w:val="1"/>
        <w:shd w:val="clear" w:color="auto" w:fill="FFFFFF"/>
        <w:spacing w:before="120" w:beforeAutospacing="0" w:after="0" w:afterAutospacing="0" w:line="312" w:lineRule="atLeast"/>
        <w:jc w:val="both"/>
        <w:textAlignment w:val="baseline"/>
        <w:rPr>
          <w:color w:val="444444"/>
          <w:sz w:val="27"/>
          <w:szCs w:val="27"/>
          <w:lang w:val="en-US"/>
        </w:rPr>
      </w:pPr>
      <w:r w:rsidRPr="00157AE5">
        <w:rPr>
          <w:color w:val="444444"/>
          <w:sz w:val="27"/>
          <w:szCs w:val="27"/>
          <w:lang w:val="en-US"/>
        </w:rPr>
        <w:t>Se interzice utilizarea și/sau prezența BFDGE la fabricarea materialelor și obiectelor.</w:t>
      </w:r>
    </w:p>
    <w:p w:rsidR="00157AE5" w:rsidRPr="00157AE5" w:rsidRDefault="00157AE5" w:rsidP="00157AE5">
      <w:pPr>
        <w:pStyle w:val="ti-art"/>
        <w:shd w:val="clear" w:color="auto" w:fill="FFFFFF"/>
        <w:spacing w:before="360" w:beforeAutospacing="0" w:after="120" w:afterAutospacing="0" w:line="312" w:lineRule="atLeast"/>
        <w:jc w:val="center"/>
        <w:textAlignment w:val="baseline"/>
        <w:rPr>
          <w:i/>
          <w:iCs/>
          <w:color w:val="444444"/>
          <w:sz w:val="27"/>
          <w:szCs w:val="27"/>
          <w:lang w:val="en-US"/>
        </w:rPr>
      </w:pPr>
      <w:r w:rsidRPr="00157AE5">
        <w:rPr>
          <w:i/>
          <w:iCs/>
          <w:color w:val="444444"/>
          <w:sz w:val="27"/>
          <w:szCs w:val="27"/>
          <w:lang w:val="en-US"/>
        </w:rPr>
        <w:t>Articolul 4</w:t>
      </w:r>
    </w:p>
    <w:p w:rsidR="00157AE5" w:rsidRPr="00157AE5" w:rsidRDefault="00157AE5" w:rsidP="00157AE5">
      <w:pPr>
        <w:pStyle w:val="sti-art"/>
        <w:shd w:val="clear" w:color="auto" w:fill="FFFFFF"/>
        <w:spacing w:before="60" w:beforeAutospacing="0" w:after="120" w:afterAutospacing="0" w:line="312" w:lineRule="atLeast"/>
        <w:jc w:val="center"/>
        <w:textAlignment w:val="baseline"/>
        <w:rPr>
          <w:b/>
          <w:bCs/>
          <w:color w:val="444444"/>
          <w:sz w:val="27"/>
          <w:szCs w:val="27"/>
          <w:lang w:val="en-US"/>
        </w:rPr>
      </w:pPr>
      <w:r w:rsidRPr="00157AE5">
        <w:rPr>
          <w:b/>
          <w:bCs/>
          <w:color w:val="444444"/>
          <w:sz w:val="27"/>
          <w:szCs w:val="27"/>
          <w:lang w:val="en-US"/>
        </w:rPr>
        <w:t>NOGE</w:t>
      </w:r>
    </w:p>
    <w:p w:rsidR="00157AE5" w:rsidRPr="00157AE5" w:rsidRDefault="00157AE5" w:rsidP="00157AE5">
      <w:pPr>
        <w:pStyle w:val="1"/>
        <w:shd w:val="clear" w:color="auto" w:fill="FFFFFF"/>
        <w:spacing w:before="120" w:beforeAutospacing="0" w:after="0" w:afterAutospacing="0" w:line="312" w:lineRule="atLeast"/>
        <w:jc w:val="both"/>
        <w:textAlignment w:val="baseline"/>
        <w:rPr>
          <w:color w:val="444444"/>
          <w:sz w:val="27"/>
          <w:szCs w:val="27"/>
          <w:lang w:val="en-US"/>
        </w:rPr>
      </w:pPr>
      <w:r w:rsidRPr="00157AE5">
        <w:rPr>
          <w:color w:val="444444"/>
          <w:sz w:val="27"/>
          <w:szCs w:val="27"/>
          <w:lang w:val="en-US"/>
        </w:rPr>
        <w:t>Se interzice utilizarea și/sau prezența NOGE la fabricarea materialelor și obiectelor.</w:t>
      </w:r>
    </w:p>
    <w:p w:rsidR="00157AE5" w:rsidRDefault="00157AE5" w:rsidP="00157AE5">
      <w:pPr>
        <w:pStyle w:val="ti-art"/>
        <w:shd w:val="clear" w:color="auto" w:fill="FFFFFF"/>
        <w:spacing w:before="360" w:beforeAutospacing="0" w:after="120" w:afterAutospacing="0" w:line="312" w:lineRule="atLeast"/>
        <w:jc w:val="center"/>
        <w:textAlignment w:val="baseline"/>
        <w:rPr>
          <w:i/>
          <w:iCs/>
          <w:color w:val="444444"/>
          <w:sz w:val="27"/>
          <w:szCs w:val="27"/>
        </w:rPr>
      </w:pPr>
      <w:proofErr w:type="spellStart"/>
      <w:r>
        <w:rPr>
          <w:i/>
          <w:iCs/>
          <w:color w:val="444444"/>
          <w:sz w:val="27"/>
          <w:szCs w:val="27"/>
        </w:rPr>
        <w:t>Articolul</w:t>
      </w:r>
      <w:proofErr w:type="spellEnd"/>
      <w:r>
        <w:rPr>
          <w:i/>
          <w:iCs/>
          <w:color w:val="444444"/>
          <w:sz w:val="27"/>
          <w:szCs w:val="27"/>
        </w:rPr>
        <w:t xml:space="preserve"> 5</w:t>
      </w:r>
    </w:p>
    <w:p w:rsidR="00157AE5" w:rsidRPr="00157AE5" w:rsidRDefault="00157AE5" w:rsidP="00157AE5">
      <w:pPr>
        <w:pStyle w:val="sti-art"/>
        <w:shd w:val="clear" w:color="auto" w:fill="FFFFFF"/>
        <w:spacing w:before="60" w:beforeAutospacing="0" w:after="120" w:afterAutospacing="0" w:line="312" w:lineRule="atLeast"/>
        <w:jc w:val="center"/>
        <w:textAlignment w:val="baseline"/>
        <w:rPr>
          <w:b/>
          <w:bCs/>
          <w:color w:val="444444"/>
          <w:sz w:val="27"/>
          <w:szCs w:val="27"/>
          <w:lang w:val="en-US"/>
        </w:rPr>
      </w:pPr>
      <w:r w:rsidRPr="00157AE5">
        <w:rPr>
          <w:b/>
          <w:bCs/>
          <w:color w:val="444444"/>
          <w:sz w:val="27"/>
          <w:szCs w:val="27"/>
          <w:lang w:val="en-US"/>
        </w:rPr>
        <w:t>Declarația scrisă</w:t>
      </w:r>
    </w:p>
    <w:p w:rsidR="00157AE5" w:rsidRPr="00157AE5" w:rsidRDefault="00157AE5" w:rsidP="00157AE5">
      <w:pPr>
        <w:pStyle w:val="1"/>
        <w:shd w:val="clear" w:color="auto" w:fill="FFFFFF"/>
        <w:spacing w:before="120" w:beforeAutospacing="0" w:after="0" w:afterAutospacing="0" w:line="312" w:lineRule="atLeast"/>
        <w:jc w:val="both"/>
        <w:textAlignment w:val="baseline"/>
        <w:rPr>
          <w:color w:val="444444"/>
          <w:sz w:val="27"/>
          <w:szCs w:val="27"/>
          <w:lang w:val="en-US"/>
        </w:rPr>
      </w:pPr>
      <w:r w:rsidRPr="00157AE5">
        <w:rPr>
          <w:color w:val="444444"/>
          <w:sz w:val="27"/>
          <w:szCs w:val="27"/>
          <w:lang w:val="en-US"/>
        </w:rPr>
        <w:t xml:space="preserve">În etapele de comercializare, altele decât etapele de vânzare cu amănuntul, materialele și obiectele care conțin BADGE și derivații acestuia trebuie </w:t>
      </w:r>
      <w:proofErr w:type="gramStart"/>
      <w:r w:rsidRPr="00157AE5">
        <w:rPr>
          <w:color w:val="444444"/>
          <w:sz w:val="27"/>
          <w:szCs w:val="27"/>
          <w:lang w:val="en-US"/>
        </w:rPr>
        <w:t>să</w:t>
      </w:r>
      <w:proofErr w:type="gramEnd"/>
      <w:r w:rsidRPr="00157AE5">
        <w:rPr>
          <w:color w:val="444444"/>
          <w:sz w:val="27"/>
          <w:szCs w:val="27"/>
          <w:lang w:val="en-US"/>
        </w:rPr>
        <w:t xml:space="preserve"> fie însoțite de o declarație scrisă în conformitate cu articolul 16 din Regulamentul (CE) nr. </w:t>
      </w:r>
      <w:proofErr w:type="gramStart"/>
      <w:r w:rsidRPr="00157AE5">
        <w:rPr>
          <w:color w:val="444444"/>
          <w:sz w:val="27"/>
          <w:szCs w:val="27"/>
          <w:lang w:val="en-US"/>
        </w:rPr>
        <w:t>1935/2004.</w:t>
      </w:r>
      <w:proofErr w:type="gramEnd"/>
    </w:p>
    <w:p w:rsidR="00157AE5" w:rsidRPr="00157AE5" w:rsidRDefault="00157AE5" w:rsidP="00157AE5">
      <w:pPr>
        <w:pStyle w:val="1"/>
        <w:shd w:val="clear" w:color="auto" w:fill="FFFFFF"/>
        <w:spacing w:before="120" w:beforeAutospacing="0" w:after="0" w:afterAutospacing="0" w:line="312" w:lineRule="atLeast"/>
        <w:jc w:val="both"/>
        <w:textAlignment w:val="baseline"/>
        <w:rPr>
          <w:color w:val="444444"/>
          <w:sz w:val="27"/>
          <w:szCs w:val="27"/>
          <w:lang w:val="en-US"/>
        </w:rPr>
      </w:pPr>
      <w:r w:rsidRPr="00157AE5">
        <w:rPr>
          <w:color w:val="444444"/>
          <w:sz w:val="27"/>
          <w:szCs w:val="27"/>
          <w:lang w:val="en-US"/>
        </w:rPr>
        <w:t xml:space="preserve">O documentație corespunzătoare </w:t>
      </w:r>
      <w:proofErr w:type="gramStart"/>
      <w:r w:rsidRPr="00157AE5">
        <w:rPr>
          <w:color w:val="444444"/>
          <w:sz w:val="27"/>
          <w:szCs w:val="27"/>
          <w:lang w:val="en-US"/>
        </w:rPr>
        <w:t>este</w:t>
      </w:r>
      <w:proofErr w:type="gramEnd"/>
      <w:r w:rsidRPr="00157AE5">
        <w:rPr>
          <w:color w:val="444444"/>
          <w:sz w:val="27"/>
          <w:szCs w:val="27"/>
          <w:lang w:val="en-US"/>
        </w:rPr>
        <w:t xml:space="preserve"> disponibilă pentru demonstrarea acestei conformități. Această documentație se pune la dispoziția autorităților competente, la cererea acestora.</w:t>
      </w:r>
    </w:p>
    <w:p w:rsidR="00157AE5" w:rsidRPr="00157AE5" w:rsidRDefault="00157AE5" w:rsidP="00157AE5">
      <w:pPr>
        <w:pStyle w:val="ti-art"/>
        <w:shd w:val="clear" w:color="auto" w:fill="FFFFFF"/>
        <w:spacing w:before="360" w:beforeAutospacing="0" w:after="120" w:afterAutospacing="0" w:line="312" w:lineRule="atLeast"/>
        <w:jc w:val="center"/>
        <w:textAlignment w:val="baseline"/>
        <w:rPr>
          <w:i/>
          <w:iCs/>
          <w:color w:val="444444"/>
          <w:sz w:val="27"/>
          <w:szCs w:val="27"/>
          <w:lang w:val="en-US"/>
        </w:rPr>
      </w:pPr>
      <w:r w:rsidRPr="00157AE5">
        <w:rPr>
          <w:i/>
          <w:iCs/>
          <w:color w:val="444444"/>
          <w:sz w:val="27"/>
          <w:szCs w:val="27"/>
          <w:lang w:val="en-US"/>
        </w:rPr>
        <w:lastRenderedPageBreak/>
        <w:t>Articolul 6</w:t>
      </w:r>
    </w:p>
    <w:p w:rsidR="00157AE5" w:rsidRPr="00157AE5" w:rsidRDefault="00157AE5" w:rsidP="00157AE5">
      <w:pPr>
        <w:pStyle w:val="sti-art"/>
        <w:shd w:val="clear" w:color="auto" w:fill="FFFFFF"/>
        <w:spacing w:before="60" w:beforeAutospacing="0" w:after="120" w:afterAutospacing="0" w:line="312" w:lineRule="atLeast"/>
        <w:jc w:val="center"/>
        <w:textAlignment w:val="baseline"/>
        <w:rPr>
          <w:b/>
          <w:bCs/>
          <w:color w:val="444444"/>
          <w:sz w:val="27"/>
          <w:szCs w:val="27"/>
          <w:lang w:val="en-US"/>
        </w:rPr>
      </w:pPr>
      <w:r w:rsidRPr="00157AE5">
        <w:rPr>
          <w:b/>
          <w:bCs/>
          <w:color w:val="444444"/>
          <w:sz w:val="27"/>
          <w:szCs w:val="27"/>
          <w:lang w:val="en-US"/>
        </w:rPr>
        <w:t>Dispoziții tranzitorii</w:t>
      </w:r>
    </w:p>
    <w:p w:rsidR="00157AE5" w:rsidRPr="00157AE5" w:rsidRDefault="00157AE5" w:rsidP="00157AE5">
      <w:pPr>
        <w:pStyle w:val="1"/>
        <w:shd w:val="clear" w:color="auto" w:fill="FFFFFF"/>
        <w:spacing w:before="120" w:beforeAutospacing="0" w:after="0" w:afterAutospacing="0" w:line="312" w:lineRule="atLeast"/>
        <w:jc w:val="both"/>
        <w:textAlignment w:val="baseline"/>
        <w:rPr>
          <w:color w:val="444444"/>
          <w:sz w:val="27"/>
          <w:szCs w:val="27"/>
          <w:lang w:val="en-US"/>
        </w:rPr>
      </w:pPr>
      <w:r w:rsidRPr="00157AE5">
        <w:rPr>
          <w:color w:val="444444"/>
          <w:sz w:val="27"/>
          <w:szCs w:val="27"/>
          <w:lang w:val="en-US"/>
        </w:rPr>
        <w:t>(1)   Articolele 2, 3 și 4 nu se aplică materialelor și obiectelor menționate la articolul 1 alineatul (2) literele (b) și (c) care sunt aduse în contact cu produsele alimentare înainte de 1 martie 2003.</w:t>
      </w:r>
    </w:p>
    <w:p w:rsidR="00157AE5" w:rsidRPr="00157AE5" w:rsidRDefault="00157AE5" w:rsidP="00157AE5">
      <w:pPr>
        <w:pStyle w:val="1"/>
        <w:shd w:val="clear" w:color="auto" w:fill="FFFFFF"/>
        <w:spacing w:before="120" w:beforeAutospacing="0" w:after="0" w:afterAutospacing="0" w:line="312" w:lineRule="atLeast"/>
        <w:jc w:val="both"/>
        <w:textAlignment w:val="baseline"/>
        <w:rPr>
          <w:color w:val="444444"/>
          <w:sz w:val="27"/>
          <w:szCs w:val="27"/>
          <w:lang w:val="en-US"/>
        </w:rPr>
      </w:pPr>
      <w:r w:rsidRPr="00157AE5">
        <w:rPr>
          <w:color w:val="444444"/>
          <w:sz w:val="27"/>
          <w:szCs w:val="27"/>
          <w:lang w:val="en-US"/>
        </w:rPr>
        <w:t>(2)   Articolele 3 și 4 nu se aplică materialelor și obiectelor care sunt în conformitate cu Directiva 2002/16/CE și care sunt aduse în contact cu produsele alimentare înainte de 1 ianuarie 2005.</w:t>
      </w:r>
    </w:p>
    <w:p w:rsidR="00157AE5" w:rsidRPr="00157AE5" w:rsidRDefault="00157AE5" w:rsidP="00157AE5">
      <w:pPr>
        <w:pStyle w:val="1"/>
        <w:shd w:val="clear" w:color="auto" w:fill="FFFFFF"/>
        <w:spacing w:before="120" w:beforeAutospacing="0" w:after="0" w:afterAutospacing="0" w:line="312" w:lineRule="atLeast"/>
        <w:jc w:val="both"/>
        <w:textAlignment w:val="baseline"/>
        <w:rPr>
          <w:color w:val="444444"/>
          <w:sz w:val="27"/>
          <w:szCs w:val="27"/>
          <w:lang w:val="en-US"/>
        </w:rPr>
      </w:pPr>
      <w:proofErr w:type="gramStart"/>
      <w:r w:rsidRPr="00157AE5">
        <w:rPr>
          <w:color w:val="444444"/>
          <w:sz w:val="27"/>
          <w:szCs w:val="27"/>
          <w:lang w:val="en-US"/>
        </w:rPr>
        <w:t>(3)   Articolul 5 nu se aplică materialelor și obiectelor menționate la articolul 1 alineatul (2) literele (a), (b) și (c) care sunt aduse în contact cu produsele alimentare înainte de 1 ianuarie 2007.</w:t>
      </w:r>
      <w:proofErr w:type="gramEnd"/>
    </w:p>
    <w:p w:rsidR="00157AE5" w:rsidRPr="00157AE5" w:rsidRDefault="00157AE5" w:rsidP="00157AE5">
      <w:pPr>
        <w:pStyle w:val="1"/>
        <w:shd w:val="clear" w:color="auto" w:fill="FFFFFF"/>
        <w:spacing w:before="120" w:beforeAutospacing="0" w:after="0" w:afterAutospacing="0" w:line="312" w:lineRule="atLeast"/>
        <w:jc w:val="both"/>
        <w:textAlignment w:val="baseline"/>
        <w:rPr>
          <w:color w:val="444444"/>
          <w:sz w:val="27"/>
          <w:szCs w:val="27"/>
          <w:lang w:val="en-US"/>
        </w:rPr>
      </w:pPr>
      <w:r w:rsidRPr="00157AE5">
        <w:rPr>
          <w:color w:val="444444"/>
          <w:sz w:val="27"/>
          <w:szCs w:val="27"/>
          <w:lang w:val="en-US"/>
        </w:rPr>
        <w:t xml:space="preserve">(4)   Materialele și obiectele menționate la alineatele (1), (2) și (3) se pot comercializa, cu condiția ca data de umplere </w:t>
      </w:r>
      <w:proofErr w:type="gramStart"/>
      <w:r w:rsidRPr="00157AE5">
        <w:rPr>
          <w:color w:val="444444"/>
          <w:sz w:val="27"/>
          <w:szCs w:val="27"/>
          <w:lang w:val="en-US"/>
        </w:rPr>
        <w:t>să</w:t>
      </w:r>
      <w:proofErr w:type="gramEnd"/>
      <w:r w:rsidRPr="00157AE5">
        <w:rPr>
          <w:color w:val="444444"/>
          <w:sz w:val="27"/>
          <w:szCs w:val="27"/>
          <w:lang w:val="en-US"/>
        </w:rPr>
        <w:t xml:space="preserve"> fie specificată pe materiale sau obiecte. Data de umplere se poate înlocui cu o </w:t>
      </w:r>
      <w:proofErr w:type="gramStart"/>
      <w:r w:rsidRPr="00157AE5">
        <w:rPr>
          <w:color w:val="444444"/>
          <w:sz w:val="27"/>
          <w:szCs w:val="27"/>
          <w:lang w:val="en-US"/>
        </w:rPr>
        <w:t>altă</w:t>
      </w:r>
      <w:proofErr w:type="gramEnd"/>
      <w:r w:rsidRPr="00157AE5">
        <w:rPr>
          <w:color w:val="444444"/>
          <w:sz w:val="27"/>
          <w:szCs w:val="27"/>
          <w:lang w:val="en-US"/>
        </w:rPr>
        <w:t xml:space="preserve"> indicație, cu condiția ca aceasta să permită identificarea datei de umplere. La cerere, data de umplere se pune la dispoziția autorităților competente și </w:t>
      </w:r>
      <w:proofErr w:type="gramStart"/>
      <w:r w:rsidRPr="00157AE5">
        <w:rPr>
          <w:color w:val="444444"/>
          <w:sz w:val="27"/>
          <w:szCs w:val="27"/>
          <w:lang w:val="en-US"/>
        </w:rPr>
        <w:t>a</w:t>
      </w:r>
      <w:proofErr w:type="gramEnd"/>
      <w:r w:rsidRPr="00157AE5">
        <w:rPr>
          <w:color w:val="444444"/>
          <w:sz w:val="27"/>
          <w:szCs w:val="27"/>
          <w:lang w:val="en-US"/>
        </w:rPr>
        <w:t xml:space="preserve"> oricărei persoane care veghează la aplicarea cerințelor prezentului regulament.</w:t>
      </w:r>
    </w:p>
    <w:p w:rsidR="00157AE5" w:rsidRPr="00157AE5" w:rsidRDefault="00157AE5" w:rsidP="00157AE5">
      <w:pPr>
        <w:pStyle w:val="1"/>
        <w:shd w:val="clear" w:color="auto" w:fill="FFFFFF"/>
        <w:spacing w:before="120" w:beforeAutospacing="0" w:after="0" w:afterAutospacing="0" w:line="312" w:lineRule="atLeast"/>
        <w:jc w:val="both"/>
        <w:textAlignment w:val="baseline"/>
        <w:rPr>
          <w:color w:val="444444"/>
          <w:sz w:val="27"/>
          <w:szCs w:val="27"/>
          <w:lang w:val="en-US"/>
        </w:rPr>
      </w:pPr>
      <w:r w:rsidRPr="00157AE5">
        <w:rPr>
          <w:color w:val="444444"/>
          <w:sz w:val="27"/>
          <w:szCs w:val="27"/>
          <w:lang w:val="en-US"/>
        </w:rPr>
        <w:t xml:space="preserve">(5)   Alineatele (1) până la (4) se aplică fără </w:t>
      </w:r>
      <w:proofErr w:type="gramStart"/>
      <w:r w:rsidRPr="00157AE5">
        <w:rPr>
          <w:color w:val="444444"/>
          <w:sz w:val="27"/>
          <w:szCs w:val="27"/>
          <w:lang w:val="en-US"/>
        </w:rPr>
        <w:t>a</w:t>
      </w:r>
      <w:proofErr w:type="gramEnd"/>
      <w:r w:rsidRPr="00157AE5">
        <w:rPr>
          <w:color w:val="444444"/>
          <w:sz w:val="27"/>
          <w:szCs w:val="27"/>
          <w:lang w:val="en-US"/>
        </w:rPr>
        <w:t xml:space="preserve"> aduce atingere cerințelor Directivei 2000/13/CE.</w:t>
      </w:r>
    </w:p>
    <w:p w:rsidR="00157AE5" w:rsidRPr="00157AE5" w:rsidRDefault="00157AE5" w:rsidP="00157AE5">
      <w:pPr>
        <w:pStyle w:val="ti-art"/>
        <w:shd w:val="clear" w:color="auto" w:fill="FFFFFF"/>
        <w:spacing w:before="360" w:beforeAutospacing="0" w:after="120" w:afterAutospacing="0" w:line="312" w:lineRule="atLeast"/>
        <w:jc w:val="center"/>
        <w:textAlignment w:val="baseline"/>
        <w:rPr>
          <w:i/>
          <w:iCs/>
          <w:color w:val="444444"/>
          <w:sz w:val="27"/>
          <w:szCs w:val="27"/>
          <w:lang w:val="en-US"/>
        </w:rPr>
      </w:pPr>
      <w:r w:rsidRPr="00157AE5">
        <w:rPr>
          <w:i/>
          <w:iCs/>
          <w:color w:val="444444"/>
          <w:sz w:val="27"/>
          <w:szCs w:val="27"/>
          <w:lang w:val="en-US"/>
        </w:rPr>
        <w:t>Articolul 7</w:t>
      </w:r>
    </w:p>
    <w:p w:rsidR="00157AE5" w:rsidRPr="00157AE5" w:rsidRDefault="00157AE5" w:rsidP="00157AE5">
      <w:pPr>
        <w:pStyle w:val="sti-art"/>
        <w:shd w:val="clear" w:color="auto" w:fill="FFFFFF"/>
        <w:spacing w:before="60" w:beforeAutospacing="0" w:after="120" w:afterAutospacing="0" w:line="312" w:lineRule="atLeast"/>
        <w:jc w:val="center"/>
        <w:textAlignment w:val="baseline"/>
        <w:rPr>
          <w:b/>
          <w:bCs/>
          <w:color w:val="444444"/>
          <w:sz w:val="27"/>
          <w:szCs w:val="27"/>
          <w:lang w:val="en-US"/>
        </w:rPr>
      </w:pPr>
      <w:r w:rsidRPr="00157AE5">
        <w:rPr>
          <w:b/>
          <w:bCs/>
          <w:color w:val="444444"/>
          <w:sz w:val="27"/>
          <w:szCs w:val="27"/>
          <w:lang w:val="en-US"/>
        </w:rPr>
        <w:t>Abrogarea</w:t>
      </w:r>
    </w:p>
    <w:p w:rsidR="00157AE5" w:rsidRPr="00157AE5" w:rsidRDefault="00157AE5" w:rsidP="00157AE5">
      <w:pPr>
        <w:pStyle w:val="1"/>
        <w:shd w:val="clear" w:color="auto" w:fill="FFFFFF"/>
        <w:spacing w:before="120" w:beforeAutospacing="0" w:after="0" w:afterAutospacing="0" w:line="312" w:lineRule="atLeast"/>
        <w:jc w:val="both"/>
        <w:textAlignment w:val="baseline"/>
        <w:rPr>
          <w:color w:val="444444"/>
          <w:sz w:val="27"/>
          <w:szCs w:val="27"/>
          <w:lang w:val="en-US"/>
        </w:rPr>
      </w:pPr>
      <w:proofErr w:type="gramStart"/>
      <w:r w:rsidRPr="00157AE5">
        <w:rPr>
          <w:color w:val="444444"/>
          <w:sz w:val="27"/>
          <w:szCs w:val="27"/>
          <w:lang w:val="en-US"/>
        </w:rPr>
        <w:t>Directiva 2002/16/CE se abrogă.</w:t>
      </w:r>
      <w:proofErr w:type="gramEnd"/>
    </w:p>
    <w:p w:rsidR="00157AE5" w:rsidRPr="00157AE5" w:rsidRDefault="00157AE5" w:rsidP="00157AE5">
      <w:pPr>
        <w:pStyle w:val="1"/>
        <w:shd w:val="clear" w:color="auto" w:fill="FFFFFF"/>
        <w:spacing w:before="120" w:beforeAutospacing="0" w:after="0" w:afterAutospacing="0" w:line="312" w:lineRule="atLeast"/>
        <w:jc w:val="both"/>
        <w:textAlignment w:val="baseline"/>
        <w:rPr>
          <w:color w:val="444444"/>
          <w:sz w:val="27"/>
          <w:szCs w:val="27"/>
          <w:lang w:val="en-US"/>
        </w:rPr>
      </w:pPr>
      <w:proofErr w:type="gramStart"/>
      <w:r w:rsidRPr="00157AE5">
        <w:rPr>
          <w:color w:val="444444"/>
          <w:sz w:val="27"/>
          <w:szCs w:val="27"/>
          <w:lang w:val="en-US"/>
        </w:rPr>
        <w:t>Trimiterile la directiva abrogată se interpretează ca trimiteri la prezentul regulament și se citesc în conformitate cu tabelul de corespondență prevăzut în anexa II.</w:t>
      </w:r>
      <w:proofErr w:type="gramEnd"/>
    </w:p>
    <w:p w:rsidR="00157AE5" w:rsidRPr="00157AE5" w:rsidRDefault="00157AE5" w:rsidP="00157AE5">
      <w:pPr>
        <w:pStyle w:val="ti-art"/>
        <w:shd w:val="clear" w:color="auto" w:fill="FFFFFF"/>
        <w:spacing w:before="360" w:beforeAutospacing="0" w:after="120" w:afterAutospacing="0" w:line="312" w:lineRule="atLeast"/>
        <w:jc w:val="center"/>
        <w:textAlignment w:val="baseline"/>
        <w:rPr>
          <w:i/>
          <w:iCs/>
          <w:color w:val="444444"/>
          <w:sz w:val="27"/>
          <w:szCs w:val="27"/>
          <w:lang w:val="en-US"/>
        </w:rPr>
      </w:pPr>
      <w:r w:rsidRPr="00157AE5">
        <w:rPr>
          <w:i/>
          <w:iCs/>
          <w:color w:val="444444"/>
          <w:sz w:val="27"/>
          <w:szCs w:val="27"/>
          <w:lang w:val="en-US"/>
        </w:rPr>
        <w:t>Articolul 8</w:t>
      </w:r>
    </w:p>
    <w:p w:rsidR="00157AE5" w:rsidRPr="00157AE5" w:rsidRDefault="00157AE5" w:rsidP="00157AE5">
      <w:pPr>
        <w:pStyle w:val="sti-art"/>
        <w:shd w:val="clear" w:color="auto" w:fill="FFFFFF"/>
        <w:spacing w:before="60" w:beforeAutospacing="0" w:after="120" w:afterAutospacing="0" w:line="312" w:lineRule="atLeast"/>
        <w:jc w:val="center"/>
        <w:textAlignment w:val="baseline"/>
        <w:rPr>
          <w:b/>
          <w:bCs/>
          <w:color w:val="444444"/>
          <w:sz w:val="27"/>
          <w:szCs w:val="27"/>
          <w:lang w:val="en-US"/>
        </w:rPr>
      </w:pPr>
      <w:r w:rsidRPr="00157AE5">
        <w:rPr>
          <w:b/>
          <w:bCs/>
          <w:color w:val="444444"/>
          <w:sz w:val="27"/>
          <w:szCs w:val="27"/>
          <w:lang w:val="en-US"/>
        </w:rPr>
        <w:t>Intrarea în vigoare</w:t>
      </w:r>
    </w:p>
    <w:p w:rsidR="00157AE5" w:rsidRPr="00157AE5" w:rsidRDefault="00157AE5" w:rsidP="00157AE5">
      <w:pPr>
        <w:pStyle w:val="1"/>
        <w:shd w:val="clear" w:color="auto" w:fill="FFFFFF"/>
        <w:spacing w:before="0" w:beforeAutospacing="0" w:after="0" w:afterAutospacing="0" w:line="312" w:lineRule="atLeast"/>
        <w:jc w:val="both"/>
        <w:textAlignment w:val="baseline"/>
        <w:rPr>
          <w:color w:val="444444"/>
          <w:sz w:val="27"/>
          <w:szCs w:val="27"/>
          <w:lang w:val="en-US"/>
        </w:rPr>
      </w:pPr>
      <w:proofErr w:type="gramStart"/>
      <w:r w:rsidRPr="00157AE5">
        <w:rPr>
          <w:color w:val="444444"/>
          <w:sz w:val="27"/>
          <w:szCs w:val="27"/>
          <w:lang w:val="en-US"/>
        </w:rPr>
        <w:t>Prezentul regulament intră în vigoare în a douăzecea zi de la data publicării în</w:t>
      </w:r>
      <w:r w:rsidRPr="00157AE5">
        <w:rPr>
          <w:rStyle w:val="apple-converted-space"/>
          <w:color w:val="444444"/>
          <w:sz w:val="27"/>
          <w:szCs w:val="27"/>
          <w:lang w:val="en-US"/>
        </w:rPr>
        <w:t> </w:t>
      </w:r>
      <w:r w:rsidRPr="00157AE5">
        <w:rPr>
          <w:rStyle w:val="italic"/>
          <w:rFonts w:ascii="inherit" w:hAnsi="inherit"/>
          <w:i/>
          <w:iCs/>
          <w:color w:val="444444"/>
          <w:sz w:val="27"/>
          <w:szCs w:val="27"/>
          <w:bdr w:val="none" w:sz="0" w:space="0" w:color="auto" w:frame="1"/>
          <w:lang w:val="en-US"/>
        </w:rPr>
        <w:t>Jurnalul Oficial al Uniunii Europene</w:t>
      </w:r>
      <w:r w:rsidRPr="00157AE5">
        <w:rPr>
          <w:color w:val="444444"/>
          <w:sz w:val="27"/>
          <w:szCs w:val="27"/>
          <w:lang w:val="en-US"/>
        </w:rPr>
        <w:t>.</w:t>
      </w:r>
      <w:proofErr w:type="gramEnd"/>
    </w:p>
    <w:p w:rsidR="00157AE5" w:rsidRPr="00157AE5" w:rsidRDefault="00157AE5" w:rsidP="00157AE5">
      <w:pPr>
        <w:pStyle w:val="1"/>
        <w:shd w:val="clear" w:color="auto" w:fill="FFFFFF"/>
        <w:spacing w:before="120" w:beforeAutospacing="0" w:after="0" w:afterAutospacing="0" w:line="312" w:lineRule="atLeast"/>
        <w:jc w:val="both"/>
        <w:textAlignment w:val="baseline"/>
        <w:rPr>
          <w:color w:val="444444"/>
          <w:sz w:val="27"/>
          <w:szCs w:val="27"/>
          <w:lang w:val="en-US"/>
        </w:rPr>
      </w:pPr>
      <w:proofErr w:type="gramStart"/>
      <w:r w:rsidRPr="00157AE5">
        <w:rPr>
          <w:color w:val="444444"/>
          <w:sz w:val="27"/>
          <w:szCs w:val="27"/>
          <w:lang w:val="en-US"/>
        </w:rPr>
        <w:t>Se aplică de la 1 ianuarie 2006.</w:t>
      </w:r>
      <w:proofErr w:type="gramEnd"/>
    </w:p>
    <w:p w:rsidR="00157AE5" w:rsidRPr="00157AE5" w:rsidRDefault="00157AE5" w:rsidP="00157AE5">
      <w:pPr>
        <w:pStyle w:val="1"/>
        <w:shd w:val="clear" w:color="auto" w:fill="FFFFFF"/>
        <w:spacing w:before="120" w:beforeAutospacing="0" w:after="0" w:afterAutospacing="0" w:line="312" w:lineRule="atLeast"/>
        <w:jc w:val="both"/>
        <w:textAlignment w:val="baseline"/>
        <w:rPr>
          <w:rFonts w:ascii="inherit" w:hAnsi="inherit"/>
          <w:color w:val="444444"/>
          <w:sz w:val="27"/>
          <w:szCs w:val="27"/>
          <w:lang w:val="en-US"/>
        </w:rPr>
      </w:pPr>
      <w:r w:rsidRPr="00157AE5">
        <w:rPr>
          <w:rFonts w:ascii="inherit" w:hAnsi="inherit"/>
          <w:color w:val="444444"/>
          <w:sz w:val="27"/>
          <w:szCs w:val="27"/>
          <w:lang w:val="en-US"/>
        </w:rPr>
        <w:t xml:space="preserve">Prezentul regulament </w:t>
      </w:r>
      <w:proofErr w:type="gramStart"/>
      <w:r w:rsidRPr="00157AE5">
        <w:rPr>
          <w:rFonts w:ascii="inherit" w:hAnsi="inherit"/>
          <w:color w:val="444444"/>
          <w:sz w:val="27"/>
          <w:szCs w:val="27"/>
          <w:lang w:val="en-US"/>
        </w:rPr>
        <w:t>este</w:t>
      </w:r>
      <w:proofErr w:type="gramEnd"/>
      <w:r w:rsidRPr="00157AE5">
        <w:rPr>
          <w:rFonts w:ascii="inherit" w:hAnsi="inherit"/>
          <w:color w:val="444444"/>
          <w:sz w:val="27"/>
          <w:szCs w:val="27"/>
          <w:lang w:val="en-US"/>
        </w:rPr>
        <w:t xml:space="preserve"> obligatoriu în toate elementele sale și se aplică direct în toate statele membre.</w:t>
      </w:r>
    </w:p>
    <w:p w:rsidR="00157AE5" w:rsidRPr="00157AE5" w:rsidRDefault="00157AE5" w:rsidP="00157AE5">
      <w:pPr>
        <w:pStyle w:val="1"/>
        <w:shd w:val="clear" w:color="auto" w:fill="FFFFFF"/>
        <w:spacing w:before="120" w:beforeAutospacing="0" w:after="0" w:afterAutospacing="0" w:line="312" w:lineRule="atLeast"/>
        <w:jc w:val="both"/>
        <w:textAlignment w:val="baseline"/>
        <w:rPr>
          <w:rFonts w:ascii="inherit" w:hAnsi="inherit"/>
          <w:color w:val="444444"/>
          <w:sz w:val="27"/>
          <w:szCs w:val="27"/>
          <w:lang w:val="en-US"/>
        </w:rPr>
      </w:pPr>
      <w:proofErr w:type="gramStart"/>
      <w:r w:rsidRPr="00157AE5">
        <w:rPr>
          <w:rFonts w:ascii="inherit" w:hAnsi="inherit"/>
          <w:color w:val="444444"/>
          <w:sz w:val="27"/>
          <w:szCs w:val="27"/>
          <w:lang w:val="en-US"/>
        </w:rPr>
        <w:t>Adoptat la Bruxelles, 18 noiembrie 2005.</w:t>
      </w:r>
      <w:proofErr w:type="gramEnd"/>
    </w:p>
    <w:p w:rsidR="00157AE5" w:rsidRPr="00157AE5" w:rsidRDefault="00157AE5" w:rsidP="00157AE5">
      <w:pPr>
        <w:pStyle w:val="signatory"/>
        <w:shd w:val="clear" w:color="auto" w:fill="FFFFFF"/>
        <w:spacing w:before="0" w:beforeAutospacing="0" w:after="0" w:afterAutospacing="0" w:line="312" w:lineRule="atLeast"/>
        <w:jc w:val="center"/>
        <w:textAlignment w:val="baseline"/>
        <w:rPr>
          <w:rFonts w:ascii="inherit" w:hAnsi="inherit"/>
          <w:color w:val="444444"/>
          <w:sz w:val="27"/>
          <w:szCs w:val="27"/>
          <w:lang w:val="en-US"/>
        </w:rPr>
      </w:pPr>
      <w:r w:rsidRPr="00157AE5">
        <w:rPr>
          <w:rStyle w:val="italic"/>
          <w:rFonts w:ascii="inherit" w:hAnsi="inherit"/>
          <w:i/>
          <w:iCs/>
          <w:color w:val="444444"/>
          <w:sz w:val="27"/>
          <w:szCs w:val="27"/>
          <w:bdr w:val="none" w:sz="0" w:space="0" w:color="auto" w:frame="1"/>
          <w:lang w:val="en-US"/>
        </w:rPr>
        <w:t>Pentru Comisie</w:t>
      </w:r>
    </w:p>
    <w:p w:rsidR="00157AE5" w:rsidRDefault="00157AE5" w:rsidP="00157AE5">
      <w:pPr>
        <w:pStyle w:val="signatory"/>
        <w:shd w:val="clear" w:color="auto" w:fill="FFFFFF"/>
        <w:spacing w:before="0" w:beforeAutospacing="0" w:after="0" w:afterAutospacing="0" w:line="312" w:lineRule="atLeast"/>
        <w:jc w:val="center"/>
        <w:textAlignment w:val="baseline"/>
        <w:rPr>
          <w:rFonts w:ascii="inherit" w:hAnsi="inherit"/>
          <w:color w:val="444444"/>
          <w:sz w:val="27"/>
          <w:szCs w:val="27"/>
        </w:rPr>
      </w:pPr>
      <w:proofErr w:type="spellStart"/>
      <w:r>
        <w:rPr>
          <w:rFonts w:ascii="inherit" w:hAnsi="inherit"/>
          <w:color w:val="444444"/>
          <w:sz w:val="27"/>
          <w:szCs w:val="27"/>
        </w:rPr>
        <w:t>Markos</w:t>
      </w:r>
      <w:proofErr w:type="spellEnd"/>
      <w:r>
        <w:rPr>
          <w:rStyle w:val="apple-converted-space"/>
          <w:rFonts w:ascii="inherit" w:hAnsi="inherit"/>
          <w:color w:val="444444"/>
          <w:sz w:val="27"/>
          <w:szCs w:val="27"/>
        </w:rPr>
        <w:t> </w:t>
      </w:r>
      <w:r>
        <w:rPr>
          <w:rFonts w:ascii="inherit" w:hAnsi="inherit"/>
          <w:color w:val="444444"/>
          <w:sz w:val="27"/>
          <w:szCs w:val="27"/>
          <w:bdr w:val="none" w:sz="0" w:space="0" w:color="auto" w:frame="1"/>
        </w:rPr>
        <w:t>KYPRIANOU</w:t>
      </w:r>
    </w:p>
    <w:p w:rsidR="00157AE5" w:rsidRDefault="00157AE5" w:rsidP="00157AE5">
      <w:pPr>
        <w:pStyle w:val="signatory"/>
        <w:shd w:val="clear" w:color="auto" w:fill="FFFFFF"/>
        <w:spacing w:before="0" w:beforeAutospacing="0" w:after="0" w:afterAutospacing="0" w:line="312" w:lineRule="atLeast"/>
        <w:jc w:val="center"/>
        <w:textAlignment w:val="baseline"/>
        <w:rPr>
          <w:rFonts w:ascii="inherit" w:hAnsi="inherit"/>
          <w:color w:val="444444"/>
          <w:sz w:val="27"/>
          <w:szCs w:val="27"/>
        </w:rPr>
      </w:pPr>
      <w:proofErr w:type="spellStart"/>
      <w:r>
        <w:rPr>
          <w:rStyle w:val="italic"/>
          <w:rFonts w:ascii="inherit" w:hAnsi="inherit"/>
          <w:i/>
          <w:iCs/>
          <w:color w:val="444444"/>
          <w:sz w:val="27"/>
          <w:szCs w:val="27"/>
          <w:bdr w:val="none" w:sz="0" w:space="0" w:color="auto" w:frame="1"/>
        </w:rPr>
        <w:t>Membru</w:t>
      </w:r>
      <w:proofErr w:type="spellEnd"/>
      <w:r>
        <w:rPr>
          <w:rStyle w:val="italic"/>
          <w:rFonts w:ascii="inherit" w:hAnsi="inherit"/>
          <w:i/>
          <w:iCs/>
          <w:color w:val="444444"/>
          <w:sz w:val="27"/>
          <w:szCs w:val="27"/>
          <w:bdr w:val="none" w:sz="0" w:space="0" w:color="auto" w:frame="1"/>
        </w:rPr>
        <w:t xml:space="preserve"> </w:t>
      </w:r>
      <w:proofErr w:type="spellStart"/>
      <w:r>
        <w:rPr>
          <w:rStyle w:val="italic"/>
          <w:rFonts w:ascii="inherit" w:hAnsi="inherit"/>
          <w:i/>
          <w:iCs/>
          <w:color w:val="444444"/>
          <w:sz w:val="27"/>
          <w:szCs w:val="27"/>
          <w:bdr w:val="none" w:sz="0" w:space="0" w:color="auto" w:frame="1"/>
        </w:rPr>
        <w:t>al</w:t>
      </w:r>
      <w:proofErr w:type="spellEnd"/>
      <w:r>
        <w:rPr>
          <w:rStyle w:val="italic"/>
          <w:rFonts w:ascii="inherit" w:hAnsi="inherit"/>
          <w:i/>
          <w:iCs/>
          <w:color w:val="444444"/>
          <w:sz w:val="27"/>
          <w:szCs w:val="27"/>
          <w:bdr w:val="none" w:sz="0" w:space="0" w:color="auto" w:frame="1"/>
        </w:rPr>
        <w:t xml:space="preserve"> </w:t>
      </w:r>
      <w:proofErr w:type="spellStart"/>
      <w:r>
        <w:rPr>
          <w:rStyle w:val="italic"/>
          <w:rFonts w:ascii="inherit" w:hAnsi="inherit"/>
          <w:i/>
          <w:iCs/>
          <w:color w:val="444444"/>
          <w:sz w:val="27"/>
          <w:szCs w:val="27"/>
          <w:bdr w:val="none" w:sz="0" w:space="0" w:color="auto" w:frame="1"/>
        </w:rPr>
        <w:t>Comisiei</w:t>
      </w:r>
      <w:proofErr w:type="spellEnd"/>
    </w:p>
    <w:p w:rsidR="00157AE5" w:rsidRDefault="00663FE2" w:rsidP="00157AE5">
      <w:pPr>
        <w:spacing w:before="240" w:after="60"/>
      </w:pPr>
      <w:r>
        <w:pict>
          <v:rect id="_x0000_i1025" style="width:146.75pt;height:.75pt" o:hrpct="0" o:hrstd="t" o:hrnoshade="t" o:hr="t" fillcolor="black" stroked="f"/>
        </w:pict>
      </w:r>
    </w:p>
    <w:p w:rsidR="00157AE5" w:rsidRPr="00157AE5" w:rsidRDefault="00663FE2" w:rsidP="00157AE5">
      <w:pPr>
        <w:pStyle w:val="note"/>
        <w:shd w:val="clear" w:color="auto" w:fill="FFFFFF"/>
        <w:spacing w:before="0" w:beforeAutospacing="0" w:after="0" w:afterAutospacing="0" w:line="312" w:lineRule="atLeast"/>
        <w:jc w:val="both"/>
        <w:textAlignment w:val="baseline"/>
        <w:rPr>
          <w:color w:val="444444"/>
          <w:sz w:val="19"/>
          <w:szCs w:val="19"/>
          <w:lang w:val="en-US"/>
        </w:rPr>
      </w:pPr>
      <w:hyperlink r:id="rId7" w:anchor="ntc1-L_2005302RO.01002801-E0001" w:history="1">
        <w:r w:rsidR="00157AE5" w:rsidRPr="00157AE5">
          <w:rPr>
            <w:rStyle w:val="a9"/>
            <w:rFonts w:ascii="inherit" w:hAnsi="inherit"/>
            <w:color w:val="800080"/>
            <w:sz w:val="19"/>
            <w:szCs w:val="19"/>
            <w:bdr w:val="none" w:sz="0" w:space="0" w:color="auto" w:frame="1"/>
            <w:lang w:val="en-US"/>
          </w:rPr>
          <w:t>(</w:t>
        </w:r>
        <w:r w:rsidR="00157AE5" w:rsidRPr="00157AE5">
          <w:rPr>
            <w:rStyle w:val="super"/>
            <w:rFonts w:ascii="inherit" w:hAnsi="inherit"/>
            <w:color w:val="800080"/>
            <w:sz w:val="13"/>
            <w:szCs w:val="13"/>
            <w:bdr w:val="none" w:sz="0" w:space="0" w:color="auto" w:frame="1"/>
            <w:vertAlign w:val="superscript"/>
            <w:lang w:val="en-US"/>
          </w:rPr>
          <w:t>1</w:t>
        </w:r>
        <w:r w:rsidR="00157AE5" w:rsidRPr="00157AE5">
          <w:rPr>
            <w:rStyle w:val="a9"/>
            <w:rFonts w:ascii="inherit" w:hAnsi="inherit"/>
            <w:color w:val="800080"/>
            <w:sz w:val="19"/>
            <w:szCs w:val="19"/>
            <w:bdr w:val="none" w:sz="0" w:space="0" w:color="auto" w:frame="1"/>
            <w:lang w:val="en-US"/>
          </w:rPr>
          <w:t>)</w:t>
        </w:r>
      </w:hyperlink>
      <w:r w:rsidR="00157AE5" w:rsidRPr="00157AE5">
        <w:rPr>
          <w:color w:val="444444"/>
          <w:sz w:val="19"/>
          <w:szCs w:val="19"/>
          <w:lang w:val="en-US"/>
        </w:rPr>
        <w:t>  </w:t>
      </w:r>
      <w:hyperlink r:id="rId8" w:history="1">
        <w:r w:rsidR="00157AE5" w:rsidRPr="00157AE5">
          <w:rPr>
            <w:rStyle w:val="a9"/>
            <w:rFonts w:ascii="inherit" w:hAnsi="inherit"/>
            <w:color w:val="800080"/>
            <w:sz w:val="19"/>
            <w:szCs w:val="19"/>
            <w:bdr w:val="none" w:sz="0" w:space="0" w:color="auto" w:frame="1"/>
            <w:lang w:val="en-US"/>
          </w:rPr>
          <w:t>JO L 338, 13.11.2004, p. 4</w:t>
        </w:r>
      </w:hyperlink>
      <w:r w:rsidR="00157AE5" w:rsidRPr="00157AE5">
        <w:rPr>
          <w:color w:val="444444"/>
          <w:sz w:val="19"/>
          <w:szCs w:val="19"/>
          <w:lang w:val="en-US"/>
        </w:rPr>
        <w:t>.</w:t>
      </w:r>
    </w:p>
    <w:p w:rsidR="00157AE5" w:rsidRPr="00157AE5" w:rsidRDefault="00663FE2" w:rsidP="00157AE5">
      <w:pPr>
        <w:pStyle w:val="note"/>
        <w:shd w:val="clear" w:color="auto" w:fill="FFFFFF"/>
        <w:spacing w:before="0" w:beforeAutospacing="0" w:after="0" w:afterAutospacing="0" w:line="312" w:lineRule="atLeast"/>
        <w:jc w:val="both"/>
        <w:textAlignment w:val="baseline"/>
        <w:rPr>
          <w:color w:val="444444"/>
          <w:sz w:val="19"/>
          <w:szCs w:val="19"/>
          <w:lang w:val="en-US"/>
        </w:rPr>
      </w:pPr>
      <w:hyperlink r:id="rId9" w:anchor="ntc2-L_2005302RO.01002801-E0002" w:history="1">
        <w:r w:rsidR="00157AE5" w:rsidRPr="00157AE5">
          <w:rPr>
            <w:rStyle w:val="a9"/>
            <w:rFonts w:ascii="inherit" w:hAnsi="inherit"/>
            <w:color w:val="800080"/>
            <w:sz w:val="19"/>
            <w:szCs w:val="19"/>
            <w:bdr w:val="none" w:sz="0" w:space="0" w:color="auto" w:frame="1"/>
            <w:lang w:val="en-US"/>
          </w:rPr>
          <w:t>(</w:t>
        </w:r>
        <w:r w:rsidR="00157AE5" w:rsidRPr="00157AE5">
          <w:rPr>
            <w:rStyle w:val="super"/>
            <w:rFonts w:ascii="inherit" w:hAnsi="inherit"/>
            <w:color w:val="800080"/>
            <w:sz w:val="13"/>
            <w:szCs w:val="13"/>
            <w:bdr w:val="none" w:sz="0" w:space="0" w:color="auto" w:frame="1"/>
            <w:vertAlign w:val="superscript"/>
            <w:lang w:val="en-US"/>
          </w:rPr>
          <w:t>2</w:t>
        </w:r>
        <w:r w:rsidR="00157AE5" w:rsidRPr="00157AE5">
          <w:rPr>
            <w:rStyle w:val="a9"/>
            <w:rFonts w:ascii="inherit" w:hAnsi="inherit"/>
            <w:color w:val="800080"/>
            <w:sz w:val="19"/>
            <w:szCs w:val="19"/>
            <w:bdr w:val="none" w:sz="0" w:space="0" w:color="auto" w:frame="1"/>
            <w:lang w:val="en-US"/>
          </w:rPr>
          <w:t>)</w:t>
        </w:r>
      </w:hyperlink>
      <w:r w:rsidR="00157AE5" w:rsidRPr="00157AE5">
        <w:rPr>
          <w:color w:val="444444"/>
          <w:sz w:val="19"/>
          <w:szCs w:val="19"/>
          <w:lang w:val="en-US"/>
        </w:rPr>
        <w:t>  </w:t>
      </w:r>
      <w:hyperlink r:id="rId10" w:history="1">
        <w:r w:rsidR="00157AE5" w:rsidRPr="00157AE5">
          <w:rPr>
            <w:rStyle w:val="a9"/>
            <w:rFonts w:ascii="inherit" w:hAnsi="inherit"/>
            <w:color w:val="800080"/>
            <w:sz w:val="19"/>
            <w:szCs w:val="19"/>
            <w:bdr w:val="none" w:sz="0" w:space="0" w:color="auto" w:frame="1"/>
            <w:lang w:val="en-US"/>
          </w:rPr>
          <w:t>JO L 51, 22.2.2002, p. 27</w:t>
        </w:r>
      </w:hyperlink>
      <w:r w:rsidR="00157AE5" w:rsidRPr="00157AE5">
        <w:rPr>
          <w:color w:val="444444"/>
          <w:sz w:val="19"/>
          <w:szCs w:val="19"/>
          <w:lang w:val="en-US"/>
        </w:rPr>
        <w:t>, regulament astfel cum a fost modificat prin Directiva 2004/13/CE (</w:t>
      </w:r>
      <w:hyperlink r:id="rId11" w:history="1">
        <w:r w:rsidR="00157AE5" w:rsidRPr="00157AE5">
          <w:rPr>
            <w:rStyle w:val="a9"/>
            <w:rFonts w:ascii="inherit" w:hAnsi="inherit"/>
            <w:color w:val="800080"/>
            <w:sz w:val="19"/>
            <w:szCs w:val="19"/>
            <w:bdr w:val="none" w:sz="0" w:space="0" w:color="auto" w:frame="1"/>
            <w:lang w:val="en-US"/>
          </w:rPr>
          <w:t>JO L 27, 30.1.2004, p. 46</w:t>
        </w:r>
      </w:hyperlink>
      <w:r w:rsidR="00157AE5" w:rsidRPr="00157AE5">
        <w:rPr>
          <w:color w:val="444444"/>
          <w:sz w:val="19"/>
          <w:szCs w:val="19"/>
          <w:lang w:val="en-US"/>
        </w:rPr>
        <w:t>).</w:t>
      </w:r>
    </w:p>
    <w:p w:rsidR="00157AE5" w:rsidRPr="00157AE5" w:rsidRDefault="00663FE2" w:rsidP="00157AE5">
      <w:pPr>
        <w:pStyle w:val="note"/>
        <w:shd w:val="clear" w:color="auto" w:fill="FFFFFF"/>
        <w:spacing w:before="0" w:beforeAutospacing="0" w:after="0" w:afterAutospacing="0" w:line="312" w:lineRule="atLeast"/>
        <w:jc w:val="both"/>
        <w:textAlignment w:val="baseline"/>
        <w:rPr>
          <w:color w:val="444444"/>
          <w:sz w:val="19"/>
          <w:szCs w:val="19"/>
          <w:lang w:val="en-US"/>
        </w:rPr>
      </w:pPr>
      <w:hyperlink r:id="rId12" w:anchor="ntc3-L_2005302RO.01002801-E0003" w:history="1">
        <w:r w:rsidR="00157AE5" w:rsidRPr="00157AE5">
          <w:rPr>
            <w:rStyle w:val="a9"/>
            <w:rFonts w:ascii="inherit" w:hAnsi="inherit"/>
            <w:color w:val="800080"/>
            <w:sz w:val="19"/>
            <w:szCs w:val="19"/>
            <w:bdr w:val="none" w:sz="0" w:space="0" w:color="auto" w:frame="1"/>
            <w:lang w:val="en-US"/>
          </w:rPr>
          <w:t>(</w:t>
        </w:r>
        <w:r w:rsidR="00157AE5" w:rsidRPr="00157AE5">
          <w:rPr>
            <w:rStyle w:val="super"/>
            <w:rFonts w:ascii="inherit" w:hAnsi="inherit"/>
            <w:color w:val="800080"/>
            <w:sz w:val="13"/>
            <w:szCs w:val="13"/>
            <w:bdr w:val="none" w:sz="0" w:space="0" w:color="auto" w:frame="1"/>
            <w:vertAlign w:val="superscript"/>
            <w:lang w:val="en-US"/>
          </w:rPr>
          <w:t>3</w:t>
        </w:r>
        <w:r w:rsidR="00157AE5" w:rsidRPr="00157AE5">
          <w:rPr>
            <w:rStyle w:val="a9"/>
            <w:rFonts w:ascii="inherit" w:hAnsi="inherit"/>
            <w:color w:val="800080"/>
            <w:sz w:val="19"/>
            <w:szCs w:val="19"/>
            <w:bdr w:val="none" w:sz="0" w:space="0" w:color="auto" w:frame="1"/>
            <w:lang w:val="en-US"/>
          </w:rPr>
          <w:t>)</w:t>
        </w:r>
      </w:hyperlink>
      <w:r w:rsidR="00157AE5" w:rsidRPr="00157AE5">
        <w:rPr>
          <w:color w:val="444444"/>
          <w:sz w:val="19"/>
          <w:szCs w:val="19"/>
          <w:lang w:val="en-US"/>
        </w:rPr>
        <w:t>  </w:t>
      </w:r>
      <w:hyperlink r:id="rId13" w:history="1">
        <w:r w:rsidR="00157AE5" w:rsidRPr="00157AE5">
          <w:rPr>
            <w:rStyle w:val="a9"/>
            <w:rFonts w:ascii="inherit" w:hAnsi="inherit"/>
            <w:color w:val="800080"/>
            <w:sz w:val="19"/>
            <w:szCs w:val="19"/>
            <w:bdr w:val="none" w:sz="0" w:space="0" w:color="auto" w:frame="1"/>
            <w:lang w:val="en-US"/>
          </w:rPr>
          <w:t>JO L 109, 6.5.2000, p. 29</w:t>
        </w:r>
      </w:hyperlink>
      <w:r w:rsidR="00157AE5" w:rsidRPr="00157AE5">
        <w:rPr>
          <w:color w:val="444444"/>
          <w:sz w:val="19"/>
          <w:szCs w:val="19"/>
          <w:lang w:val="en-US"/>
        </w:rPr>
        <w:t>, directivă astfel cum a fost modificată ultima dată prin Directiva 2003/89/CE (</w:t>
      </w:r>
      <w:hyperlink r:id="rId14" w:history="1">
        <w:r w:rsidR="00157AE5" w:rsidRPr="00157AE5">
          <w:rPr>
            <w:rStyle w:val="a9"/>
            <w:rFonts w:ascii="inherit" w:hAnsi="inherit"/>
            <w:color w:val="800080"/>
            <w:sz w:val="19"/>
            <w:szCs w:val="19"/>
            <w:bdr w:val="none" w:sz="0" w:space="0" w:color="auto" w:frame="1"/>
            <w:lang w:val="en-US"/>
          </w:rPr>
          <w:t>JO L 308, 25.11.2003, p. 15</w:t>
        </w:r>
      </w:hyperlink>
      <w:r w:rsidR="00157AE5" w:rsidRPr="00157AE5">
        <w:rPr>
          <w:color w:val="444444"/>
          <w:sz w:val="19"/>
          <w:szCs w:val="19"/>
          <w:lang w:val="en-US"/>
        </w:rPr>
        <w:t>).</w:t>
      </w:r>
    </w:p>
    <w:p w:rsidR="00157AE5" w:rsidRPr="00157AE5" w:rsidRDefault="00663FE2" w:rsidP="00157AE5">
      <w:pPr>
        <w:pStyle w:val="note"/>
        <w:shd w:val="clear" w:color="auto" w:fill="FFFFFF"/>
        <w:spacing w:before="0" w:beforeAutospacing="0" w:after="0" w:afterAutospacing="0" w:line="312" w:lineRule="atLeast"/>
        <w:jc w:val="both"/>
        <w:textAlignment w:val="baseline"/>
        <w:rPr>
          <w:color w:val="444444"/>
          <w:sz w:val="19"/>
          <w:szCs w:val="19"/>
          <w:lang w:val="en-US"/>
        </w:rPr>
      </w:pPr>
      <w:hyperlink r:id="rId15" w:anchor="ntc4-L_2005302RO.01002801-E0004" w:history="1">
        <w:r w:rsidR="00157AE5" w:rsidRPr="00157AE5">
          <w:rPr>
            <w:rStyle w:val="a9"/>
            <w:rFonts w:ascii="inherit" w:hAnsi="inherit"/>
            <w:color w:val="800080"/>
            <w:sz w:val="19"/>
            <w:szCs w:val="19"/>
            <w:bdr w:val="none" w:sz="0" w:space="0" w:color="auto" w:frame="1"/>
            <w:lang w:val="en-US"/>
          </w:rPr>
          <w:t>(</w:t>
        </w:r>
        <w:r w:rsidR="00157AE5" w:rsidRPr="00157AE5">
          <w:rPr>
            <w:rStyle w:val="super"/>
            <w:rFonts w:ascii="inherit" w:hAnsi="inherit"/>
            <w:color w:val="800080"/>
            <w:sz w:val="13"/>
            <w:szCs w:val="13"/>
            <w:bdr w:val="none" w:sz="0" w:space="0" w:color="auto" w:frame="1"/>
            <w:vertAlign w:val="superscript"/>
            <w:lang w:val="en-US"/>
          </w:rPr>
          <w:t>4</w:t>
        </w:r>
        <w:r w:rsidR="00157AE5" w:rsidRPr="00157AE5">
          <w:rPr>
            <w:rStyle w:val="a9"/>
            <w:rFonts w:ascii="inherit" w:hAnsi="inherit"/>
            <w:color w:val="800080"/>
            <w:sz w:val="19"/>
            <w:szCs w:val="19"/>
            <w:bdr w:val="none" w:sz="0" w:space="0" w:color="auto" w:frame="1"/>
            <w:lang w:val="en-US"/>
          </w:rPr>
          <w:t>)</w:t>
        </w:r>
      </w:hyperlink>
      <w:r w:rsidR="00157AE5" w:rsidRPr="00157AE5">
        <w:rPr>
          <w:color w:val="444444"/>
          <w:sz w:val="19"/>
          <w:szCs w:val="19"/>
          <w:lang w:val="en-US"/>
        </w:rPr>
        <w:t>  </w:t>
      </w:r>
      <w:hyperlink r:id="rId16" w:history="1">
        <w:r w:rsidR="00157AE5" w:rsidRPr="00157AE5">
          <w:rPr>
            <w:rStyle w:val="a9"/>
            <w:rFonts w:ascii="inherit" w:hAnsi="inherit"/>
            <w:color w:val="800080"/>
            <w:sz w:val="19"/>
            <w:szCs w:val="19"/>
            <w:bdr w:val="none" w:sz="0" w:space="0" w:color="auto" w:frame="1"/>
            <w:lang w:val="en-US"/>
          </w:rPr>
          <w:t>JO L 186, 30.6.1989, p. 21</w:t>
        </w:r>
      </w:hyperlink>
      <w:r w:rsidR="00157AE5" w:rsidRPr="00157AE5">
        <w:rPr>
          <w:color w:val="444444"/>
          <w:sz w:val="19"/>
          <w:szCs w:val="19"/>
          <w:lang w:val="en-US"/>
        </w:rPr>
        <w:t>, directivă astfel cum a fost modificată ultima dată prin Directiva 91/11/CEE (</w:t>
      </w:r>
      <w:hyperlink r:id="rId17" w:history="1">
        <w:r w:rsidR="00157AE5" w:rsidRPr="00157AE5">
          <w:rPr>
            <w:rStyle w:val="a9"/>
            <w:rFonts w:ascii="inherit" w:hAnsi="inherit"/>
            <w:color w:val="800080"/>
            <w:sz w:val="19"/>
            <w:szCs w:val="19"/>
            <w:bdr w:val="none" w:sz="0" w:space="0" w:color="auto" w:frame="1"/>
            <w:lang w:val="en-US"/>
          </w:rPr>
          <w:t>JO L 65, 11.3.1992, p. 32</w:t>
        </w:r>
      </w:hyperlink>
      <w:r w:rsidR="00157AE5" w:rsidRPr="00157AE5">
        <w:rPr>
          <w:color w:val="444444"/>
          <w:sz w:val="19"/>
          <w:szCs w:val="19"/>
          <w:lang w:val="en-US"/>
        </w:rPr>
        <w:t>).</w:t>
      </w:r>
    </w:p>
    <w:p w:rsidR="00157AE5" w:rsidRDefault="00663FE2" w:rsidP="00157AE5">
      <w:pPr>
        <w:spacing w:before="120" w:after="120"/>
      </w:pPr>
      <w:r>
        <w:pict>
          <v:rect id="_x0000_i1026" style="width:73.4pt;height:.75pt" o:hrpct="0" o:hralign="center" o:hrstd="t" o:hrnoshade="t" o:hr="t" fillcolor="black" stroked="f"/>
        </w:pict>
      </w:r>
    </w:p>
    <w:p w:rsidR="00157AE5" w:rsidRPr="00157AE5" w:rsidRDefault="00157AE5" w:rsidP="00157AE5">
      <w:pPr>
        <w:pStyle w:val="doc-ti"/>
        <w:shd w:val="clear" w:color="auto" w:fill="FFFFFF"/>
        <w:spacing w:before="240" w:beforeAutospacing="0" w:after="120" w:afterAutospacing="0" w:line="312" w:lineRule="atLeast"/>
        <w:jc w:val="center"/>
        <w:textAlignment w:val="baseline"/>
        <w:rPr>
          <w:b/>
          <w:bCs/>
          <w:color w:val="444444"/>
          <w:sz w:val="27"/>
          <w:szCs w:val="27"/>
          <w:lang w:val="en-US"/>
        </w:rPr>
      </w:pPr>
      <w:r w:rsidRPr="00157AE5">
        <w:rPr>
          <w:b/>
          <w:bCs/>
          <w:color w:val="444444"/>
          <w:sz w:val="27"/>
          <w:szCs w:val="27"/>
          <w:lang w:val="en-US"/>
        </w:rPr>
        <w:t>ANEXA I</w:t>
      </w:r>
    </w:p>
    <w:p w:rsidR="00157AE5" w:rsidRPr="00157AE5" w:rsidRDefault="00157AE5" w:rsidP="00157AE5">
      <w:pPr>
        <w:pStyle w:val="ti-grseq-1"/>
        <w:shd w:val="clear" w:color="auto" w:fill="FFFFFF"/>
        <w:spacing w:before="240" w:beforeAutospacing="0" w:after="120" w:afterAutospacing="0" w:line="312" w:lineRule="atLeast"/>
        <w:jc w:val="both"/>
        <w:textAlignment w:val="baseline"/>
        <w:rPr>
          <w:b/>
          <w:bCs/>
          <w:color w:val="444444"/>
          <w:sz w:val="27"/>
          <w:szCs w:val="27"/>
          <w:lang w:val="en-US"/>
        </w:rPr>
      </w:pPr>
      <w:r w:rsidRPr="00157AE5">
        <w:rPr>
          <w:b/>
          <w:bCs/>
          <w:color w:val="444444"/>
          <w:sz w:val="27"/>
          <w:szCs w:val="27"/>
          <w:lang w:val="en-US"/>
        </w:rPr>
        <w:t>Limite de migrație specifice pentru BADGE și unii dintre derivații acestuia</w:t>
      </w:r>
    </w:p>
    <w:p w:rsidR="00157AE5" w:rsidRDefault="00157AE5" w:rsidP="00157AE5">
      <w:pPr>
        <w:pStyle w:val="1"/>
        <w:shd w:val="clear" w:color="auto" w:fill="FFFFFF"/>
        <w:spacing w:before="120" w:beforeAutospacing="0" w:after="0" w:afterAutospacing="0" w:line="312" w:lineRule="atLeast"/>
        <w:jc w:val="both"/>
        <w:textAlignment w:val="baseline"/>
        <w:rPr>
          <w:color w:val="444444"/>
          <w:sz w:val="27"/>
          <w:szCs w:val="27"/>
        </w:rPr>
      </w:pPr>
      <w:r>
        <w:rPr>
          <w:color w:val="444444"/>
          <w:sz w:val="27"/>
          <w:szCs w:val="27"/>
        </w:rPr>
        <w:t>(1)   </w:t>
      </w:r>
      <w:proofErr w:type="spellStart"/>
      <w:r>
        <w:rPr>
          <w:color w:val="444444"/>
          <w:sz w:val="27"/>
          <w:szCs w:val="27"/>
        </w:rPr>
        <w:t>Suma</w:t>
      </w:r>
      <w:proofErr w:type="spellEnd"/>
      <w:r>
        <w:rPr>
          <w:color w:val="444444"/>
          <w:sz w:val="27"/>
          <w:szCs w:val="27"/>
        </w:rPr>
        <w:t xml:space="preserve"> </w:t>
      </w:r>
      <w:proofErr w:type="spellStart"/>
      <w:r>
        <w:rPr>
          <w:color w:val="444444"/>
          <w:sz w:val="27"/>
          <w:szCs w:val="27"/>
        </w:rPr>
        <w:t>migrațiilor</w:t>
      </w:r>
      <w:proofErr w:type="spellEnd"/>
      <w:r>
        <w:rPr>
          <w:color w:val="444444"/>
          <w:sz w:val="27"/>
          <w:szCs w:val="27"/>
        </w:rPr>
        <w:t xml:space="preserve"> </w:t>
      </w:r>
      <w:proofErr w:type="spellStart"/>
      <w:r>
        <w:rPr>
          <w:color w:val="444444"/>
          <w:sz w:val="27"/>
          <w:szCs w:val="27"/>
        </w:rPr>
        <w:t>următoarelor</w:t>
      </w:r>
      <w:proofErr w:type="spellEnd"/>
      <w:r>
        <w:rPr>
          <w:color w:val="444444"/>
          <w:sz w:val="27"/>
          <w:szCs w:val="27"/>
        </w:rPr>
        <w:t xml:space="preserve"> </w:t>
      </w:r>
      <w:proofErr w:type="spellStart"/>
      <w:r>
        <w:rPr>
          <w:color w:val="444444"/>
          <w:sz w:val="27"/>
          <w:szCs w:val="27"/>
        </w:rPr>
        <w:t>substanțe</w:t>
      </w:r>
      <w:proofErr w:type="spellEnd"/>
      <w:r>
        <w:rPr>
          <w:color w:val="444444"/>
          <w:sz w:val="27"/>
          <w:szCs w:val="27"/>
        </w:rPr>
        <w:t>:</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405"/>
        <w:gridCol w:w="9055"/>
      </w:tblGrid>
      <w:tr w:rsidR="00157AE5" w:rsidRPr="00157AE5" w:rsidTr="00157AE5">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157AE5" w:rsidRDefault="00157AE5">
            <w:pPr>
              <w:pStyle w:val="1"/>
              <w:spacing w:before="120" w:beforeAutospacing="0" w:after="0" w:afterAutospacing="0" w:line="312" w:lineRule="atLeast"/>
              <w:jc w:val="both"/>
              <w:textAlignment w:val="baseline"/>
              <w:rPr>
                <w:rFonts w:ascii="inherit" w:hAnsi="inherit"/>
                <w:color w:val="444444"/>
                <w:sz w:val="27"/>
                <w:szCs w:val="27"/>
              </w:rPr>
            </w:pPr>
            <w:r>
              <w:rPr>
                <w:rFonts w:ascii="inherit" w:hAnsi="inherit"/>
                <w:color w:val="444444"/>
                <w:sz w:val="27"/>
                <w:szCs w:val="27"/>
              </w:rPr>
              <w:t>(a)</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157AE5" w:rsidRPr="00157AE5" w:rsidRDefault="00157AE5">
            <w:pPr>
              <w:pStyle w:val="1"/>
              <w:spacing w:before="120" w:beforeAutospacing="0" w:after="0" w:afterAutospacing="0" w:line="312" w:lineRule="atLeast"/>
              <w:jc w:val="both"/>
              <w:textAlignment w:val="baseline"/>
              <w:rPr>
                <w:rFonts w:ascii="inherit" w:hAnsi="inherit"/>
                <w:color w:val="444444"/>
                <w:sz w:val="27"/>
                <w:szCs w:val="27"/>
                <w:lang w:val="en-US"/>
              </w:rPr>
            </w:pPr>
            <w:r w:rsidRPr="00157AE5">
              <w:rPr>
                <w:rFonts w:ascii="inherit" w:hAnsi="inherit"/>
                <w:color w:val="444444"/>
                <w:sz w:val="27"/>
                <w:szCs w:val="27"/>
                <w:lang w:val="en-US"/>
              </w:rPr>
              <w:t>BADGE [= 2,2-bis(4-hidroxifenil)propan - bis(2,3-epoxipropil) eter] (nr. CAS = 001675-54-3);</w:t>
            </w:r>
          </w:p>
        </w:tc>
      </w:tr>
    </w:tbl>
    <w:p w:rsidR="00157AE5" w:rsidRDefault="00157AE5" w:rsidP="00157AE5">
      <w:pPr>
        <w:rPr>
          <w:vanish/>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817"/>
        <w:gridCol w:w="8643"/>
      </w:tblGrid>
      <w:tr w:rsidR="00157AE5" w:rsidTr="00157AE5">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157AE5" w:rsidRDefault="00157AE5">
            <w:pPr>
              <w:pStyle w:val="1"/>
              <w:spacing w:before="120" w:beforeAutospacing="0" w:after="0" w:afterAutospacing="0" w:line="312" w:lineRule="atLeast"/>
              <w:jc w:val="both"/>
              <w:textAlignment w:val="baseline"/>
              <w:rPr>
                <w:rFonts w:ascii="inherit" w:hAnsi="inherit"/>
                <w:color w:val="444444"/>
                <w:sz w:val="27"/>
                <w:szCs w:val="27"/>
              </w:rPr>
            </w:pPr>
            <w:r>
              <w:rPr>
                <w:rFonts w:ascii="inherit" w:hAnsi="inherit"/>
                <w:color w:val="444444"/>
                <w:sz w:val="27"/>
                <w:szCs w:val="27"/>
              </w:rPr>
              <w:t>(b)</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157AE5" w:rsidRDefault="00157AE5">
            <w:pPr>
              <w:pStyle w:val="1"/>
              <w:spacing w:before="0" w:beforeAutospacing="0" w:after="0" w:afterAutospacing="0" w:line="312" w:lineRule="atLeast"/>
              <w:jc w:val="both"/>
              <w:textAlignment w:val="baseline"/>
              <w:rPr>
                <w:rFonts w:ascii="inherit" w:hAnsi="inherit"/>
                <w:color w:val="444444"/>
                <w:sz w:val="27"/>
                <w:szCs w:val="27"/>
              </w:rPr>
            </w:pPr>
            <w:proofErr w:type="gramStart"/>
            <w:r>
              <w:rPr>
                <w:rFonts w:ascii="inherit" w:hAnsi="inherit"/>
                <w:color w:val="444444"/>
                <w:sz w:val="27"/>
                <w:szCs w:val="27"/>
              </w:rPr>
              <w:t>BADGE.H</w:t>
            </w:r>
            <w:r>
              <w:rPr>
                <w:rStyle w:val="sub"/>
                <w:rFonts w:ascii="inherit" w:hAnsi="inherit"/>
                <w:color w:val="444444"/>
                <w:sz w:val="19"/>
                <w:szCs w:val="19"/>
                <w:bdr w:val="none" w:sz="0" w:space="0" w:color="auto" w:frame="1"/>
                <w:vertAlign w:val="subscript"/>
              </w:rPr>
              <w:t>2</w:t>
            </w:r>
            <w:r>
              <w:rPr>
                <w:rFonts w:ascii="inherit" w:hAnsi="inherit"/>
                <w:color w:val="444444"/>
                <w:sz w:val="27"/>
                <w:szCs w:val="27"/>
              </w:rPr>
              <w:t>O (</w:t>
            </w:r>
            <w:proofErr w:type="spellStart"/>
            <w:r>
              <w:rPr>
                <w:rFonts w:ascii="inherit" w:hAnsi="inherit"/>
                <w:color w:val="444444"/>
                <w:sz w:val="27"/>
                <w:szCs w:val="27"/>
              </w:rPr>
              <w:t>nr</w:t>
            </w:r>
            <w:proofErr w:type="spellEnd"/>
            <w:r>
              <w:rPr>
                <w:rFonts w:ascii="inherit" w:hAnsi="inherit"/>
                <w:color w:val="444444"/>
                <w:sz w:val="27"/>
                <w:szCs w:val="27"/>
              </w:rPr>
              <w:t>.</w:t>
            </w:r>
            <w:proofErr w:type="gramEnd"/>
            <w:r>
              <w:rPr>
                <w:rFonts w:ascii="inherit" w:hAnsi="inherit"/>
                <w:color w:val="444444"/>
                <w:sz w:val="27"/>
                <w:szCs w:val="27"/>
              </w:rPr>
              <w:t xml:space="preserve"> </w:t>
            </w:r>
            <w:proofErr w:type="gramStart"/>
            <w:r>
              <w:rPr>
                <w:rFonts w:ascii="inherit" w:hAnsi="inherit"/>
                <w:color w:val="444444"/>
                <w:sz w:val="27"/>
                <w:szCs w:val="27"/>
              </w:rPr>
              <w:t>CAS = 076002-91-0);</w:t>
            </w:r>
            <w:proofErr w:type="gramEnd"/>
          </w:p>
        </w:tc>
      </w:tr>
    </w:tbl>
    <w:p w:rsidR="00157AE5" w:rsidRDefault="00157AE5" w:rsidP="00157AE5">
      <w:pPr>
        <w:rPr>
          <w:vanish/>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781"/>
        <w:gridCol w:w="8679"/>
      </w:tblGrid>
      <w:tr w:rsidR="00157AE5" w:rsidTr="00157AE5">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157AE5" w:rsidRDefault="00157AE5">
            <w:pPr>
              <w:pStyle w:val="1"/>
              <w:spacing w:before="120" w:beforeAutospacing="0" w:after="0" w:afterAutospacing="0" w:line="312" w:lineRule="atLeast"/>
              <w:jc w:val="both"/>
              <w:textAlignment w:val="baseline"/>
              <w:rPr>
                <w:rFonts w:ascii="inherit" w:hAnsi="inherit"/>
                <w:color w:val="444444"/>
                <w:sz w:val="27"/>
                <w:szCs w:val="27"/>
              </w:rPr>
            </w:pPr>
            <w:r>
              <w:rPr>
                <w:rFonts w:ascii="inherit" w:hAnsi="inherit"/>
                <w:color w:val="444444"/>
                <w:sz w:val="27"/>
                <w:szCs w:val="27"/>
              </w:rPr>
              <w:t>(c)</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157AE5" w:rsidRDefault="00157AE5">
            <w:pPr>
              <w:pStyle w:val="1"/>
              <w:spacing w:before="0" w:beforeAutospacing="0" w:after="0" w:afterAutospacing="0" w:line="312" w:lineRule="atLeast"/>
              <w:jc w:val="both"/>
              <w:textAlignment w:val="baseline"/>
              <w:rPr>
                <w:rFonts w:ascii="inherit" w:hAnsi="inherit"/>
                <w:color w:val="444444"/>
                <w:sz w:val="27"/>
                <w:szCs w:val="27"/>
              </w:rPr>
            </w:pPr>
            <w:proofErr w:type="gramStart"/>
            <w:r>
              <w:rPr>
                <w:rFonts w:ascii="inherit" w:hAnsi="inherit"/>
                <w:color w:val="444444"/>
                <w:sz w:val="27"/>
                <w:szCs w:val="27"/>
              </w:rPr>
              <w:t>BADGE.2H</w:t>
            </w:r>
            <w:r>
              <w:rPr>
                <w:rStyle w:val="sub"/>
                <w:rFonts w:ascii="inherit" w:hAnsi="inherit"/>
                <w:color w:val="444444"/>
                <w:sz w:val="19"/>
                <w:szCs w:val="19"/>
                <w:bdr w:val="none" w:sz="0" w:space="0" w:color="auto" w:frame="1"/>
                <w:vertAlign w:val="subscript"/>
              </w:rPr>
              <w:t>2</w:t>
            </w:r>
            <w:r>
              <w:rPr>
                <w:rFonts w:ascii="inherit" w:hAnsi="inherit"/>
                <w:color w:val="444444"/>
                <w:sz w:val="27"/>
                <w:szCs w:val="27"/>
              </w:rPr>
              <w:t>O (</w:t>
            </w:r>
            <w:proofErr w:type="spellStart"/>
            <w:r>
              <w:rPr>
                <w:rFonts w:ascii="inherit" w:hAnsi="inherit"/>
                <w:color w:val="444444"/>
                <w:sz w:val="27"/>
                <w:szCs w:val="27"/>
              </w:rPr>
              <w:t>nr</w:t>
            </w:r>
            <w:proofErr w:type="spellEnd"/>
            <w:r>
              <w:rPr>
                <w:rFonts w:ascii="inherit" w:hAnsi="inherit"/>
                <w:color w:val="444444"/>
                <w:sz w:val="27"/>
                <w:szCs w:val="27"/>
              </w:rPr>
              <w:t>.</w:t>
            </w:r>
            <w:proofErr w:type="gramEnd"/>
            <w:r>
              <w:rPr>
                <w:rFonts w:ascii="inherit" w:hAnsi="inherit"/>
                <w:color w:val="444444"/>
                <w:sz w:val="27"/>
                <w:szCs w:val="27"/>
              </w:rPr>
              <w:t xml:space="preserve"> </w:t>
            </w:r>
            <w:proofErr w:type="gramStart"/>
            <w:r>
              <w:rPr>
                <w:rFonts w:ascii="inherit" w:hAnsi="inherit"/>
                <w:color w:val="444444"/>
                <w:sz w:val="27"/>
                <w:szCs w:val="27"/>
              </w:rPr>
              <w:t>CAS = 005581-32-8)</w:t>
            </w:r>
            <w:proofErr w:type="gramEnd"/>
          </w:p>
        </w:tc>
      </w:tr>
    </w:tbl>
    <w:p w:rsidR="00157AE5" w:rsidRPr="00157AE5" w:rsidRDefault="00157AE5" w:rsidP="00157AE5">
      <w:pPr>
        <w:pStyle w:val="1"/>
        <w:shd w:val="clear" w:color="auto" w:fill="FFFFFF"/>
        <w:spacing w:before="120" w:beforeAutospacing="0" w:after="0" w:afterAutospacing="0" w:line="312" w:lineRule="atLeast"/>
        <w:jc w:val="both"/>
        <w:textAlignment w:val="baseline"/>
        <w:rPr>
          <w:color w:val="444444"/>
          <w:sz w:val="27"/>
          <w:szCs w:val="27"/>
          <w:lang w:val="en-US"/>
        </w:rPr>
      </w:pPr>
      <w:r w:rsidRPr="00157AE5">
        <w:rPr>
          <w:color w:val="444444"/>
          <w:sz w:val="27"/>
          <w:szCs w:val="27"/>
          <w:lang w:val="en-US"/>
        </w:rPr>
        <w:t>nu trebuie să depășească următoarele limite: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518"/>
        <w:gridCol w:w="8942"/>
      </w:tblGrid>
      <w:tr w:rsidR="00157AE5" w:rsidRPr="00157AE5" w:rsidTr="00157AE5">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157AE5" w:rsidRDefault="00157AE5">
            <w:pPr>
              <w:pStyle w:val="1"/>
              <w:spacing w:before="120" w:beforeAutospacing="0" w:after="0" w:afterAutospacing="0" w:line="312" w:lineRule="atLeast"/>
              <w:jc w:val="both"/>
              <w:textAlignment w:val="baseline"/>
              <w:rPr>
                <w:rFonts w:ascii="inherit" w:hAnsi="inherit"/>
                <w:color w:val="444444"/>
                <w:sz w:val="27"/>
                <w:szCs w:val="27"/>
              </w:rPr>
            </w:pPr>
            <w:r>
              <w:rPr>
                <w:rFonts w:ascii="inherit" w:hAnsi="inherit"/>
                <w:color w:val="444444"/>
                <w:sz w:val="27"/>
                <w:szCs w:val="27"/>
              </w:rPr>
              <w:t>—</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157AE5" w:rsidRPr="00157AE5" w:rsidRDefault="00157AE5">
            <w:pPr>
              <w:pStyle w:val="1"/>
              <w:spacing w:before="120" w:beforeAutospacing="0" w:after="0" w:afterAutospacing="0" w:line="312" w:lineRule="atLeast"/>
              <w:jc w:val="both"/>
              <w:textAlignment w:val="baseline"/>
              <w:rPr>
                <w:rFonts w:ascii="inherit" w:hAnsi="inherit"/>
                <w:color w:val="444444"/>
                <w:sz w:val="27"/>
                <w:szCs w:val="27"/>
                <w:lang w:val="en-US"/>
              </w:rPr>
            </w:pPr>
            <w:r w:rsidRPr="00157AE5">
              <w:rPr>
                <w:rFonts w:ascii="inherit" w:hAnsi="inherit"/>
                <w:color w:val="444444"/>
                <w:sz w:val="27"/>
                <w:szCs w:val="27"/>
                <w:lang w:val="en-US"/>
              </w:rPr>
              <w:t>9 mg/kg la produse alimentare sau simulanți alimentari sau</w:t>
            </w:r>
          </w:p>
        </w:tc>
      </w:tr>
    </w:tbl>
    <w:p w:rsidR="00157AE5" w:rsidRDefault="00157AE5" w:rsidP="00157AE5">
      <w:pPr>
        <w:rPr>
          <w:vanish/>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375"/>
        <w:gridCol w:w="9085"/>
      </w:tblGrid>
      <w:tr w:rsidR="00157AE5" w:rsidRPr="00663FE2" w:rsidTr="00157AE5">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157AE5" w:rsidRDefault="00157AE5">
            <w:pPr>
              <w:pStyle w:val="1"/>
              <w:spacing w:before="120" w:beforeAutospacing="0" w:after="0" w:afterAutospacing="0" w:line="312" w:lineRule="atLeast"/>
              <w:jc w:val="both"/>
              <w:textAlignment w:val="baseline"/>
              <w:rPr>
                <w:rFonts w:ascii="inherit" w:hAnsi="inherit"/>
                <w:color w:val="444444"/>
                <w:sz w:val="27"/>
                <w:szCs w:val="27"/>
              </w:rPr>
            </w:pPr>
            <w:r>
              <w:rPr>
                <w:rFonts w:ascii="inherit" w:hAnsi="inherit"/>
                <w:color w:val="444444"/>
                <w:sz w:val="27"/>
                <w:szCs w:val="27"/>
              </w:rPr>
              <w:t>—</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157AE5" w:rsidRPr="00157AE5" w:rsidRDefault="00157AE5">
            <w:pPr>
              <w:pStyle w:val="1"/>
              <w:spacing w:before="0" w:beforeAutospacing="0" w:after="0" w:afterAutospacing="0" w:line="312" w:lineRule="atLeast"/>
              <w:jc w:val="both"/>
              <w:textAlignment w:val="baseline"/>
              <w:rPr>
                <w:rFonts w:ascii="inherit" w:hAnsi="inherit"/>
                <w:color w:val="444444"/>
                <w:sz w:val="27"/>
                <w:szCs w:val="27"/>
                <w:lang w:val="en-US"/>
              </w:rPr>
            </w:pPr>
            <w:r w:rsidRPr="00157AE5">
              <w:rPr>
                <w:rFonts w:ascii="inherit" w:hAnsi="inherit"/>
                <w:color w:val="444444"/>
                <w:sz w:val="27"/>
                <w:szCs w:val="27"/>
                <w:lang w:val="en-US"/>
              </w:rPr>
              <w:t>9 mg/6 dm</w:t>
            </w:r>
            <w:r w:rsidRPr="00157AE5">
              <w:rPr>
                <w:rStyle w:val="super"/>
                <w:rFonts w:ascii="inherit" w:hAnsi="inherit"/>
                <w:color w:val="444444"/>
                <w:sz w:val="19"/>
                <w:szCs w:val="19"/>
                <w:bdr w:val="none" w:sz="0" w:space="0" w:color="auto" w:frame="1"/>
                <w:vertAlign w:val="superscript"/>
                <w:lang w:val="en-US"/>
              </w:rPr>
              <w:t>2</w:t>
            </w:r>
            <w:r w:rsidRPr="00157AE5">
              <w:rPr>
                <w:rFonts w:ascii="inherit" w:hAnsi="inherit"/>
                <w:color w:val="444444"/>
                <w:sz w:val="27"/>
                <w:szCs w:val="27"/>
                <w:lang w:val="en-US"/>
              </w:rPr>
              <w:t xml:space="preserve">, în conformitate cu cazurile prevăzute la articolul 7 din </w:t>
            </w:r>
            <w:proofErr w:type="spellStart"/>
            <w:r w:rsidRPr="00157AE5">
              <w:rPr>
                <w:rFonts w:ascii="inherit" w:hAnsi="inherit"/>
                <w:color w:val="444444"/>
                <w:sz w:val="27"/>
                <w:szCs w:val="27"/>
                <w:lang w:val="en-US"/>
              </w:rPr>
              <w:t>Directiva</w:t>
            </w:r>
            <w:proofErr w:type="spellEnd"/>
            <w:r w:rsidRPr="00157AE5">
              <w:rPr>
                <w:rFonts w:ascii="inherit" w:hAnsi="inherit"/>
                <w:color w:val="444444"/>
                <w:sz w:val="27"/>
                <w:szCs w:val="27"/>
                <w:lang w:val="en-US"/>
              </w:rPr>
              <w:t xml:space="preserve"> 2002/72/CE a </w:t>
            </w:r>
            <w:proofErr w:type="spellStart"/>
            <w:r w:rsidRPr="00157AE5">
              <w:rPr>
                <w:rFonts w:ascii="inherit" w:hAnsi="inherit"/>
                <w:color w:val="444444"/>
                <w:sz w:val="27"/>
                <w:szCs w:val="27"/>
                <w:lang w:val="en-US"/>
              </w:rPr>
              <w:t>Comisiei</w:t>
            </w:r>
            <w:proofErr w:type="spellEnd"/>
            <w:r>
              <w:rPr>
                <w:rFonts w:ascii="inherit" w:hAnsi="inherit"/>
                <w:color w:val="444444"/>
                <w:sz w:val="27"/>
                <w:szCs w:val="27"/>
              </w:rPr>
              <w:fldChar w:fldCharType="begin"/>
            </w:r>
            <w:r w:rsidRPr="00157AE5">
              <w:rPr>
                <w:rFonts w:ascii="inherit" w:hAnsi="inherit"/>
                <w:color w:val="444444"/>
                <w:sz w:val="27"/>
                <w:szCs w:val="27"/>
                <w:lang w:val="en-US"/>
              </w:rPr>
              <w:instrText xml:space="preserve"> HYPERLINK "http://eur-lex.europa.eu/legal-content/RO/TXT/?uri=CELEX%3A32005R1895" \l "ntr1-L_2005302RO.01003101-E0001" </w:instrText>
            </w:r>
            <w:r>
              <w:rPr>
                <w:rFonts w:ascii="inherit" w:hAnsi="inherit"/>
                <w:color w:val="444444"/>
                <w:sz w:val="27"/>
                <w:szCs w:val="27"/>
              </w:rPr>
              <w:fldChar w:fldCharType="separate"/>
            </w:r>
            <w:r w:rsidRPr="00157AE5">
              <w:rPr>
                <w:rStyle w:val="a9"/>
                <w:rFonts w:ascii="inherit" w:hAnsi="inherit"/>
                <w:color w:val="800080"/>
                <w:sz w:val="27"/>
                <w:szCs w:val="27"/>
                <w:bdr w:val="none" w:sz="0" w:space="0" w:color="auto" w:frame="1"/>
                <w:lang w:val="en-US"/>
              </w:rPr>
              <w:t> (</w:t>
            </w:r>
            <w:r w:rsidRPr="00157AE5">
              <w:rPr>
                <w:rStyle w:val="super"/>
                <w:rFonts w:ascii="inherit" w:hAnsi="inherit"/>
                <w:color w:val="800080"/>
                <w:sz w:val="19"/>
                <w:szCs w:val="19"/>
                <w:bdr w:val="none" w:sz="0" w:space="0" w:color="auto" w:frame="1"/>
                <w:vertAlign w:val="superscript"/>
                <w:lang w:val="en-US"/>
              </w:rPr>
              <w:t>1</w:t>
            </w:r>
            <w:r w:rsidRPr="00157AE5">
              <w:rPr>
                <w:rStyle w:val="a9"/>
                <w:rFonts w:ascii="inherit" w:hAnsi="inherit"/>
                <w:color w:val="800080"/>
                <w:sz w:val="27"/>
                <w:szCs w:val="27"/>
                <w:bdr w:val="none" w:sz="0" w:space="0" w:color="auto" w:frame="1"/>
                <w:lang w:val="en-US"/>
              </w:rPr>
              <w:t>)</w:t>
            </w:r>
            <w:r>
              <w:rPr>
                <w:rFonts w:ascii="inherit" w:hAnsi="inherit"/>
                <w:color w:val="444444"/>
                <w:sz w:val="27"/>
                <w:szCs w:val="27"/>
              </w:rPr>
              <w:fldChar w:fldCharType="end"/>
            </w:r>
            <w:r w:rsidRPr="00157AE5">
              <w:rPr>
                <w:rFonts w:ascii="inherit" w:hAnsi="inherit"/>
                <w:color w:val="444444"/>
                <w:sz w:val="27"/>
                <w:szCs w:val="27"/>
                <w:lang w:val="en-US"/>
              </w:rPr>
              <w:t>.</w:t>
            </w:r>
          </w:p>
        </w:tc>
      </w:tr>
    </w:tbl>
    <w:p w:rsidR="00157AE5" w:rsidRDefault="00157AE5" w:rsidP="00157AE5">
      <w:pPr>
        <w:pStyle w:val="1"/>
        <w:shd w:val="clear" w:color="auto" w:fill="FFFFFF"/>
        <w:spacing w:before="120" w:beforeAutospacing="0" w:after="0" w:afterAutospacing="0" w:line="312" w:lineRule="atLeast"/>
        <w:jc w:val="both"/>
        <w:textAlignment w:val="baseline"/>
        <w:rPr>
          <w:color w:val="444444"/>
          <w:sz w:val="27"/>
          <w:szCs w:val="27"/>
        </w:rPr>
      </w:pPr>
      <w:r>
        <w:rPr>
          <w:color w:val="444444"/>
          <w:sz w:val="27"/>
          <w:szCs w:val="27"/>
        </w:rPr>
        <w:t>(2)   </w:t>
      </w:r>
      <w:proofErr w:type="spellStart"/>
      <w:r>
        <w:rPr>
          <w:color w:val="444444"/>
          <w:sz w:val="27"/>
          <w:szCs w:val="27"/>
        </w:rPr>
        <w:t>Suma</w:t>
      </w:r>
      <w:proofErr w:type="spellEnd"/>
      <w:r>
        <w:rPr>
          <w:color w:val="444444"/>
          <w:sz w:val="27"/>
          <w:szCs w:val="27"/>
        </w:rPr>
        <w:t xml:space="preserve"> </w:t>
      </w:r>
      <w:proofErr w:type="spellStart"/>
      <w:r>
        <w:rPr>
          <w:color w:val="444444"/>
          <w:sz w:val="27"/>
          <w:szCs w:val="27"/>
        </w:rPr>
        <w:t>migrațiilor</w:t>
      </w:r>
      <w:proofErr w:type="spellEnd"/>
      <w:r>
        <w:rPr>
          <w:color w:val="444444"/>
          <w:sz w:val="27"/>
          <w:szCs w:val="27"/>
        </w:rPr>
        <w:t xml:space="preserve"> </w:t>
      </w:r>
      <w:proofErr w:type="spellStart"/>
      <w:r>
        <w:rPr>
          <w:color w:val="444444"/>
          <w:sz w:val="27"/>
          <w:szCs w:val="27"/>
        </w:rPr>
        <w:t>următoarelor</w:t>
      </w:r>
      <w:proofErr w:type="spellEnd"/>
      <w:r>
        <w:rPr>
          <w:color w:val="444444"/>
          <w:sz w:val="27"/>
          <w:szCs w:val="27"/>
        </w:rPr>
        <w:t xml:space="preserve"> </w:t>
      </w:r>
      <w:proofErr w:type="spellStart"/>
      <w:r>
        <w:rPr>
          <w:color w:val="444444"/>
          <w:sz w:val="27"/>
          <w:szCs w:val="27"/>
        </w:rPr>
        <w:t>substanțe</w:t>
      </w:r>
      <w:proofErr w:type="spellEnd"/>
      <w:r>
        <w:rPr>
          <w:color w:val="444444"/>
          <w:sz w:val="27"/>
          <w:szCs w:val="27"/>
        </w:rPr>
        <w:t>:</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790"/>
        <w:gridCol w:w="8670"/>
      </w:tblGrid>
      <w:tr w:rsidR="00157AE5" w:rsidTr="00157AE5">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157AE5" w:rsidRDefault="00157AE5">
            <w:pPr>
              <w:pStyle w:val="1"/>
              <w:spacing w:before="120" w:beforeAutospacing="0" w:after="0" w:afterAutospacing="0" w:line="312" w:lineRule="atLeast"/>
              <w:jc w:val="both"/>
              <w:textAlignment w:val="baseline"/>
              <w:rPr>
                <w:rFonts w:ascii="inherit" w:hAnsi="inherit"/>
                <w:color w:val="444444"/>
                <w:sz w:val="27"/>
                <w:szCs w:val="27"/>
              </w:rPr>
            </w:pPr>
            <w:r>
              <w:rPr>
                <w:rFonts w:ascii="inherit" w:hAnsi="inherit"/>
                <w:color w:val="444444"/>
                <w:sz w:val="27"/>
                <w:szCs w:val="27"/>
              </w:rPr>
              <w:t>(a)</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157AE5" w:rsidRDefault="00157AE5">
            <w:pPr>
              <w:pStyle w:val="1"/>
              <w:spacing w:before="120" w:beforeAutospacing="0" w:after="0" w:afterAutospacing="0" w:line="312" w:lineRule="atLeast"/>
              <w:jc w:val="both"/>
              <w:textAlignment w:val="baseline"/>
              <w:rPr>
                <w:rFonts w:ascii="inherit" w:hAnsi="inherit"/>
                <w:color w:val="444444"/>
                <w:sz w:val="27"/>
                <w:szCs w:val="27"/>
              </w:rPr>
            </w:pPr>
            <w:proofErr w:type="spellStart"/>
            <w:proofErr w:type="gramStart"/>
            <w:r>
              <w:rPr>
                <w:rFonts w:ascii="inherit" w:hAnsi="inherit"/>
                <w:color w:val="444444"/>
                <w:sz w:val="27"/>
                <w:szCs w:val="27"/>
              </w:rPr>
              <w:t>BADGE.HCl</w:t>
            </w:r>
            <w:proofErr w:type="spellEnd"/>
            <w:r>
              <w:rPr>
                <w:rFonts w:ascii="inherit" w:hAnsi="inherit"/>
                <w:color w:val="444444"/>
                <w:sz w:val="27"/>
                <w:szCs w:val="27"/>
              </w:rPr>
              <w:t xml:space="preserve"> (</w:t>
            </w:r>
            <w:proofErr w:type="spellStart"/>
            <w:r>
              <w:rPr>
                <w:rFonts w:ascii="inherit" w:hAnsi="inherit"/>
                <w:color w:val="444444"/>
                <w:sz w:val="27"/>
                <w:szCs w:val="27"/>
              </w:rPr>
              <w:t>nr</w:t>
            </w:r>
            <w:proofErr w:type="spellEnd"/>
            <w:r>
              <w:rPr>
                <w:rFonts w:ascii="inherit" w:hAnsi="inherit"/>
                <w:color w:val="444444"/>
                <w:sz w:val="27"/>
                <w:szCs w:val="27"/>
              </w:rPr>
              <w:t>.</w:t>
            </w:r>
            <w:proofErr w:type="gramEnd"/>
            <w:r>
              <w:rPr>
                <w:rFonts w:ascii="inherit" w:hAnsi="inherit"/>
                <w:color w:val="444444"/>
                <w:sz w:val="27"/>
                <w:szCs w:val="27"/>
              </w:rPr>
              <w:t xml:space="preserve"> </w:t>
            </w:r>
            <w:proofErr w:type="gramStart"/>
            <w:r>
              <w:rPr>
                <w:rFonts w:ascii="inherit" w:hAnsi="inherit"/>
                <w:color w:val="444444"/>
                <w:sz w:val="27"/>
                <w:szCs w:val="27"/>
              </w:rPr>
              <w:t>CAS = 013836-48-1);</w:t>
            </w:r>
            <w:proofErr w:type="gramEnd"/>
          </w:p>
        </w:tc>
      </w:tr>
    </w:tbl>
    <w:p w:rsidR="00157AE5" w:rsidRDefault="00157AE5" w:rsidP="00157AE5">
      <w:pPr>
        <w:rPr>
          <w:vanish/>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795"/>
        <w:gridCol w:w="8665"/>
      </w:tblGrid>
      <w:tr w:rsidR="00157AE5" w:rsidTr="00157AE5">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157AE5" w:rsidRDefault="00157AE5">
            <w:pPr>
              <w:pStyle w:val="1"/>
              <w:spacing w:before="120" w:beforeAutospacing="0" w:after="0" w:afterAutospacing="0" w:line="312" w:lineRule="atLeast"/>
              <w:jc w:val="both"/>
              <w:textAlignment w:val="baseline"/>
              <w:rPr>
                <w:rFonts w:ascii="inherit" w:hAnsi="inherit"/>
                <w:color w:val="444444"/>
                <w:sz w:val="27"/>
                <w:szCs w:val="27"/>
              </w:rPr>
            </w:pPr>
            <w:r>
              <w:rPr>
                <w:rFonts w:ascii="inherit" w:hAnsi="inherit"/>
                <w:color w:val="444444"/>
                <w:sz w:val="27"/>
                <w:szCs w:val="27"/>
              </w:rPr>
              <w:t>(b)</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157AE5" w:rsidRDefault="00157AE5">
            <w:pPr>
              <w:pStyle w:val="1"/>
              <w:spacing w:before="120" w:beforeAutospacing="0" w:after="0" w:afterAutospacing="0" w:line="312" w:lineRule="atLeast"/>
              <w:jc w:val="both"/>
              <w:textAlignment w:val="baseline"/>
              <w:rPr>
                <w:rFonts w:ascii="inherit" w:hAnsi="inherit"/>
                <w:color w:val="444444"/>
                <w:sz w:val="27"/>
                <w:szCs w:val="27"/>
              </w:rPr>
            </w:pPr>
            <w:proofErr w:type="gramStart"/>
            <w:r>
              <w:rPr>
                <w:rFonts w:ascii="inherit" w:hAnsi="inherit"/>
                <w:color w:val="444444"/>
                <w:sz w:val="27"/>
                <w:szCs w:val="27"/>
              </w:rPr>
              <w:t>BADGE.2HCl (</w:t>
            </w:r>
            <w:proofErr w:type="spellStart"/>
            <w:r>
              <w:rPr>
                <w:rFonts w:ascii="inherit" w:hAnsi="inherit"/>
                <w:color w:val="444444"/>
                <w:sz w:val="27"/>
                <w:szCs w:val="27"/>
              </w:rPr>
              <w:t>nr</w:t>
            </w:r>
            <w:proofErr w:type="spellEnd"/>
            <w:r>
              <w:rPr>
                <w:rFonts w:ascii="inherit" w:hAnsi="inherit"/>
                <w:color w:val="444444"/>
                <w:sz w:val="27"/>
                <w:szCs w:val="27"/>
              </w:rPr>
              <w:t>.</w:t>
            </w:r>
            <w:proofErr w:type="gramEnd"/>
            <w:r>
              <w:rPr>
                <w:rFonts w:ascii="inherit" w:hAnsi="inherit"/>
                <w:color w:val="444444"/>
                <w:sz w:val="27"/>
                <w:szCs w:val="27"/>
              </w:rPr>
              <w:t xml:space="preserve"> </w:t>
            </w:r>
            <w:proofErr w:type="gramStart"/>
            <w:r>
              <w:rPr>
                <w:rFonts w:ascii="inherit" w:hAnsi="inherit"/>
                <w:color w:val="444444"/>
                <w:sz w:val="27"/>
                <w:szCs w:val="27"/>
              </w:rPr>
              <w:t>CAS = 004809-35-2);</w:t>
            </w:r>
            <w:proofErr w:type="gramEnd"/>
          </w:p>
        </w:tc>
      </w:tr>
    </w:tbl>
    <w:p w:rsidR="00157AE5" w:rsidRDefault="00157AE5" w:rsidP="00157AE5">
      <w:pPr>
        <w:rPr>
          <w:vanish/>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724"/>
        <w:gridCol w:w="8736"/>
      </w:tblGrid>
      <w:tr w:rsidR="00157AE5" w:rsidRPr="00157AE5" w:rsidTr="00157AE5">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157AE5" w:rsidRDefault="00157AE5">
            <w:pPr>
              <w:pStyle w:val="1"/>
              <w:spacing w:before="120" w:beforeAutospacing="0" w:after="0" w:afterAutospacing="0" w:line="312" w:lineRule="atLeast"/>
              <w:jc w:val="both"/>
              <w:textAlignment w:val="baseline"/>
              <w:rPr>
                <w:rFonts w:ascii="inherit" w:hAnsi="inherit"/>
                <w:color w:val="444444"/>
                <w:sz w:val="27"/>
                <w:szCs w:val="27"/>
              </w:rPr>
            </w:pPr>
            <w:r>
              <w:rPr>
                <w:rFonts w:ascii="inherit" w:hAnsi="inherit"/>
                <w:color w:val="444444"/>
                <w:sz w:val="27"/>
                <w:szCs w:val="27"/>
              </w:rPr>
              <w:t>(c)</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157AE5" w:rsidRPr="00157AE5" w:rsidRDefault="00157AE5">
            <w:pPr>
              <w:pStyle w:val="1"/>
              <w:spacing w:before="0" w:beforeAutospacing="0" w:after="0" w:afterAutospacing="0" w:line="312" w:lineRule="atLeast"/>
              <w:jc w:val="both"/>
              <w:textAlignment w:val="baseline"/>
              <w:rPr>
                <w:rFonts w:ascii="inherit" w:hAnsi="inherit"/>
                <w:color w:val="444444"/>
                <w:sz w:val="27"/>
                <w:szCs w:val="27"/>
                <w:lang w:val="en-US"/>
              </w:rPr>
            </w:pPr>
            <w:r w:rsidRPr="00157AE5">
              <w:rPr>
                <w:rFonts w:ascii="inherit" w:hAnsi="inherit"/>
                <w:color w:val="444444"/>
                <w:sz w:val="27"/>
                <w:szCs w:val="27"/>
                <w:lang w:val="en-US"/>
              </w:rPr>
              <w:t>BADGE.H</w:t>
            </w:r>
            <w:r w:rsidRPr="00157AE5">
              <w:rPr>
                <w:rStyle w:val="sub"/>
                <w:rFonts w:ascii="inherit" w:hAnsi="inherit"/>
                <w:color w:val="444444"/>
                <w:sz w:val="19"/>
                <w:szCs w:val="19"/>
                <w:bdr w:val="none" w:sz="0" w:space="0" w:color="auto" w:frame="1"/>
                <w:vertAlign w:val="subscript"/>
                <w:lang w:val="en-US"/>
              </w:rPr>
              <w:t>2</w:t>
            </w:r>
            <w:r w:rsidRPr="00157AE5">
              <w:rPr>
                <w:rFonts w:ascii="inherit" w:hAnsi="inherit"/>
                <w:color w:val="444444"/>
                <w:sz w:val="27"/>
                <w:szCs w:val="27"/>
                <w:lang w:val="en-US"/>
              </w:rPr>
              <w:t>O.HCl (nr. CAS = 227947-06-0)</w:t>
            </w:r>
          </w:p>
        </w:tc>
      </w:tr>
    </w:tbl>
    <w:p w:rsidR="00157AE5" w:rsidRPr="00157AE5" w:rsidRDefault="00157AE5" w:rsidP="00157AE5">
      <w:pPr>
        <w:pStyle w:val="1"/>
        <w:shd w:val="clear" w:color="auto" w:fill="FFFFFF"/>
        <w:spacing w:before="120" w:beforeAutospacing="0" w:after="0" w:afterAutospacing="0" w:line="312" w:lineRule="atLeast"/>
        <w:jc w:val="both"/>
        <w:textAlignment w:val="baseline"/>
        <w:rPr>
          <w:color w:val="444444"/>
          <w:sz w:val="27"/>
          <w:szCs w:val="27"/>
          <w:lang w:val="en-US"/>
        </w:rPr>
      </w:pPr>
      <w:r w:rsidRPr="00157AE5">
        <w:rPr>
          <w:color w:val="444444"/>
          <w:sz w:val="27"/>
          <w:szCs w:val="27"/>
          <w:lang w:val="en-US"/>
        </w:rPr>
        <w:t>nu trebuie să depășească următoarele limite: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518"/>
        <w:gridCol w:w="8942"/>
      </w:tblGrid>
      <w:tr w:rsidR="00157AE5" w:rsidRPr="00157AE5" w:rsidTr="00157AE5">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157AE5" w:rsidRDefault="00157AE5">
            <w:pPr>
              <w:pStyle w:val="1"/>
              <w:spacing w:before="120" w:beforeAutospacing="0" w:after="0" w:afterAutospacing="0" w:line="312" w:lineRule="atLeast"/>
              <w:jc w:val="both"/>
              <w:textAlignment w:val="baseline"/>
              <w:rPr>
                <w:rFonts w:ascii="inherit" w:hAnsi="inherit"/>
                <w:color w:val="444444"/>
                <w:sz w:val="27"/>
                <w:szCs w:val="27"/>
              </w:rPr>
            </w:pPr>
            <w:r>
              <w:rPr>
                <w:rFonts w:ascii="inherit" w:hAnsi="inherit"/>
                <w:color w:val="444444"/>
                <w:sz w:val="27"/>
                <w:szCs w:val="27"/>
              </w:rPr>
              <w:t>—</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157AE5" w:rsidRPr="00157AE5" w:rsidRDefault="00157AE5">
            <w:pPr>
              <w:pStyle w:val="1"/>
              <w:spacing w:before="120" w:beforeAutospacing="0" w:after="0" w:afterAutospacing="0" w:line="312" w:lineRule="atLeast"/>
              <w:jc w:val="both"/>
              <w:textAlignment w:val="baseline"/>
              <w:rPr>
                <w:rFonts w:ascii="inherit" w:hAnsi="inherit"/>
                <w:color w:val="444444"/>
                <w:sz w:val="27"/>
                <w:szCs w:val="27"/>
                <w:lang w:val="en-US"/>
              </w:rPr>
            </w:pPr>
            <w:r w:rsidRPr="00157AE5">
              <w:rPr>
                <w:rFonts w:ascii="inherit" w:hAnsi="inherit"/>
                <w:color w:val="444444"/>
                <w:sz w:val="27"/>
                <w:szCs w:val="27"/>
                <w:lang w:val="en-US"/>
              </w:rPr>
              <w:t>1 mg/kg la produse alimentare sau simulanți alimentari sau</w:t>
            </w:r>
          </w:p>
        </w:tc>
      </w:tr>
    </w:tbl>
    <w:p w:rsidR="00157AE5" w:rsidRDefault="00157AE5" w:rsidP="00157AE5">
      <w:pPr>
        <w:rPr>
          <w:vanish/>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375"/>
        <w:gridCol w:w="9085"/>
      </w:tblGrid>
      <w:tr w:rsidR="00157AE5" w:rsidRPr="00157AE5" w:rsidTr="00157AE5">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157AE5" w:rsidRDefault="00157AE5">
            <w:pPr>
              <w:pStyle w:val="1"/>
              <w:spacing w:before="120" w:beforeAutospacing="0" w:after="0" w:afterAutospacing="0" w:line="312" w:lineRule="atLeast"/>
              <w:jc w:val="both"/>
              <w:textAlignment w:val="baseline"/>
              <w:rPr>
                <w:rFonts w:ascii="inherit" w:hAnsi="inherit"/>
                <w:color w:val="444444"/>
                <w:sz w:val="27"/>
                <w:szCs w:val="27"/>
              </w:rPr>
            </w:pPr>
            <w:r>
              <w:rPr>
                <w:rFonts w:ascii="inherit" w:hAnsi="inherit"/>
                <w:color w:val="444444"/>
                <w:sz w:val="27"/>
                <w:szCs w:val="27"/>
              </w:rPr>
              <w:t>—</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157AE5" w:rsidRPr="00157AE5" w:rsidRDefault="00157AE5">
            <w:pPr>
              <w:pStyle w:val="1"/>
              <w:spacing w:before="0" w:beforeAutospacing="0" w:after="0" w:afterAutospacing="0" w:line="312" w:lineRule="atLeast"/>
              <w:jc w:val="both"/>
              <w:textAlignment w:val="baseline"/>
              <w:rPr>
                <w:rFonts w:ascii="inherit" w:hAnsi="inherit"/>
                <w:color w:val="444444"/>
                <w:sz w:val="27"/>
                <w:szCs w:val="27"/>
                <w:lang w:val="en-US"/>
              </w:rPr>
            </w:pPr>
            <w:r w:rsidRPr="00157AE5">
              <w:rPr>
                <w:rFonts w:ascii="inherit" w:hAnsi="inherit"/>
                <w:color w:val="444444"/>
                <w:sz w:val="27"/>
                <w:szCs w:val="27"/>
                <w:lang w:val="en-US"/>
              </w:rPr>
              <w:t>1 mg/6 dm</w:t>
            </w:r>
            <w:r w:rsidRPr="00157AE5">
              <w:rPr>
                <w:rStyle w:val="super"/>
                <w:rFonts w:ascii="inherit" w:hAnsi="inherit"/>
                <w:color w:val="444444"/>
                <w:sz w:val="19"/>
                <w:szCs w:val="19"/>
                <w:bdr w:val="none" w:sz="0" w:space="0" w:color="auto" w:frame="1"/>
                <w:vertAlign w:val="superscript"/>
                <w:lang w:val="en-US"/>
              </w:rPr>
              <w:t>2</w:t>
            </w:r>
            <w:r w:rsidRPr="00157AE5">
              <w:rPr>
                <w:rFonts w:ascii="inherit" w:hAnsi="inherit"/>
                <w:color w:val="444444"/>
                <w:sz w:val="27"/>
                <w:szCs w:val="27"/>
                <w:lang w:val="en-US"/>
              </w:rPr>
              <w:t>, în conformitate cu cazurile prevăzute la articolul 7 din Directiva 2002/72/CE.</w:t>
            </w:r>
          </w:p>
        </w:tc>
      </w:tr>
    </w:tbl>
    <w:p w:rsidR="00157AE5" w:rsidRPr="00157AE5" w:rsidRDefault="00157AE5" w:rsidP="00157AE5">
      <w:pPr>
        <w:pStyle w:val="1"/>
        <w:shd w:val="clear" w:color="auto" w:fill="FFFFFF"/>
        <w:spacing w:before="0" w:beforeAutospacing="0" w:after="0" w:afterAutospacing="0" w:line="312" w:lineRule="atLeast"/>
        <w:jc w:val="both"/>
        <w:textAlignment w:val="baseline"/>
        <w:rPr>
          <w:color w:val="444444"/>
          <w:sz w:val="27"/>
          <w:szCs w:val="27"/>
          <w:lang w:val="en-US"/>
        </w:rPr>
      </w:pPr>
      <w:r w:rsidRPr="00157AE5">
        <w:rPr>
          <w:color w:val="444444"/>
          <w:sz w:val="27"/>
          <w:szCs w:val="27"/>
          <w:lang w:val="en-US"/>
        </w:rPr>
        <w:t xml:space="preserve">(3)   Încercările pentru determinarea migrației se realizează în conformitate cu normele stabilite de </w:t>
      </w:r>
      <w:proofErr w:type="spellStart"/>
      <w:r w:rsidRPr="00157AE5">
        <w:rPr>
          <w:color w:val="444444"/>
          <w:sz w:val="27"/>
          <w:szCs w:val="27"/>
          <w:lang w:val="en-US"/>
        </w:rPr>
        <w:t>Directiva</w:t>
      </w:r>
      <w:proofErr w:type="spellEnd"/>
      <w:r w:rsidRPr="00157AE5">
        <w:rPr>
          <w:color w:val="444444"/>
          <w:sz w:val="27"/>
          <w:szCs w:val="27"/>
          <w:lang w:val="en-US"/>
        </w:rPr>
        <w:t xml:space="preserve"> 82/711/CEE a </w:t>
      </w:r>
      <w:proofErr w:type="spellStart"/>
      <w:r w:rsidRPr="00157AE5">
        <w:rPr>
          <w:color w:val="444444"/>
          <w:sz w:val="27"/>
          <w:szCs w:val="27"/>
          <w:lang w:val="en-US"/>
        </w:rPr>
        <w:t>Consiliului</w:t>
      </w:r>
      <w:proofErr w:type="spellEnd"/>
      <w:r>
        <w:rPr>
          <w:color w:val="444444"/>
          <w:sz w:val="27"/>
          <w:szCs w:val="27"/>
        </w:rPr>
        <w:fldChar w:fldCharType="begin"/>
      </w:r>
      <w:r w:rsidRPr="00157AE5">
        <w:rPr>
          <w:color w:val="444444"/>
          <w:sz w:val="27"/>
          <w:szCs w:val="27"/>
          <w:lang w:val="en-US"/>
        </w:rPr>
        <w:instrText xml:space="preserve"> HYPERLINK "http://eur-lex.europa.eu/legal-content/RO/TXT/?uri=CELEX%3A32005R1895" \l "ntr2-L_2005302RO.01003101-E0002" </w:instrText>
      </w:r>
      <w:r>
        <w:rPr>
          <w:color w:val="444444"/>
          <w:sz w:val="27"/>
          <w:szCs w:val="27"/>
        </w:rPr>
        <w:fldChar w:fldCharType="separate"/>
      </w:r>
      <w:r w:rsidRPr="00157AE5">
        <w:rPr>
          <w:rStyle w:val="a9"/>
          <w:rFonts w:ascii="inherit" w:hAnsi="inherit"/>
          <w:color w:val="800080"/>
          <w:sz w:val="27"/>
          <w:szCs w:val="27"/>
          <w:bdr w:val="none" w:sz="0" w:space="0" w:color="auto" w:frame="1"/>
          <w:lang w:val="en-US"/>
        </w:rPr>
        <w:t> (</w:t>
      </w:r>
      <w:r w:rsidRPr="00157AE5">
        <w:rPr>
          <w:rStyle w:val="super"/>
          <w:rFonts w:ascii="inherit" w:hAnsi="inherit"/>
          <w:color w:val="800080"/>
          <w:sz w:val="19"/>
          <w:szCs w:val="19"/>
          <w:bdr w:val="none" w:sz="0" w:space="0" w:color="auto" w:frame="1"/>
          <w:vertAlign w:val="superscript"/>
          <w:lang w:val="en-US"/>
        </w:rPr>
        <w:t>2</w:t>
      </w:r>
      <w:r w:rsidRPr="00157AE5">
        <w:rPr>
          <w:rStyle w:val="a9"/>
          <w:rFonts w:ascii="inherit" w:hAnsi="inherit"/>
          <w:color w:val="800080"/>
          <w:sz w:val="27"/>
          <w:szCs w:val="27"/>
          <w:bdr w:val="none" w:sz="0" w:space="0" w:color="auto" w:frame="1"/>
          <w:lang w:val="en-US"/>
        </w:rPr>
        <w:t>)</w:t>
      </w:r>
      <w:r>
        <w:rPr>
          <w:color w:val="444444"/>
          <w:sz w:val="27"/>
          <w:szCs w:val="27"/>
        </w:rPr>
        <w:fldChar w:fldCharType="end"/>
      </w:r>
      <w:r w:rsidRPr="00157AE5">
        <w:rPr>
          <w:rStyle w:val="apple-converted-space"/>
          <w:color w:val="444444"/>
          <w:sz w:val="27"/>
          <w:szCs w:val="27"/>
          <w:lang w:val="en-US"/>
        </w:rPr>
        <w:t> </w:t>
      </w:r>
      <w:proofErr w:type="spellStart"/>
      <w:r w:rsidRPr="00157AE5">
        <w:rPr>
          <w:color w:val="444444"/>
          <w:sz w:val="27"/>
          <w:szCs w:val="27"/>
          <w:lang w:val="en-US"/>
        </w:rPr>
        <w:t>și</w:t>
      </w:r>
      <w:proofErr w:type="spellEnd"/>
      <w:r w:rsidRPr="00157AE5">
        <w:rPr>
          <w:color w:val="444444"/>
          <w:sz w:val="27"/>
          <w:szCs w:val="27"/>
          <w:lang w:val="en-US"/>
        </w:rPr>
        <w:t xml:space="preserve"> de </w:t>
      </w:r>
      <w:proofErr w:type="spellStart"/>
      <w:r w:rsidRPr="00157AE5">
        <w:rPr>
          <w:color w:val="444444"/>
          <w:sz w:val="27"/>
          <w:szCs w:val="27"/>
          <w:lang w:val="en-US"/>
        </w:rPr>
        <w:t>Directiva</w:t>
      </w:r>
      <w:proofErr w:type="spellEnd"/>
      <w:r w:rsidRPr="00157AE5">
        <w:rPr>
          <w:color w:val="444444"/>
          <w:sz w:val="27"/>
          <w:szCs w:val="27"/>
          <w:lang w:val="en-US"/>
        </w:rPr>
        <w:t xml:space="preserve"> 2002/72/CE.</w:t>
      </w:r>
    </w:p>
    <w:p w:rsidR="00157AE5" w:rsidRDefault="00663FE2" w:rsidP="00157AE5">
      <w:pPr>
        <w:spacing w:before="240" w:after="60"/>
      </w:pPr>
      <w:r>
        <w:pict>
          <v:rect id="_x0000_i1027" style="width:146.75pt;height:.75pt" o:hrpct="0" o:hrstd="t" o:hrnoshade="t" o:hr="t" fillcolor="black" stroked="f"/>
        </w:pict>
      </w:r>
    </w:p>
    <w:p w:rsidR="00157AE5" w:rsidRDefault="00663FE2" w:rsidP="00157AE5">
      <w:pPr>
        <w:pStyle w:val="note"/>
        <w:shd w:val="clear" w:color="auto" w:fill="FFFFFF"/>
        <w:spacing w:before="0" w:beforeAutospacing="0" w:after="0" w:afterAutospacing="0" w:line="312" w:lineRule="atLeast"/>
        <w:jc w:val="both"/>
        <w:textAlignment w:val="baseline"/>
        <w:rPr>
          <w:color w:val="444444"/>
          <w:sz w:val="19"/>
          <w:szCs w:val="19"/>
        </w:rPr>
      </w:pPr>
      <w:hyperlink r:id="rId18" w:anchor="ntc1-L_2005302RO.01003101-E0001" w:history="1">
        <w:r w:rsidR="00157AE5">
          <w:rPr>
            <w:rStyle w:val="a9"/>
            <w:rFonts w:ascii="inherit" w:hAnsi="inherit"/>
            <w:color w:val="800080"/>
            <w:sz w:val="19"/>
            <w:szCs w:val="19"/>
            <w:bdr w:val="none" w:sz="0" w:space="0" w:color="auto" w:frame="1"/>
          </w:rPr>
          <w:t>(</w:t>
        </w:r>
        <w:r w:rsidR="00157AE5">
          <w:rPr>
            <w:rStyle w:val="super"/>
            <w:rFonts w:ascii="inherit" w:hAnsi="inherit"/>
            <w:color w:val="800080"/>
            <w:sz w:val="13"/>
            <w:szCs w:val="13"/>
            <w:bdr w:val="none" w:sz="0" w:space="0" w:color="auto" w:frame="1"/>
            <w:vertAlign w:val="superscript"/>
          </w:rPr>
          <w:t>1</w:t>
        </w:r>
        <w:r w:rsidR="00157AE5">
          <w:rPr>
            <w:rStyle w:val="a9"/>
            <w:rFonts w:ascii="inherit" w:hAnsi="inherit"/>
            <w:color w:val="800080"/>
            <w:sz w:val="19"/>
            <w:szCs w:val="19"/>
            <w:bdr w:val="none" w:sz="0" w:space="0" w:color="auto" w:frame="1"/>
          </w:rPr>
          <w:t>)</w:t>
        </w:r>
      </w:hyperlink>
      <w:r w:rsidR="00157AE5">
        <w:rPr>
          <w:color w:val="444444"/>
          <w:sz w:val="19"/>
          <w:szCs w:val="19"/>
        </w:rPr>
        <w:t>  </w:t>
      </w:r>
      <w:hyperlink r:id="rId19" w:history="1">
        <w:r w:rsidR="00157AE5">
          <w:rPr>
            <w:rStyle w:val="a9"/>
            <w:rFonts w:ascii="inherit" w:hAnsi="inherit"/>
            <w:color w:val="800080"/>
            <w:sz w:val="19"/>
            <w:szCs w:val="19"/>
            <w:bdr w:val="none" w:sz="0" w:space="0" w:color="auto" w:frame="1"/>
          </w:rPr>
          <w:t>JO L 39, 13.2.2003, p. 1</w:t>
        </w:r>
      </w:hyperlink>
      <w:r w:rsidR="00157AE5">
        <w:rPr>
          <w:color w:val="444444"/>
          <w:sz w:val="19"/>
          <w:szCs w:val="19"/>
        </w:rPr>
        <w:t>.</w:t>
      </w:r>
    </w:p>
    <w:p w:rsidR="00157AE5" w:rsidRDefault="00663FE2" w:rsidP="00157AE5">
      <w:pPr>
        <w:pStyle w:val="note"/>
        <w:shd w:val="clear" w:color="auto" w:fill="FFFFFF"/>
        <w:spacing w:before="0" w:beforeAutospacing="0" w:after="0" w:afterAutospacing="0" w:line="312" w:lineRule="atLeast"/>
        <w:jc w:val="both"/>
        <w:textAlignment w:val="baseline"/>
        <w:rPr>
          <w:color w:val="444444"/>
          <w:sz w:val="19"/>
          <w:szCs w:val="19"/>
        </w:rPr>
      </w:pPr>
      <w:hyperlink r:id="rId20" w:anchor="ntc2-L_2005302RO.01003101-E0002" w:history="1">
        <w:r w:rsidR="00157AE5">
          <w:rPr>
            <w:rStyle w:val="a9"/>
            <w:rFonts w:ascii="inherit" w:hAnsi="inherit"/>
            <w:color w:val="800080"/>
            <w:sz w:val="19"/>
            <w:szCs w:val="19"/>
            <w:bdr w:val="none" w:sz="0" w:space="0" w:color="auto" w:frame="1"/>
          </w:rPr>
          <w:t>(</w:t>
        </w:r>
        <w:r w:rsidR="00157AE5">
          <w:rPr>
            <w:rStyle w:val="super"/>
            <w:rFonts w:ascii="inherit" w:hAnsi="inherit"/>
            <w:color w:val="800080"/>
            <w:sz w:val="13"/>
            <w:szCs w:val="13"/>
            <w:bdr w:val="none" w:sz="0" w:space="0" w:color="auto" w:frame="1"/>
            <w:vertAlign w:val="superscript"/>
          </w:rPr>
          <w:t>2</w:t>
        </w:r>
        <w:r w:rsidR="00157AE5">
          <w:rPr>
            <w:rStyle w:val="a9"/>
            <w:rFonts w:ascii="inherit" w:hAnsi="inherit"/>
            <w:color w:val="800080"/>
            <w:sz w:val="19"/>
            <w:szCs w:val="19"/>
            <w:bdr w:val="none" w:sz="0" w:space="0" w:color="auto" w:frame="1"/>
          </w:rPr>
          <w:t>)</w:t>
        </w:r>
      </w:hyperlink>
      <w:r w:rsidR="00157AE5">
        <w:rPr>
          <w:color w:val="444444"/>
          <w:sz w:val="19"/>
          <w:szCs w:val="19"/>
        </w:rPr>
        <w:t>  </w:t>
      </w:r>
      <w:hyperlink r:id="rId21" w:history="1">
        <w:r w:rsidR="00157AE5">
          <w:rPr>
            <w:rStyle w:val="a9"/>
            <w:rFonts w:ascii="inherit" w:hAnsi="inherit"/>
            <w:color w:val="800080"/>
            <w:sz w:val="19"/>
            <w:szCs w:val="19"/>
            <w:bdr w:val="none" w:sz="0" w:space="0" w:color="auto" w:frame="1"/>
          </w:rPr>
          <w:t>JO L 297, 23.10.1982, p. 26</w:t>
        </w:r>
      </w:hyperlink>
      <w:r w:rsidR="00157AE5">
        <w:rPr>
          <w:color w:val="444444"/>
          <w:sz w:val="19"/>
          <w:szCs w:val="19"/>
        </w:rPr>
        <w:t>.</w:t>
      </w:r>
    </w:p>
    <w:p w:rsidR="00157AE5" w:rsidRDefault="00663FE2" w:rsidP="00157AE5">
      <w:pPr>
        <w:spacing w:before="120" w:after="120"/>
      </w:pPr>
      <w:r>
        <w:pict>
          <v:rect id="_x0000_i1028" style="width:73.4pt;height:.75pt" o:hrpct="0" o:hralign="center" o:hrstd="t" o:hrnoshade="t" o:hr="t" fillcolor="black" stroked="f"/>
        </w:pict>
      </w:r>
    </w:p>
    <w:p w:rsidR="00157AE5" w:rsidRDefault="00157AE5" w:rsidP="00157AE5">
      <w:pPr>
        <w:pStyle w:val="doc-ti"/>
        <w:shd w:val="clear" w:color="auto" w:fill="FFFFFF"/>
        <w:spacing w:before="240" w:beforeAutospacing="0" w:after="120" w:afterAutospacing="0" w:line="312" w:lineRule="atLeast"/>
        <w:jc w:val="center"/>
        <w:textAlignment w:val="baseline"/>
        <w:rPr>
          <w:b/>
          <w:bCs/>
          <w:color w:val="444444"/>
          <w:sz w:val="27"/>
          <w:szCs w:val="27"/>
        </w:rPr>
      </w:pPr>
      <w:r>
        <w:rPr>
          <w:b/>
          <w:bCs/>
          <w:color w:val="444444"/>
          <w:sz w:val="27"/>
          <w:szCs w:val="27"/>
        </w:rPr>
        <w:t>ANEXA II</w:t>
      </w:r>
    </w:p>
    <w:p w:rsidR="00157AE5" w:rsidRDefault="00157AE5" w:rsidP="00157AE5">
      <w:pPr>
        <w:pStyle w:val="ti-tbl"/>
        <w:shd w:val="clear" w:color="auto" w:fill="FFFFFF"/>
        <w:spacing w:before="120" w:beforeAutospacing="0" w:after="120" w:afterAutospacing="0" w:line="312" w:lineRule="atLeast"/>
        <w:jc w:val="center"/>
        <w:textAlignment w:val="baseline"/>
        <w:rPr>
          <w:color w:val="444444"/>
          <w:sz w:val="27"/>
          <w:szCs w:val="27"/>
        </w:rPr>
      </w:pPr>
      <w:proofErr w:type="spellStart"/>
      <w:r>
        <w:rPr>
          <w:color w:val="444444"/>
          <w:sz w:val="27"/>
          <w:szCs w:val="27"/>
        </w:rPr>
        <w:t>Tabel</w:t>
      </w:r>
      <w:proofErr w:type="spellEnd"/>
      <w:r>
        <w:rPr>
          <w:color w:val="444444"/>
          <w:sz w:val="27"/>
          <w:szCs w:val="27"/>
        </w:rPr>
        <w:t xml:space="preserve"> </w:t>
      </w:r>
      <w:proofErr w:type="spellStart"/>
      <w:r>
        <w:rPr>
          <w:color w:val="444444"/>
          <w:sz w:val="27"/>
          <w:szCs w:val="27"/>
        </w:rPr>
        <w:t>de</w:t>
      </w:r>
      <w:proofErr w:type="spellEnd"/>
      <w:r>
        <w:rPr>
          <w:color w:val="444444"/>
          <w:sz w:val="27"/>
          <w:szCs w:val="27"/>
        </w:rPr>
        <w:t xml:space="preserve"> </w:t>
      </w:r>
      <w:proofErr w:type="spellStart"/>
      <w:r>
        <w:rPr>
          <w:color w:val="444444"/>
          <w:sz w:val="27"/>
          <w:szCs w:val="27"/>
        </w:rPr>
        <w:t>corespondență</w:t>
      </w:r>
      <w:proofErr w:type="spellEnd"/>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7109"/>
        <w:gridCol w:w="2351"/>
      </w:tblGrid>
      <w:tr w:rsidR="00157AE5" w:rsidTr="00157A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157AE5" w:rsidRPr="00157AE5" w:rsidRDefault="00157AE5">
            <w:pPr>
              <w:pStyle w:val="tbl-hdr"/>
              <w:spacing w:before="60" w:beforeAutospacing="0" w:after="60" w:afterAutospacing="0" w:line="312" w:lineRule="atLeast"/>
              <w:ind w:right="195"/>
              <w:jc w:val="center"/>
              <w:textAlignment w:val="baseline"/>
              <w:rPr>
                <w:rFonts w:ascii="inherit" w:hAnsi="inherit"/>
                <w:b/>
                <w:bCs/>
                <w:color w:val="444444"/>
                <w:lang w:val="en-US"/>
              </w:rPr>
            </w:pPr>
            <w:r w:rsidRPr="00157AE5">
              <w:rPr>
                <w:rFonts w:ascii="inherit" w:hAnsi="inherit"/>
                <w:b/>
                <w:bCs/>
                <w:color w:val="444444"/>
                <w:lang w:val="en-US"/>
              </w:rPr>
              <w:lastRenderedPageBreak/>
              <w:t>Directiva 2002/16/CE, astfel cum a fost modificată prin Directiva 2004/13/CE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157AE5" w:rsidRDefault="00157AE5">
            <w:pPr>
              <w:pStyle w:val="tbl-hdr"/>
              <w:spacing w:before="60" w:beforeAutospacing="0" w:after="60" w:afterAutospacing="0" w:line="312" w:lineRule="atLeast"/>
              <w:ind w:right="195"/>
              <w:jc w:val="center"/>
              <w:textAlignment w:val="baseline"/>
              <w:rPr>
                <w:rFonts w:ascii="inherit" w:hAnsi="inherit"/>
                <w:b/>
                <w:bCs/>
                <w:color w:val="444444"/>
              </w:rPr>
            </w:pPr>
            <w:proofErr w:type="spellStart"/>
            <w:r>
              <w:rPr>
                <w:rFonts w:ascii="inherit" w:hAnsi="inherit"/>
                <w:b/>
                <w:bCs/>
                <w:color w:val="444444"/>
              </w:rPr>
              <w:t>Prezentul</w:t>
            </w:r>
            <w:proofErr w:type="spellEnd"/>
            <w:r>
              <w:rPr>
                <w:rFonts w:ascii="inherit" w:hAnsi="inherit"/>
                <w:b/>
                <w:bCs/>
                <w:color w:val="444444"/>
              </w:rPr>
              <w:t xml:space="preserve"> </w:t>
            </w:r>
            <w:proofErr w:type="spellStart"/>
            <w:r>
              <w:rPr>
                <w:rFonts w:ascii="inherit" w:hAnsi="inherit"/>
                <w:b/>
                <w:bCs/>
                <w:color w:val="444444"/>
              </w:rPr>
              <w:t>regulament</w:t>
            </w:r>
            <w:proofErr w:type="spellEnd"/>
          </w:p>
        </w:tc>
      </w:tr>
      <w:tr w:rsidR="00157AE5" w:rsidTr="00157A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157AE5" w:rsidRDefault="00157AE5">
            <w:pPr>
              <w:pStyle w:val="tbl-txt"/>
              <w:spacing w:before="60" w:beforeAutospacing="0" w:after="60" w:afterAutospacing="0" w:line="312" w:lineRule="atLeast"/>
              <w:textAlignment w:val="baseline"/>
              <w:rPr>
                <w:rFonts w:ascii="inherit" w:hAnsi="inherit"/>
                <w:color w:val="444444"/>
              </w:rPr>
            </w:pPr>
            <w:proofErr w:type="spellStart"/>
            <w:r>
              <w:rPr>
                <w:rFonts w:ascii="inherit" w:hAnsi="inherit"/>
                <w:color w:val="444444"/>
              </w:rPr>
              <w:t>Articolul</w:t>
            </w:r>
            <w:proofErr w:type="spellEnd"/>
            <w:r>
              <w:rPr>
                <w:rFonts w:ascii="inherit" w:hAnsi="inherit"/>
                <w:color w:val="444444"/>
              </w:rPr>
              <w:t xml:space="preserve"> 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157AE5" w:rsidRDefault="00157AE5">
            <w:pPr>
              <w:pStyle w:val="tbl-txt"/>
              <w:spacing w:before="60" w:beforeAutospacing="0" w:after="60" w:afterAutospacing="0" w:line="312" w:lineRule="atLeast"/>
              <w:textAlignment w:val="baseline"/>
              <w:rPr>
                <w:rFonts w:ascii="inherit" w:hAnsi="inherit"/>
                <w:color w:val="444444"/>
              </w:rPr>
            </w:pPr>
            <w:proofErr w:type="spellStart"/>
            <w:r>
              <w:rPr>
                <w:rFonts w:ascii="inherit" w:hAnsi="inherit"/>
                <w:color w:val="444444"/>
              </w:rPr>
              <w:t>Articolul</w:t>
            </w:r>
            <w:proofErr w:type="spellEnd"/>
            <w:r>
              <w:rPr>
                <w:rFonts w:ascii="inherit" w:hAnsi="inherit"/>
                <w:color w:val="444444"/>
              </w:rPr>
              <w:t xml:space="preserve"> 1</w:t>
            </w:r>
          </w:p>
        </w:tc>
      </w:tr>
      <w:tr w:rsidR="00157AE5" w:rsidTr="00157A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157AE5" w:rsidRDefault="00157AE5">
            <w:pPr>
              <w:pStyle w:val="tbl-txt"/>
              <w:spacing w:before="60" w:beforeAutospacing="0" w:after="60" w:afterAutospacing="0" w:line="312" w:lineRule="atLeast"/>
              <w:textAlignment w:val="baseline"/>
              <w:rPr>
                <w:rFonts w:ascii="inherit" w:hAnsi="inherit"/>
                <w:color w:val="444444"/>
              </w:rPr>
            </w:pPr>
            <w:proofErr w:type="spellStart"/>
            <w:r>
              <w:rPr>
                <w:rFonts w:ascii="inherit" w:hAnsi="inherit"/>
                <w:color w:val="444444"/>
              </w:rPr>
              <w:t>Articolul</w:t>
            </w:r>
            <w:proofErr w:type="spellEnd"/>
            <w:r>
              <w:rPr>
                <w:rFonts w:ascii="inherit" w:hAnsi="inherit"/>
                <w:color w:val="444444"/>
              </w:rPr>
              <w:t xml:space="preserve"> 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157AE5" w:rsidRDefault="00157AE5">
            <w:pPr>
              <w:pStyle w:val="tbl-txt"/>
              <w:spacing w:before="60" w:beforeAutospacing="0" w:after="60" w:afterAutospacing="0" w:line="312" w:lineRule="atLeast"/>
              <w:textAlignment w:val="baseline"/>
              <w:rPr>
                <w:rFonts w:ascii="inherit" w:hAnsi="inherit"/>
                <w:color w:val="444444"/>
              </w:rPr>
            </w:pPr>
            <w:proofErr w:type="spellStart"/>
            <w:r>
              <w:rPr>
                <w:rFonts w:ascii="inherit" w:hAnsi="inherit"/>
                <w:color w:val="444444"/>
              </w:rPr>
              <w:t>Articolul</w:t>
            </w:r>
            <w:proofErr w:type="spellEnd"/>
            <w:r>
              <w:rPr>
                <w:rFonts w:ascii="inherit" w:hAnsi="inherit"/>
                <w:color w:val="444444"/>
              </w:rPr>
              <w:t xml:space="preserve"> 2</w:t>
            </w:r>
          </w:p>
        </w:tc>
      </w:tr>
      <w:tr w:rsidR="00157AE5" w:rsidTr="00157A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157AE5" w:rsidRDefault="00157AE5">
            <w:pPr>
              <w:pStyle w:val="tbl-txt"/>
              <w:spacing w:before="60" w:beforeAutospacing="0" w:after="60" w:afterAutospacing="0" w:line="312" w:lineRule="atLeast"/>
              <w:textAlignment w:val="baseline"/>
              <w:rPr>
                <w:rFonts w:ascii="inherit" w:hAnsi="inherit"/>
                <w:color w:val="444444"/>
              </w:rPr>
            </w:pPr>
            <w:proofErr w:type="spellStart"/>
            <w:r>
              <w:rPr>
                <w:rFonts w:ascii="inherit" w:hAnsi="inherit"/>
                <w:color w:val="444444"/>
              </w:rPr>
              <w:t>Articolul</w:t>
            </w:r>
            <w:proofErr w:type="spellEnd"/>
            <w:r>
              <w:rPr>
                <w:rFonts w:ascii="inherit" w:hAnsi="inherit"/>
                <w:color w:val="444444"/>
              </w:rPr>
              <w:t xml:space="preserve"> 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157AE5" w:rsidRDefault="00157AE5">
            <w:pPr>
              <w:pStyle w:val="tbl-txt"/>
              <w:spacing w:before="60" w:beforeAutospacing="0" w:after="60" w:afterAutospacing="0" w:line="312" w:lineRule="atLeast"/>
              <w:textAlignment w:val="baseline"/>
              <w:rPr>
                <w:rFonts w:ascii="inherit" w:hAnsi="inherit"/>
                <w:color w:val="444444"/>
              </w:rPr>
            </w:pPr>
            <w:proofErr w:type="spellStart"/>
            <w:r>
              <w:rPr>
                <w:rFonts w:ascii="inherit" w:hAnsi="inherit"/>
                <w:color w:val="444444"/>
              </w:rPr>
              <w:t>Articolul</w:t>
            </w:r>
            <w:proofErr w:type="spellEnd"/>
            <w:r>
              <w:rPr>
                <w:rFonts w:ascii="inherit" w:hAnsi="inherit"/>
                <w:color w:val="444444"/>
              </w:rPr>
              <w:t xml:space="preserve"> 3</w:t>
            </w:r>
          </w:p>
        </w:tc>
      </w:tr>
      <w:tr w:rsidR="00157AE5" w:rsidTr="00157A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157AE5" w:rsidRDefault="00157AE5">
            <w:pPr>
              <w:pStyle w:val="tbl-txt"/>
              <w:spacing w:before="60" w:beforeAutospacing="0" w:after="60" w:afterAutospacing="0" w:line="312" w:lineRule="atLeast"/>
              <w:textAlignment w:val="baseline"/>
              <w:rPr>
                <w:rFonts w:ascii="inherit" w:hAnsi="inherit"/>
                <w:color w:val="444444"/>
              </w:rPr>
            </w:pPr>
            <w:proofErr w:type="spellStart"/>
            <w:r>
              <w:rPr>
                <w:rFonts w:ascii="inherit" w:hAnsi="inherit"/>
                <w:color w:val="444444"/>
              </w:rPr>
              <w:t>Articolul</w:t>
            </w:r>
            <w:proofErr w:type="spellEnd"/>
            <w:r>
              <w:rPr>
                <w:rFonts w:ascii="inherit" w:hAnsi="inherit"/>
                <w:color w:val="444444"/>
              </w:rPr>
              <w:t xml:space="preserve"> 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157AE5" w:rsidRDefault="00157AE5">
            <w:pPr>
              <w:pStyle w:val="tbl-txt"/>
              <w:spacing w:before="60" w:beforeAutospacing="0" w:after="60" w:afterAutospacing="0" w:line="312" w:lineRule="atLeast"/>
              <w:textAlignment w:val="baseline"/>
              <w:rPr>
                <w:rFonts w:ascii="inherit" w:hAnsi="inherit"/>
                <w:color w:val="444444"/>
              </w:rPr>
            </w:pPr>
            <w:proofErr w:type="spellStart"/>
            <w:r>
              <w:rPr>
                <w:rFonts w:ascii="inherit" w:hAnsi="inherit"/>
                <w:color w:val="444444"/>
              </w:rPr>
              <w:t>Articolul</w:t>
            </w:r>
            <w:proofErr w:type="spellEnd"/>
            <w:r>
              <w:rPr>
                <w:rFonts w:ascii="inherit" w:hAnsi="inherit"/>
                <w:color w:val="444444"/>
              </w:rPr>
              <w:t xml:space="preserve"> 4</w:t>
            </w:r>
          </w:p>
        </w:tc>
      </w:tr>
      <w:tr w:rsidR="00157AE5" w:rsidTr="00157A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157AE5" w:rsidRDefault="00157AE5">
            <w:pPr>
              <w:pStyle w:val="tbl-txt"/>
              <w:spacing w:before="60" w:beforeAutospacing="0" w:after="60" w:afterAutospacing="0" w:line="312" w:lineRule="atLeast"/>
              <w:textAlignment w:val="baseline"/>
              <w:rPr>
                <w:rFonts w:ascii="inherit" w:hAnsi="inherit"/>
                <w:color w:val="444444"/>
              </w:rPr>
            </w:pPr>
            <w:r>
              <w:rPr>
                <w:rFonts w:ascii="inherit" w:hAnsi="inherit"/>
                <w:color w:val="444444"/>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157AE5" w:rsidRDefault="00157AE5">
            <w:pPr>
              <w:pStyle w:val="tbl-txt"/>
              <w:spacing w:before="60" w:beforeAutospacing="0" w:after="60" w:afterAutospacing="0" w:line="312" w:lineRule="atLeast"/>
              <w:textAlignment w:val="baseline"/>
              <w:rPr>
                <w:rFonts w:ascii="inherit" w:hAnsi="inherit"/>
                <w:color w:val="444444"/>
              </w:rPr>
            </w:pPr>
            <w:proofErr w:type="spellStart"/>
            <w:r>
              <w:rPr>
                <w:rFonts w:ascii="inherit" w:hAnsi="inherit"/>
                <w:color w:val="444444"/>
              </w:rPr>
              <w:t>Articolul</w:t>
            </w:r>
            <w:proofErr w:type="spellEnd"/>
            <w:r>
              <w:rPr>
                <w:rFonts w:ascii="inherit" w:hAnsi="inherit"/>
                <w:color w:val="444444"/>
              </w:rPr>
              <w:t xml:space="preserve"> 5</w:t>
            </w:r>
          </w:p>
        </w:tc>
      </w:tr>
      <w:tr w:rsidR="00157AE5" w:rsidTr="00157A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157AE5" w:rsidRDefault="00157AE5">
            <w:pPr>
              <w:pStyle w:val="tbl-txt"/>
              <w:spacing w:before="60" w:beforeAutospacing="0" w:after="60" w:afterAutospacing="0" w:line="312" w:lineRule="atLeast"/>
              <w:textAlignment w:val="baseline"/>
              <w:rPr>
                <w:rFonts w:ascii="inherit" w:hAnsi="inherit"/>
                <w:color w:val="444444"/>
              </w:rPr>
            </w:pPr>
            <w:proofErr w:type="spellStart"/>
            <w:r>
              <w:rPr>
                <w:rFonts w:ascii="inherit" w:hAnsi="inherit"/>
                <w:color w:val="444444"/>
              </w:rPr>
              <w:t>Articolul</w:t>
            </w:r>
            <w:proofErr w:type="spellEnd"/>
            <w:r>
              <w:rPr>
                <w:rFonts w:ascii="inherit" w:hAnsi="inherit"/>
                <w:color w:val="444444"/>
              </w:rPr>
              <w:t xml:space="preserve"> 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157AE5" w:rsidRDefault="00157AE5">
            <w:pPr>
              <w:pStyle w:val="tbl-txt"/>
              <w:spacing w:before="60" w:beforeAutospacing="0" w:after="60" w:afterAutospacing="0" w:line="312" w:lineRule="atLeast"/>
              <w:textAlignment w:val="baseline"/>
              <w:rPr>
                <w:rFonts w:ascii="inherit" w:hAnsi="inherit"/>
                <w:color w:val="444444"/>
              </w:rPr>
            </w:pPr>
            <w:proofErr w:type="spellStart"/>
            <w:r>
              <w:rPr>
                <w:rFonts w:ascii="inherit" w:hAnsi="inherit"/>
                <w:color w:val="444444"/>
              </w:rPr>
              <w:t>Articolul</w:t>
            </w:r>
            <w:proofErr w:type="spellEnd"/>
            <w:r>
              <w:rPr>
                <w:rFonts w:ascii="inherit" w:hAnsi="inherit"/>
                <w:color w:val="444444"/>
              </w:rPr>
              <w:t xml:space="preserve"> 6</w:t>
            </w:r>
          </w:p>
        </w:tc>
      </w:tr>
      <w:tr w:rsidR="00157AE5" w:rsidTr="00157A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157AE5" w:rsidRDefault="00157AE5">
            <w:pPr>
              <w:pStyle w:val="tbl-txt"/>
              <w:spacing w:before="60" w:beforeAutospacing="0" w:after="60" w:afterAutospacing="0" w:line="312" w:lineRule="atLeast"/>
              <w:textAlignment w:val="baseline"/>
              <w:rPr>
                <w:rFonts w:ascii="inherit" w:hAnsi="inherit"/>
                <w:color w:val="444444"/>
              </w:rPr>
            </w:pPr>
            <w:proofErr w:type="spellStart"/>
            <w:r>
              <w:rPr>
                <w:rFonts w:ascii="inherit" w:hAnsi="inherit"/>
                <w:color w:val="444444"/>
              </w:rPr>
              <w:t>Articolul</w:t>
            </w:r>
            <w:proofErr w:type="spellEnd"/>
            <w:r>
              <w:rPr>
                <w:rFonts w:ascii="inherit" w:hAnsi="inherit"/>
                <w:color w:val="444444"/>
              </w:rPr>
              <w:t xml:space="preserve"> 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157AE5" w:rsidRDefault="00157AE5">
            <w:pPr>
              <w:pStyle w:val="tbl-txt"/>
              <w:spacing w:before="60" w:beforeAutospacing="0" w:after="60" w:afterAutospacing="0" w:line="312" w:lineRule="atLeast"/>
              <w:textAlignment w:val="baseline"/>
              <w:rPr>
                <w:rFonts w:ascii="inherit" w:hAnsi="inherit"/>
                <w:color w:val="444444"/>
              </w:rPr>
            </w:pPr>
            <w:proofErr w:type="spellStart"/>
            <w:r>
              <w:rPr>
                <w:rFonts w:ascii="inherit" w:hAnsi="inherit"/>
                <w:color w:val="444444"/>
              </w:rPr>
              <w:t>Articolul</w:t>
            </w:r>
            <w:proofErr w:type="spellEnd"/>
            <w:r>
              <w:rPr>
                <w:rFonts w:ascii="inherit" w:hAnsi="inherit"/>
                <w:color w:val="444444"/>
              </w:rPr>
              <w:t xml:space="preserve"> 7</w:t>
            </w:r>
          </w:p>
        </w:tc>
      </w:tr>
      <w:tr w:rsidR="00157AE5" w:rsidTr="00157A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157AE5" w:rsidRDefault="00157AE5">
            <w:pPr>
              <w:pStyle w:val="tbl-txt"/>
              <w:spacing w:before="60" w:beforeAutospacing="0" w:after="60" w:afterAutospacing="0" w:line="312" w:lineRule="atLeast"/>
              <w:textAlignment w:val="baseline"/>
              <w:rPr>
                <w:rFonts w:ascii="inherit" w:hAnsi="inherit"/>
                <w:color w:val="444444"/>
              </w:rPr>
            </w:pPr>
            <w:proofErr w:type="spellStart"/>
            <w:r>
              <w:rPr>
                <w:rFonts w:ascii="inherit" w:hAnsi="inherit"/>
                <w:color w:val="444444"/>
              </w:rPr>
              <w:t>Articolul</w:t>
            </w:r>
            <w:proofErr w:type="spellEnd"/>
            <w:r>
              <w:rPr>
                <w:rFonts w:ascii="inherit" w:hAnsi="inherit"/>
                <w:color w:val="444444"/>
              </w:rPr>
              <w:t xml:space="preserve"> 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157AE5" w:rsidRDefault="00157AE5">
            <w:pPr>
              <w:pStyle w:val="tbl-txt"/>
              <w:spacing w:before="60" w:beforeAutospacing="0" w:after="60" w:afterAutospacing="0" w:line="312" w:lineRule="atLeast"/>
              <w:textAlignment w:val="baseline"/>
              <w:rPr>
                <w:rFonts w:ascii="inherit" w:hAnsi="inherit"/>
                <w:color w:val="444444"/>
              </w:rPr>
            </w:pPr>
            <w:proofErr w:type="spellStart"/>
            <w:r>
              <w:rPr>
                <w:rFonts w:ascii="inherit" w:hAnsi="inherit"/>
                <w:color w:val="444444"/>
              </w:rPr>
              <w:t>Articolul</w:t>
            </w:r>
            <w:proofErr w:type="spellEnd"/>
            <w:r>
              <w:rPr>
                <w:rFonts w:ascii="inherit" w:hAnsi="inherit"/>
                <w:color w:val="444444"/>
              </w:rPr>
              <w:t xml:space="preserve"> 8</w:t>
            </w:r>
          </w:p>
        </w:tc>
      </w:tr>
      <w:tr w:rsidR="00157AE5" w:rsidTr="00157A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157AE5" w:rsidRDefault="00157AE5">
            <w:pPr>
              <w:pStyle w:val="tbl-txt"/>
              <w:spacing w:before="60" w:beforeAutospacing="0" w:after="60" w:afterAutospacing="0" w:line="312" w:lineRule="atLeast"/>
              <w:textAlignment w:val="baseline"/>
              <w:rPr>
                <w:rFonts w:ascii="inherit" w:hAnsi="inherit"/>
                <w:color w:val="444444"/>
              </w:rPr>
            </w:pPr>
            <w:proofErr w:type="spellStart"/>
            <w:r>
              <w:rPr>
                <w:rFonts w:ascii="inherit" w:hAnsi="inherit"/>
                <w:color w:val="444444"/>
              </w:rPr>
              <w:t>Articolul</w:t>
            </w:r>
            <w:proofErr w:type="spellEnd"/>
            <w:r>
              <w:rPr>
                <w:rFonts w:ascii="inherit" w:hAnsi="inherit"/>
                <w:color w:val="444444"/>
              </w:rPr>
              <w:t xml:space="preserve"> 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157AE5" w:rsidRDefault="00157AE5">
            <w:pPr>
              <w:pStyle w:val="tbl-txt"/>
              <w:spacing w:before="60" w:beforeAutospacing="0" w:after="60" w:afterAutospacing="0" w:line="312" w:lineRule="atLeast"/>
              <w:textAlignment w:val="baseline"/>
              <w:rPr>
                <w:rFonts w:ascii="inherit" w:hAnsi="inherit"/>
                <w:color w:val="444444"/>
              </w:rPr>
            </w:pPr>
            <w:proofErr w:type="spellStart"/>
            <w:r>
              <w:rPr>
                <w:rFonts w:ascii="inherit" w:hAnsi="inherit"/>
                <w:color w:val="444444"/>
              </w:rPr>
              <w:t>Articolul</w:t>
            </w:r>
            <w:proofErr w:type="spellEnd"/>
            <w:r>
              <w:rPr>
                <w:rFonts w:ascii="inherit" w:hAnsi="inherit"/>
                <w:color w:val="444444"/>
              </w:rPr>
              <w:t xml:space="preserve"> 8</w:t>
            </w:r>
          </w:p>
        </w:tc>
      </w:tr>
      <w:tr w:rsidR="00157AE5" w:rsidTr="00157A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157AE5" w:rsidRDefault="00157AE5">
            <w:pPr>
              <w:pStyle w:val="tbl-txt"/>
              <w:spacing w:before="60" w:beforeAutospacing="0" w:after="60" w:afterAutospacing="0" w:line="312" w:lineRule="atLeast"/>
              <w:textAlignment w:val="baseline"/>
              <w:rPr>
                <w:rFonts w:ascii="inherit" w:hAnsi="inherit"/>
                <w:color w:val="444444"/>
              </w:rPr>
            </w:pPr>
            <w:proofErr w:type="spellStart"/>
            <w:r>
              <w:rPr>
                <w:rFonts w:ascii="inherit" w:hAnsi="inherit"/>
                <w:color w:val="444444"/>
              </w:rPr>
              <w:t>Articolul</w:t>
            </w:r>
            <w:proofErr w:type="spellEnd"/>
            <w:r>
              <w:rPr>
                <w:rFonts w:ascii="inherit" w:hAnsi="inherit"/>
                <w:color w:val="444444"/>
              </w:rPr>
              <w:t xml:space="preserve"> 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157AE5" w:rsidRDefault="00157AE5">
            <w:pPr>
              <w:pStyle w:val="tbl-txt"/>
              <w:spacing w:before="60" w:beforeAutospacing="0" w:after="60" w:afterAutospacing="0" w:line="312" w:lineRule="atLeast"/>
              <w:textAlignment w:val="baseline"/>
              <w:rPr>
                <w:rFonts w:ascii="inherit" w:hAnsi="inherit"/>
                <w:color w:val="444444"/>
              </w:rPr>
            </w:pPr>
            <w:r>
              <w:rPr>
                <w:rFonts w:ascii="inherit" w:hAnsi="inherit"/>
                <w:color w:val="444444"/>
              </w:rPr>
              <w:t>--</w:t>
            </w:r>
          </w:p>
        </w:tc>
      </w:tr>
      <w:tr w:rsidR="00157AE5" w:rsidTr="00157A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157AE5" w:rsidRDefault="00157AE5">
            <w:pPr>
              <w:pStyle w:val="tbl-txt"/>
              <w:spacing w:before="60" w:beforeAutospacing="0" w:after="60" w:afterAutospacing="0" w:line="312" w:lineRule="atLeast"/>
              <w:textAlignment w:val="baseline"/>
              <w:rPr>
                <w:rFonts w:ascii="inherit" w:hAnsi="inherit"/>
                <w:color w:val="444444"/>
              </w:rPr>
            </w:pPr>
            <w:proofErr w:type="spellStart"/>
            <w:r>
              <w:rPr>
                <w:rFonts w:ascii="inherit" w:hAnsi="inherit"/>
                <w:color w:val="444444"/>
              </w:rPr>
              <w:t>Anexa</w:t>
            </w:r>
            <w:proofErr w:type="spellEnd"/>
            <w:r>
              <w:rPr>
                <w:rFonts w:ascii="inherit" w:hAnsi="inherit"/>
                <w:color w:val="444444"/>
              </w:rPr>
              <w:t xml:space="preserve"> 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157AE5" w:rsidRDefault="00157AE5">
            <w:pPr>
              <w:pStyle w:val="tbl-txt"/>
              <w:spacing w:before="60" w:beforeAutospacing="0" w:after="60" w:afterAutospacing="0" w:line="312" w:lineRule="atLeast"/>
              <w:textAlignment w:val="baseline"/>
              <w:rPr>
                <w:rFonts w:ascii="inherit" w:hAnsi="inherit"/>
                <w:color w:val="444444"/>
              </w:rPr>
            </w:pPr>
            <w:proofErr w:type="spellStart"/>
            <w:r>
              <w:rPr>
                <w:rFonts w:ascii="inherit" w:hAnsi="inherit"/>
                <w:color w:val="444444"/>
              </w:rPr>
              <w:t>Anexa</w:t>
            </w:r>
            <w:proofErr w:type="spellEnd"/>
            <w:r>
              <w:rPr>
                <w:rFonts w:ascii="inherit" w:hAnsi="inherit"/>
                <w:color w:val="444444"/>
              </w:rPr>
              <w:t xml:space="preserve"> I</w:t>
            </w:r>
          </w:p>
        </w:tc>
      </w:tr>
      <w:tr w:rsidR="00157AE5" w:rsidTr="00157A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157AE5" w:rsidRDefault="00157AE5">
            <w:pPr>
              <w:pStyle w:val="tbl-txt"/>
              <w:spacing w:before="60" w:beforeAutospacing="0" w:after="60" w:afterAutospacing="0" w:line="312" w:lineRule="atLeast"/>
              <w:textAlignment w:val="baseline"/>
              <w:rPr>
                <w:rFonts w:ascii="inherit" w:hAnsi="inherit"/>
                <w:color w:val="444444"/>
              </w:rPr>
            </w:pPr>
            <w:proofErr w:type="spellStart"/>
            <w:r>
              <w:rPr>
                <w:rFonts w:ascii="inherit" w:hAnsi="inherit"/>
                <w:color w:val="444444"/>
              </w:rPr>
              <w:t>Anexa</w:t>
            </w:r>
            <w:proofErr w:type="spellEnd"/>
            <w:r>
              <w:rPr>
                <w:rFonts w:ascii="inherit" w:hAnsi="inherit"/>
                <w:color w:val="444444"/>
              </w:rPr>
              <w:t xml:space="preserve"> 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157AE5" w:rsidRDefault="00157AE5">
            <w:pPr>
              <w:pStyle w:val="tbl-txt"/>
              <w:spacing w:before="60" w:beforeAutospacing="0" w:after="60" w:afterAutospacing="0" w:line="312" w:lineRule="atLeast"/>
              <w:textAlignment w:val="baseline"/>
              <w:rPr>
                <w:rFonts w:ascii="inherit" w:hAnsi="inherit"/>
                <w:color w:val="444444"/>
              </w:rPr>
            </w:pPr>
            <w:r>
              <w:rPr>
                <w:rFonts w:ascii="inherit" w:hAnsi="inherit"/>
                <w:color w:val="444444"/>
              </w:rPr>
              <w:t>--</w:t>
            </w:r>
          </w:p>
        </w:tc>
      </w:tr>
      <w:tr w:rsidR="00157AE5" w:rsidTr="00157A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157AE5" w:rsidRDefault="00157AE5">
            <w:pPr>
              <w:pStyle w:val="tbl-txt"/>
              <w:spacing w:before="60" w:beforeAutospacing="0" w:after="60" w:afterAutospacing="0" w:line="312" w:lineRule="atLeast"/>
              <w:textAlignment w:val="baseline"/>
              <w:rPr>
                <w:rFonts w:ascii="inherit" w:hAnsi="inherit"/>
                <w:color w:val="444444"/>
              </w:rPr>
            </w:pPr>
            <w:proofErr w:type="spellStart"/>
            <w:r>
              <w:rPr>
                <w:rFonts w:ascii="inherit" w:hAnsi="inherit"/>
                <w:color w:val="444444"/>
              </w:rPr>
              <w:t>Anexa</w:t>
            </w:r>
            <w:proofErr w:type="spellEnd"/>
            <w:r>
              <w:rPr>
                <w:rFonts w:ascii="inherit" w:hAnsi="inherit"/>
                <w:color w:val="444444"/>
              </w:rPr>
              <w:t xml:space="preserve"> III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157AE5" w:rsidRDefault="00157AE5">
            <w:pPr>
              <w:pStyle w:val="tbl-txt"/>
              <w:spacing w:before="60" w:beforeAutospacing="0" w:after="60" w:afterAutospacing="0" w:line="312" w:lineRule="atLeast"/>
              <w:textAlignment w:val="baseline"/>
              <w:rPr>
                <w:rFonts w:ascii="inherit" w:hAnsi="inherit"/>
                <w:color w:val="444444"/>
              </w:rPr>
            </w:pPr>
            <w:proofErr w:type="spellStart"/>
            <w:r>
              <w:rPr>
                <w:rFonts w:ascii="inherit" w:hAnsi="inherit"/>
                <w:color w:val="444444"/>
              </w:rPr>
              <w:t>Anexa</w:t>
            </w:r>
            <w:proofErr w:type="spellEnd"/>
            <w:r>
              <w:rPr>
                <w:rFonts w:ascii="inherit" w:hAnsi="inherit"/>
                <w:color w:val="444444"/>
              </w:rPr>
              <w:t xml:space="preserve"> II</w:t>
            </w:r>
          </w:p>
        </w:tc>
      </w:tr>
    </w:tbl>
    <w:p w:rsidR="003B603F" w:rsidRDefault="003B603F"/>
    <w:sectPr w:rsidR="003B60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F8B"/>
    <w:rsid w:val="00157AE5"/>
    <w:rsid w:val="003B603F"/>
    <w:rsid w:val="00474F8B"/>
    <w:rsid w:val="00606AF7"/>
    <w:rsid w:val="00663F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6AF7"/>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Quote"/>
    <w:basedOn w:val="a"/>
    <w:next w:val="a"/>
    <w:link w:val="20"/>
    <w:uiPriority w:val="29"/>
    <w:qFormat/>
    <w:rsid w:val="00606AF7"/>
    <w:rPr>
      <w:i/>
      <w:iCs/>
      <w:color w:val="000000" w:themeColor="text1"/>
      <w:lang w:eastAsia="en-US"/>
    </w:rPr>
  </w:style>
  <w:style w:type="character" w:customStyle="1" w:styleId="20">
    <w:name w:val="Цитата 2 Знак"/>
    <w:basedOn w:val="a0"/>
    <w:link w:val="2"/>
    <w:uiPriority w:val="29"/>
    <w:rsid w:val="00606AF7"/>
    <w:rPr>
      <w:i/>
      <w:iCs/>
      <w:color w:val="000000" w:themeColor="text1"/>
      <w:sz w:val="24"/>
      <w:szCs w:val="24"/>
    </w:rPr>
  </w:style>
  <w:style w:type="paragraph" w:styleId="a3">
    <w:name w:val="Intense Quote"/>
    <w:basedOn w:val="a"/>
    <w:next w:val="a"/>
    <w:link w:val="a4"/>
    <w:uiPriority w:val="30"/>
    <w:qFormat/>
    <w:rsid w:val="00606AF7"/>
    <w:pPr>
      <w:pBdr>
        <w:bottom w:val="single" w:sz="4" w:space="4" w:color="4F81BD" w:themeColor="accent1"/>
      </w:pBdr>
      <w:spacing w:before="200" w:after="280"/>
      <w:ind w:left="936" w:right="936"/>
    </w:pPr>
    <w:rPr>
      <w:b/>
      <w:bCs/>
      <w:i/>
      <w:iCs/>
      <w:color w:val="4F81BD" w:themeColor="accent1"/>
      <w:lang w:eastAsia="en-US"/>
    </w:rPr>
  </w:style>
  <w:style w:type="character" w:customStyle="1" w:styleId="a4">
    <w:name w:val="Выделенная цитата Знак"/>
    <w:basedOn w:val="a0"/>
    <w:link w:val="a3"/>
    <w:uiPriority w:val="30"/>
    <w:rsid w:val="00606AF7"/>
    <w:rPr>
      <w:b/>
      <w:bCs/>
      <w:i/>
      <w:iCs/>
      <w:color w:val="4F81BD" w:themeColor="accent1"/>
      <w:sz w:val="24"/>
      <w:szCs w:val="24"/>
    </w:rPr>
  </w:style>
  <w:style w:type="character" w:styleId="a5">
    <w:name w:val="Intense Emphasis"/>
    <w:basedOn w:val="a0"/>
    <w:uiPriority w:val="21"/>
    <w:qFormat/>
    <w:rsid w:val="00606AF7"/>
    <w:rPr>
      <w:b/>
      <w:bCs/>
      <w:i/>
      <w:iCs/>
      <w:color w:val="4F81BD" w:themeColor="accent1"/>
    </w:rPr>
  </w:style>
  <w:style w:type="character" w:styleId="a6">
    <w:name w:val="Subtle Reference"/>
    <w:basedOn w:val="a0"/>
    <w:uiPriority w:val="31"/>
    <w:qFormat/>
    <w:rsid w:val="00606AF7"/>
    <w:rPr>
      <w:smallCaps/>
      <w:color w:val="C0504D" w:themeColor="accent2"/>
      <w:u w:val="single"/>
    </w:rPr>
  </w:style>
  <w:style w:type="character" w:styleId="a7">
    <w:name w:val="Intense Reference"/>
    <w:basedOn w:val="a0"/>
    <w:uiPriority w:val="32"/>
    <w:qFormat/>
    <w:rsid w:val="00606AF7"/>
    <w:rPr>
      <w:b/>
      <w:bCs/>
      <w:smallCaps/>
      <w:color w:val="C0504D" w:themeColor="accent2"/>
      <w:spacing w:val="5"/>
      <w:u w:val="single"/>
    </w:rPr>
  </w:style>
  <w:style w:type="character" w:styleId="a8">
    <w:name w:val="Book Title"/>
    <w:basedOn w:val="a0"/>
    <w:uiPriority w:val="33"/>
    <w:qFormat/>
    <w:rsid w:val="00606AF7"/>
    <w:rPr>
      <w:b/>
      <w:bCs/>
      <w:smallCaps/>
      <w:spacing w:val="5"/>
    </w:rPr>
  </w:style>
  <w:style w:type="paragraph" w:customStyle="1" w:styleId="doc-ti">
    <w:name w:val="doc-ti"/>
    <w:basedOn w:val="a"/>
    <w:rsid w:val="00157AE5"/>
    <w:pPr>
      <w:spacing w:before="100" w:beforeAutospacing="1" w:after="100" w:afterAutospacing="1"/>
    </w:pPr>
  </w:style>
  <w:style w:type="character" w:customStyle="1" w:styleId="apple-converted-space">
    <w:name w:val="apple-converted-space"/>
    <w:basedOn w:val="a0"/>
    <w:rsid w:val="00157AE5"/>
  </w:style>
  <w:style w:type="paragraph" w:customStyle="1" w:styleId="1">
    <w:name w:val="Обычный1"/>
    <w:basedOn w:val="a"/>
    <w:rsid w:val="00157AE5"/>
    <w:pPr>
      <w:spacing w:before="100" w:beforeAutospacing="1" w:after="100" w:afterAutospacing="1"/>
    </w:pPr>
  </w:style>
  <w:style w:type="character" w:styleId="a9">
    <w:name w:val="Hyperlink"/>
    <w:basedOn w:val="a0"/>
    <w:uiPriority w:val="99"/>
    <w:semiHidden/>
    <w:unhideWhenUsed/>
    <w:rsid w:val="00157AE5"/>
    <w:rPr>
      <w:color w:val="0000FF"/>
      <w:u w:val="single"/>
    </w:rPr>
  </w:style>
  <w:style w:type="character" w:customStyle="1" w:styleId="super">
    <w:name w:val="super"/>
    <w:basedOn w:val="a0"/>
    <w:rsid w:val="00157AE5"/>
  </w:style>
  <w:style w:type="character" w:customStyle="1" w:styleId="sub">
    <w:name w:val="sub"/>
    <w:basedOn w:val="a0"/>
    <w:rsid w:val="00157AE5"/>
  </w:style>
  <w:style w:type="character" w:customStyle="1" w:styleId="italic">
    <w:name w:val="italic"/>
    <w:basedOn w:val="a0"/>
    <w:rsid w:val="00157AE5"/>
  </w:style>
  <w:style w:type="paragraph" w:customStyle="1" w:styleId="ti-art">
    <w:name w:val="ti-art"/>
    <w:basedOn w:val="a"/>
    <w:rsid w:val="00157AE5"/>
    <w:pPr>
      <w:spacing w:before="100" w:beforeAutospacing="1" w:after="100" w:afterAutospacing="1"/>
    </w:pPr>
  </w:style>
  <w:style w:type="paragraph" w:customStyle="1" w:styleId="sti-art">
    <w:name w:val="sti-art"/>
    <w:basedOn w:val="a"/>
    <w:rsid w:val="00157AE5"/>
    <w:pPr>
      <w:spacing w:before="100" w:beforeAutospacing="1" w:after="100" w:afterAutospacing="1"/>
    </w:pPr>
  </w:style>
  <w:style w:type="paragraph" w:customStyle="1" w:styleId="signatory">
    <w:name w:val="signatory"/>
    <w:basedOn w:val="a"/>
    <w:rsid w:val="00157AE5"/>
    <w:pPr>
      <w:spacing w:before="100" w:beforeAutospacing="1" w:after="100" w:afterAutospacing="1"/>
    </w:pPr>
  </w:style>
  <w:style w:type="paragraph" w:customStyle="1" w:styleId="note">
    <w:name w:val="note"/>
    <w:basedOn w:val="a"/>
    <w:rsid w:val="00157AE5"/>
    <w:pPr>
      <w:spacing w:before="100" w:beforeAutospacing="1" w:after="100" w:afterAutospacing="1"/>
    </w:pPr>
  </w:style>
  <w:style w:type="paragraph" w:customStyle="1" w:styleId="ti-grseq-1">
    <w:name w:val="ti-grseq-1"/>
    <w:basedOn w:val="a"/>
    <w:rsid w:val="00157AE5"/>
    <w:pPr>
      <w:spacing w:before="100" w:beforeAutospacing="1" w:after="100" w:afterAutospacing="1"/>
    </w:pPr>
  </w:style>
  <w:style w:type="paragraph" w:customStyle="1" w:styleId="ti-tbl">
    <w:name w:val="ti-tbl"/>
    <w:basedOn w:val="a"/>
    <w:rsid w:val="00157AE5"/>
    <w:pPr>
      <w:spacing w:before="100" w:beforeAutospacing="1" w:after="100" w:afterAutospacing="1"/>
    </w:pPr>
  </w:style>
  <w:style w:type="paragraph" w:customStyle="1" w:styleId="tbl-hdr">
    <w:name w:val="tbl-hdr"/>
    <w:basedOn w:val="a"/>
    <w:rsid w:val="00157AE5"/>
    <w:pPr>
      <w:spacing w:before="100" w:beforeAutospacing="1" w:after="100" w:afterAutospacing="1"/>
    </w:pPr>
  </w:style>
  <w:style w:type="paragraph" w:customStyle="1" w:styleId="tbl-txt">
    <w:name w:val="tbl-txt"/>
    <w:basedOn w:val="a"/>
    <w:rsid w:val="00157AE5"/>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6AF7"/>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Quote"/>
    <w:basedOn w:val="a"/>
    <w:next w:val="a"/>
    <w:link w:val="20"/>
    <w:uiPriority w:val="29"/>
    <w:qFormat/>
    <w:rsid w:val="00606AF7"/>
    <w:rPr>
      <w:i/>
      <w:iCs/>
      <w:color w:val="000000" w:themeColor="text1"/>
      <w:lang w:eastAsia="en-US"/>
    </w:rPr>
  </w:style>
  <w:style w:type="character" w:customStyle="1" w:styleId="20">
    <w:name w:val="Цитата 2 Знак"/>
    <w:basedOn w:val="a0"/>
    <w:link w:val="2"/>
    <w:uiPriority w:val="29"/>
    <w:rsid w:val="00606AF7"/>
    <w:rPr>
      <w:i/>
      <w:iCs/>
      <w:color w:val="000000" w:themeColor="text1"/>
      <w:sz w:val="24"/>
      <w:szCs w:val="24"/>
    </w:rPr>
  </w:style>
  <w:style w:type="paragraph" w:styleId="a3">
    <w:name w:val="Intense Quote"/>
    <w:basedOn w:val="a"/>
    <w:next w:val="a"/>
    <w:link w:val="a4"/>
    <w:uiPriority w:val="30"/>
    <w:qFormat/>
    <w:rsid w:val="00606AF7"/>
    <w:pPr>
      <w:pBdr>
        <w:bottom w:val="single" w:sz="4" w:space="4" w:color="4F81BD" w:themeColor="accent1"/>
      </w:pBdr>
      <w:spacing w:before="200" w:after="280"/>
      <w:ind w:left="936" w:right="936"/>
    </w:pPr>
    <w:rPr>
      <w:b/>
      <w:bCs/>
      <w:i/>
      <w:iCs/>
      <w:color w:val="4F81BD" w:themeColor="accent1"/>
      <w:lang w:eastAsia="en-US"/>
    </w:rPr>
  </w:style>
  <w:style w:type="character" w:customStyle="1" w:styleId="a4">
    <w:name w:val="Выделенная цитата Знак"/>
    <w:basedOn w:val="a0"/>
    <w:link w:val="a3"/>
    <w:uiPriority w:val="30"/>
    <w:rsid w:val="00606AF7"/>
    <w:rPr>
      <w:b/>
      <w:bCs/>
      <w:i/>
      <w:iCs/>
      <w:color w:val="4F81BD" w:themeColor="accent1"/>
      <w:sz w:val="24"/>
      <w:szCs w:val="24"/>
    </w:rPr>
  </w:style>
  <w:style w:type="character" w:styleId="a5">
    <w:name w:val="Intense Emphasis"/>
    <w:basedOn w:val="a0"/>
    <w:uiPriority w:val="21"/>
    <w:qFormat/>
    <w:rsid w:val="00606AF7"/>
    <w:rPr>
      <w:b/>
      <w:bCs/>
      <w:i/>
      <w:iCs/>
      <w:color w:val="4F81BD" w:themeColor="accent1"/>
    </w:rPr>
  </w:style>
  <w:style w:type="character" w:styleId="a6">
    <w:name w:val="Subtle Reference"/>
    <w:basedOn w:val="a0"/>
    <w:uiPriority w:val="31"/>
    <w:qFormat/>
    <w:rsid w:val="00606AF7"/>
    <w:rPr>
      <w:smallCaps/>
      <w:color w:val="C0504D" w:themeColor="accent2"/>
      <w:u w:val="single"/>
    </w:rPr>
  </w:style>
  <w:style w:type="character" w:styleId="a7">
    <w:name w:val="Intense Reference"/>
    <w:basedOn w:val="a0"/>
    <w:uiPriority w:val="32"/>
    <w:qFormat/>
    <w:rsid w:val="00606AF7"/>
    <w:rPr>
      <w:b/>
      <w:bCs/>
      <w:smallCaps/>
      <w:color w:val="C0504D" w:themeColor="accent2"/>
      <w:spacing w:val="5"/>
      <w:u w:val="single"/>
    </w:rPr>
  </w:style>
  <w:style w:type="character" w:styleId="a8">
    <w:name w:val="Book Title"/>
    <w:basedOn w:val="a0"/>
    <w:uiPriority w:val="33"/>
    <w:qFormat/>
    <w:rsid w:val="00606AF7"/>
    <w:rPr>
      <w:b/>
      <w:bCs/>
      <w:smallCaps/>
      <w:spacing w:val="5"/>
    </w:rPr>
  </w:style>
  <w:style w:type="paragraph" w:customStyle="1" w:styleId="doc-ti">
    <w:name w:val="doc-ti"/>
    <w:basedOn w:val="a"/>
    <w:rsid w:val="00157AE5"/>
    <w:pPr>
      <w:spacing w:before="100" w:beforeAutospacing="1" w:after="100" w:afterAutospacing="1"/>
    </w:pPr>
  </w:style>
  <w:style w:type="character" w:customStyle="1" w:styleId="apple-converted-space">
    <w:name w:val="apple-converted-space"/>
    <w:basedOn w:val="a0"/>
    <w:rsid w:val="00157AE5"/>
  </w:style>
  <w:style w:type="paragraph" w:customStyle="1" w:styleId="1">
    <w:name w:val="Обычный1"/>
    <w:basedOn w:val="a"/>
    <w:rsid w:val="00157AE5"/>
    <w:pPr>
      <w:spacing w:before="100" w:beforeAutospacing="1" w:after="100" w:afterAutospacing="1"/>
    </w:pPr>
  </w:style>
  <w:style w:type="character" w:styleId="a9">
    <w:name w:val="Hyperlink"/>
    <w:basedOn w:val="a0"/>
    <w:uiPriority w:val="99"/>
    <w:semiHidden/>
    <w:unhideWhenUsed/>
    <w:rsid w:val="00157AE5"/>
    <w:rPr>
      <w:color w:val="0000FF"/>
      <w:u w:val="single"/>
    </w:rPr>
  </w:style>
  <w:style w:type="character" w:customStyle="1" w:styleId="super">
    <w:name w:val="super"/>
    <w:basedOn w:val="a0"/>
    <w:rsid w:val="00157AE5"/>
  </w:style>
  <w:style w:type="character" w:customStyle="1" w:styleId="sub">
    <w:name w:val="sub"/>
    <w:basedOn w:val="a0"/>
    <w:rsid w:val="00157AE5"/>
  </w:style>
  <w:style w:type="character" w:customStyle="1" w:styleId="italic">
    <w:name w:val="italic"/>
    <w:basedOn w:val="a0"/>
    <w:rsid w:val="00157AE5"/>
  </w:style>
  <w:style w:type="paragraph" w:customStyle="1" w:styleId="ti-art">
    <w:name w:val="ti-art"/>
    <w:basedOn w:val="a"/>
    <w:rsid w:val="00157AE5"/>
    <w:pPr>
      <w:spacing w:before="100" w:beforeAutospacing="1" w:after="100" w:afterAutospacing="1"/>
    </w:pPr>
  </w:style>
  <w:style w:type="paragraph" w:customStyle="1" w:styleId="sti-art">
    <w:name w:val="sti-art"/>
    <w:basedOn w:val="a"/>
    <w:rsid w:val="00157AE5"/>
    <w:pPr>
      <w:spacing w:before="100" w:beforeAutospacing="1" w:after="100" w:afterAutospacing="1"/>
    </w:pPr>
  </w:style>
  <w:style w:type="paragraph" w:customStyle="1" w:styleId="signatory">
    <w:name w:val="signatory"/>
    <w:basedOn w:val="a"/>
    <w:rsid w:val="00157AE5"/>
    <w:pPr>
      <w:spacing w:before="100" w:beforeAutospacing="1" w:after="100" w:afterAutospacing="1"/>
    </w:pPr>
  </w:style>
  <w:style w:type="paragraph" w:customStyle="1" w:styleId="note">
    <w:name w:val="note"/>
    <w:basedOn w:val="a"/>
    <w:rsid w:val="00157AE5"/>
    <w:pPr>
      <w:spacing w:before="100" w:beforeAutospacing="1" w:after="100" w:afterAutospacing="1"/>
    </w:pPr>
  </w:style>
  <w:style w:type="paragraph" w:customStyle="1" w:styleId="ti-grseq-1">
    <w:name w:val="ti-grseq-1"/>
    <w:basedOn w:val="a"/>
    <w:rsid w:val="00157AE5"/>
    <w:pPr>
      <w:spacing w:before="100" w:beforeAutospacing="1" w:after="100" w:afterAutospacing="1"/>
    </w:pPr>
  </w:style>
  <w:style w:type="paragraph" w:customStyle="1" w:styleId="ti-tbl">
    <w:name w:val="ti-tbl"/>
    <w:basedOn w:val="a"/>
    <w:rsid w:val="00157AE5"/>
    <w:pPr>
      <w:spacing w:before="100" w:beforeAutospacing="1" w:after="100" w:afterAutospacing="1"/>
    </w:pPr>
  </w:style>
  <w:style w:type="paragraph" w:customStyle="1" w:styleId="tbl-hdr">
    <w:name w:val="tbl-hdr"/>
    <w:basedOn w:val="a"/>
    <w:rsid w:val="00157AE5"/>
    <w:pPr>
      <w:spacing w:before="100" w:beforeAutospacing="1" w:after="100" w:afterAutospacing="1"/>
    </w:pPr>
  </w:style>
  <w:style w:type="paragraph" w:customStyle="1" w:styleId="tbl-txt">
    <w:name w:val="tbl-txt"/>
    <w:basedOn w:val="a"/>
    <w:rsid w:val="00157AE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444730">
      <w:bodyDiv w:val="1"/>
      <w:marLeft w:val="0"/>
      <w:marRight w:val="0"/>
      <w:marTop w:val="0"/>
      <w:marBottom w:val="0"/>
      <w:divBdr>
        <w:top w:val="none" w:sz="0" w:space="0" w:color="auto"/>
        <w:left w:val="none" w:sz="0" w:space="0" w:color="auto"/>
        <w:bottom w:val="none" w:sz="0" w:space="0" w:color="auto"/>
        <w:right w:val="none" w:sz="0" w:space="0" w:color="auto"/>
      </w:divBdr>
      <w:divsChild>
        <w:div w:id="201869481">
          <w:marLeft w:val="810"/>
          <w:marRight w:val="810"/>
          <w:marTop w:val="360"/>
          <w:marBottom w:val="0"/>
          <w:divBdr>
            <w:top w:val="none" w:sz="0" w:space="0" w:color="auto"/>
            <w:left w:val="none" w:sz="0" w:space="0" w:color="auto"/>
            <w:bottom w:val="none" w:sz="0" w:space="0" w:color="auto"/>
            <w:right w:val="none" w:sz="0" w:space="0" w:color="auto"/>
          </w:divBdr>
          <w:divsChild>
            <w:div w:id="1823883042">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RO/AUTO/?uri=OJ:L:2004:338:TOC" TargetMode="External"/><Relationship Id="rId13" Type="http://schemas.openxmlformats.org/officeDocument/2006/relationships/hyperlink" Target="http://eur-lex.europa.eu/legal-content/RO/AUTO/?uri=OJ:L:2000:109:TOC" TargetMode="External"/><Relationship Id="rId18" Type="http://schemas.openxmlformats.org/officeDocument/2006/relationships/hyperlink" Target="http://eur-lex.europa.eu/legal-content/RO/TXT/?uri=CELEX%3A32005R1895" TargetMode="External"/><Relationship Id="rId3" Type="http://schemas.openxmlformats.org/officeDocument/2006/relationships/settings" Target="settings.xml"/><Relationship Id="rId21" Type="http://schemas.openxmlformats.org/officeDocument/2006/relationships/hyperlink" Target="http://eur-lex.europa.eu/legal-content/RO/AUTO/?uri=OJ:L:1982:297:TOC" TargetMode="External"/><Relationship Id="rId7" Type="http://schemas.openxmlformats.org/officeDocument/2006/relationships/hyperlink" Target="http://eur-lex.europa.eu/legal-content/RO/TXT/?uri=CELEX%3A32005R1895" TargetMode="External"/><Relationship Id="rId12" Type="http://schemas.openxmlformats.org/officeDocument/2006/relationships/hyperlink" Target="http://eur-lex.europa.eu/legal-content/RO/TXT/?uri=CELEX%3A32005R1895" TargetMode="External"/><Relationship Id="rId17" Type="http://schemas.openxmlformats.org/officeDocument/2006/relationships/hyperlink" Target="http://eur-lex.europa.eu/legal-content/RO/AUTO/?uri=OJ:L:1992:065:TOC" TargetMode="External"/><Relationship Id="rId2" Type="http://schemas.microsoft.com/office/2007/relationships/stylesWithEffects" Target="stylesWithEffects.xml"/><Relationship Id="rId16" Type="http://schemas.openxmlformats.org/officeDocument/2006/relationships/hyperlink" Target="http://eur-lex.europa.eu/legal-content/RO/AUTO/?uri=OJ:L:1989:186:TOC" TargetMode="External"/><Relationship Id="rId20" Type="http://schemas.openxmlformats.org/officeDocument/2006/relationships/hyperlink" Target="http://eur-lex.europa.eu/legal-content/RO/TXT/?uri=CELEX%3A32005R1895" TargetMode="External"/><Relationship Id="rId1" Type="http://schemas.openxmlformats.org/officeDocument/2006/relationships/styles" Target="styles.xml"/><Relationship Id="rId6" Type="http://schemas.openxmlformats.org/officeDocument/2006/relationships/hyperlink" Target="http://eur-lex.europa.eu/legal-content/RO/TXT/?uri=CELEX%3A32005R1895" TargetMode="External"/><Relationship Id="rId11" Type="http://schemas.openxmlformats.org/officeDocument/2006/relationships/hyperlink" Target="http://eur-lex.europa.eu/legal-content/RO/AUTO/?uri=OJ:L:2004:027:TOC" TargetMode="External"/><Relationship Id="rId5" Type="http://schemas.openxmlformats.org/officeDocument/2006/relationships/hyperlink" Target="http://eur-lex.europa.eu/legal-content/RO/TXT/?uri=CELEX%3A32005R1895" TargetMode="External"/><Relationship Id="rId15" Type="http://schemas.openxmlformats.org/officeDocument/2006/relationships/hyperlink" Target="http://eur-lex.europa.eu/legal-content/RO/TXT/?uri=CELEX%3A32005R1895" TargetMode="External"/><Relationship Id="rId23" Type="http://schemas.openxmlformats.org/officeDocument/2006/relationships/theme" Target="theme/theme1.xml"/><Relationship Id="rId10" Type="http://schemas.openxmlformats.org/officeDocument/2006/relationships/hyperlink" Target="http://eur-lex.europa.eu/legal-content/RO/AUTO/?uri=OJ:L:2002:051:TOC" TargetMode="External"/><Relationship Id="rId19" Type="http://schemas.openxmlformats.org/officeDocument/2006/relationships/hyperlink" Target="http://eur-lex.europa.eu/legal-content/RO/AUTO/?uri=OJ:L:2003:039:TOC" TargetMode="External"/><Relationship Id="rId4" Type="http://schemas.openxmlformats.org/officeDocument/2006/relationships/webSettings" Target="webSettings.xml"/><Relationship Id="rId9" Type="http://schemas.openxmlformats.org/officeDocument/2006/relationships/hyperlink" Target="http://eur-lex.europa.eu/legal-content/RO/TXT/?uri=CELEX%3A32005R1895" TargetMode="External"/><Relationship Id="rId14" Type="http://schemas.openxmlformats.org/officeDocument/2006/relationships/hyperlink" Target="http://eur-lex.europa.eu/legal-content/RO/AUTO/?uri=OJ:L:2003:308:TOC"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2005</Words>
  <Characters>11435</Characters>
  <Application>Microsoft Office Word</Application>
  <DocSecurity>0</DocSecurity>
  <Lines>95</Lines>
  <Paragraphs>26</Paragraphs>
  <ScaleCrop>false</ScaleCrop>
  <Company>by adguard</Company>
  <LinksUpToDate>false</LinksUpToDate>
  <CharactersWithSpaces>13414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Iulia Mihalachi</cp:lastModifiedBy>
  <cp:revision>2</cp:revision>
  <dcterms:created xsi:type="dcterms:W3CDTF">2017-03-14T10:51:00Z</dcterms:created>
  <dcterms:modified xsi:type="dcterms:W3CDTF">2017-03-14T10:51:00Z</dcterms:modified>
</cp:coreProperties>
</file>