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C9" w:rsidRPr="00AA3561" w:rsidRDefault="00B02FC9" w:rsidP="00B02FC9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r w:rsidRPr="00AA3561">
        <w:rPr>
          <w:rFonts w:ascii="Times New Roman" w:eastAsia="Times New Roman" w:hAnsi="Times New Roman" w:cs="Times New Roman"/>
          <w:color w:val="000000"/>
        </w:rPr>
        <w:t xml:space="preserve">Anexa nr.1 la </w:t>
      </w:r>
      <w:proofErr w:type="spellStart"/>
      <w:r w:rsidRPr="00AA3561">
        <w:rPr>
          <w:rFonts w:ascii="Times New Roman" w:eastAsia="Times New Roman" w:hAnsi="Times New Roman" w:cs="Times New Roman"/>
          <w:color w:val="000000"/>
        </w:rPr>
        <w:t>Hotărîrea</w:t>
      </w:r>
      <w:proofErr w:type="spellEnd"/>
      <w:r w:rsidRPr="00AA3561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02FC9" w:rsidRDefault="00B02FC9" w:rsidP="00B02FC9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  <w:r w:rsidRPr="00AA3561">
        <w:rPr>
          <w:rFonts w:ascii="Times New Roman" w:eastAsia="Times New Roman" w:hAnsi="Times New Roman" w:cs="Times New Roman"/>
          <w:color w:val="000000"/>
        </w:rPr>
        <w:t>Guvernului nr.____din____</w:t>
      </w:r>
    </w:p>
    <w:p w:rsidR="00B02FC9" w:rsidRDefault="00B02FC9" w:rsidP="00B02FC9">
      <w:pPr>
        <w:spacing w:after="0"/>
        <w:jc w:val="right"/>
        <w:rPr>
          <w:rFonts w:ascii="Times New Roman" w:eastAsia="Times New Roman" w:hAnsi="Times New Roman" w:cs="Times New Roman"/>
          <w:color w:val="000000"/>
        </w:rPr>
      </w:pPr>
    </w:p>
    <w:p w:rsidR="00B02FC9" w:rsidRPr="00AA3561" w:rsidRDefault="00B02FC9" w:rsidP="00B02F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A356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Regulamentul </w:t>
      </w:r>
    </w:p>
    <w:p w:rsidR="00B02FC9" w:rsidRDefault="00B02FC9" w:rsidP="00B02F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A356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privind organizarea și funcționarea </w:t>
      </w:r>
    </w:p>
    <w:p w:rsidR="00B02FC9" w:rsidRDefault="00B02FC9" w:rsidP="00B02F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A356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Agenției Naționale pentru Jocuri de Noroc </w:t>
      </w:r>
    </w:p>
    <w:p w:rsidR="00B02FC9" w:rsidRDefault="00B02FC9" w:rsidP="00B02F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Regulamentul privind organizarea şi funcţionarea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Agenției Naționale pentru Jocuri de Noroc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(în continuare – Regulament) stabileşte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statutul juridic al Agenției Naționale pentru Jocuri de Noroc, funcțiile de bază, atribuțiile, drepturile, precum și organizarea activității acesteia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D69C8">
        <w:rPr>
          <w:rFonts w:ascii="Times New Roman" w:eastAsia="Times New Roman" w:hAnsi="Times New Roman" w:cs="Times New Roman"/>
          <w:color w:val="000000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Agenția Națională pentru Jocuri de Noroc (în continuare – Agenția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) este autoritate administrativă în 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ubordinea Ministerului Finanțelor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, care implementeaz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ă politica statului în domeniul jocurilor de noroc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3. Agenția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este persoană juridică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de drept public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, dispune de ştampilă cu Stema de Stat a Republicii Moldova, precu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 şi de cont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trezorerial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 Agenția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este finanţată de la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bugetul de stat în limitele alocațiilor bugetare aprobate prin legea bugetară anuală. Sediul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află în mun. Chişinău.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4. În activitatea sa Agenția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conduce de Constituţia Republicii Moldova,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Legea nr.291 din 16 decembrie 2016 cu privire la organizarea și desfășurarea jocurilor de noroc,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Legea nr.451-XV din 30 iulie 2001 privind reglementarea prin licenţiere a activităţii de întreprinzător, de alte acte legislative şi normative, de acordurile internaţionale la care Republica Moldova este parte, precum şi de prezentul Regulament. </w:t>
      </w:r>
    </w:p>
    <w:p w:rsidR="00B02FC9" w:rsidRPr="004D69C8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B02FC9" w:rsidRDefault="00B02FC9" w:rsidP="00B02FC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349A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Misiunea, funcțiile de bază, atribuțiile și drepturile Agenției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5. Agenția elibereaz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ă licenţe pentru </w:t>
      </w:r>
      <w:r w:rsidRPr="00F027C8">
        <w:rPr>
          <w:rFonts w:ascii="Times New Roman" w:eastAsia="Times New Roman" w:hAnsi="Times New Roman" w:cs="Times New Roman"/>
          <w:color w:val="000000"/>
          <w:sz w:val="26"/>
          <w:szCs w:val="26"/>
        </w:rPr>
        <w:t>a</w:t>
      </w:r>
      <w:r w:rsidRPr="00F027C8">
        <w:rPr>
          <w:rFonts w:ascii="Times New Roman" w:hAnsi="Times New Roman" w:cs="Times New Roman"/>
          <w:color w:val="000000"/>
          <w:sz w:val="26"/>
          <w:szCs w:val="26"/>
        </w:rPr>
        <w:t xml:space="preserve">ctivitatea în domeniul jocurilor de noroc </w:t>
      </w:r>
      <w:r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F027C8">
        <w:rPr>
          <w:rFonts w:ascii="Times New Roman" w:hAnsi="Times New Roman" w:cs="Times New Roman"/>
          <w:color w:val="000000"/>
          <w:sz w:val="26"/>
          <w:szCs w:val="26"/>
        </w:rPr>
        <w:t>întreținerea cazinourilor</w:t>
      </w:r>
      <w:r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şi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asigură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supravegherea și controlul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respectării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 către organizatorii jocurilor de noroc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a condiţiilor de licenţiere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și a altor condiții prevăzute de legislația în vigoare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, necesare pentru practicarea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activităţilor în domeniul respectiv.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6. În scopul realizării misiunii sale, Agenția exercită următoarele funcții de bază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1) implementarea politicii statului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privind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reglementarea prin licenţiere a activităţilor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din domeniul jocurilor de noroc (întreținerea cazinourilor)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efectuarea supravegherii și controlului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respectării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 către organizatorii jocurilor de noroc a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legislaţiei în domeniul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respectiv,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în limitele şi în c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onformitate cu prevederile legislației în vigoare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şi ale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prezentului Regulament;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gestionarea dosarelor de licenţiere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gestionarea şi asigurarea funcţio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nării serviciului e-licenţiere din domeniul jocurilor de noroc.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Pentru realizarea funcţi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ilor de bază ce îi revin, Agenția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îndeplineşte următoarele atribuţii: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1) eliberează și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reperfectează</w:t>
      </w:r>
      <w:proofErr w:type="spellEnd"/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licenţele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pentru activitatea în domeniul jocurilor de noroc (întreținerea cazinourilor)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, eliberează copii şi duplicate ale acestora, realizează acţiunile prevăzute de lege pentru suspendarea, retragerea, recunoaşterea nevalabilităţii licenţelor;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2) asigură monitorizarea achitării integrale și în termen 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taxelor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 către organizatorii jocurilor de noroc;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participă în calitate de parte civilă în procesele de judecată privind încasarea taxei pentru licenţă;</w:t>
      </w:r>
    </w:p>
    <w:p w:rsidR="00B02FC9" w:rsidRPr="00CE048E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CE04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efectuează supravegherea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și controlul </w:t>
      </w:r>
      <w:r w:rsidRPr="00CE04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 stat în domeniul organizării și desfășurării jocurilor de noroc cu scopul de a preveni, depista și combate încălcările legislației privind organizarea și desfășurarea jocurilor de noroc de către organizatorii jocurilor de noroc, cu antrenarea organismelor de evaluare a conformității acreditate de Organismul Național de Acreditare;  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CE04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recunoaște organismele de evaluare a conformității acreditate, care este efectuată în condițiile Legii nr.235 din 1 decembrie 2011 privind activitățile de acreditare și de evaluare a conformității; </w:t>
      </w:r>
    </w:p>
    <w:p w:rsidR="00B02FC9" w:rsidRPr="00CE048E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6) </w:t>
      </w:r>
      <w:r w:rsidRPr="00AF6141">
        <w:rPr>
          <w:rFonts w:ascii="Times New Roman" w:hAnsi="Times New Roman" w:cs="Times New Roman"/>
          <w:color w:val="000000"/>
          <w:sz w:val="26"/>
          <w:szCs w:val="26"/>
        </w:rPr>
        <w:t>în cazul depistării încălcărilor condițiilor de licențiere, expediază organizatorilor de jocuri de noroc prescripțiile obligatorii pentru eliminarea acestora;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E048E">
        <w:rPr>
          <w:rFonts w:ascii="Times New Roman" w:eastAsia="Times New Roman" w:hAnsi="Times New Roman" w:cs="Times New Roman"/>
          <w:color w:val="000000"/>
          <w:sz w:val="26"/>
          <w:szCs w:val="26"/>
        </w:rPr>
        <w:t>7) prezintă Ministerului Finanțelor propuneri de perfecționare a legislației care reglementează activitatea în domeniul organizării și desfășurării jocurilor de noroc;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D16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8</w:t>
      </w:r>
      <w:r w:rsidRPr="002D16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proofErr w:type="gramStart"/>
      <w:r w:rsidRPr="002D1605">
        <w:rPr>
          <w:rFonts w:ascii="Times New Roman" w:hAnsi="Times New Roman" w:cs="Times New Roman"/>
          <w:sz w:val="26"/>
          <w:szCs w:val="26"/>
        </w:rPr>
        <w:t>aprobă</w:t>
      </w:r>
      <w:proofErr w:type="gramEnd"/>
      <w:r w:rsidRPr="002D1605">
        <w:rPr>
          <w:rFonts w:ascii="Times New Roman" w:hAnsi="Times New Roman" w:cs="Times New Roman"/>
          <w:sz w:val="26"/>
          <w:szCs w:val="26"/>
        </w:rPr>
        <w:t xml:space="preserve"> şi ţine Registrul organizatorilor de jocuri de noroc în cazinouri, Registrul mijloacelor de joc de bază, alte registre;</w:t>
      </w:r>
    </w:p>
    <w:p w:rsidR="00B02FC9" w:rsidRPr="002D1605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9) </w:t>
      </w:r>
      <w:r w:rsidRPr="00CE048E">
        <w:rPr>
          <w:rFonts w:ascii="Times New Roman" w:eastAsia="Times New Roman" w:hAnsi="Times New Roman" w:cs="Times New Roman"/>
          <w:color w:val="000000"/>
          <w:sz w:val="26"/>
          <w:szCs w:val="26"/>
        </w:rPr>
        <w:t>ține evidența registrelor jocurilor de noroc;</w:t>
      </w:r>
    </w:p>
    <w:p w:rsidR="00B02FC9" w:rsidRPr="00CE048E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Pr="00CE048E">
        <w:rPr>
          <w:rFonts w:ascii="Times New Roman" w:eastAsia="Times New Roman" w:hAnsi="Times New Roman" w:cs="Times New Roman"/>
          <w:color w:val="000000"/>
          <w:sz w:val="26"/>
          <w:szCs w:val="26"/>
        </w:rPr>
        <w:t>) coordonează și înregistrează regulile de desfășurare a jocurilor de noroc;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Pr="00CE04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</w:t>
      </w:r>
      <w:r w:rsidRPr="00CE048E">
        <w:rPr>
          <w:rFonts w:ascii="Times New Roman" w:hAnsi="Times New Roman" w:cs="Times New Roman"/>
          <w:color w:val="000000"/>
          <w:sz w:val="26"/>
          <w:szCs w:val="26"/>
        </w:rPr>
        <w:t>conlucrează cu alte autorități ale administrației publice centrale, autorități ale administrației publice locale, organizații publice și alte organizații în procesul exercitării atribuțiilor lor;</w:t>
      </w:r>
    </w:p>
    <w:p w:rsidR="00B02FC9" w:rsidRPr="009D7E11" w:rsidRDefault="00B02FC9" w:rsidP="00B02FC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</w:t>
      </w:r>
      <w:r w:rsidRPr="009D7E11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r w:rsidRPr="009D7E11">
        <w:rPr>
          <w:rFonts w:ascii="Times New Roman" w:hAnsi="Times New Roman" w:cs="Times New Roman"/>
          <w:sz w:val="26"/>
          <w:szCs w:val="26"/>
        </w:rPr>
        <w:t>stabileşte procedura de prezentare, volumele şi formularele rapoartelor (rapoartelor electronice) cu privire la desfăşurarea jocurilor de noroc, în conformitate cu prevederile prezentei legi;</w:t>
      </w:r>
    </w:p>
    <w:p w:rsidR="00B02FC9" w:rsidRPr="00993F02" w:rsidRDefault="00B02FC9" w:rsidP="00B02FC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13</w:t>
      </w:r>
      <w:r w:rsidRPr="009D7E11">
        <w:rPr>
          <w:rFonts w:ascii="Times New Roman" w:hAnsi="Times New Roman" w:cs="Times New Roman"/>
          <w:color w:val="000000"/>
          <w:sz w:val="26"/>
          <w:szCs w:val="26"/>
        </w:rPr>
        <w:t xml:space="preserve">) stabilește lista standardelor internaționale și criteriile de corespundere în conformitate cu care are loc certificarea programelor informatice și/sau a utilajului de joc, precum și organizează inspectarea programelor informatice și a utilajului de joc </w:t>
      </w:r>
      <w:r w:rsidRPr="00993F02">
        <w:rPr>
          <w:rFonts w:ascii="Times New Roman" w:hAnsi="Times New Roman" w:cs="Times New Roman"/>
          <w:color w:val="000000"/>
          <w:sz w:val="26"/>
          <w:szCs w:val="26"/>
        </w:rPr>
        <w:t>aflat în folosință și/sau în exploatare;</w:t>
      </w:r>
    </w:p>
    <w:p w:rsidR="00B02FC9" w:rsidRPr="00993F02" w:rsidRDefault="00B02FC9" w:rsidP="00B02FC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93F02">
        <w:rPr>
          <w:rFonts w:ascii="Times New Roman" w:hAnsi="Times New Roman" w:cs="Times New Roman"/>
          <w:color w:val="000000"/>
          <w:sz w:val="26"/>
          <w:szCs w:val="26"/>
        </w:rPr>
        <w:t xml:space="preserve">14) </w:t>
      </w:r>
      <w:r w:rsidRPr="00993F02">
        <w:rPr>
          <w:rFonts w:ascii="Times New Roman" w:hAnsi="Times New Roman" w:cs="Times New Roman"/>
          <w:sz w:val="26"/>
          <w:szCs w:val="26"/>
        </w:rPr>
        <w:t>stabileşte cerinţele faţă de instituţiile specializate care prestează servicii de certificare, de inspecţie a programelor informatice şi/sau a utilajului de joc, cu ulterioara recunoaştere a acestora;</w:t>
      </w:r>
    </w:p>
    <w:p w:rsidR="00B02FC9" w:rsidRPr="00CE048E" w:rsidRDefault="00B02FC9" w:rsidP="00B02FC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15</w:t>
      </w:r>
      <w:r w:rsidRPr="00CE048E">
        <w:rPr>
          <w:rFonts w:ascii="Times New Roman" w:hAnsi="Times New Roman" w:cs="Times New Roman"/>
          <w:color w:val="000000"/>
          <w:sz w:val="26"/>
          <w:szCs w:val="26"/>
        </w:rPr>
        <w:t>) elaborează criteriile cărora trebuie să corespundă sistemul unic electronic de monitorizare de stat a jocurilor de noroc, care include și activitățile instituțiilor specializate de certificare și inspecție;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16</w:t>
      </w:r>
      <w:r w:rsidRPr="00CE048E">
        <w:rPr>
          <w:rFonts w:ascii="Times New Roman" w:hAnsi="Times New Roman" w:cs="Times New Roman"/>
          <w:color w:val="000000"/>
          <w:sz w:val="26"/>
          <w:szCs w:val="26"/>
        </w:rPr>
        <w:t>) administrează sistemul electronic unic de monitorizare de stat a jocurilor de noroc sau determină persoana corespunzătoare (administratorul) care va exercita această atribuție;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17) analizează și soluționează solicitările formulate de alte autorități, operatori economici și alte părți interesate, conform competențelor și prevederilor legale în vigoare care reglementează domeniul jocurilor de noroc;</w:t>
      </w:r>
    </w:p>
    <w:p w:rsidR="00B02FC9" w:rsidRPr="00CE048E" w:rsidRDefault="00B02FC9" w:rsidP="00B02FC9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18) la solicitarea altor instituții specializate ale statului, poate participa, ca organ de specialitate, la efectuarea de verificări în domeniul jocurilor de noroc, împreună cu acestea;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</w:t>
      </w:r>
      <w:r w:rsidRPr="00CE048E">
        <w:rPr>
          <w:rFonts w:ascii="Times New Roman" w:hAnsi="Times New Roman" w:cs="Times New Roman"/>
          <w:color w:val="000000"/>
          <w:sz w:val="26"/>
          <w:szCs w:val="26"/>
        </w:rPr>
        <w:t>)  exercită alte atribuții prevăzute de legislația în vigoare.</w:t>
      </w:r>
      <w:r w:rsidRPr="00CE048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8. Agenți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a este învestită cu următoarele drepturi: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1) să elibereze titularului un certificat privind desfăşurarea activităţii indicate în licenţă pentru perioada de examinare a cererii de eliberare a duplicatului licenţei sau a cererii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 reperfectare a licenţei;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să efectueze controale privind respectarea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 către organizatorii jocurilor de noroc a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legislaţiei în domeniul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respectiv;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) să prezin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 Ministerului Finanțelor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E048E">
        <w:rPr>
          <w:rFonts w:ascii="Times New Roman" w:eastAsia="Times New Roman" w:hAnsi="Times New Roman" w:cs="Times New Roman"/>
          <w:color w:val="000000"/>
          <w:sz w:val="26"/>
          <w:szCs w:val="26"/>
        </w:rPr>
        <w:t>propuneri de perfecționare a legislației care reglementează activitatea în domeniul organizării și desfășurării jocurilor de noroc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să solicite şi să primească de la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orice autoritate publică sau operator economic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informaţiile necesare pentru activitatea sa;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5) să solicite Inspectoratului General al Poliției să asigure personal specializat pentru asigurarea protecției și siguranței controalelor desfășurate de personalul Agenției;  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să exercite alte drepturi stabilite de lege.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B02FC9" w:rsidRDefault="00B02FC9" w:rsidP="00B02FC9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954E6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III. Organizarea activității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și structura </w:t>
      </w:r>
      <w:r w:rsidRPr="00954E6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Agenției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10. Agenția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este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condusă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un director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, care are un adjunct. Numirea în funcţie, modificarea, suspendarea şi încetarea raporturilor de serviciu ale directorului şi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directorului adjunct ai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se efectuează, în condiţiile leg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ii, de către ministrul finanțelor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. 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11. Directorul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: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1) reprezint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ă Agenția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în relaţiile cu autorităţile publice, persoanele fizice şi juridice din ţară şi din străinătate;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asigură executarea şi respectarea legilor,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hotărîrilor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Parlamentului,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decretelor Preşedintelui Republicii Moldova, ordonanţelor, </w:t>
      </w:r>
      <w:proofErr w:type="spellStart"/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hotărîrilor</w:t>
      </w:r>
      <w:proofErr w:type="spellEnd"/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şi dispoziţiilor Guvernului, a prezentului Regulament şi răspunde personal pentru realizarea dre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pturilor şi obligaţiilor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3) exercită conducerea Agenției;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apro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bă statul de personal al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determină atribuţiile subdiviziunilor, precum şi sarcinile, atribuţiile şi responsabilităţile adjunctului său;</w:t>
      </w:r>
    </w:p>
    <w:p w:rsidR="00B02FC9" w:rsidRPr="009F0383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F0383">
        <w:rPr>
          <w:rFonts w:ascii="Times New Roman" w:hAnsi="Times New Roman" w:cs="Times New Roman"/>
          <w:sz w:val="26"/>
          <w:szCs w:val="26"/>
        </w:rPr>
        <w:t>7) aprobă regulamentele subdiviziunilor interioare ale Agenţiei, fişele postului pentru funcţiile publice, precum şi obiectivele individuale de activitate şi indicatorii de performanţă ale funcţionarilor publici;</w:t>
      </w:r>
      <w:r w:rsidRPr="009F0383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numeşte în funcţii, modifică, suspendă şi încetează raporturile de serviciu, în condiţiile legii, a funcţionarilor publici, angajează şi concediază alt personal al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conferă grade de calificare funcţionarilor publici, acordă stimulări şi aplică sancţiuni disciplinare personalului autorităţii administrative în condiţiile legii;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soluţionează problemele privind activitatea operativ-organizaţională şi financiar-economică, precum şi asigur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area tehnico-materială a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11)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semnează deciziile, licenţele, prescripţiile, delegările de control, ordinele de plată, corespondenţa, î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 limitele competenţelor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 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12)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emite ordine care </w:t>
      </w:r>
      <w:proofErr w:type="spellStart"/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sînt</w:t>
      </w:r>
      <w:proofErr w:type="spellEnd"/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executorii pentru întregul personal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al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în co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ordonare cu Ministerul Finanțelor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, aprobă regulamen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tul de ordine internă al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 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14)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poartă responsabilitate personală pentru utilizarea eficientă şi conform destinaţiei a alocaţi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ilor pentru întreţinerea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15)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exercită alte atribuţii corespunzătoare funcţiilor atribuite autorităţii administrative, în conformitate cu prevederile actelor legislative speciale ce reglementează relaţiile în subdomeniile sau în sferele de activi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tate încredinţate acesteia.</w:t>
      </w:r>
    </w:p>
    <w:p w:rsidR="00B02FC9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 În lipsa directorului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funcţiile acestuia </w:t>
      </w:r>
      <w:proofErr w:type="spellStart"/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sînt</w:t>
      </w:r>
      <w:proofErr w:type="spellEnd"/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exercitate de directorul adjunct.</w:t>
      </w:r>
    </w:p>
    <w:p w:rsidR="00B02FC9" w:rsidRPr="00E8565D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13.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Dreptul la prima 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emnătură pe toate actele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îl are directorul. În lipsa directorului, dreptul la semnătură îi r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evine directorului adjunct.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În conformitate cu legislaţia în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vigoare, unele acte ale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pot fi semnate de alte pers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oane din cadrul Agenției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în temeiul ordinului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de delegare a atribuțiilor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0349A8">
        <w:rPr>
          <w:rFonts w:ascii="Times New Roman" w:eastAsia="Times New Roman" w:hAnsi="Times New Roman" w:cs="Times New Roman"/>
          <w:color w:val="000000"/>
          <w:sz w:val="26"/>
          <w:szCs w:val="26"/>
        </w:rPr>
        <w:t>Persoanele învestite cu dreptul de semnătură poartă răspundere personală pentru legalitatea, veridicitatea şi corectitudinea documentului semnat.</w:t>
      </w:r>
    </w:p>
    <w:p w:rsidR="00B02FC9" w:rsidRPr="00AB6D3D" w:rsidRDefault="00B02FC9" w:rsidP="00B02FC9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 w:rsidRPr="007D238F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Structura și schema de încadrare se aprobă de către ministrul finanțelor.</w:t>
      </w:r>
    </w:p>
    <w:p w:rsidR="00721D0E" w:rsidRDefault="00721D0E"/>
    <w:sectPr w:rsidR="00721D0E" w:rsidSect="00B02FC9">
      <w:pgSz w:w="12240" w:h="15840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02FC9"/>
    <w:rsid w:val="00721D0E"/>
    <w:rsid w:val="00B0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C9"/>
    <w:rPr>
      <w:rFonts w:eastAsiaTheme="minorEastAsia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1463</Words>
  <Characters>8344</Characters>
  <Application>Microsoft Office Word</Application>
  <DocSecurity>0</DocSecurity>
  <Lines>69</Lines>
  <Paragraphs>19</Paragraphs>
  <ScaleCrop>false</ScaleCrop>
  <Company>CtrlSoft</Company>
  <LinksUpToDate>false</LinksUpToDate>
  <CharactersWithSpaces>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Slova</dc:creator>
  <cp:keywords/>
  <dc:description/>
  <cp:lastModifiedBy>Sergiu Slova</cp:lastModifiedBy>
  <cp:revision>2</cp:revision>
  <dcterms:created xsi:type="dcterms:W3CDTF">2017-01-24T12:27:00Z</dcterms:created>
  <dcterms:modified xsi:type="dcterms:W3CDTF">2017-01-24T12:30:00Z</dcterms:modified>
</cp:coreProperties>
</file>