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AF" w:rsidRPr="003E43D6" w:rsidRDefault="00E44EAF" w:rsidP="00333C9D">
      <w:pPr>
        <w:contextualSpacing/>
        <w:jc w:val="right"/>
        <w:rPr>
          <w:i/>
          <w:sz w:val="28"/>
          <w:szCs w:val="28"/>
          <w:lang w:val="ro-RO"/>
        </w:rPr>
      </w:pPr>
      <w:r w:rsidRPr="003E43D6">
        <w:rPr>
          <w:i/>
          <w:sz w:val="28"/>
          <w:szCs w:val="28"/>
          <w:lang w:val="ro-RO"/>
        </w:rPr>
        <w:t>Proiect</w:t>
      </w:r>
    </w:p>
    <w:p w:rsidR="00E44EAF" w:rsidRPr="003E43D6" w:rsidRDefault="00E44EAF" w:rsidP="00333C9D">
      <w:pPr>
        <w:contextualSpacing/>
        <w:jc w:val="both"/>
        <w:rPr>
          <w:noProof/>
          <w:sz w:val="28"/>
          <w:szCs w:val="28"/>
          <w:lang w:val="ro-RO"/>
        </w:rPr>
      </w:pPr>
    </w:p>
    <w:p w:rsidR="00E44EAF" w:rsidRPr="003E43D6" w:rsidRDefault="00E44EAF" w:rsidP="00333C9D">
      <w:pPr>
        <w:contextualSpacing/>
        <w:rPr>
          <w:sz w:val="28"/>
          <w:szCs w:val="28"/>
          <w:lang w:val="ro-RO"/>
        </w:rPr>
      </w:pPr>
    </w:p>
    <w:p w:rsidR="00E44EAF" w:rsidRPr="003E43D6" w:rsidRDefault="00E44EAF" w:rsidP="00333C9D">
      <w:pPr>
        <w:contextualSpacing/>
        <w:jc w:val="center"/>
        <w:rPr>
          <w:b/>
          <w:sz w:val="28"/>
          <w:szCs w:val="28"/>
          <w:lang w:val="ro-RO"/>
        </w:rPr>
      </w:pPr>
      <w:r w:rsidRPr="003E43D6">
        <w:rPr>
          <w:b/>
          <w:sz w:val="28"/>
          <w:szCs w:val="28"/>
          <w:lang w:val="ro-RO"/>
        </w:rPr>
        <w:t>GUVERNUL REPUBLICII MOLDOVA</w:t>
      </w:r>
    </w:p>
    <w:p w:rsidR="00E44EAF" w:rsidRPr="003E43D6" w:rsidRDefault="00E44EAF" w:rsidP="00333C9D">
      <w:pPr>
        <w:contextualSpacing/>
        <w:rPr>
          <w:b/>
          <w:sz w:val="28"/>
          <w:szCs w:val="28"/>
          <w:lang w:val="ro-RO"/>
        </w:rPr>
      </w:pPr>
    </w:p>
    <w:p w:rsidR="00E44EAF" w:rsidRPr="003E43D6" w:rsidRDefault="00E44EAF" w:rsidP="00333C9D">
      <w:pPr>
        <w:contextualSpacing/>
        <w:jc w:val="center"/>
        <w:rPr>
          <w:b/>
          <w:sz w:val="28"/>
          <w:szCs w:val="28"/>
          <w:lang w:val="ro-RO"/>
        </w:rPr>
      </w:pPr>
      <w:r w:rsidRPr="003E43D6">
        <w:rPr>
          <w:b/>
          <w:sz w:val="28"/>
          <w:szCs w:val="28"/>
          <w:lang w:val="ro-RO"/>
        </w:rPr>
        <w:t>HOTĂRÎRE</w:t>
      </w:r>
    </w:p>
    <w:p w:rsidR="00E44EAF" w:rsidRPr="003E43D6" w:rsidRDefault="00E44EAF" w:rsidP="00333C9D">
      <w:pPr>
        <w:contextualSpacing/>
        <w:jc w:val="center"/>
        <w:rPr>
          <w:b/>
          <w:sz w:val="28"/>
          <w:szCs w:val="28"/>
          <w:lang w:val="ro-RO"/>
        </w:rPr>
      </w:pPr>
    </w:p>
    <w:p w:rsidR="00E44EAF" w:rsidRPr="003E43D6" w:rsidRDefault="00333C9D" w:rsidP="00333C9D">
      <w:pPr>
        <w:contextualSpacing/>
        <w:jc w:val="center"/>
        <w:rPr>
          <w:lang w:val="ro-RO"/>
        </w:rPr>
      </w:pPr>
      <w:r w:rsidRPr="003E43D6">
        <w:rPr>
          <w:lang w:val="ro-RO"/>
        </w:rPr>
        <w:t>nr. ____   din ___________</w:t>
      </w:r>
      <w:r w:rsidR="00E44EAF" w:rsidRPr="003E43D6">
        <w:rPr>
          <w:lang w:val="ro-RO"/>
        </w:rPr>
        <w:t>201</w:t>
      </w:r>
      <w:r w:rsidR="00391983" w:rsidRPr="003E43D6">
        <w:rPr>
          <w:lang w:val="ro-RO"/>
        </w:rPr>
        <w:t>7</w:t>
      </w:r>
    </w:p>
    <w:p w:rsidR="00E44EAF" w:rsidRPr="003E43D6" w:rsidRDefault="00E44EAF" w:rsidP="00333C9D">
      <w:pPr>
        <w:contextualSpacing/>
        <w:jc w:val="center"/>
        <w:rPr>
          <w:sz w:val="28"/>
          <w:szCs w:val="28"/>
          <w:lang w:val="ro-RO"/>
        </w:rPr>
      </w:pPr>
    </w:p>
    <w:p w:rsidR="00E44EAF" w:rsidRPr="003E43D6" w:rsidRDefault="00E44EAF" w:rsidP="00333C9D">
      <w:pPr>
        <w:contextualSpacing/>
        <w:jc w:val="center"/>
        <w:rPr>
          <w:sz w:val="28"/>
          <w:szCs w:val="28"/>
          <w:lang w:val="ro-RO"/>
        </w:rPr>
      </w:pPr>
    </w:p>
    <w:p w:rsidR="00EC1ED3" w:rsidRPr="003E43D6" w:rsidRDefault="00EC1ED3" w:rsidP="00EC1ED3">
      <w:pPr>
        <w:pStyle w:val="rg"/>
        <w:jc w:val="center"/>
        <w:rPr>
          <w:b/>
          <w:sz w:val="27"/>
          <w:szCs w:val="27"/>
        </w:rPr>
      </w:pPr>
      <w:r w:rsidRPr="003E43D6">
        <w:rPr>
          <w:b/>
          <w:sz w:val="27"/>
          <w:szCs w:val="27"/>
          <w:lang w:val="ro-RO"/>
        </w:rPr>
        <w:t xml:space="preserve">cu privire la </w:t>
      </w:r>
      <w:r w:rsidR="00C80D25" w:rsidRPr="003E43D6">
        <w:rPr>
          <w:b/>
          <w:sz w:val="27"/>
          <w:szCs w:val="27"/>
          <w:lang w:val="ro-RO"/>
        </w:rPr>
        <w:t xml:space="preserve">modificarea </w:t>
      </w:r>
      <w:r w:rsidRPr="003E43D6">
        <w:rPr>
          <w:b/>
          <w:sz w:val="27"/>
          <w:szCs w:val="27"/>
        </w:rPr>
        <w:t>Hotărîr</w:t>
      </w:r>
      <w:r w:rsidR="00AD370B" w:rsidRPr="003E43D6">
        <w:rPr>
          <w:b/>
          <w:sz w:val="27"/>
          <w:szCs w:val="27"/>
        </w:rPr>
        <w:t>ii</w:t>
      </w:r>
      <w:r w:rsidRPr="003E43D6">
        <w:rPr>
          <w:b/>
          <w:sz w:val="27"/>
          <w:szCs w:val="27"/>
        </w:rPr>
        <w:t xml:space="preserve"> Guvernului nr.560 din 24 iulie 2013</w:t>
      </w:r>
    </w:p>
    <w:p w:rsidR="00A35A22" w:rsidRPr="003E43D6" w:rsidRDefault="00A35A22" w:rsidP="00333C9D">
      <w:pPr>
        <w:contextualSpacing/>
        <w:jc w:val="center"/>
        <w:rPr>
          <w:b/>
          <w:bCs/>
          <w:lang w:val="en-GB" w:eastAsia="en-GB"/>
        </w:rPr>
      </w:pPr>
    </w:p>
    <w:p w:rsidR="00E44EAF" w:rsidRPr="003E43D6" w:rsidRDefault="00E44EAF" w:rsidP="00333C9D">
      <w:pPr>
        <w:contextualSpacing/>
        <w:jc w:val="center"/>
        <w:rPr>
          <w:b/>
          <w:lang w:val="ro-RO"/>
        </w:rPr>
      </w:pPr>
      <w:r w:rsidRPr="003E43D6">
        <w:rPr>
          <w:b/>
          <w:lang w:val="ro-RO"/>
        </w:rPr>
        <w:t>__________________________________________________________________</w:t>
      </w:r>
    </w:p>
    <w:p w:rsidR="00E44EAF" w:rsidRPr="003E43D6" w:rsidRDefault="00E44EAF" w:rsidP="00333C9D">
      <w:pPr>
        <w:pStyle w:val="NormalWeb"/>
        <w:contextualSpacing/>
        <w:rPr>
          <w:lang w:val="ro-RO"/>
        </w:rPr>
      </w:pPr>
    </w:p>
    <w:p w:rsidR="00E44EAF" w:rsidRPr="003E43D6" w:rsidRDefault="00E44EAF" w:rsidP="000E259C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r w:rsidRPr="003E43D6">
        <w:rPr>
          <w:sz w:val="27"/>
          <w:szCs w:val="27"/>
          <w:lang w:val="ro-RO"/>
        </w:rPr>
        <w:t xml:space="preserve">Guvernul </w:t>
      </w:r>
      <w:r w:rsidRPr="003E43D6">
        <w:rPr>
          <w:sz w:val="28"/>
          <w:szCs w:val="28"/>
          <w:lang w:val="ro-RO"/>
        </w:rPr>
        <w:t>HOTĂRĂŞTE:</w:t>
      </w:r>
    </w:p>
    <w:p w:rsidR="00E44EAF" w:rsidRPr="003E43D6" w:rsidRDefault="00E44EAF" w:rsidP="005D40FC">
      <w:pPr>
        <w:spacing w:line="312" w:lineRule="auto"/>
        <w:rPr>
          <w:lang w:val="ro-RO"/>
        </w:rPr>
      </w:pPr>
    </w:p>
    <w:p w:rsidR="00AD370B" w:rsidRPr="003E43D6" w:rsidRDefault="002D300B" w:rsidP="002D300B">
      <w:pPr>
        <w:ind w:firstLine="567"/>
        <w:jc w:val="both"/>
        <w:rPr>
          <w:sz w:val="28"/>
          <w:szCs w:val="28"/>
          <w:lang w:val="en-US"/>
        </w:rPr>
      </w:pPr>
      <w:r w:rsidRPr="003E43D6">
        <w:rPr>
          <w:sz w:val="26"/>
          <w:szCs w:val="26"/>
          <w:lang w:val="en-US"/>
        </w:rPr>
        <w:t xml:space="preserve">I. </w:t>
      </w:r>
      <w:r w:rsidR="00C80D25" w:rsidRPr="003E43D6">
        <w:rPr>
          <w:sz w:val="26"/>
          <w:szCs w:val="26"/>
          <w:lang w:val="ro-RO"/>
        </w:rPr>
        <w:t xml:space="preserve">Hotărîrea Guvernului nr.560 din 24 iulie 2013 </w:t>
      </w:r>
      <w:r w:rsidR="00C80D25" w:rsidRPr="003E43D6">
        <w:rPr>
          <w:bCs/>
          <w:sz w:val="26"/>
          <w:szCs w:val="26"/>
          <w:lang w:val="en-US"/>
        </w:rPr>
        <w:t>cu privire la aprobarea Strategiei în domeniul protecţiei consumatorilor pentru anii 2013-2020</w:t>
      </w:r>
      <w:r w:rsidR="00C80D25" w:rsidRPr="003E43D6">
        <w:rPr>
          <w:sz w:val="26"/>
          <w:szCs w:val="26"/>
          <w:lang w:val="ro-RO"/>
        </w:rPr>
        <w:t>, (Monitorul Oficial, 2013, nr.161-166, art.654), se modifică după cum urmează:</w:t>
      </w:r>
    </w:p>
    <w:p w:rsidR="00AD370B" w:rsidRPr="003E43D6" w:rsidRDefault="00AD370B" w:rsidP="005D40FC">
      <w:pPr>
        <w:ind w:firstLine="567"/>
        <w:jc w:val="both"/>
        <w:rPr>
          <w:sz w:val="28"/>
          <w:szCs w:val="28"/>
          <w:lang w:val="ro-RO"/>
        </w:rPr>
      </w:pPr>
    </w:p>
    <w:p w:rsidR="00C80D25" w:rsidRPr="003E43D6" w:rsidRDefault="00C80D25" w:rsidP="005D40FC">
      <w:pPr>
        <w:ind w:firstLine="567"/>
        <w:jc w:val="both"/>
        <w:rPr>
          <w:sz w:val="27"/>
          <w:szCs w:val="27"/>
          <w:lang w:val="ro-RO"/>
        </w:rPr>
      </w:pPr>
      <w:r w:rsidRPr="003E43D6">
        <w:rPr>
          <w:sz w:val="27"/>
          <w:szCs w:val="27"/>
          <w:lang w:val="ro-RO"/>
        </w:rPr>
        <w:t>1. În partea dispozitivă</w:t>
      </w:r>
    </w:p>
    <w:p w:rsidR="00C80D25" w:rsidRPr="003E43D6" w:rsidRDefault="00C80D25" w:rsidP="005D40FC">
      <w:pPr>
        <w:ind w:firstLine="567"/>
        <w:jc w:val="both"/>
        <w:rPr>
          <w:sz w:val="26"/>
          <w:szCs w:val="26"/>
          <w:lang w:val="en-US"/>
        </w:rPr>
      </w:pPr>
      <w:r w:rsidRPr="003E43D6">
        <w:rPr>
          <w:sz w:val="27"/>
          <w:szCs w:val="27"/>
          <w:lang w:val="ro-RO"/>
        </w:rPr>
        <w:t xml:space="preserve">La punctul 1 cuvintele </w:t>
      </w:r>
      <w:r w:rsidRPr="003E43D6">
        <w:rPr>
          <w:sz w:val="26"/>
          <w:szCs w:val="26"/>
          <w:lang w:val="ro-RO"/>
        </w:rPr>
        <w:t>„</w:t>
      </w:r>
      <w:r w:rsidRPr="003E43D6">
        <w:rPr>
          <w:sz w:val="26"/>
          <w:szCs w:val="26"/>
          <w:lang w:val="en-US"/>
        </w:rPr>
        <w:t>prima perioadă (2013-2016)”  se substituie cu cuvintele „</w:t>
      </w:r>
      <w:r w:rsidRPr="003E43D6">
        <w:rPr>
          <w:rFonts w:eastAsiaTheme="minorEastAsia"/>
          <w:b/>
          <w:bCs/>
          <w:lang w:val="en-GB" w:eastAsia="en-GB"/>
        </w:rPr>
        <w:t xml:space="preserve"> </w:t>
      </w:r>
      <w:r w:rsidRPr="003E43D6">
        <w:rPr>
          <w:rFonts w:eastAsiaTheme="minorEastAsia"/>
          <w:bCs/>
          <w:sz w:val="26"/>
          <w:szCs w:val="26"/>
          <w:lang w:val="en-GB" w:eastAsia="en-GB"/>
        </w:rPr>
        <w:t>perioada a doua (2017-2020)”.</w:t>
      </w:r>
    </w:p>
    <w:p w:rsidR="00C80D25" w:rsidRPr="003E43D6" w:rsidRDefault="00C80D25" w:rsidP="005D40FC">
      <w:pPr>
        <w:ind w:firstLine="567"/>
        <w:jc w:val="both"/>
        <w:rPr>
          <w:sz w:val="27"/>
          <w:szCs w:val="27"/>
          <w:lang w:val="ro-RO"/>
        </w:rPr>
      </w:pPr>
    </w:p>
    <w:p w:rsidR="00EC1ED3" w:rsidRPr="003E43D6" w:rsidRDefault="00C80D25" w:rsidP="005D40FC">
      <w:pPr>
        <w:ind w:firstLine="567"/>
        <w:jc w:val="both"/>
        <w:rPr>
          <w:sz w:val="27"/>
          <w:szCs w:val="27"/>
          <w:lang w:val="ro-RO"/>
        </w:rPr>
      </w:pPr>
      <w:r w:rsidRPr="003E43D6">
        <w:rPr>
          <w:sz w:val="27"/>
          <w:szCs w:val="27"/>
          <w:lang w:val="ro-RO"/>
        </w:rPr>
        <w:t xml:space="preserve">2. </w:t>
      </w:r>
      <w:r w:rsidR="00A35A22" w:rsidRPr="003E43D6">
        <w:rPr>
          <w:sz w:val="27"/>
          <w:szCs w:val="27"/>
          <w:lang w:val="ro-RO"/>
        </w:rPr>
        <w:t>Anex</w:t>
      </w:r>
      <w:r w:rsidR="00EC1ED3" w:rsidRPr="003E43D6">
        <w:rPr>
          <w:sz w:val="27"/>
          <w:szCs w:val="27"/>
          <w:lang w:val="ro-RO"/>
        </w:rPr>
        <w:t xml:space="preserve">a </w:t>
      </w:r>
      <w:r w:rsidR="008C0A25" w:rsidRPr="003E43D6">
        <w:rPr>
          <w:sz w:val="27"/>
          <w:szCs w:val="27"/>
          <w:lang w:val="ro-RO"/>
        </w:rPr>
        <w:t>nr.2 la Hotărîrea Guvernului nr.560 din 24 iulie 2013 va avea următorul conținut.</w:t>
      </w:r>
    </w:p>
    <w:p w:rsidR="008C0A25" w:rsidRPr="003E43D6" w:rsidRDefault="008C0A25" w:rsidP="005D40FC">
      <w:pPr>
        <w:ind w:firstLine="567"/>
        <w:jc w:val="both"/>
        <w:rPr>
          <w:sz w:val="27"/>
          <w:szCs w:val="27"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D80221" w:rsidRPr="003E43D6" w:rsidRDefault="00D80221" w:rsidP="00C80D25">
      <w:pPr>
        <w:pStyle w:val="rg"/>
        <w:ind w:left="4956" w:firstLine="709"/>
        <w:rPr>
          <w:i/>
          <w:lang w:val="ro-RO"/>
        </w:rPr>
      </w:pPr>
    </w:p>
    <w:p w:rsidR="00D80221" w:rsidRPr="003E43D6" w:rsidRDefault="00D80221" w:rsidP="00C80D25">
      <w:pPr>
        <w:pStyle w:val="rg"/>
        <w:ind w:left="4956" w:firstLine="709"/>
        <w:rPr>
          <w:i/>
          <w:lang w:val="ro-RO"/>
        </w:rPr>
      </w:pPr>
    </w:p>
    <w:p w:rsidR="00D80221" w:rsidRPr="003E43D6" w:rsidRDefault="00D80221" w:rsidP="00C80D25">
      <w:pPr>
        <w:pStyle w:val="rg"/>
        <w:ind w:left="4956" w:firstLine="709"/>
        <w:rPr>
          <w:i/>
          <w:lang w:val="ro-RO"/>
        </w:rPr>
      </w:pPr>
    </w:p>
    <w:p w:rsidR="00D80221" w:rsidRPr="003E43D6" w:rsidRDefault="00D80221" w:rsidP="00C80D25">
      <w:pPr>
        <w:pStyle w:val="rg"/>
        <w:ind w:left="4956" w:firstLine="709"/>
        <w:rPr>
          <w:i/>
          <w:lang w:val="ro-RO"/>
        </w:rPr>
      </w:pPr>
    </w:p>
    <w:p w:rsidR="00D80221" w:rsidRPr="003E43D6" w:rsidRDefault="00D80221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1511B9" w:rsidRPr="003E43D6" w:rsidRDefault="001511B9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B653F" w:rsidRPr="003E43D6" w:rsidRDefault="003B653F" w:rsidP="00C80D25">
      <w:pPr>
        <w:pStyle w:val="rg"/>
        <w:ind w:left="4956" w:firstLine="709"/>
        <w:rPr>
          <w:i/>
          <w:lang w:val="ro-RO"/>
        </w:rPr>
      </w:pPr>
    </w:p>
    <w:p w:rsidR="003E43D6" w:rsidRPr="003E43D6" w:rsidRDefault="003E43D6" w:rsidP="00C80D25">
      <w:pPr>
        <w:pStyle w:val="rg"/>
        <w:ind w:left="4956" w:firstLine="709"/>
        <w:rPr>
          <w:i/>
          <w:lang w:val="ro-RO"/>
        </w:rPr>
      </w:pPr>
    </w:p>
    <w:p w:rsidR="003E43D6" w:rsidRPr="003E43D6" w:rsidRDefault="003E43D6" w:rsidP="00C80D25">
      <w:pPr>
        <w:pStyle w:val="rg"/>
        <w:ind w:left="4956" w:firstLine="709"/>
        <w:rPr>
          <w:i/>
          <w:lang w:val="ro-RO"/>
        </w:rPr>
      </w:pPr>
    </w:p>
    <w:p w:rsidR="003E43D6" w:rsidRPr="003E43D6" w:rsidRDefault="003E43D6" w:rsidP="00C80D25">
      <w:pPr>
        <w:pStyle w:val="rg"/>
        <w:ind w:left="4956" w:firstLine="709"/>
        <w:rPr>
          <w:i/>
          <w:lang w:val="ro-RO"/>
        </w:rPr>
      </w:pPr>
    </w:p>
    <w:p w:rsidR="00C80D25" w:rsidRPr="003E43D6" w:rsidRDefault="00C80D25" w:rsidP="00C80D25">
      <w:pPr>
        <w:pStyle w:val="rg"/>
        <w:ind w:left="4956" w:firstLine="709"/>
        <w:rPr>
          <w:i/>
          <w:lang w:val="ro-RO"/>
        </w:rPr>
      </w:pPr>
      <w:r w:rsidRPr="003E43D6">
        <w:rPr>
          <w:i/>
          <w:lang w:val="ro-RO"/>
        </w:rPr>
        <w:lastRenderedPageBreak/>
        <w:t>Anexa nr.2</w:t>
      </w:r>
    </w:p>
    <w:p w:rsidR="00C80D25" w:rsidRPr="003E43D6" w:rsidRDefault="00C80D25" w:rsidP="00C80D25">
      <w:pPr>
        <w:pStyle w:val="rg"/>
        <w:ind w:left="4956" w:firstLine="709"/>
        <w:rPr>
          <w:i/>
          <w:lang w:val="en-US"/>
        </w:rPr>
      </w:pPr>
      <w:r w:rsidRPr="003E43D6">
        <w:rPr>
          <w:i/>
          <w:lang w:val="ro-RO"/>
        </w:rPr>
        <w:t>la Hotărîrea Guvernuluinr.</w:t>
      </w:r>
      <w:r w:rsidRPr="003E43D6">
        <w:rPr>
          <w:i/>
          <w:lang w:val="en-US"/>
        </w:rPr>
        <w:t>560</w:t>
      </w:r>
    </w:p>
    <w:p w:rsidR="00C80D25" w:rsidRPr="003E43D6" w:rsidRDefault="00C80D25" w:rsidP="00C80D25">
      <w:pPr>
        <w:pStyle w:val="rg"/>
        <w:ind w:left="4956" w:firstLine="709"/>
        <w:rPr>
          <w:i/>
          <w:lang w:val="ro-RO"/>
        </w:rPr>
      </w:pPr>
      <w:r w:rsidRPr="003E43D6">
        <w:rPr>
          <w:i/>
          <w:lang w:val="ro-RO"/>
        </w:rPr>
        <w:t xml:space="preserve">din </w:t>
      </w:r>
      <w:r w:rsidRPr="003E43D6">
        <w:rPr>
          <w:i/>
        </w:rPr>
        <w:t>24</w:t>
      </w:r>
      <w:r w:rsidRPr="003E43D6">
        <w:rPr>
          <w:i/>
          <w:lang w:val="en-US"/>
        </w:rPr>
        <w:t xml:space="preserve"> iulie </w:t>
      </w:r>
      <w:r w:rsidRPr="003E43D6">
        <w:rPr>
          <w:i/>
          <w:lang w:val="ro-RO"/>
        </w:rPr>
        <w:t>201</w:t>
      </w:r>
      <w:r w:rsidRPr="003E43D6">
        <w:rPr>
          <w:i/>
          <w:lang w:val="en-US"/>
        </w:rPr>
        <w:t>3</w:t>
      </w:r>
    </w:p>
    <w:p w:rsidR="00C80D25" w:rsidRPr="003E43D6" w:rsidRDefault="00C80D25" w:rsidP="00C80D25">
      <w:pPr>
        <w:ind w:firstLine="709"/>
        <w:jc w:val="right"/>
        <w:rPr>
          <w:bCs/>
          <w:iCs/>
          <w:sz w:val="28"/>
          <w:szCs w:val="28"/>
          <w:lang w:val="ro-RO"/>
        </w:rPr>
      </w:pPr>
    </w:p>
    <w:p w:rsidR="007A720E" w:rsidRPr="003E43D6" w:rsidRDefault="007A720E" w:rsidP="008C0A25">
      <w:pPr>
        <w:jc w:val="center"/>
        <w:rPr>
          <w:rFonts w:eastAsiaTheme="minorEastAsia"/>
          <w:b/>
          <w:bCs/>
          <w:lang w:val="ro-RO" w:eastAsia="en-GB"/>
        </w:rPr>
      </w:pPr>
    </w:p>
    <w:p w:rsidR="008C0A25" w:rsidRPr="003E43D6" w:rsidRDefault="008C0A25" w:rsidP="008C0A25">
      <w:pPr>
        <w:jc w:val="center"/>
        <w:rPr>
          <w:rFonts w:eastAsiaTheme="minorEastAsia"/>
          <w:b/>
          <w:bCs/>
          <w:lang w:val="en-GB" w:eastAsia="en-GB"/>
        </w:rPr>
      </w:pPr>
      <w:r w:rsidRPr="003E43D6">
        <w:rPr>
          <w:rFonts w:eastAsiaTheme="minorEastAsia"/>
          <w:b/>
          <w:bCs/>
          <w:lang w:val="en-GB" w:eastAsia="en-GB"/>
        </w:rPr>
        <w:t>PLANUL DE ACŢIUNI</w:t>
      </w:r>
    </w:p>
    <w:p w:rsidR="008C0A25" w:rsidRPr="003E43D6" w:rsidRDefault="008C0A25" w:rsidP="008C0A25">
      <w:pPr>
        <w:jc w:val="center"/>
        <w:rPr>
          <w:rFonts w:eastAsiaTheme="minorEastAsia"/>
          <w:b/>
          <w:bCs/>
          <w:lang w:val="en-GB" w:eastAsia="en-GB"/>
        </w:rPr>
      </w:pPr>
      <w:proofErr w:type="gramStart"/>
      <w:r w:rsidRPr="003E43D6">
        <w:rPr>
          <w:rFonts w:eastAsiaTheme="minorEastAsia"/>
          <w:b/>
          <w:bCs/>
          <w:lang w:val="en-GB" w:eastAsia="en-GB"/>
        </w:rPr>
        <w:t>pentru</w:t>
      </w:r>
      <w:proofErr w:type="gramEnd"/>
      <w:r w:rsidRPr="003E43D6">
        <w:rPr>
          <w:rFonts w:eastAsiaTheme="minorEastAsia"/>
          <w:b/>
          <w:bCs/>
          <w:lang w:val="en-GB" w:eastAsia="en-GB"/>
        </w:rPr>
        <w:t xml:space="preserve"> perioada a doua </w:t>
      </w:r>
      <w:r w:rsidR="00C80D25" w:rsidRPr="003E43D6">
        <w:rPr>
          <w:rFonts w:eastAsiaTheme="minorEastAsia"/>
          <w:b/>
          <w:bCs/>
          <w:lang w:val="en-GB" w:eastAsia="en-GB"/>
        </w:rPr>
        <w:t>(</w:t>
      </w:r>
      <w:r w:rsidRPr="003E43D6">
        <w:rPr>
          <w:rFonts w:eastAsiaTheme="minorEastAsia"/>
          <w:b/>
          <w:bCs/>
          <w:lang w:val="en-GB" w:eastAsia="en-GB"/>
        </w:rPr>
        <w:t>2017-2020</w:t>
      </w:r>
      <w:r w:rsidR="00C80D25" w:rsidRPr="003E43D6">
        <w:rPr>
          <w:rFonts w:eastAsiaTheme="minorEastAsia"/>
          <w:b/>
          <w:bCs/>
          <w:lang w:val="en-GB" w:eastAsia="en-GB"/>
        </w:rPr>
        <w:t>)</w:t>
      </w:r>
      <w:r w:rsidRPr="003E43D6">
        <w:rPr>
          <w:rFonts w:eastAsiaTheme="minorEastAsia"/>
          <w:b/>
          <w:bCs/>
          <w:lang w:val="en-GB" w:eastAsia="en-GB"/>
        </w:rPr>
        <w:t xml:space="preserve">  privind implementarea Strategiei </w:t>
      </w:r>
    </w:p>
    <w:p w:rsidR="008C0A25" w:rsidRPr="003E43D6" w:rsidRDefault="008C0A25" w:rsidP="008C0A25">
      <w:pPr>
        <w:jc w:val="center"/>
        <w:rPr>
          <w:rFonts w:eastAsiaTheme="minorEastAsia"/>
          <w:b/>
          <w:bCs/>
          <w:lang w:val="en-GB" w:eastAsia="en-GB"/>
        </w:rPr>
      </w:pPr>
      <w:proofErr w:type="gramStart"/>
      <w:r w:rsidRPr="003E43D6">
        <w:rPr>
          <w:rFonts w:eastAsiaTheme="minorEastAsia"/>
          <w:b/>
          <w:bCs/>
          <w:lang w:val="en-GB" w:eastAsia="en-GB"/>
        </w:rPr>
        <w:t>în</w:t>
      </w:r>
      <w:proofErr w:type="gramEnd"/>
      <w:r w:rsidRPr="003E43D6">
        <w:rPr>
          <w:rFonts w:eastAsiaTheme="minorEastAsia"/>
          <w:b/>
          <w:bCs/>
          <w:lang w:val="en-GB" w:eastAsia="en-GB"/>
        </w:rPr>
        <w:t xml:space="preserve"> domeniul protecţiei consumatorilor pentru anii 2013-2020</w:t>
      </w:r>
    </w:p>
    <w:p w:rsidR="008C0A25" w:rsidRPr="003E43D6" w:rsidRDefault="008C0A25" w:rsidP="008C0A25">
      <w:pPr>
        <w:ind w:firstLine="567"/>
        <w:jc w:val="both"/>
        <w:rPr>
          <w:rFonts w:eastAsiaTheme="minorEastAsia"/>
          <w:lang w:val="en-GB" w:eastAsia="en-GB"/>
        </w:rPr>
      </w:pPr>
      <w:r w:rsidRPr="003E43D6">
        <w:rPr>
          <w:rFonts w:eastAsiaTheme="minorEastAsia"/>
          <w:lang w:val="en-GB" w:eastAsia="en-GB"/>
        </w:rPr>
        <w:t> </w:t>
      </w:r>
    </w:p>
    <w:tbl>
      <w:tblPr>
        <w:tblW w:w="9947" w:type="dxa"/>
        <w:jc w:val="center"/>
        <w:tblLook w:val="04A0" w:firstRow="1" w:lastRow="0" w:firstColumn="1" w:lastColumn="0" w:noHBand="0" w:noVBand="1"/>
      </w:tblPr>
      <w:tblGrid>
        <w:gridCol w:w="547"/>
        <w:gridCol w:w="3043"/>
        <w:gridCol w:w="759"/>
        <w:gridCol w:w="1393"/>
        <w:gridCol w:w="1417"/>
        <w:gridCol w:w="1268"/>
        <w:gridCol w:w="1520"/>
      </w:tblGrid>
      <w:tr w:rsidR="003E43D6" w:rsidRPr="003E43D6" w:rsidTr="00EA7333">
        <w:trPr>
          <w:jc w:val="center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Nr</w:t>
            </w:r>
            <w:proofErr w:type="gramStart"/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. 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br/>
              <w:t>d</w:t>
            </w:r>
            <w:proofErr w:type="gramEnd"/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/o</w:t>
            </w: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Acţiuni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Termen 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br/>
              <w:t xml:space="preserve">de 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br/>
              <w:t>realizare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Instituţia responsabilă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Sursele de finanţare şi costul acţiunii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Rezultatul scontat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Bugetul 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br/>
              <w:t>de stat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Surse 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br/>
              <w:t>externe</w:t>
            </w: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OBIECTIVUL 1. SCĂDEREA RISCULUI DE APARIŢIE A PRODUSELOR ŞI SERVICIILOR PERICULOASE PE PIAŢĂ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Asigurarea inofensivităţii produselor şi serviciilor prin stabilirea cerinţelor minime de inofensivitate şi calitate pentru produse şi servicii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C32219" w:rsidP="008C0A25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1.1.1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7A720E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Elaborarea </w:t>
            </w:r>
            <w:r w:rsidR="007A720E"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proiectului hotărîrii de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G</w:t>
            </w:r>
            <w:r w:rsidR="007A720E" w:rsidRPr="003E43D6">
              <w:rPr>
                <w:rFonts w:ascii="Arial Narrow" w:hAnsi="Arial Narrow"/>
                <w:sz w:val="20"/>
                <w:szCs w:val="20"/>
                <w:lang w:val="en-GB"/>
              </w:rPr>
              <w:t>uvern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cu privire la echipamente sub presiune transportabile, </w:t>
            </w:r>
            <w:r w:rsidR="00C32219" w:rsidRPr="003E43D6">
              <w:rPr>
                <w:rFonts w:ascii="Arial Narrow" w:hAnsi="Arial Narrow"/>
                <w:sz w:val="20"/>
                <w:szCs w:val="20"/>
                <w:lang w:val="en-GB"/>
              </w:rPr>
              <w:t>care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transpun</w:t>
            </w:r>
            <w:r w:rsidR="00C32219"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Directiva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1999/36CE a Consiliului din 29.04.1999 privind echipamente sub presiune transportabile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Trim. IV,</w:t>
            </w:r>
          </w:p>
          <w:p w:rsidR="008C0A25" w:rsidRPr="003E43D6" w:rsidRDefault="008C0A25" w:rsidP="008C0A25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Transporturilor şi Infrastructurii Drumurilor 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C32219" w:rsidP="00C32219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0A25" w:rsidRPr="003E43D6" w:rsidRDefault="008C0A25" w:rsidP="008C0A2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8C0A25" w:rsidRPr="003E43D6" w:rsidRDefault="008C0A25" w:rsidP="008C0A25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487817">
            <w:pPr>
              <w:jc w:val="right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1.1.</w:t>
            </w:r>
            <w:r w:rsidR="00487817"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7C32D2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Stabilirea mecanismului de supraveghere și control al nimicirii produselor alimentare, ca rezultat al interzicerii returnării către furnizori a produselor alimentare neconforme</w:t>
            </w:r>
            <w:r w:rsidRPr="003E43D6">
              <w:rPr>
                <w:rFonts w:ascii="Arial Narrow" w:hAnsi="Arial Narrow" w:cs="Times New Roman CE"/>
                <w:sz w:val="20"/>
                <w:szCs w:val="20"/>
                <w:lang w:val="en-GB"/>
              </w:rPr>
              <w:t xml:space="preserve">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reglementărilor în domeniul alimentar, inclusiv a căror </w:t>
            </w:r>
            <w:r w:rsidR="007C32D2" w:rsidRPr="003E43D6">
              <w:rPr>
                <w:rFonts w:ascii="Arial Narrow" w:hAnsi="Arial Narrow"/>
                <w:bCs/>
                <w:iCs/>
                <w:sz w:val="20"/>
                <w:szCs w:val="20"/>
                <w:lang w:val="en-GB"/>
              </w:rPr>
              <w:t xml:space="preserve">termen de valabilitate </w:t>
            </w:r>
            <w:proofErr w:type="gramStart"/>
            <w:r w:rsidR="007C32D2" w:rsidRPr="003E43D6">
              <w:rPr>
                <w:rFonts w:ascii="Arial Narrow" w:hAnsi="Arial Narrow"/>
                <w:bCs/>
                <w:iCs/>
                <w:sz w:val="20"/>
                <w:szCs w:val="20"/>
                <w:lang w:val="en-GB"/>
              </w:rPr>
              <w:t>a</w:t>
            </w:r>
            <w:proofErr w:type="gramEnd"/>
            <w:r w:rsidR="007C32D2" w:rsidRPr="003E43D6">
              <w:rPr>
                <w:rFonts w:ascii="Arial Narrow" w:hAnsi="Arial Narrow"/>
                <w:bCs/>
                <w:iCs/>
                <w:sz w:val="20"/>
                <w:szCs w:val="20"/>
                <w:lang w:val="en-GB"/>
              </w:rPr>
              <w:t xml:space="preserve"> expirat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CB250B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</w:t>
            </w:r>
            <w:r w:rsidR="00CB250B"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6AB4" w:rsidRPr="003E43D6" w:rsidRDefault="00F36AB4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Proiect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proofErr w:type="gramStart"/>
            <w:r w:rsidRPr="003E43D6">
              <w:rPr>
                <w:rFonts w:ascii="Arial Narrow" w:hAnsi="Arial Narrow"/>
                <w:bCs/>
                <w:sz w:val="20"/>
                <w:szCs w:val="20"/>
              </w:rPr>
              <w:t>elaborat</w:t>
            </w:r>
            <w:proofErr w:type="gramEnd"/>
            <w:r w:rsidRPr="003E43D6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Mecanism funcțional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487817" w:rsidP="000B48B1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1.1.3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Asigurarea implementării cadrului legal şi instituţional pentru oferirea accesului echitabil la apă pentru grupurile vulnerabile şi marginalizate.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Style w:val="711pt"/>
                <w:rFonts w:ascii="Arial Narrow" w:hAnsi="Arial Narrow"/>
                <w:sz w:val="20"/>
                <w:szCs w:val="20"/>
                <w:lang w:val="ro-RO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pStyle w:val="120"/>
              <w:shd w:val="clear" w:color="auto" w:fill="auto"/>
              <w:spacing w:line="240" w:lineRule="auto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Ministerul Mediului</w:t>
            </w:r>
          </w:p>
          <w:p w:rsidR="000B48B1" w:rsidRPr="003E43D6" w:rsidRDefault="000B48B1" w:rsidP="000B48B1">
            <w:pPr>
              <w:pStyle w:val="120"/>
              <w:shd w:val="clear" w:color="auto" w:fill="auto"/>
              <w:spacing w:line="240" w:lineRule="auto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Ministerul Muncii, Protecţie Sociale şi Familiei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Sănătăţii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Asistenţă tehnică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A14C86" w:rsidP="00A14C86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Cadru legal pus în aplicare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7C32D2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</w:t>
            </w:r>
            <w:r w:rsidR="00487817"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Asigurarea epurării apelor uzate urbane în concordanţă cu prevederile Directivei 91/271/EEC.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Style w:val="3SimHei"/>
                <w:rFonts w:ascii="Arial Narrow" w:hAnsi="Arial Narrow"/>
                <w:sz w:val="20"/>
                <w:szCs w:val="20"/>
                <w:lang w:val="ro-RO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627414" w:rsidP="00627414">
            <w:pPr>
              <w:pStyle w:val="120"/>
              <w:shd w:val="clear" w:color="auto" w:fill="auto"/>
              <w:spacing w:line="274" w:lineRule="exact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 w:eastAsia="ro-RO"/>
              </w:rPr>
              <w:t>Î</w:t>
            </w:r>
            <w:r w:rsidR="000B48B1"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n limita bugetului alocat,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Asistenţă externă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Cerinţele Directivei transpuse şi reglementate</w:t>
            </w:r>
          </w:p>
          <w:p w:rsidR="000B48B1" w:rsidRPr="003E43D6" w:rsidRDefault="000B48B1" w:rsidP="000B48B1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Numărul proiectelor investiționale implementate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>Elaborarea și promovarea proiectului de Hotărîre a Guvernului privind cerințele în materie de trasabilitate a alimentelor de origine animală;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3E43D6">
              <w:rPr>
                <w:bCs/>
                <w:sz w:val="20"/>
                <w:szCs w:val="20"/>
                <w:lang w:val="ro-RO"/>
              </w:rPr>
              <w:t>2019</w:t>
            </w:r>
          </w:p>
          <w:p w:rsidR="00702890" w:rsidRPr="003E43D6" w:rsidRDefault="00702890" w:rsidP="00702890">
            <w:pPr>
              <w:jc w:val="both"/>
              <w:rPr>
                <w:bCs/>
                <w:sz w:val="20"/>
                <w:szCs w:val="20"/>
                <w:lang w:val="ro-RO"/>
              </w:rPr>
            </w:pPr>
          </w:p>
          <w:p w:rsidR="00702890" w:rsidRPr="003E43D6" w:rsidRDefault="00702890" w:rsidP="00702890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1.1.6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>Elaborarea și promovarea proiectului de Hotărîre a Guvernului privind stabulirea normelor de sănătate animal care reglementează producția, transformarea, distribuția și introducerea produselor de origine animal destinate consumului uman;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3E43D6">
              <w:rPr>
                <w:bCs/>
                <w:sz w:val="20"/>
                <w:szCs w:val="20"/>
                <w:lang w:val="ro-RO"/>
              </w:rPr>
              <w:t>2019</w:t>
            </w:r>
          </w:p>
          <w:p w:rsidR="00702890" w:rsidRPr="003E43D6" w:rsidRDefault="00702890" w:rsidP="00702890">
            <w:pPr>
              <w:jc w:val="both"/>
              <w:rPr>
                <w:bCs/>
                <w:sz w:val="20"/>
                <w:szCs w:val="20"/>
                <w:lang w:val="ro-RO"/>
              </w:rPr>
            </w:pPr>
          </w:p>
          <w:p w:rsidR="00702890" w:rsidRPr="003E43D6" w:rsidRDefault="00702890" w:rsidP="00702890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 xml:space="preserve">Elaborarea și promovarea proiectului de Lege privind cerințele generale de igienă a produselor alimentare; 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3E43D6">
              <w:rPr>
                <w:bCs/>
                <w:sz w:val="20"/>
                <w:szCs w:val="20"/>
                <w:lang w:val="ro-RO"/>
              </w:rPr>
              <w:t>2018</w:t>
            </w:r>
          </w:p>
          <w:p w:rsidR="00702890" w:rsidRPr="003E43D6" w:rsidRDefault="00702890" w:rsidP="00702890">
            <w:pPr>
              <w:jc w:val="both"/>
              <w:rPr>
                <w:bCs/>
                <w:sz w:val="20"/>
                <w:szCs w:val="20"/>
                <w:lang w:val="ro-RO"/>
              </w:rPr>
            </w:pPr>
          </w:p>
          <w:p w:rsidR="00702890" w:rsidRPr="003E43D6" w:rsidRDefault="00702890" w:rsidP="00702890">
            <w:pPr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Lege adoptată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1.1.7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și promovarea Proiectului de Hotărîre de Guvern cu privire la aprobarea Cerințelor de calitate și comercializare pentru produsele de carne;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1.1.8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și promovarea Proiectului de Hotărîre de Guvern cu privire la aprobarea Cerințelor de calitate pentru produsele apicole;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1.1.9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și promovarea Proiectului de Hotărîre de Guvern cu privire la modificarea şi completarea Hotărîrii Guvernului nr. 696 din 04 august 2010;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1.1.10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și promovarea Proiectului de Hotărîre de Guvern privind modificarea Hotărîrii Guvernului nr. 611 din 05.07.2010 cu privire la aprobarea Reglementării Tehnice „Lapte și produse lactate”;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1.1.11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Elaborarea și promovarea </w:t>
            </w:r>
            <w:r w:rsidRPr="003E43D6">
              <w:rPr>
                <w:rFonts w:ascii="Arial Narrow" w:hAnsi="Arial Narrow"/>
                <w:sz w:val="20"/>
                <w:szCs w:val="20"/>
                <w:shd w:val="clear" w:color="auto" w:fill="FDFDFD"/>
                <w:lang w:val="en-GB"/>
              </w:rPr>
              <w:t xml:space="preserve">proiectul Hotărîrii Guvernului cu privire la aprobarea Cerințelor privind metodele de analiză și evaluare calitativă a laptelui și a produselor lactate;   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1.1.12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 w:cstheme="minorBidi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proiectului de Hotărâre a Guvernului pentru transpunerea Directivei 2009/128/CE a Parlamentului European și a Consiliului din 21 octombrie 2009 de stabilire a unui cadru de acțiune comunitară în vederea utilizării durabile a pesticidelor;</w:t>
            </w:r>
          </w:p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ind w:firstLine="28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9F4223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1.1.13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pStyle w:val="40"/>
              <w:shd w:val="clear" w:color="auto" w:fill="auto"/>
              <w:tabs>
                <w:tab w:val="left" w:pos="2238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Elaborarea Programului Național privind Protecția Integrată a Plantelor.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Agriculturii și Industriei Alimentare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adoptat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Proiect elaborat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 xml:space="preserve">HG aprobat 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Consolidarea capacităţilor de supraveghere a pieţei şi sporirea eficienţei supravegherii pieţei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Elaborarea și implementarea programelor sectoriale de supraveghere a pieței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Autoritățile de supraveghere a pieței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Programe elaborate/aprobate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și plaste pe paginile web ale autorităților de supraveghere a pieței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și publicarea programului general anual de supraveghere a pieţei pe pagina web oficială a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 Ministerului  Economiei și a raportului anual de implementare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Ministerul Economiei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Autoritățile de supraveghere a pieței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Programul general și raportul anual plaste pe paginile web ME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Revizuirea cadrului normativ în domeniul materialelor de construcție în conformitate cu prevederile Legii nr.7/2016 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privind supravegherea pieței în ceea ce privește comercializarea produselor nealimentare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Trim. III,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Dezvoltării Regionale şi Construcţiilor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Inspecţia de stat în construcții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Nr. de acte normative aprobate și publicate.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1.2.4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eastAsia="Calibri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eastAsia="Calibri" w:hAnsi="Arial Narrow"/>
                <w:sz w:val="20"/>
                <w:szCs w:val="20"/>
                <w:lang w:val="en-GB"/>
              </w:rPr>
              <w:t xml:space="preserve">Asigurarea funcționării Sistemului de schimb rapid de informații cu privire la produsele nealimentare periculoase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între autoritățile de supraveghere a pieței </w:t>
            </w:r>
            <w:r w:rsidRPr="003E43D6">
              <w:rPr>
                <w:rFonts w:ascii="Arial Narrow" w:eastAsia="Calibri" w:hAnsi="Arial Narrow"/>
                <w:sz w:val="20"/>
                <w:szCs w:val="20"/>
                <w:lang w:val="en-GB"/>
              </w:rPr>
              <w:t xml:space="preserve">la nivel național 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408A0" w:rsidRPr="003E43D6" w:rsidRDefault="005408A0" w:rsidP="005408A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Ministerul Economiei</w:t>
            </w:r>
          </w:p>
          <w:p w:rsidR="005408A0" w:rsidRPr="003E43D6" w:rsidRDefault="005408A0" w:rsidP="005408A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Ministerul Sănătății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A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US"/>
              </w:rPr>
              <w:t>genția pentru Protecția Consumatorilor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Autoritățile de supraveghere a pieței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Sistem funcțional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Nr. de notificări plasate în sistem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Nr. de loturi de produse periculoase / cu risc grav constatate.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Nr. comunicatelor de informare a consumatorilor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Obținerea graduală a accesului Republicii Moldova la bazele de date ale Uniunii Europene (RAPEX, ICSMS)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Ministerul Economiei</w:t>
            </w:r>
          </w:p>
          <w:p w:rsidR="005408A0" w:rsidRPr="003E43D6" w:rsidRDefault="005408A0" w:rsidP="005408A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Ministerul Sănătății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Autoritățile de supraveghere a pieței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Asistență externă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Elaborarea unei foi de parcurs.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Implementare foii de parcurs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Raport de implementare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Access la sisteme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1.2.6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Asigurarea respectării legislației cu privire la cerințele în materie de proiectare ecologică aplicabile produselor cu impact energetic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de verificări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cazurilor de încălcari sau ponderea neconformităților stabilite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1.2.7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Asigurarea controlului asupra produselor de biocombustibil solid în conformitate cu prevederile Regulamentului cu privire la biocombustibilul solid aprobat prin HG nr.1070 din 27.12.13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de verificări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cazurilor de încălcari sau ponderea neconformităților stabilite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1.2.8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Asigurarea controlului privind existența și aplicarea corectă a etichetei și prezentarea fișei pentru produsele cu impact energetic plasate pe piața spre vînzare, închiriere sau distribuire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Agenția pentru Protecția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cazurilor de încălcari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1.2.9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Promovarea siguranței produselor alimentare prin aplicarea drepturilor consumatorilor la informare cu privire la produsele alimentare.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Numărul campaniilor informaţionale; numărul de ghiduri, broşuri, pliante editate şi distribuite consumatorilor;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Asigurarea controlului privind existența și aplicarea corectă </w:t>
            </w:r>
            <w:proofErr w:type="gramStart"/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</w:t>
            </w:r>
            <w:proofErr w:type="gramEnd"/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etichetei și prezentarea certificatului de conformitate pentru produsele agroalimentare ecologice plasate pe piață spre vînzare sau distribuire.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Agenția pentru Protecția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Nr.cazurilor de încălcări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1.2.10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Consolidarea capacității de verificare a publicităţii produselor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Ministerul Sănătății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lastRenderedPageBreak/>
              <w:t>Agenția pentru Protecția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lastRenderedPageBreak/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de verificări efectuate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1.2.11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254DF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Organizarea activităţilor de instruire a personalului Ministerului Economiei şi </w:t>
            </w:r>
            <w:r w:rsidR="002714E7"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al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Agenţiei pentru Protecţia Consumatorilor privind supravegherea pieţei bazate pe principiile UE.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ind w:right="-108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Agenţia pentru Protecţia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C86D31" w:rsidP="00D04337">
            <w:pPr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ind w:right="284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Nr. de instruiri efectuate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100% personal angajat 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1.2.12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Instruirea personalului autorităților de supraveghere a pieței privind noul cadrul legal aprobat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Economiei, Ministerul Sănătăţii, Ministerul Dezvoltării Regionale şi Construcţiilor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Tehnologiei Informației și Comunicațiilor,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Mediului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Agriculturii şi Industriei Alimentare,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D04337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2714E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inspectorilor instruiţi (</w:t>
            </w:r>
            <w:r w:rsidR="002714E7"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asigurarea participării la instruire a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50% din numărul total al inspectorilor din autorităţile abilitate cu </w:t>
            </w:r>
            <w:r w:rsidR="002714E7" w:rsidRPr="003E43D6">
              <w:rPr>
                <w:rFonts w:ascii="Arial Narrow" w:hAnsi="Arial Narrow"/>
                <w:sz w:val="20"/>
                <w:szCs w:val="20"/>
                <w:lang w:val="en-GB"/>
              </w:rPr>
              <w:t>competențe în domeniul protecţiei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consumatorului)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1.2.13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Sensibilizarea prin informare şi instruire a organizaţiilor obşteşti privind înregistrarea cazurilor de încălcări pe piaţă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Agenţia pentru Protecţia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7F82" w:rsidRPr="003E43D6" w:rsidRDefault="00A77F82" w:rsidP="00A77F82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de instruiri,</w:t>
            </w:r>
          </w:p>
          <w:p w:rsidR="00A77F82" w:rsidRPr="003E43D6" w:rsidRDefault="00A77F82" w:rsidP="00A77F82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de verificări din partea Organizaţiilor obşteşti,</w:t>
            </w:r>
          </w:p>
          <w:p w:rsidR="00A77F82" w:rsidRPr="003E43D6" w:rsidRDefault="00A77F82" w:rsidP="00A77F82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cazurilor de încălcari depistate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1.3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b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sz w:val="20"/>
                <w:szCs w:val="20"/>
                <w:lang w:val="en-GB" w:eastAsia="en-GB"/>
              </w:rPr>
              <w:t>Cooperarea dintre autorităţile naţionale însărcinate să asigure aplicarea legislaţiei în materie de protecţie a consumatorului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1.3.1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C86D31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Elaborarea proiectului hotărîrii de Guvern pentru </w:t>
            </w:r>
            <w:r w:rsidR="00C86D31"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aprobarea proiectului de lege privind 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modificarea şi completarea </w:t>
            </w:r>
            <w:hyperlink r:id="rId6" w:history="1">
              <w:r w:rsidRPr="003E43D6">
                <w:rPr>
                  <w:rFonts w:ascii="Arial Narrow" w:hAnsi="Arial Narrow"/>
                  <w:sz w:val="20"/>
                  <w:szCs w:val="20"/>
                  <w:u w:val="single"/>
                  <w:lang w:val="en-GB" w:eastAsia="en-GB"/>
                </w:rPr>
                <w:t>Legii nr.105-XV din 13 martie 2003</w:t>
              </w:r>
            </w:hyperlink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privind protecţia consumatorilor (Regulamentul (CE) 2006/2004 al Parlamentului European şi a Consiliului din 27 octombrie 2004 privind cooperarea dintre autorităţile naţionale însărcinate să asigure aplicarea legislaţiei în materie de protecţie a consumatorului)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Trim. III,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D04337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Proiect aprobat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Îmbunătăţirea echilibrului dintre protecţia publică şi sarcinile administrative impuse mediului de afaceri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1.4.1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Implementarea resurseir Informaționale în domeniul comerțului, în conformitate cu art.1 din Legea nr.231 din 23 septembrie 2010 cu privire la comerțul 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Trim.I</w:t>
            </w: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II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Guvernul RM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Proiectul de Ameliorare a Competitivității PAC-II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SOFT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Implementat și funcționabil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1.4.2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Monitorizarea implementării planurilor anuale de supraveghere a pieţei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Ministerul Economiei, Consiliul coordonator în domeniul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protecţiei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D04337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Rapoartele elaborate şi aprobate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Implementarea bunelor practici de supraveghere a pieţei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1.5.1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Elaborarea procedurilor specifice privind supravegherea  tipurilor concrete de produse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Autoritățile de supravegherea a pieței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Procedurile aprobate pe domeniu de control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1.5.2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Instruirea personalului autorităților de supraveghere a pieței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Programul de instruire elaborat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1.5.3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Instruirea specialiștilor din cadrul Ministerului Dezvoltării Regionale și Construcțiilor prin intermediul schimbului de experiență cu colegi din alte țări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Ministerul Dezvoltării Regionale şi Construcţiilor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Bugetul de stat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Numărul specialiștilor instruiţi (50% din numărul total al specialiști din cadrul MDRC să participe la cursurile organizate)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1.6.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1.6.1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Determinarea numărului anual de cazuri de prejudiciu vieţii şi sănătăţii cauzat de produse nealimentare defectuoase sau </w:t>
            </w:r>
            <w:r w:rsidRPr="003E43D6">
              <w:rPr>
                <w:rFonts w:ascii="Arial Narrow" w:hAnsi="Arial Narrow"/>
                <w:sz w:val="22"/>
                <w:szCs w:val="22"/>
                <w:lang w:val="en-GB" w:eastAsia="en-GB"/>
              </w:rPr>
              <w:t xml:space="preserve">de produsele alimentare </w:t>
            </w:r>
            <w:r w:rsidRPr="003E43D6">
              <w:rPr>
                <w:rFonts w:ascii="Arial Narrow" w:hAnsi="Arial Narrow"/>
                <w:sz w:val="22"/>
                <w:szCs w:val="22"/>
                <w:lang w:val="en-GB"/>
              </w:rPr>
              <w:t>ofensive/neconforme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Sănătăţii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Economiei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Agenția pentru Protecția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Raportul anual ce reflectă numărul şi dinamica cazurilor de prejudiciu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1.6.2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Înregistrarea anuală a numărului de notificării între autorităţi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Numărul de avertizări determinate şi emiterea anuală a raportului privind dinamica avertizărilor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1.6.3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Organizarea graficului de lucru 24/24, 7/7 pentru linia fierbinte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ind w:firstLine="43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Agenţia pentru Protecţia Consumatorilor,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Agenţia Naţională pentru Siguranţa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C86D31" w:rsidP="00D04337">
            <w:pPr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Nr. de plingeri şi de apeluri telefonice recepţionate,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Nr</w:t>
            </w:r>
            <w:proofErr w:type="gramStart"/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. de</w:t>
            </w:r>
            <w:proofErr w:type="gramEnd"/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litigii soluţionate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OBIECTIVUL 2. SCĂDEREA NIVELULUI TRANZACŢIILOR PREJUDICIABILE PENTRU CONSUMATORI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2.1.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Reglementarea practicilor de comerţ şi raporturilor contractuale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2.1.2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Revizuirea cadrului normativ referitor la reglementarea  modului de stabilire şi anunţare a reducerilor în comerţ, precum şi stabilirea regulilor generale de prezentare a ofertei publice în comerţ şi prestare de servicii pentru consumatori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Proiect de hotărîre de Guvern aprobat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Promovarea, controlul şi supravegherea respectării legislaţiei precontractuale, contractuale şi postcontractuale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2.2.1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Organizarea activităţilor de informare a părţilor interesate referitor la legislaţia nou-adoptată în domeniile de competenţă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 xml:space="preserve">Ministerul Economiei prin intermediul Agenţiei pentru Protecţia Consumatorilor, Banca Naţională a Moldovei, Comisia </w:t>
            </w: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lastRenderedPageBreak/>
              <w:t>Naţională a Pieţei Financiare, Agenţia Naţională pentru Reglementare în Energetică, Agenţia Naţională pentru Reglementare în Comunicaţii Electronice şi Tehnologia Informaţiei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Numărul de agenţi economici informaţi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2.2.2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Acordarea consultaţiilor referitoare la contracte încheiate cu consumatorii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Agenţia pentru Protecţia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Numărul contractelor examinate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2.2.3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Realizarea inspecțiilor și controalelor la prestatorii de servicii financiare nebancare în vederea identificării încălcărilor aferente protecției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Comisia Națională a Pieței Financiare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Nr. controalelor effectuate;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Nr. neconformităților depistate;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Nr. consumatorilor despăgubiți/ suma totală a despăgubirilor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2.2.5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Constatarea și examinarea de către Agenția pentru Protecția Consumatorilor a contravențiilor privind încălcarea legislației cu privire la prestarea serviciilor de plată și emiterea de monedă electronică (art. 408 din Codul Contravențional al Republicii Moldova)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Banca Națională a Moldovei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a) Numărul de cazuri constatate și examinate;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b) Numărul de sancțiuni aplicate.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2.3.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Facilitarea procesului de examinare a petiţiilor de către autorităţile abilitate în domeniu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</w:rPr>
              <w:t>2.3.1.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Perfecționarea procesului de examinare și soluționare a petițiilor consumatorilor în cadrul autorităților de supraveghere a pieței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Procedura elaborată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2.4.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Eficientizarea raporturilor în baza tehnologiilor informaţionale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2.4.1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Elaborarea proiectului privind transpunerea </w:t>
            </w: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>Regulamentul (UE) nr. 524/2013 al Parlamentului European și al Consiliului din 21 mai 2013</w:t>
            </w:r>
          </w:p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proofErr w:type="gramStart"/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>privind</w:t>
            </w:r>
            <w:proofErr w:type="gramEnd"/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 xml:space="preserve"> soluționarea online a litigiilor în materie de consum și de modificare a Regulamentului (CE) nr. 2006/2004 și a Directivei 2009/22/CE (Regulamentul privind SOL în materie de consum)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Proiect elaborat și aprobat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2.5.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2.5.1.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Stabilirea nivelului de apariţie a tranzacţiilor prejudiciabile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Elaborarea raportului tipizat Raportul anual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OBIECTIVUL 3. CREŞTEREA CAPACITĂŢII DECIZIONALE A CONSUMATORULUI PRIN EDUCAREA ŞI INFORMAREA ACESTUIA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Informare cu privire la produse şi servicii, cu privire la drepturi şi obligaţii şi cu privire la măsuri reparatorii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3.1.1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Organizarea şi desfăşurarea activităţilor consacrate Zilei mondiale a protecţiei drepturilor consumatorilor – 15 martie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Ministerul, Economiei, Agenţia pentru Protecţia Consumatorilor, asociaţiile 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lastRenderedPageBreak/>
              <w:t>obşteşti ale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C86D31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Conferinţe, mese rotunde organizate anual, numărul participanţilor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3.1.2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Aducerea la cunoștința publicului larg prin intermediul paginii-web oficiale a Băncii Naționale a Moldovei, a informației cu privire la deciziile importante adoptate cu impact asupra consumatorilor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Banca Națională a Moldovei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informațiilor publicate cu privire la deciziile importante adoptate care au impact asupra consumato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softHyphen/>
              <w:t>rilor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3.1.3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Organizarea campaniilor informaţionale, inclusiv prin intermediul mass-mediei, distribuirea materialelor informaţionale (ghiduri, broşuri, pliante) şi utilizarea paginilor electronice.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 xml:space="preserve">Agenţia pentru Protecţia Consumatorilor, Ministerul Sănătăţii, Banca Naţională a Moldovei, Comisia Naţională a Pieţei Financiare, Agenţia Naţională pentru Reglementare în Energetică, Agenţia Naţională pentru Reglementare în Comunicaţii Electronice şi Tehnologia Informaţiei,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 xml:space="preserve"> Asociaţiile obşteşti de consumatori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C86D31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Numărul campaniilor informaţionale; numărul de ghiduri, broşuri, pliante distribuite consumatorilor; numărul de emisiuni TV şi radio cu subiectul protecţiei consumatorilor; numărul de comunicate plasate pe pagina electronică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3.1.4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Organizarea şi susţinerea programelor de educare şi conştientizare privind obligaţia de asumare a responsabilităţii producătorului şi a principiului „poluatorul plăteşte"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Fondul Ecologic Naţional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Asistenţă externă.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Numărul programelor susţinute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3.1.5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Organizarea campaniilor de conştientizare asupra consecinţelor practicilor necorespunzătoare în domeniul gestionarii deşeurilor, inclusiv a celor periculoase din punct de vedere al protecţiei mediului.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Mediului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Fondul Ecologic Naţional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Asistenţă externă.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Numărul campaniilor organizate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3.1.6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Educarea consumatorilor și definirea rolului și responsabilităților părților relevante (autorități, agenți economici, consumatori) sub formă de comunicate publice scurte, simple și clare referitoare la produsele defectuoase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Autoritățile cu competențe în domeniul protecției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Nr comunicatelor difuzate/ plasate pe paginile web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sz w:val="20"/>
                <w:szCs w:val="20"/>
              </w:rPr>
              <w:t>3.2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sz w:val="20"/>
                <w:szCs w:val="20"/>
                <w:lang w:val="en-GB"/>
              </w:rPr>
              <w:t>.</w:t>
            </w: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Dezvoltarea unui mecanism eficient de comunicare cu publicul și alte părți interesate</w:t>
            </w:r>
            <w:r w:rsidRPr="003E43D6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 în vederea protecției consumatorilor de servicii financiare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3.2.1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Elaborarea ghidului privind protecția consumatorului de servicii financiare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Comisia Națională a Pieței Financiare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Ghid elaborat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și plasat pe pagina web CNPF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C22F6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3.2</w:t>
            </w:r>
            <w:r w:rsidR="00EB369E" w:rsidRPr="003E43D6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Elaborarea ghidului consumatorului privind descrierea/cunoaşte-rea/depistarea produselor alimentare falsificate/contrafăcute pe tot lanţul alimentar.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Agenţia Naţională pentru Siguranţa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Ghid elaborat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și plasat pe pagina web ANSA</w:t>
            </w:r>
          </w:p>
        </w:tc>
      </w:tr>
      <w:tr w:rsidR="003E43D6" w:rsidRPr="003E43D6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Promovarea programelor educaţionale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3.4.1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Implementarea modulelor cu privire la Protecţia drepturilor consumatorilor în curricula specialităţilor economice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D04337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Numărul de curricula coordonate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3.4.2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Implementarea programelor educaţionale în materia drepturilor consumatorului de către instituţiile de învățământ gimnazial, liceal, secundar profesional, mediu de specialitate şi universitar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Style w:val="8115pt"/>
                <w:rFonts w:ascii="Arial Narrow" w:eastAsia="SimHei" w:hAnsi="Arial Narrow"/>
                <w:bCs/>
                <w:sz w:val="20"/>
                <w:szCs w:val="20"/>
                <w:lang w:val="ro-RO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In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D04337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Numărul de cursuri organizate în cadrul instituţiilor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3.4.3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Implementarea proiectului Schoolbank în sistemul educațional din Republica Moldova (în instituţiile de învățământ, în care se predă disciplina opţională: Educaţia Socială şi Financiară).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Style w:val="8115pt"/>
                <w:rFonts w:ascii="Arial Narrow" w:eastAsia="SimHei" w:hAnsi="Arial Narrow"/>
                <w:bCs/>
                <w:sz w:val="20"/>
                <w:szCs w:val="20"/>
                <w:lang w:val="ro-RO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 xml:space="preserve">Child </w:t>
            </w:r>
            <w:r w:rsidRPr="003E43D6">
              <w:rPr>
                <w:rFonts w:ascii="Arial Narrow" w:hAnsi="Arial Narrow"/>
                <w:sz w:val="20"/>
                <w:szCs w:val="20"/>
                <w:lang w:val="ro-RO" w:eastAsia="fr-FR"/>
              </w:rPr>
              <w:t xml:space="preserve">&amp; </w:t>
            </w: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Youth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Finance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International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European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Fund for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South-East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Numărul de elevi care şi-au deschis cont bancar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3.4.4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spacing w:after="120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>Organizarea şedinţelor cu copiii şi părinţii privind activităţile de Educaţie Financiară (Parteneri: Child &amp; Youth Finance International, sprijinit de European Fund for South-East)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Style w:val="8115pt"/>
                <w:rFonts w:ascii="Arial Narrow" w:eastAsia="SimHei" w:hAnsi="Arial Narrow"/>
                <w:bCs/>
                <w:sz w:val="20"/>
                <w:szCs w:val="20"/>
                <w:lang w:val="ro-RO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Ministerul Educaţiei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 xml:space="preserve">Child </w:t>
            </w:r>
            <w:r w:rsidRPr="003E43D6">
              <w:rPr>
                <w:rFonts w:ascii="Arial Narrow" w:hAnsi="Arial Narrow"/>
                <w:sz w:val="20"/>
                <w:szCs w:val="20"/>
                <w:lang w:val="ro-RO" w:eastAsia="fr-FR"/>
              </w:rPr>
              <w:t xml:space="preserve">&amp; </w:t>
            </w: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Youth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Finance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International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European</w:t>
            </w:r>
          </w:p>
          <w:p w:rsidR="00702890" w:rsidRPr="003E43D6" w:rsidRDefault="00702890" w:rsidP="00D04337">
            <w:pPr>
              <w:pStyle w:val="170"/>
              <w:shd w:val="clear" w:color="auto" w:fill="auto"/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ro-RO"/>
              </w:rPr>
              <w:t>Fund for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South-East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ro-RO"/>
              </w:rPr>
              <w:t>Numărul de şedinţe organizate</w:t>
            </w:r>
          </w:p>
        </w:tc>
      </w:tr>
      <w:tr w:rsidR="003E43D6" w:rsidRPr="00627414" w:rsidTr="00560282">
        <w:trPr>
          <w:trHeight w:val="483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3.5.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Informarea mediului de afaceri privind cerinţele aplicabile, regulile de comerţ şi de plasare pe piaţă a produselor şi serviciilor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3.5.1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Acordarea consultanţei şi asistenţei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 mediului de afaceri, inclusiv furnizorilor de servicii, privind cerinţele aplicabile produselor şi serviciilor.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Autoritățile de supravegherea a pieței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tabs>
                <w:tab w:val="left" w:pos="1564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Numărul consultaţiilor acordate, </w:t>
            </w:r>
          </w:p>
          <w:p w:rsidR="00702890" w:rsidRPr="003E43D6" w:rsidRDefault="00702890" w:rsidP="00702890">
            <w:pPr>
              <w:tabs>
                <w:tab w:val="left" w:pos="1564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de participanţi,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de agenţi economici informaţi,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br/>
              <w:t>Numărul de seminare organizate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3.5.2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Acordarea consultanţei 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mediului de afaceri, inclusiv furnizorilor de servicii, privind  cerinţele aplicabile produselor, precum şi regulile de introducere pe piaţă a produselor pentru construcţii</w:t>
            </w:r>
          </w:p>
          <w:p w:rsidR="00D04337" w:rsidRPr="003E43D6" w:rsidRDefault="00D04337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Dezvoltării Regionale şi Construcţiilor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tabs>
                <w:tab w:val="left" w:pos="1564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Numărul consultaţiilor acordate, </w:t>
            </w:r>
          </w:p>
          <w:p w:rsidR="00702890" w:rsidRPr="003E43D6" w:rsidRDefault="00702890" w:rsidP="00702890">
            <w:pPr>
              <w:tabs>
                <w:tab w:val="left" w:pos="1564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de agenţi economici informaţi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en-GB"/>
              </w:rPr>
              <w:t>3.5.3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Organizarea seminarelor pentru producătorii de materiale de construcție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2017 - 2020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Dezvoltării Regionale şi Construcţiilor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ro-RO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--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seminarelor organizate şi desfăşurate</w:t>
            </w:r>
          </w:p>
          <w:p w:rsidR="00702890" w:rsidRPr="003E43D6" w:rsidRDefault="00702890" w:rsidP="00702890">
            <w:pPr>
              <w:tabs>
                <w:tab w:val="left" w:pos="1564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Numărul de producători instruiți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3.5.4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Elaborarea Ghidului cu privire la produsele de construcții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Ministerul Dezvoltării Regionale şi Construcţiilor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Ghid editat și distribuit/plasat pe site-ul MDRC/ Ministerului Economiei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3.5.5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t xml:space="preserve">Elaborarea și publicarea Ghidului privind relația dintre securitatea generală a produselor și reguli orizontale privind </w:t>
            </w:r>
            <w:r w:rsidRPr="003E43D6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supravegherea pieței pe site-ul Ministerului Economiei</w:t>
            </w:r>
          </w:p>
          <w:p w:rsidR="00D04337" w:rsidRPr="003E43D6" w:rsidRDefault="00D04337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lastRenderedPageBreak/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D04337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 xml:space="preserve">Ghid editat și distribuit/plasat pe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 xml:space="preserve">site-ul Ministerului Economiei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lastRenderedPageBreak/>
              <w:t>3.5.6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fr-FR"/>
              </w:rPr>
              <w:t xml:space="preserve">Elaborarea și publicarea Ghidului cu privire </w:t>
            </w:r>
            <w:proofErr w:type="gramStart"/>
            <w:r w:rsidRPr="003E43D6">
              <w:rPr>
                <w:rFonts w:ascii="Arial Narrow" w:hAnsi="Arial Narrow"/>
                <w:sz w:val="20"/>
                <w:szCs w:val="20"/>
                <w:lang w:val="fr-FR"/>
              </w:rPr>
              <w:t>la echipamentele</w:t>
            </w:r>
            <w:proofErr w:type="gramEnd"/>
            <w:r w:rsidRPr="003E43D6">
              <w:rPr>
                <w:rFonts w:ascii="Arial Narrow" w:hAnsi="Arial Narrow"/>
                <w:sz w:val="20"/>
                <w:szCs w:val="20"/>
                <w:lang w:val="fr-FR"/>
              </w:rPr>
              <w:t xml:space="preserve"> electrice de joasă tensiune pe site-ul Ministerului Economiei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Ghid editat și distribuit/plasat pe site-ul Ministerului Economiei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3.5.7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fr-FR"/>
              </w:rPr>
              <w:t>Elaborare și publicarea Ghidului cu privire la jucării, cerințe de sucuritate pe site-ul Ministerului Economiei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</w:rPr>
              <w:t>Trim. IV,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  <w:r w:rsidRPr="003E43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Asistență externă</w:t>
            </w:r>
          </w:p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sau,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Alte surse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044183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 xml:space="preserve">Ghid editat și distribuit/plasat pe site-ul Ministerului Economiei 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3.6.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3.6.1.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Efectuarea sondajului în scopul stabilirii indicelui de informare şi încredere a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F015E7">
            <w:pPr>
              <w:jc w:val="center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201</w:t>
            </w:r>
            <w:r w:rsidR="00F015E7"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9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Agenția pentru Protecția Consumatorilor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Raportul privind rezultatele sondajului (sondaj reprezentativ pentru întreaga ţară, circa 1000 respondenţi cu circa 10 întrebări), indicele stabilit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OBIECTIVUL 4. EFICIENTIZAREA PROCESULUI DE REVENDICARE A DREPTURILOR ŞI DE RECUPERARE A PREJUDICIILOR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4.1.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Perfecţionarea cadrului legislativ referitor la revendicarea drepturilor şi recuperarea prejudiciilor în sistemul judiciar şi extrajudiciar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eastAsia="en-GB"/>
              </w:rPr>
              <w:t>4.1.1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val="en-GB" w:eastAsia="en-GB"/>
              </w:rPr>
              <w:t>Elaborarea proiectului hotărîrii de Guvern pentru aprobarea proiectului de lege de modificare şi completare a unor acte legislative (Directiva 98/27/CE a Parlamentului European şi a Consiliului din 19 mai 1998 privind acţiunile în încetare în ceea priveşte protecţia intereselor consumatorilor)</w:t>
            </w:r>
          </w:p>
          <w:p w:rsidR="00702890" w:rsidRPr="003F5F54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eastAsia="en-GB"/>
              </w:rPr>
              <w:t>2017-2018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eastAsia="en-GB"/>
              </w:rPr>
              <w:t>Ministerul Justiţiei, 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jc w:val="center"/>
              <w:rPr>
                <w:rFonts w:ascii="Arial Narrow" w:hAnsi="Arial Narrow"/>
                <w:lang w:val="en-GB"/>
              </w:rPr>
            </w:pPr>
            <w:r w:rsidRPr="003F5F54">
              <w:rPr>
                <w:rFonts w:ascii="Arial Narrow" w:hAnsi="Arial Narrow"/>
                <w:lang w:val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F5F54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F5F54">
              <w:rPr>
                <w:rFonts w:ascii="Arial Narrow" w:hAnsi="Arial Narrow"/>
                <w:sz w:val="20"/>
                <w:szCs w:val="20"/>
                <w:lang w:eastAsia="en-GB"/>
              </w:rPr>
              <w:t>Proiect aprobat</w:t>
            </w:r>
            <w:bookmarkStart w:id="0" w:name="_GoBack"/>
            <w:bookmarkEnd w:id="0"/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4.2.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Consolidarea capacităţilor instituţionale privind revendicarea drepturilor şi recuperarea prejudiciilor în sistemul judiciar şi extrajudiciar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4.2.1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Promovarea sistemului de petiţionare, inclusiv a sistemului electronic de petiţionare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Agenţia pentru Protecţia Consumatorilor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Agenția Națională pentru Siguranța Alimentelor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---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Distribuirea a 2000 de unităţi de material informaţional pe an cu abordarea a unui număr similar de consumatori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4.3.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Ridicarea nivelului de încredere în sistemul instituţional existent prin promovarea soluţiilor pe care le oferă acesta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4.3.1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both"/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Organizarea campaniilor de promovare a sistemului instituţional </w:t>
            </w: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în cadrul autorităţilor de protecţie a consumatorilor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şi </w:t>
            </w: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а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 posibilităţilor ce le oferă aceasta, precum şi promovarea cazurilor de succes în promovarea drepturilor consumatorului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US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US" w:eastAsia="en-GB"/>
              </w:rPr>
              <w:t>Autoritățile cu competențe în domeniul protecției consumatorilor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C86D31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Numărul evenimentelor informaţionale (distribuirea anuală a 4000 unităţi de material informaţional şi informarea unui număr similar de consumatori)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4.4.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Stabilirea bazei de calcul pentru evaluare</w:t>
            </w:r>
          </w:p>
        </w:tc>
      </w:tr>
      <w:tr w:rsidR="003E43D6" w:rsidRPr="00627414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4.4.1.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Stabilirea numărului de cazuri în instanţă ce ţin de apărarea drepturilor consumatorului şi recuperarea prejudiciului cauzat de produse şi servicii defectuoase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val="ro-RO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ro-RO"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554758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Ministerul Justiţiei prin intermediul </w:t>
            </w:r>
            <w:r w:rsidR="00554758"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t xml:space="preserve">Agenţiei de administrare a </w:t>
            </w:r>
            <w:r w:rsidR="00554758" w:rsidRPr="003E43D6">
              <w:rPr>
                <w:rFonts w:ascii="Arial Narrow" w:hAnsi="Arial Narrow"/>
                <w:sz w:val="20"/>
                <w:szCs w:val="20"/>
                <w:lang w:val="en-GB" w:eastAsia="ro-RO"/>
              </w:rPr>
              <w:lastRenderedPageBreak/>
              <w:t>instanţelor judecătoreşti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lastRenderedPageBreak/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C86D31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val="ro-RO"/>
              </w:rPr>
              <w:t>Parteneri de dezvoltare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 xml:space="preserve">Raportul anual care va reflecta numărul total de cazuri acceptate pentru examinare </w:t>
            </w: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lastRenderedPageBreak/>
              <w:t>în cadrul sistemului judiciar şi valoarea monetară a prejudiciilor recuperate</w:t>
            </w:r>
          </w:p>
        </w:tc>
      </w:tr>
      <w:tr w:rsidR="003E43D6" w:rsidRPr="00627414" w:rsidTr="00560282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lastRenderedPageBreak/>
              <w:t>5.</w:t>
            </w:r>
          </w:p>
        </w:tc>
        <w:tc>
          <w:tcPr>
            <w:tcW w:w="9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b/>
                <w:bCs/>
                <w:sz w:val="20"/>
                <w:szCs w:val="20"/>
                <w:lang w:val="en-GB" w:eastAsia="en-GB"/>
              </w:rPr>
              <w:t>OBIECTIVUL 5. COOPERAREA INTERNAŢIONALĂ ÎN DOMENIUL PROTECŢIEI CONSUMATORILOR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5.1.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Participarea în cadrul Consiliului consultativ în domeniul protecţiei consumatorilor statelor-membre ale Comunităţii Statelor Independente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Ministerul Economiei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Numărul şedinţelor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Cooperarea transfrontalieră în domeniul protecției consumatorilor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center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2017-2020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Ministerul Economiei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 w:eastAsia="en-GB"/>
              </w:rPr>
              <w:t>Agenţia pentru Protecţia Consumatorilor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val="en-GB"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val="en-GB"/>
              </w:rPr>
              <w:t>Autoritățile de supravegherea a pieței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În limitele bugetului aprobat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Schimb de experiență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>Seminare</w:t>
            </w: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3E43D6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E43D6" w:rsidRPr="003E43D6" w:rsidTr="00EA7333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5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jc w:val="right"/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2890" w:rsidRPr="003E43D6" w:rsidRDefault="00702890" w:rsidP="00702890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</w:tc>
      </w:tr>
    </w:tbl>
    <w:p w:rsidR="008C0A25" w:rsidRPr="003E43D6" w:rsidRDefault="008C0A25" w:rsidP="008C0A25">
      <w:pPr>
        <w:ind w:firstLine="567"/>
        <w:jc w:val="both"/>
        <w:rPr>
          <w:rFonts w:eastAsiaTheme="minorEastAsia"/>
          <w:lang w:eastAsia="en-GB"/>
        </w:rPr>
      </w:pPr>
      <w:r w:rsidRPr="003E43D6">
        <w:rPr>
          <w:rFonts w:eastAsiaTheme="minorEastAsia"/>
          <w:lang w:eastAsia="en-GB"/>
        </w:rPr>
        <w:t> </w:t>
      </w:r>
    </w:p>
    <w:p w:rsidR="00D80221" w:rsidRPr="003E43D6" w:rsidRDefault="00D80221" w:rsidP="008C0A25">
      <w:pPr>
        <w:ind w:firstLine="567"/>
        <w:jc w:val="both"/>
        <w:rPr>
          <w:rFonts w:eastAsiaTheme="minorEastAsia"/>
          <w:lang w:eastAsia="en-GB"/>
        </w:rPr>
      </w:pPr>
    </w:p>
    <w:p w:rsidR="00D80221" w:rsidRPr="003E43D6" w:rsidRDefault="00D80221" w:rsidP="008C0A25">
      <w:pPr>
        <w:ind w:firstLine="567"/>
        <w:jc w:val="both"/>
        <w:rPr>
          <w:rFonts w:eastAsiaTheme="minorEastAsia"/>
          <w:lang w:eastAsia="en-GB"/>
        </w:rPr>
      </w:pPr>
    </w:p>
    <w:p w:rsidR="00D80221" w:rsidRPr="003E43D6" w:rsidRDefault="00D80221" w:rsidP="00D80221">
      <w:pPr>
        <w:pStyle w:val="rg"/>
        <w:ind w:left="4956" w:firstLine="709"/>
        <w:rPr>
          <w:i/>
          <w:lang w:val="ro-RO"/>
        </w:rPr>
      </w:pPr>
    </w:p>
    <w:tbl>
      <w:tblPr>
        <w:tblW w:w="9462" w:type="dxa"/>
        <w:tblLook w:val="00A0" w:firstRow="1" w:lastRow="0" w:firstColumn="1" w:lastColumn="0" w:noHBand="0" w:noVBand="0"/>
      </w:tblPr>
      <w:tblGrid>
        <w:gridCol w:w="5306"/>
        <w:gridCol w:w="4156"/>
      </w:tblGrid>
      <w:tr w:rsidR="00D80221" w:rsidRPr="003E43D6" w:rsidTr="00E76CD7">
        <w:trPr>
          <w:trHeight w:val="579"/>
        </w:trPr>
        <w:tc>
          <w:tcPr>
            <w:tcW w:w="5306" w:type="dxa"/>
            <w:hideMark/>
          </w:tcPr>
          <w:p w:rsidR="00D80221" w:rsidRPr="003E43D6" w:rsidRDefault="00D80221" w:rsidP="00E76CD7">
            <w:pPr>
              <w:pStyle w:val="cn"/>
              <w:tabs>
                <w:tab w:val="left" w:pos="270"/>
                <w:tab w:val="left" w:pos="525"/>
                <w:tab w:val="left" w:pos="1560"/>
              </w:tabs>
              <w:spacing w:line="276" w:lineRule="auto"/>
              <w:contextualSpacing/>
              <w:jc w:val="both"/>
              <w:rPr>
                <w:b/>
                <w:lang w:val="ro-RO" w:eastAsia="en-US"/>
              </w:rPr>
            </w:pPr>
            <w:r w:rsidRPr="003E43D6">
              <w:rPr>
                <w:b/>
                <w:lang w:val="ro-RO" w:eastAsia="en-US"/>
              </w:rPr>
              <w:t xml:space="preserve">     PRIM-MINISTRU          </w:t>
            </w:r>
          </w:p>
        </w:tc>
        <w:tc>
          <w:tcPr>
            <w:tcW w:w="4156" w:type="dxa"/>
          </w:tcPr>
          <w:p w:rsidR="00D80221" w:rsidRPr="003E43D6" w:rsidRDefault="00D80221" w:rsidP="00E76CD7">
            <w:pPr>
              <w:pStyle w:val="cn"/>
              <w:tabs>
                <w:tab w:val="left" w:pos="557"/>
                <w:tab w:val="left" w:pos="682"/>
                <w:tab w:val="left" w:pos="1560"/>
              </w:tabs>
              <w:spacing w:line="276" w:lineRule="auto"/>
              <w:contextualSpacing/>
              <w:jc w:val="left"/>
              <w:rPr>
                <w:b/>
                <w:lang w:val="ro-RO" w:eastAsia="en-US"/>
              </w:rPr>
            </w:pPr>
            <w:r w:rsidRPr="003E43D6">
              <w:rPr>
                <w:b/>
                <w:lang w:val="ro-RO" w:eastAsia="en-US"/>
              </w:rPr>
              <w:t xml:space="preserve">           Pavel FILIP</w:t>
            </w:r>
          </w:p>
        </w:tc>
      </w:tr>
      <w:tr w:rsidR="00D80221" w:rsidRPr="003E43D6" w:rsidTr="00E76CD7">
        <w:trPr>
          <w:trHeight w:val="282"/>
        </w:trPr>
        <w:tc>
          <w:tcPr>
            <w:tcW w:w="5306" w:type="dxa"/>
            <w:hideMark/>
          </w:tcPr>
          <w:p w:rsidR="00D80221" w:rsidRPr="003E43D6" w:rsidRDefault="00D80221" w:rsidP="00E76CD7">
            <w:pPr>
              <w:pStyle w:val="cn"/>
              <w:tabs>
                <w:tab w:val="left" w:pos="1560"/>
              </w:tabs>
              <w:spacing w:line="276" w:lineRule="auto"/>
              <w:contextualSpacing/>
              <w:jc w:val="both"/>
              <w:rPr>
                <w:b/>
                <w:lang w:val="ro-RO" w:eastAsia="en-US"/>
              </w:rPr>
            </w:pPr>
            <w:r w:rsidRPr="003E43D6">
              <w:rPr>
                <w:b/>
                <w:lang w:val="ro-RO" w:eastAsia="en-US"/>
              </w:rPr>
              <w:t xml:space="preserve">     Contrasemnează:</w:t>
            </w:r>
          </w:p>
        </w:tc>
        <w:tc>
          <w:tcPr>
            <w:tcW w:w="4156" w:type="dxa"/>
          </w:tcPr>
          <w:p w:rsidR="00D80221" w:rsidRPr="003E43D6" w:rsidRDefault="00D80221" w:rsidP="00E76CD7">
            <w:pPr>
              <w:pStyle w:val="cn"/>
              <w:tabs>
                <w:tab w:val="left" w:pos="1560"/>
              </w:tabs>
              <w:spacing w:line="276" w:lineRule="auto"/>
              <w:contextualSpacing/>
              <w:jc w:val="both"/>
              <w:rPr>
                <w:b/>
                <w:lang w:val="ro-RO" w:eastAsia="en-US"/>
              </w:rPr>
            </w:pPr>
            <w:r w:rsidRPr="003E43D6">
              <w:rPr>
                <w:b/>
                <w:lang w:val="ro-RO" w:eastAsia="en-US"/>
              </w:rPr>
              <w:t xml:space="preserve">   </w:t>
            </w:r>
          </w:p>
        </w:tc>
      </w:tr>
      <w:tr w:rsidR="00D80221" w:rsidRPr="003E43D6" w:rsidTr="00E76CD7">
        <w:trPr>
          <w:trHeight w:val="564"/>
        </w:trPr>
        <w:tc>
          <w:tcPr>
            <w:tcW w:w="5306" w:type="dxa"/>
            <w:hideMark/>
          </w:tcPr>
          <w:p w:rsidR="00D80221" w:rsidRPr="003E43D6" w:rsidRDefault="00D80221" w:rsidP="00E76CD7">
            <w:pPr>
              <w:tabs>
                <w:tab w:val="left" w:pos="432"/>
                <w:tab w:val="left" w:pos="1560"/>
                <w:tab w:val="left" w:pos="4483"/>
              </w:tabs>
              <w:contextualSpacing/>
              <w:jc w:val="both"/>
              <w:rPr>
                <w:b/>
                <w:lang w:val="ro-RO" w:eastAsia="ro-RO"/>
              </w:rPr>
            </w:pPr>
            <w:r w:rsidRPr="003E43D6">
              <w:rPr>
                <w:b/>
                <w:lang w:val="ro-RO" w:eastAsia="ro-RO"/>
              </w:rPr>
              <w:t xml:space="preserve">     Viceprim-ministru,</w:t>
            </w:r>
          </w:p>
          <w:p w:rsidR="00D80221" w:rsidRPr="003E43D6" w:rsidRDefault="00D80221" w:rsidP="00E76CD7">
            <w:pPr>
              <w:tabs>
                <w:tab w:val="left" w:pos="270"/>
                <w:tab w:val="left" w:pos="567"/>
                <w:tab w:val="left" w:pos="1560"/>
              </w:tabs>
              <w:contextualSpacing/>
              <w:jc w:val="both"/>
              <w:rPr>
                <w:b/>
                <w:lang w:val="ro-RO" w:eastAsia="ro-RO"/>
              </w:rPr>
            </w:pPr>
            <w:r w:rsidRPr="003E43D6">
              <w:rPr>
                <w:b/>
                <w:lang w:val="ro-RO" w:eastAsia="ro-RO"/>
              </w:rPr>
              <w:t xml:space="preserve">     ministru al economiei</w:t>
            </w:r>
          </w:p>
        </w:tc>
        <w:tc>
          <w:tcPr>
            <w:tcW w:w="4156" w:type="dxa"/>
            <w:hideMark/>
          </w:tcPr>
          <w:p w:rsidR="00D80221" w:rsidRPr="003E43D6" w:rsidRDefault="00D80221" w:rsidP="00E76CD7">
            <w:pPr>
              <w:pStyle w:val="cn"/>
              <w:tabs>
                <w:tab w:val="left" w:pos="706"/>
                <w:tab w:val="left" w:pos="1006"/>
                <w:tab w:val="left" w:pos="1560"/>
                <w:tab w:val="left" w:pos="1827"/>
                <w:tab w:val="left" w:pos="1977"/>
              </w:tabs>
              <w:spacing w:line="276" w:lineRule="auto"/>
              <w:contextualSpacing/>
              <w:jc w:val="left"/>
              <w:rPr>
                <w:lang w:val="ro-RO" w:eastAsia="en-US"/>
              </w:rPr>
            </w:pPr>
            <w:r w:rsidRPr="003E43D6">
              <w:rPr>
                <w:b/>
                <w:lang w:val="ro-RO" w:eastAsia="ro-RO"/>
              </w:rPr>
              <w:t xml:space="preserve">           Octavian CALMÎC</w:t>
            </w:r>
          </w:p>
        </w:tc>
      </w:tr>
    </w:tbl>
    <w:p w:rsidR="00D80221" w:rsidRPr="003E43D6" w:rsidRDefault="00D80221" w:rsidP="008C0A25">
      <w:pPr>
        <w:ind w:firstLine="567"/>
        <w:jc w:val="both"/>
        <w:rPr>
          <w:rFonts w:eastAsiaTheme="minorEastAsia"/>
          <w:lang w:eastAsia="en-GB"/>
        </w:rPr>
      </w:pPr>
    </w:p>
    <w:p w:rsidR="008C0A25" w:rsidRPr="003E43D6" w:rsidRDefault="008C0A25" w:rsidP="008C0A25"/>
    <w:p w:rsidR="008C0A25" w:rsidRPr="003E43D6" w:rsidRDefault="008C0A25" w:rsidP="008C0A25"/>
    <w:p w:rsidR="008C0A25" w:rsidRPr="003E43D6" w:rsidRDefault="008C0A25" w:rsidP="008C0A25"/>
    <w:p w:rsidR="00FC7119" w:rsidRPr="003E43D6" w:rsidRDefault="00FC7119" w:rsidP="003D7366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1E60E0" w:rsidRPr="003E43D6" w:rsidRDefault="001E60E0" w:rsidP="00FC7119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1E60E0" w:rsidRPr="003E43D6" w:rsidRDefault="001E60E0" w:rsidP="00FC7119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1E60E0" w:rsidRPr="003E43D6" w:rsidRDefault="001E60E0" w:rsidP="00FC7119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1E60E0" w:rsidRPr="003E43D6" w:rsidRDefault="001E60E0" w:rsidP="00FC7119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1E60E0" w:rsidRPr="003E43D6" w:rsidRDefault="001E60E0" w:rsidP="00FC7119">
      <w:pPr>
        <w:spacing w:line="312" w:lineRule="auto"/>
        <w:jc w:val="center"/>
        <w:rPr>
          <w:b/>
          <w:sz w:val="27"/>
          <w:szCs w:val="27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044183" w:rsidRPr="003E43D6" w:rsidRDefault="00044183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D04337" w:rsidRPr="003E43D6" w:rsidRDefault="00D04337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D04337" w:rsidRPr="003E43D6" w:rsidRDefault="00D04337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D04337" w:rsidRPr="003E43D6" w:rsidRDefault="00D04337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DD2061" w:rsidRPr="003E43D6" w:rsidRDefault="00DD2061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DD2061" w:rsidRPr="003E43D6" w:rsidRDefault="00DD2061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</w:p>
    <w:p w:rsidR="00E44EAF" w:rsidRPr="003E43D6" w:rsidRDefault="00E44EAF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GB" w:eastAsia="en-GB"/>
        </w:rPr>
      </w:pPr>
      <w:r w:rsidRPr="003E43D6">
        <w:rPr>
          <w:rFonts w:ascii="Arial Narrow" w:hAnsi="Arial Narrow"/>
          <w:b/>
          <w:sz w:val="22"/>
          <w:szCs w:val="22"/>
          <w:lang w:val="en-GB" w:eastAsia="en-GB"/>
        </w:rPr>
        <w:lastRenderedPageBreak/>
        <w:t>NOTĂ INFORMATIVĂ</w:t>
      </w:r>
    </w:p>
    <w:p w:rsidR="0080044E" w:rsidRPr="003E43D6" w:rsidRDefault="00982E78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3E43D6">
        <w:rPr>
          <w:rFonts w:ascii="Arial Narrow" w:hAnsi="Arial Narrow"/>
          <w:b/>
          <w:sz w:val="22"/>
          <w:szCs w:val="22"/>
          <w:lang w:val="ro-RO"/>
        </w:rPr>
        <w:t xml:space="preserve">La </w:t>
      </w:r>
      <w:r w:rsidR="005D40FC" w:rsidRPr="003E43D6">
        <w:rPr>
          <w:rFonts w:ascii="Arial Narrow" w:hAnsi="Arial Narrow"/>
          <w:b/>
          <w:sz w:val="22"/>
          <w:szCs w:val="22"/>
          <w:lang w:val="ro-RO"/>
        </w:rPr>
        <w:t xml:space="preserve">proiectul hotărîrii de </w:t>
      </w:r>
      <w:r w:rsidRPr="003E43D6">
        <w:rPr>
          <w:rFonts w:ascii="Arial Narrow" w:hAnsi="Arial Narrow"/>
          <w:b/>
          <w:sz w:val="22"/>
          <w:szCs w:val="22"/>
          <w:lang w:val="ro-RO"/>
        </w:rPr>
        <w:t xml:space="preserve">Guvern </w:t>
      </w:r>
      <w:r w:rsidR="00D646E9" w:rsidRPr="003E43D6">
        <w:rPr>
          <w:rFonts w:ascii="Arial Narrow" w:hAnsi="Arial Narrow"/>
          <w:b/>
          <w:sz w:val="22"/>
          <w:szCs w:val="22"/>
          <w:lang w:val="ro-RO"/>
        </w:rPr>
        <w:t xml:space="preserve">„Cu privire la modificarea </w:t>
      </w:r>
    </w:p>
    <w:p w:rsidR="00184546" w:rsidRPr="003E43D6" w:rsidRDefault="00D646E9" w:rsidP="00F47020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3E43D6">
        <w:rPr>
          <w:rFonts w:ascii="Arial Narrow" w:hAnsi="Arial Narrow"/>
          <w:b/>
          <w:sz w:val="22"/>
          <w:szCs w:val="22"/>
          <w:lang w:val="en-US"/>
        </w:rPr>
        <w:t>Hotărîrii Guvernului nr.560 din 24 iulie 2013”</w:t>
      </w:r>
    </w:p>
    <w:p w:rsidR="0080044E" w:rsidRPr="003E43D6" w:rsidRDefault="0080044E" w:rsidP="00F47020">
      <w:pPr>
        <w:spacing w:line="360" w:lineRule="auto"/>
        <w:jc w:val="center"/>
        <w:rPr>
          <w:rFonts w:ascii="Arial Narrow" w:hAnsi="Arial Narrow"/>
          <w:b/>
          <w:bCs/>
          <w:sz w:val="22"/>
          <w:szCs w:val="22"/>
          <w:lang w:val="en-US" w:eastAsia="en-GB"/>
        </w:rPr>
      </w:pPr>
    </w:p>
    <w:p w:rsidR="00664644" w:rsidRPr="003E43D6" w:rsidRDefault="00184546" w:rsidP="00F47020">
      <w:pPr>
        <w:spacing w:line="360" w:lineRule="auto"/>
        <w:ind w:firstLine="706"/>
        <w:jc w:val="both"/>
        <w:rPr>
          <w:rFonts w:ascii="Arial Narrow" w:hAnsi="Arial Narrow"/>
          <w:bCs/>
          <w:sz w:val="22"/>
          <w:szCs w:val="22"/>
          <w:lang w:val="en-GB" w:eastAsia="en-GB"/>
        </w:rPr>
      </w:pPr>
      <w:r w:rsidRPr="003E43D6">
        <w:rPr>
          <w:rFonts w:ascii="Arial Narrow" w:hAnsi="Arial Narrow"/>
          <w:spacing w:val="-3"/>
          <w:sz w:val="22"/>
          <w:szCs w:val="22"/>
          <w:lang w:val="ro-RO"/>
        </w:rPr>
        <w:t xml:space="preserve">Prezentul proiect de Hotărîre </w:t>
      </w:r>
      <w:r w:rsidR="00014BCC" w:rsidRPr="003E43D6">
        <w:rPr>
          <w:rFonts w:ascii="Arial Narrow" w:hAnsi="Arial Narrow"/>
          <w:spacing w:val="-3"/>
          <w:sz w:val="22"/>
          <w:szCs w:val="22"/>
          <w:lang w:val="ro-RO"/>
        </w:rPr>
        <w:t xml:space="preserve">a Guvernului </w:t>
      </w:r>
      <w:r w:rsidRPr="003E43D6">
        <w:rPr>
          <w:rFonts w:ascii="Arial Narrow" w:hAnsi="Arial Narrow"/>
          <w:spacing w:val="-3"/>
          <w:sz w:val="22"/>
          <w:szCs w:val="22"/>
          <w:lang w:val="ro-RO"/>
        </w:rPr>
        <w:t>este elaborat ţinînd cont de prevederile Legii</w:t>
      </w:r>
      <w:r w:rsidR="00BF7FB7" w:rsidRPr="003E43D6">
        <w:rPr>
          <w:rFonts w:ascii="Arial Narrow" w:hAnsi="Arial Narrow"/>
          <w:spacing w:val="-3"/>
          <w:sz w:val="22"/>
          <w:szCs w:val="22"/>
          <w:lang w:val="ro-RO"/>
        </w:rPr>
        <w:t xml:space="preserve"> </w:t>
      </w:r>
      <w:r w:rsidR="00BF7FB7" w:rsidRPr="003E43D6">
        <w:rPr>
          <w:rFonts w:ascii="Arial Narrow" w:hAnsi="Arial Narrow"/>
          <w:sz w:val="22"/>
          <w:szCs w:val="22"/>
          <w:lang w:val="en-US"/>
        </w:rPr>
        <w:t>nr</w:t>
      </w:r>
      <w:r w:rsidR="00664644" w:rsidRPr="003E43D6">
        <w:rPr>
          <w:rFonts w:ascii="Arial Narrow" w:hAnsi="Arial Narrow"/>
          <w:sz w:val="22"/>
          <w:szCs w:val="22"/>
          <w:lang w:val="en-US"/>
        </w:rPr>
        <w:t>.</w:t>
      </w:r>
      <w:r w:rsidR="00014BCC" w:rsidRPr="003E43D6">
        <w:rPr>
          <w:rFonts w:ascii="Arial Narrow" w:hAnsi="Arial Narrow"/>
          <w:sz w:val="22"/>
          <w:szCs w:val="22"/>
          <w:lang w:val="en-GB" w:eastAsia="en-GB"/>
        </w:rPr>
        <w:t xml:space="preserve"> 105-XV din 13</w:t>
      </w:r>
      <w:r w:rsidR="00916494" w:rsidRPr="003E43D6">
        <w:rPr>
          <w:rFonts w:ascii="Arial Narrow" w:hAnsi="Arial Narrow"/>
          <w:sz w:val="22"/>
          <w:szCs w:val="22"/>
          <w:lang w:val="en-GB" w:eastAsia="en-GB"/>
        </w:rPr>
        <w:t xml:space="preserve"> m</w:t>
      </w:r>
      <w:r w:rsidR="00014BCC" w:rsidRPr="003E43D6">
        <w:rPr>
          <w:rFonts w:ascii="Arial Narrow" w:hAnsi="Arial Narrow"/>
          <w:sz w:val="22"/>
          <w:szCs w:val="22"/>
          <w:lang w:val="en-GB" w:eastAsia="en-GB"/>
        </w:rPr>
        <w:t xml:space="preserve">artie 2003 </w:t>
      </w:r>
      <w:r w:rsidR="00014BCC" w:rsidRPr="003E43D6">
        <w:rPr>
          <w:rFonts w:ascii="Arial Narrow" w:hAnsi="Arial Narrow"/>
          <w:bCs/>
          <w:sz w:val="22"/>
          <w:szCs w:val="22"/>
          <w:lang w:val="en-GB" w:eastAsia="en-GB"/>
        </w:rPr>
        <w:t>p</w:t>
      </w:r>
      <w:r w:rsidR="0003570C" w:rsidRPr="003E43D6">
        <w:rPr>
          <w:rFonts w:ascii="Arial Narrow" w:hAnsi="Arial Narrow"/>
          <w:bCs/>
          <w:sz w:val="22"/>
          <w:szCs w:val="22"/>
          <w:lang w:val="en-GB" w:eastAsia="en-GB"/>
        </w:rPr>
        <w:t>rivind protecţia consumatorilor</w:t>
      </w:r>
      <w:r w:rsidR="00DD2061" w:rsidRPr="003E43D6">
        <w:rPr>
          <w:rFonts w:ascii="Arial Narrow" w:hAnsi="Arial Narrow"/>
          <w:bCs/>
          <w:sz w:val="22"/>
          <w:szCs w:val="22"/>
          <w:lang w:val="en-GB" w:eastAsia="en-GB"/>
        </w:rPr>
        <w:t>, de</w:t>
      </w:r>
      <w:r w:rsidR="00664644" w:rsidRPr="003E43D6">
        <w:rPr>
          <w:rFonts w:ascii="Arial Narrow" w:hAnsi="Arial Narrow"/>
          <w:bCs/>
          <w:sz w:val="22"/>
          <w:szCs w:val="22"/>
          <w:lang w:val="en-GB" w:eastAsia="en-GB"/>
        </w:rPr>
        <w:t xml:space="preserve"> St</w:t>
      </w:r>
      <w:r w:rsidR="002D300B" w:rsidRPr="003E43D6">
        <w:rPr>
          <w:rFonts w:ascii="Arial Narrow" w:hAnsi="Arial Narrow"/>
          <w:bCs/>
          <w:sz w:val="22"/>
          <w:szCs w:val="22"/>
          <w:lang w:val="en-GB" w:eastAsia="en-GB"/>
        </w:rPr>
        <w:t>ra</w:t>
      </w:r>
      <w:r w:rsidR="00DD2061" w:rsidRPr="003E43D6">
        <w:rPr>
          <w:rFonts w:ascii="Arial Narrow" w:hAnsi="Arial Narrow"/>
          <w:bCs/>
          <w:sz w:val="22"/>
          <w:szCs w:val="22"/>
          <w:lang w:val="en-GB" w:eastAsia="en-GB"/>
        </w:rPr>
        <w:t>tegia</w:t>
      </w:r>
      <w:r w:rsidR="00664644" w:rsidRPr="003E43D6">
        <w:rPr>
          <w:rFonts w:ascii="Arial Narrow" w:hAnsi="Arial Narrow"/>
          <w:bCs/>
          <w:sz w:val="22"/>
          <w:szCs w:val="22"/>
          <w:lang w:val="en-GB" w:eastAsia="en-GB"/>
        </w:rPr>
        <w:t xml:space="preserve"> în domeniul protecției consumatorilor, aprobată prin Hotărîrea Guve</w:t>
      </w:r>
      <w:r w:rsidR="00DD2061" w:rsidRPr="003E43D6">
        <w:rPr>
          <w:rFonts w:ascii="Arial Narrow" w:hAnsi="Arial Narrow"/>
          <w:bCs/>
          <w:sz w:val="22"/>
          <w:szCs w:val="22"/>
          <w:lang w:val="en-GB" w:eastAsia="en-GB"/>
        </w:rPr>
        <w:t>rnului nr.560 din 24 iulie 2013 și prevederile Hotărîrii Guvernului nr.3 din 11.01.2007 „Cu privire la regulile de elaborare și cerințele unificate față de documentele de politici”.</w:t>
      </w:r>
    </w:p>
    <w:p w:rsidR="006A0868" w:rsidRPr="003E43D6" w:rsidRDefault="006A0868" w:rsidP="00F47020">
      <w:pPr>
        <w:spacing w:line="360" w:lineRule="auto"/>
        <w:ind w:firstLine="706"/>
        <w:jc w:val="both"/>
        <w:rPr>
          <w:rFonts w:ascii="Arial Narrow" w:hAnsi="Arial Narrow"/>
          <w:b/>
          <w:sz w:val="22"/>
          <w:szCs w:val="22"/>
          <w:u w:val="single"/>
          <w:lang w:val="ro-RO"/>
        </w:rPr>
      </w:pPr>
      <w:r w:rsidRPr="003E43D6">
        <w:rPr>
          <w:rFonts w:ascii="Arial Narrow" w:hAnsi="Arial Narrow"/>
          <w:b/>
          <w:sz w:val="22"/>
          <w:szCs w:val="22"/>
          <w:u w:val="single"/>
          <w:lang w:val="en-US"/>
        </w:rPr>
        <w:t>Condi</w:t>
      </w:r>
      <w:r w:rsidRPr="003E43D6">
        <w:rPr>
          <w:rFonts w:ascii="Arial Narrow" w:hAnsi="Arial Narrow"/>
          <w:b/>
          <w:sz w:val="22"/>
          <w:szCs w:val="22"/>
          <w:u w:val="single"/>
          <w:lang w:val="ro-RO"/>
        </w:rPr>
        <w:t xml:space="preserve">țiile care au impus elaborarea proiectului </w:t>
      </w:r>
    </w:p>
    <w:p w:rsidR="0047063E" w:rsidRPr="003E43D6" w:rsidRDefault="00F2702D" w:rsidP="00F47020">
      <w:pPr>
        <w:pStyle w:val="NormalWeb"/>
        <w:spacing w:line="360" w:lineRule="auto"/>
        <w:ind w:firstLine="709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en-US"/>
        </w:rPr>
        <w:t>În conformitate cu prevederile Strategiei în domeniul protecției consumatorilor „</w:t>
      </w:r>
      <w:r w:rsidR="00BE7B3C" w:rsidRPr="003E43D6">
        <w:rPr>
          <w:rFonts w:ascii="Arial Narrow" w:hAnsi="Arial Narrow"/>
          <w:sz w:val="22"/>
          <w:szCs w:val="22"/>
          <w:lang w:val="ro-RO"/>
        </w:rPr>
        <w:t xml:space="preserve">La expirarea a 4 ani (anul 2016) </w:t>
      </w:r>
      <w:proofErr w:type="gramStart"/>
      <w:r w:rsidR="00BE7B3C" w:rsidRPr="003E43D6">
        <w:rPr>
          <w:rFonts w:ascii="Arial Narrow" w:hAnsi="Arial Narrow"/>
          <w:sz w:val="22"/>
          <w:szCs w:val="22"/>
          <w:lang w:val="ro-RO"/>
        </w:rPr>
        <w:t>este</w:t>
      </w:r>
      <w:proofErr w:type="gramEnd"/>
      <w:r w:rsidR="00BE7B3C" w:rsidRPr="003E43D6">
        <w:rPr>
          <w:rFonts w:ascii="Arial Narrow" w:hAnsi="Arial Narrow"/>
          <w:sz w:val="22"/>
          <w:szCs w:val="22"/>
          <w:lang w:val="ro-RO"/>
        </w:rPr>
        <w:t xml:space="preserve"> efectuată evaluarea generală şi se constată nivelul de realizare a obiectivelor în baza indicatorilor de performanţă şi este elaborat planul de acţiuni pentru următoarea perioadă (anii 2017-2020).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” </w:t>
      </w:r>
    </w:p>
    <w:p w:rsidR="00BE7B3C" w:rsidRPr="003E43D6" w:rsidRDefault="00F2702D" w:rsidP="00F47020">
      <w:pPr>
        <w:pStyle w:val="NormalWeb"/>
        <w:spacing w:line="360" w:lineRule="auto"/>
        <w:ind w:firstLine="709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Prin urmare, în rezultatul efectuării unei evaluări preliminare asupra realizării acțiunilor cuprinse în Planul de acțiuni pentru prima perioadă (2013-2016), Ministerul Economiei a elaborat proiectul Planului de acțiuni pentr</w:t>
      </w:r>
      <w:r w:rsidR="003D0871" w:rsidRPr="003E43D6">
        <w:rPr>
          <w:rFonts w:ascii="Arial Narrow" w:hAnsi="Arial Narrow"/>
          <w:sz w:val="22"/>
          <w:szCs w:val="22"/>
          <w:lang w:val="ro-RO"/>
        </w:rPr>
        <w:t>u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 a doua perioadă (2017-2020).</w:t>
      </w:r>
    </w:p>
    <w:p w:rsidR="0028604E" w:rsidRPr="003E43D6" w:rsidRDefault="0028604E" w:rsidP="00F47020">
      <w:pPr>
        <w:pStyle w:val="NormalWeb"/>
        <w:spacing w:line="360" w:lineRule="auto"/>
        <w:ind w:firstLine="709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Prezentul Plan de acțiuni c</w:t>
      </w:r>
      <w:r w:rsidR="003D0871" w:rsidRPr="003E43D6">
        <w:rPr>
          <w:rFonts w:ascii="Arial Narrow" w:hAnsi="Arial Narrow"/>
          <w:sz w:val="22"/>
          <w:szCs w:val="22"/>
          <w:lang w:val="ro-RO"/>
        </w:rPr>
        <w:t>onține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 o parte din acțiuni cuprinse în cel precedent necesare pentru implementarea în continuare a Strategiei</w:t>
      </w:r>
      <w:r w:rsidR="0047063E" w:rsidRPr="003E43D6">
        <w:rPr>
          <w:rFonts w:ascii="Arial Narrow" w:hAnsi="Arial Narrow"/>
          <w:sz w:val="22"/>
          <w:szCs w:val="22"/>
          <w:lang w:val="ro-RO"/>
        </w:rPr>
        <w:t>,</w:t>
      </w:r>
      <w:r w:rsidR="00F47020" w:rsidRPr="003E43D6">
        <w:rPr>
          <w:rFonts w:ascii="Arial Narrow" w:hAnsi="Arial Narrow"/>
          <w:sz w:val="22"/>
          <w:szCs w:val="22"/>
          <w:lang w:val="ro-RO"/>
        </w:rPr>
        <w:t xml:space="preserve"> </w:t>
      </w:r>
      <w:r w:rsidR="003D0871" w:rsidRPr="003E43D6">
        <w:rPr>
          <w:rFonts w:ascii="Arial Narrow" w:hAnsi="Arial Narrow"/>
          <w:sz w:val="22"/>
          <w:szCs w:val="22"/>
          <w:lang w:val="ro-RO"/>
        </w:rPr>
        <w:t xml:space="preserve">precum </w:t>
      </w:r>
      <w:r w:rsidR="00F47020" w:rsidRPr="003E43D6">
        <w:rPr>
          <w:rFonts w:ascii="Arial Narrow" w:hAnsi="Arial Narrow"/>
          <w:sz w:val="22"/>
          <w:szCs w:val="22"/>
          <w:lang w:val="ro-RO"/>
        </w:rPr>
        <w:t>și altele noi ce determină necesitățile actuale și viitoare în scopul asigurării supravegherii pieței și a protecției drepturilor consumatorilor, intereselor economice ale acestora, și protecția împotriva produselor defectuoase.</w:t>
      </w:r>
    </w:p>
    <w:p w:rsidR="00F47020" w:rsidRPr="003E43D6" w:rsidRDefault="0080044E" w:rsidP="00F47020">
      <w:pPr>
        <w:pStyle w:val="NormalWeb"/>
        <w:spacing w:line="360" w:lineRule="auto"/>
        <w:ind w:firstLine="709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 xml:space="preserve">La baza elaborării </w:t>
      </w:r>
      <w:r w:rsidR="00F47020" w:rsidRPr="003E43D6">
        <w:rPr>
          <w:rFonts w:ascii="Arial Narrow" w:hAnsi="Arial Narrow"/>
          <w:sz w:val="22"/>
          <w:szCs w:val="22"/>
          <w:lang w:val="ro-RO"/>
        </w:rPr>
        <w:t>Planul</w:t>
      </w:r>
      <w:r w:rsidRPr="003E43D6">
        <w:rPr>
          <w:rFonts w:ascii="Arial Narrow" w:hAnsi="Arial Narrow"/>
          <w:sz w:val="22"/>
          <w:szCs w:val="22"/>
          <w:lang w:val="ro-RO"/>
        </w:rPr>
        <w:t>ui</w:t>
      </w:r>
      <w:r w:rsidR="00F47020" w:rsidRPr="003E43D6">
        <w:rPr>
          <w:rFonts w:ascii="Arial Narrow" w:hAnsi="Arial Narrow"/>
          <w:sz w:val="22"/>
          <w:szCs w:val="22"/>
          <w:lang w:val="ro-RO"/>
        </w:rPr>
        <w:t xml:space="preserve"> de acțiuni pentru perioada următoare </w:t>
      </w:r>
      <w:r w:rsidRPr="003E43D6">
        <w:rPr>
          <w:rFonts w:ascii="Arial Narrow" w:hAnsi="Arial Narrow"/>
          <w:sz w:val="22"/>
          <w:szCs w:val="22"/>
          <w:lang w:val="ro-RO"/>
        </w:rPr>
        <w:t>stau cele 4 obiective majore instituite de Strategie:</w:t>
      </w:r>
    </w:p>
    <w:p w:rsidR="0080044E" w:rsidRPr="003E43D6" w:rsidRDefault="0080044E" w:rsidP="0080044E">
      <w:pPr>
        <w:pStyle w:val="NormalWeb"/>
        <w:spacing w:line="360" w:lineRule="auto"/>
        <w:ind w:firstLine="706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1. Scăderea riscului de apariţie a produselor şi serviciilor periculoase pe piaţă</w:t>
      </w:r>
      <w:r w:rsidR="0047063E" w:rsidRPr="003E43D6">
        <w:rPr>
          <w:rFonts w:ascii="Arial Narrow" w:hAnsi="Arial Narrow"/>
          <w:sz w:val="22"/>
          <w:szCs w:val="22"/>
          <w:lang w:val="ro-RO"/>
        </w:rPr>
        <w:t>;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  </w:t>
      </w:r>
    </w:p>
    <w:p w:rsidR="0080044E" w:rsidRPr="003E43D6" w:rsidRDefault="0080044E" w:rsidP="0080044E">
      <w:pPr>
        <w:pStyle w:val="NormalWeb"/>
        <w:spacing w:line="360" w:lineRule="auto"/>
        <w:ind w:firstLine="706"/>
        <w:rPr>
          <w:rFonts w:ascii="Arial Narrow" w:hAnsi="Arial Narrow"/>
          <w:iCs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2. S</w:t>
      </w:r>
      <w:r w:rsidRPr="003E43D6">
        <w:rPr>
          <w:rFonts w:ascii="Arial Narrow" w:hAnsi="Arial Narrow"/>
          <w:iCs/>
          <w:sz w:val="22"/>
          <w:szCs w:val="22"/>
          <w:lang w:val="ro-RO"/>
        </w:rPr>
        <w:t xml:space="preserve">căderea nivelului tranzacţiilor prejudiciabile pentru consumatori </w:t>
      </w:r>
      <w:r w:rsidR="0047063E" w:rsidRPr="003E43D6">
        <w:rPr>
          <w:rFonts w:ascii="Arial Narrow" w:hAnsi="Arial Narrow"/>
          <w:iCs/>
          <w:sz w:val="22"/>
          <w:szCs w:val="22"/>
          <w:lang w:val="ro-RO"/>
        </w:rPr>
        <w:t>;</w:t>
      </w:r>
    </w:p>
    <w:p w:rsidR="0080044E" w:rsidRPr="003E43D6" w:rsidRDefault="0080044E" w:rsidP="0080044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3. Creşterea capacităţii decizionale a consumatorului prin educarea şi informarea acestuia</w:t>
      </w:r>
      <w:r w:rsidR="0047063E" w:rsidRPr="003E43D6">
        <w:rPr>
          <w:rFonts w:ascii="Arial Narrow" w:hAnsi="Arial Narrow"/>
          <w:sz w:val="22"/>
          <w:szCs w:val="22"/>
          <w:lang w:val="ro-RO"/>
        </w:rPr>
        <w:t>;</w:t>
      </w:r>
    </w:p>
    <w:p w:rsidR="0080044E" w:rsidRPr="003E43D6" w:rsidRDefault="0080044E" w:rsidP="0080044E">
      <w:pPr>
        <w:pStyle w:val="NormalWeb"/>
        <w:spacing w:line="360" w:lineRule="auto"/>
        <w:ind w:firstLine="706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4. Eficentizarea procesului de revendicare a drepturilor şi de recuperare  a prejudiciilor</w:t>
      </w:r>
      <w:r w:rsidR="0047063E" w:rsidRPr="003E43D6">
        <w:rPr>
          <w:rFonts w:ascii="Arial Narrow" w:hAnsi="Arial Narrow"/>
          <w:sz w:val="22"/>
          <w:szCs w:val="22"/>
          <w:lang w:val="ro-RO"/>
        </w:rPr>
        <w:t>.</w:t>
      </w:r>
    </w:p>
    <w:p w:rsidR="00126B0A" w:rsidRPr="003E43D6" w:rsidRDefault="00126B0A" w:rsidP="00F47020">
      <w:pPr>
        <w:spacing w:line="360" w:lineRule="auto"/>
        <w:ind w:firstLine="706"/>
        <w:rPr>
          <w:rFonts w:ascii="Arial Narrow" w:hAnsi="Arial Narrow"/>
          <w:b/>
          <w:sz w:val="22"/>
          <w:szCs w:val="22"/>
          <w:u w:val="single"/>
          <w:lang w:val="ro-RO"/>
        </w:rPr>
      </w:pPr>
      <w:r w:rsidRPr="003E43D6">
        <w:rPr>
          <w:rFonts w:ascii="Arial Narrow" w:hAnsi="Arial Narrow"/>
          <w:b/>
          <w:sz w:val="22"/>
          <w:szCs w:val="22"/>
          <w:u w:val="single"/>
          <w:lang w:val="ro-RO"/>
        </w:rPr>
        <w:t>Fund</w:t>
      </w:r>
      <w:r w:rsidR="00F7322E" w:rsidRPr="003E43D6">
        <w:rPr>
          <w:rFonts w:ascii="Arial Narrow" w:hAnsi="Arial Narrow"/>
          <w:b/>
          <w:sz w:val="22"/>
          <w:szCs w:val="22"/>
          <w:u w:val="single"/>
          <w:lang w:val="ro-RO"/>
        </w:rPr>
        <w:t>amentarea economico-financiară</w:t>
      </w:r>
    </w:p>
    <w:p w:rsidR="00CF6836" w:rsidRPr="003E43D6" w:rsidRDefault="00BE7B3C" w:rsidP="00F47020">
      <w:pPr>
        <w:spacing w:line="360" w:lineRule="auto"/>
        <w:ind w:firstLine="706"/>
        <w:jc w:val="both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>În vederea executării Stategiei</w:t>
      </w:r>
      <w:r w:rsidR="0047063E" w:rsidRPr="003E43D6">
        <w:rPr>
          <w:rFonts w:ascii="Arial Narrow" w:hAnsi="Arial Narrow"/>
          <w:sz w:val="22"/>
          <w:szCs w:val="22"/>
          <w:lang w:val="ro-RO"/>
        </w:rPr>
        <w:t>,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 autoritățile </w:t>
      </w:r>
      <w:r w:rsidR="00F47020" w:rsidRPr="003E43D6">
        <w:rPr>
          <w:rFonts w:ascii="Arial Narrow" w:hAnsi="Arial Narrow"/>
          <w:sz w:val="22"/>
          <w:szCs w:val="22"/>
          <w:lang w:val="ro-RO"/>
        </w:rPr>
        <w:t xml:space="preserve">cu competențe în domeniu </w:t>
      </w:r>
      <w:r w:rsidRPr="003E43D6">
        <w:rPr>
          <w:rFonts w:ascii="Arial Narrow" w:hAnsi="Arial Narrow"/>
          <w:sz w:val="22"/>
          <w:szCs w:val="22"/>
          <w:lang w:val="ro-RO"/>
        </w:rPr>
        <w:t>și-au planificat un set de acțiuni a căror realizare în mare parte se va efectua în limitele bugetului aprobat, însă o serie de măsuri sînt finanțate din partea donatorilor extern</w:t>
      </w:r>
      <w:r w:rsidR="00F47020" w:rsidRPr="003E43D6">
        <w:rPr>
          <w:rFonts w:ascii="Arial Narrow" w:hAnsi="Arial Narrow"/>
          <w:sz w:val="22"/>
          <w:szCs w:val="22"/>
          <w:lang w:val="ro-RO"/>
        </w:rPr>
        <w:t>i</w:t>
      </w:r>
      <w:r w:rsidRPr="003E43D6">
        <w:rPr>
          <w:rFonts w:ascii="Arial Narrow" w:hAnsi="Arial Narrow"/>
          <w:sz w:val="22"/>
          <w:szCs w:val="22"/>
          <w:lang w:val="ro-RO"/>
        </w:rPr>
        <w:t xml:space="preserve"> în conformitate cu proiectele pentru care au fost stabilite.</w:t>
      </w:r>
    </w:p>
    <w:p w:rsidR="00F7322E" w:rsidRPr="003E43D6" w:rsidRDefault="00F7322E" w:rsidP="00F47020">
      <w:pPr>
        <w:spacing w:line="360" w:lineRule="auto"/>
        <w:ind w:firstLine="706"/>
        <w:rPr>
          <w:rFonts w:ascii="Arial Narrow" w:hAnsi="Arial Narrow"/>
          <w:b/>
          <w:sz w:val="22"/>
          <w:szCs w:val="22"/>
          <w:u w:val="single"/>
          <w:lang w:val="ro-RO"/>
        </w:rPr>
      </w:pPr>
      <w:r w:rsidRPr="003E43D6">
        <w:rPr>
          <w:rFonts w:ascii="Arial Narrow" w:hAnsi="Arial Narrow"/>
          <w:b/>
          <w:sz w:val="22"/>
          <w:szCs w:val="22"/>
          <w:u w:val="single"/>
          <w:lang w:val="ro-RO"/>
        </w:rPr>
        <w:t>Avizarea și consultarea proiectului</w:t>
      </w:r>
    </w:p>
    <w:p w:rsidR="00F7322E" w:rsidRPr="003E43D6" w:rsidRDefault="00F7322E" w:rsidP="00F47020">
      <w:pPr>
        <w:spacing w:line="360" w:lineRule="auto"/>
        <w:ind w:firstLine="706"/>
        <w:jc w:val="both"/>
        <w:rPr>
          <w:rFonts w:ascii="Arial Narrow" w:hAnsi="Arial Narrow"/>
          <w:sz w:val="22"/>
          <w:szCs w:val="22"/>
          <w:lang w:val="ro-RO"/>
        </w:rPr>
      </w:pPr>
      <w:r w:rsidRPr="003E43D6">
        <w:rPr>
          <w:rFonts w:ascii="Arial Narrow" w:hAnsi="Arial Narrow"/>
          <w:sz w:val="22"/>
          <w:szCs w:val="22"/>
          <w:lang w:val="ro-RO"/>
        </w:rPr>
        <w:t xml:space="preserve">În scopul respectării prevederilor Legii nr.239 din 13 noiembrie 2008 privind transparenţa în procesul decizional, proiectul va putea fi accesat pe pagina web oficială a Ministerului Economiei (compartimentul „Transparenţa”, directoriul „Consultări publice/Anunţuri de proiecte şi consultări publice”) şi pe portalul guvernamental </w:t>
      </w:r>
      <w:r w:rsidRPr="003E43D6">
        <w:rPr>
          <w:rFonts w:ascii="Arial Narrow" w:hAnsi="Arial Narrow"/>
          <w:sz w:val="22"/>
          <w:szCs w:val="22"/>
          <w:u w:val="single"/>
          <w:lang w:val="ro-RO"/>
        </w:rPr>
        <w:t>particip.gov.md.</w:t>
      </w:r>
    </w:p>
    <w:p w:rsidR="00391983" w:rsidRPr="003E43D6" w:rsidRDefault="00391983" w:rsidP="00391983">
      <w:pPr>
        <w:rPr>
          <w:b/>
          <w:sz w:val="28"/>
          <w:szCs w:val="28"/>
          <w:lang w:val="ro-RO"/>
        </w:rPr>
      </w:pPr>
    </w:p>
    <w:p w:rsidR="00391983" w:rsidRPr="003E43D6" w:rsidRDefault="00391983" w:rsidP="00391983">
      <w:pPr>
        <w:rPr>
          <w:b/>
          <w:sz w:val="28"/>
          <w:szCs w:val="28"/>
          <w:lang w:val="ro-RO"/>
        </w:rPr>
      </w:pPr>
    </w:p>
    <w:p w:rsidR="00391983" w:rsidRPr="003E43D6" w:rsidRDefault="00391983" w:rsidP="00391983">
      <w:pPr>
        <w:rPr>
          <w:b/>
          <w:sz w:val="28"/>
          <w:szCs w:val="28"/>
          <w:lang w:val="ro-RO"/>
        </w:rPr>
      </w:pPr>
    </w:p>
    <w:p w:rsidR="00391983" w:rsidRPr="003E43D6" w:rsidRDefault="00391983" w:rsidP="00391983">
      <w:pPr>
        <w:rPr>
          <w:b/>
          <w:sz w:val="28"/>
          <w:szCs w:val="28"/>
          <w:lang w:val="ro-RO"/>
        </w:rPr>
      </w:pPr>
      <w:r w:rsidRPr="003E43D6">
        <w:rPr>
          <w:b/>
          <w:sz w:val="28"/>
          <w:szCs w:val="28"/>
          <w:lang w:val="ro-RO"/>
        </w:rPr>
        <w:t>Viceprim - ministru,                                                Octavian CALMÎC</w:t>
      </w:r>
    </w:p>
    <w:p w:rsidR="00FC1C0A" w:rsidRPr="003E43D6" w:rsidRDefault="00391983" w:rsidP="00391983">
      <w:pPr>
        <w:rPr>
          <w:b/>
          <w:sz w:val="25"/>
          <w:szCs w:val="25"/>
          <w:lang w:val="ro-RO" w:eastAsia="en-GB"/>
        </w:rPr>
      </w:pPr>
      <w:r w:rsidRPr="003E43D6">
        <w:rPr>
          <w:b/>
          <w:sz w:val="28"/>
          <w:szCs w:val="28"/>
          <w:lang w:val="ro-RO"/>
        </w:rPr>
        <w:t>ministru</w:t>
      </w:r>
      <w:r w:rsidR="00487817" w:rsidRPr="003E43D6">
        <w:rPr>
          <w:b/>
          <w:sz w:val="25"/>
          <w:szCs w:val="25"/>
          <w:lang w:val="ro-RO" w:eastAsia="en-GB"/>
        </w:rPr>
        <w:t xml:space="preserve">   </w:t>
      </w:r>
    </w:p>
    <w:sectPr w:rsidR="00FC1C0A" w:rsidRPr="003E43D6" w:rsidSect="003D7366">
      <w:pgSz w:w="11906" w:h="16838"/>
      <w:pgMar w:top="1008" w:right="850" w:bottom="100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0E67453"/>
    <w:multiLevelType w:val="hybridMultilevel"/>
    <w:tmpl w:val="D7B84EE4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20B0340D"/>
    <w:multiLevelType w:val="hybridMultilevel"/>
    <w:tmpl w:val="295042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78E8"/>
    <w:multiLevelType w:val="hybridMultilevel"/>
    <w:tmpl w:val="4516B82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F53BD"/>
    <w:multiLevelType w:val="hybridMultilevel"/>
    <w:tmpl w:val="48B24C90"/>
    <w:lvl w:ilvl="0" w:tplc="5880B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3055"/>
    <w:multiLevelType w:val="hybridMultilevel"/>
    <w:tmpl w:val="D6D2D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6D24"/>
    <w:multiLevelType w:val="hybridMultilevel"/>
    <w:tmpl w:val="ECD67364"/>
    <w:lvl w:ilvl="0" w:tplc="B50C2D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6C72CB"/>
    <w:multiLevelType w:val="hybridMultilevel"/>
    <w:tmpl w:val="162AB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3303"/>
    <w:multiLevelType w:val="hybridMultilevel"/>
    <w:tmpl w:val="539AA3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2525B"/>
    <w:multiLevelType w:val="hybridMultilevel"/>
    <w:tmpl w:val="86FE45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A4FD8"/>
    <w:multiLevelType w:val="hybridMultilevel"/>
    <w:tmpl w:val="8DA68ACC"/>
    <w:lvl w:ilvl="0" w:tplc="316AF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CB2A94"/>
    <w:multiLevelType w:val="hybridMultilevel"/>
    <w:tmpl w:val="A1BAFB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54FE0"/>
    <w:multiLevelType w:val="hybridMultilevel"/>
    <w:tmpl w:val="5E5E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6FA"/>
    <w:multiLevelType w:val="hybridMultilevel"/>
    <w:tmpl w:val="8DAC9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77"/>
    <w:rsid w:val="00006ABB"/>
    <w:rsid w:val="00014BCC"/>
    <w:rsid w:val="00034DE5"/>
    <w:rsid w:val="0003570C"/>
    <w:rsid w:val="00044183"/>
    <w:rsid w:val="0005195A"/>
    <w:rsid w:val="0005294B"/>
    <w:rsid w:val="00061623"/>
    <w:rsid w:val="000626CD"/>
    <w:rsid w:val="0007065B"/>
    <w:rsid w:val="00077674"/>
    <w:rsid w:val="000A3E60"/>
    <w:rsid w:val="000B48B1"/>
    <w:rsid w:val="000E081F"/>
    <w:rsid w:val="000E1B36"/>
    <w:rsid w:val="000E259C"/>
    <w:rsid w:val="000E6A33"/>
    <w:rsid w:val="000F39D2"/>
    <w:rsid w:val="00102B17"/>
    <w:rsid w:val="00104D20"/>
    <w:rsid w:val="00126B0A"/>
    <w:rsid w:val="00127509"/>
    <w:rsid w:val="00135B1E"/>
    <w:rsid w:val="0014075C"/>
    <w:rsid w:val="001511B9"/>
    <w:rsid w:val="00153A2B"/>
    <w:rsid w:val="00184546"/>
    <w:rsid w:val="001A66E8"/>
    <w:rsid w:val="001B26CF"/>
    <w:rsid w:val="001B4D77"/>
    <w:rsid w:val="001E117B"/>
    <w:rsid w:val="001E60E0"/>
    <w:rsid w:val="001E6A4B"/>
    <w:rsid w:val="001F14E3"/>
    <w:rsid w:val="001F34E0"/>
    <w:rsid w:val="00201096"/>
    <w:rsid w:val="002061B6"/>
    <w:rsid w:val="00216E17"/>
    <w:rsid w:val="002406A6"/>
    <w:rsid w:val="00244FBA"/>
    <w:rsid w:val="00254DF0"/>
    <w:rsid w:val="002553DC"/>
    <w:rsid w:val="00260918"/>
    <w:rsid w:val="00263427"/>
    <w:rsid w:val="002714E7"/>
    <w:rsid w:val="0028604E"/>
    <w:rsid w:val="00290844"/>
    <w:rsid w:val="002A6951"/>
    <w:rsid w:val="002A6CA0"/>
    <w:rsid w:val="002B1D5D"/>
    <w:rsid w:val="002C0AA5"/>
    <w:rsid w:val="002D300B"/>
    <w:rsid w:val="00301142"/>
    <w:rsid w:val="00311FAC"/>
    <w:rsid w:val="0031771A"/>
    <w:rsid w:val="003316E8"/>
    <w:rsid w:val="00333C9D"/>
    <w:rsid w:val="003461DC"/>
    <w:rsid w:val="00346F68"/>
    <w:rsid w:val="00350E4C"/>
    <w:rsid w:val="003534B7"/>
    <w:rsid w:val="003623E1"/>
    <w:rsid w:val="00367092"/>
    <w:rsid w:val="0037406D"/>
    <w:rsid w:val="003808B5"/>
    <w:rsid w:val="00385AEE"/>
    <w:rsid w:val="003875F0"/>
    <w:rsid w:val="00391983"/>
    <w:rsid w:val="003A49D7"/>
    <w:rsid w:val="003B226D"/>
    <w:rsid w:val="003B653F"/>
    <w:rsid w:val="003C7FBB"/>
    <w:rsid w:val="003D0871"/>
    <w:rsid w:val="003D7366"/>
    <w:rsid w:val="003E43D6"/>
    <w:rsid w:val="003F3FFC"/>
    <w:rsid w:val="003F5F54"/>
    <w:rsid w:val="00424C2C"/>
    <w:rsid w:val="00430721"/>
    <w:rsid w:val="00436994"/>
    <w:rsid w:val="00440007"/>
    <w:rsid w:val="00442245"/>
    <w:rsid w:val="004422FC"/>
    <w:rsid w:val="00456A5D"/>
    <w:rsid w:val="00456A69"/>
    <w:rsid w:val="0047063E"/>
    <w:rsid w:val="00487817"/>
    <w:rsid w:val="00490DBA"/>
    <w:rsid w:val="004934B2"/>
    <w:rsid w:val="004B36A2"/>
    <w:rsid w:val="004B42D4"/>
    <w:rsid w:val="004C48DB"/>
    <w:rsid w:val="004E4205"/>
    <w:rsid w:val="004F0B64"/>
    <w:rsid w:val="00500F12"/>
    <w:rsid w:val="00506D39"/>
    <w:rsid w:val="0052179C"/>
    <w:rsid w:val="005408A0"/>
    <w:rsid w:val="005420FD"/>
    <w:rsid w:val="00544F97"/>
    <w:rsid w:val="00550C57"/>
    <w:rsid w:val="00554758"/>
    <w:rsid w:val="00560282"/>
    <w:rsid w:val="005C7F6F"/>
    <w:rsid w:val="005D0E04"/>
    <w:rsid w:val="005D40FC"/>
    <w:rsid w:val="005D6AFE"/>
    <w:rsid w:val="005E2C9C"/>
    <w:rsid w:val="005E7C0F"/>
    <w:rsid w:val="00616844"/>
    <w:rsid w:val="00627414"/>
    <w:rsid w:val="00633A49"/>
    <w:rsid w:val="006514DE"/>
    <w:rsid w:val="006514FB"/>
    <w:rsid w:val="00662DCD"/>
    <w:rsid w:val="00664644"/>
    <w:rsid w:val="00670665"/>
    <w:rsid w:val="00677F2B"/>
    <w:rsid w:val="006A0868"/>
    <w:rsid w:val="006A16F0"/>
    <w:rsid w:val="006A1A9B"/>
    <w:rsid w:val="006A5B80"/>
    <w:rsid w:val="006B0F21"/>
    <w:rsid w:val="007014B3"/>
    <w:rsid w:val="00701F72"/>
    <w:rsid w:val="00702890"/>
    <w:rsid w:val="00727791"/>
    <w:rsid w:val="0074451E"/>
    <w:rsid w:val="0074554A"/>
    <w:rsid w:val="007619FB"/>
    <w:rsid w:val="0076386D"/>
    <w:rsid w:val="00765A1E"/>
    <w:rsid w:val="007A720E"/>
    <w:rsid w:val="007B4BDB"/>
    <w:rsid w:val="007C22F6"/>
    <w:rsid w:val="007C32D2"/>
    <w:rsid w:val="007E4651"/>
    <w:rsid w:val="007E7D32"/>
    <w:rsid w:val="0080044E"/>
    <w:rsid w:val="00826DAF"/>
    <w:rsid w:val="00833948"/>
    <w:rsid w:val="00835547"/>
    <w:rsid w:val="00846220"/>
    <w:rsid w:val="00851FEF"/>
    <w:rsid w:val="00860208"/>
    <w:rsid w:val="008805E8"/>
    <w:rsid w:val="00882764"/>
    <w:rsid w:val="00893FD8"/>
    <w:rsid w:val="008973D4"/>
    <w:rsid w:val="008A0CB3"/>
    <w:rsid w:val="008A2917"/>
    <w:rsid w:val="008B0159"/>
    <w:rsid w:val="008C0A25"/>
    <w:rsid w:val="008C5BCF"/>
    <w:rsid w:val="008E3228"/>
    <w:rsid w:val="008E60FE"/>
    <w:rsid w:val="00906152"/>
    <w:rsid w:val="00912EC0"/>
    <w:rsid w:val="00915C1B"/>
    <w:rsid w:val="00916494"/>
    <w:rsid w:val="0091650D"/>
    <w:rsid w:val="00932964"/>
    <w:rsid w:val="00937250"/>
    <w:rsid w:val="009400AB"/>
    <w:rsid w:val="00980370"/>
    <w:rsid w:val="00982E78"/>
    <w:rsid w:val="0098420E"/>
    <w:rsid w:val="00993E41"/>
    <w:rsid w:val="009A2E0D"/>
    <w:rsid w:val="009B27E8"/>
    <w:rsid w:val="009C6802"/>
    <w:rsid w:val="009D5ECC"/>
    <w:rsid w:val="009E1D7D"/>
    <w:rsid w:val="009E64E9"/>
    <w:rsid w:val="009F1895"/>
    <w:rsid w:val="009F1BD0"/>
    <w:rsid w:val="009F4223"/>
    <w:rsid w:val="00A14C86"/>
    <w:rsid w:val="00A208BD"/>
    <w:rsid w:val="00A21B02"/>
    <w:rsid w:val="00A35A22"/>
    <w:rsid w:val="00A36DB0"/>
    <w:rsid w:val="00A3790A"/>
    <w:rsid w:val="00A37C77"/>
    <w:rsid w:val="00A55F12"/>
    <w:rsid w:val="00A63668"/>
    <w:rsid w:val="00A63670"/>
    <w:rsid w:val="00A65AD8"/>
    <w:rsid w:val="00A742DF"/>
    <w:rsid w:val="00A77F82"/>
    <w:rsid w:val="00A816FE"/>
    <w:rsid w:val="00A826CF"/>
    <w:rsid w:val="00A878BF"/>
    <w:rsid w:val="00A93610"/>
    <w:rsid w:val="00AA409E"/>
    <w:rsid w:val="00AB3666"/>
    <w:rsid w:val="00AC7197"/>
    <w:rsid w:val="00AD370B"/>
    <w:rsid w:val="00AF0FC1"/>
    <w:rsid w:val="00AF222E"/>
    <w:rsid w:val="00AF40DF"/>
    <w:rsid w:val="00B00E6C"/>
    <w:rsid w:val="00B050EC"/>
    <w:rsid w:val="00B1123E"/>
    <w:rsid w:val="00B1237F"/>
    <w:rsid w:val="00B215AA"/>
    <w:rsid w:val="00B235D4"/>
    <w:rsid w:val="00B37D5B"/>
    <w:rsid w:val="00B54352"/>
    <w:rsid w:val="00BB3CB6"/>
    <w:rsid w:val="00BB4FDB"/>
    <w:rsid w:val="00BB70CF"/>
    <w:rsid w:val="00BC7D76"/>
    <w:rsid w:val="00BD5556"/>
    <w:rsid w:val="00BE28D4"/>
    <w:rsid w:val="00BE7B3C"/>
    <w:rsid w:val="00BF554A"/>
    <w:rsid w:val="00BF7FB7"/>
    <w:rsid w:val="00C04EB4"/>
    <w:rsid w:val="00C06E6A"/>
    <w:rsid w:val="00C0729F"/>
    <w:rsid w:val="00C14DDC"/>
    <w:rsid w:val="00C16134"/>
    <w:rsid w:val="00C17746"/>
    <w:rsid w:val="00C21699"/>
    <w:rsid w:val="00C26DEB"/>
    <w:rsid w:val="00C32219"/>
    <w:rsid w:val="00C43B05"/>
    <w:rsid w:val="00C47953"/>
    <w:rsid w:val="00C50641"/>
    <w:rsid w:val="00C76215"/>
    <w:rsid w:val="00C80D25"/>
    <w:rsid w:val="00C85849"/>
    <w:rsid w:val="00C86D31"/>
    <w:rsid w:val="00C87FEA"/>
    <w:rsid w:val="00C979AE"/>
    <w:rsid w:val="00CB250B"/>
    <w:rsid w:val="00CC5E40"/>
    <w:rsid w:val="00CE4F16"/>
    <w:rsid w:val="00CF6836"/>
    <w:rsid w:val="00D04337"/>
    <w:rsid w:val="00D05DB6"/>
    <w:rsid w:val="00D56799"/>
    <w:rsid w:val="00D616A3"/>
    <w:rsid w:val="00D646E9"/>
    <w:rsid w:val="00D64EB8"/>
    <w:rsid w:val="00D71BDC"/>
    <w:rsid w:val="00D74EC0"/>
    <w:rsid w:val="00D770AF"/>
    <w:rsid w:val="00D80221"/>
    <w:rsid w:val="00D952AB"/>
    <w:rsid w:val="00DC3048"/>
    <w:rsid w:val="00DD2061"/>
    <w:rsid w:val="00DD777F"/>
    <w:rsid w:val="00DE50EA"/>
    <w:rsid w:val="00DF53B1"/>
    <w:rsid w:val="00E0402E"/>
    <w:rsid w:val="00E04609"/>
    <w:rsid w:val="00E05D9A"/>
    <w:rsid w:val="00E15BBF"/>
    <w:rsid w:val="00E2183D"/>
    <w:rsid w:val="00E26052"/>
    <w:rsid w:val="00E27A03"/>
    <w:rsid w:val="00E41D05"/>
    <w:rsid w:val="00E43071"/>
    <w:rsid w:val="00E44EAF"/>
    <w:rsid w:val="00E506F7"/>
    <w:rsid w:val="00E5399F"/>
    <w:rsid w:val="00E5655E"/>
    <w:rsid w:val="00E60430"/>
    <w:rsid w:val="00E72CDD"/>
    <w:rsid w:val="00E76CD7"/>
    <w:rsid w:val="00E81E92"/>
    <w:rsid w:val="00E85CA2"/>
    <w:rsid w:val="00EA13B3"/>
    <w:rsid w:val="00EA51FB"/>
    <w:rsid w:val="00EA7333"/>
    <w:rsid w:val="00EB369E"/>
    <w:rsid w:val="00EC1ED3"/>
    <w:rsid w:val="00EC2A4D"/>
    <w:rsid w:val="00EC3D69"/>
    <w:rsid w:val="00EC4F23"/>
    <w:rsid w:val="00EC6011"/>
    <w:rsid w:val="00EF44BF"/>
    <w:rsid w:val="00EF6E7F"/>
    <w:rsid w:val="00F015E7"/>
    <w:rsid w:val="00F0254C"/>
    <w:rsid w:val="00F13285"/>
    <w:rsid w:val="00F22EA9"/>
    <w:rsid w:val="00F2702D"/>
    <w:rsid w:val="00F36643"/>
    <w:rsid w:val="00F36AB4"/>
    <w:rsid w:val="00F37F75"/>
    <w:rsid w:val="00F436A9"/>
    <w:rsid w:val="00F436B8"/>
    <w:rsid w:val="00F47020"/>
    <w:rsid w:val="00F478B9"/>
    <w:rsid w:val="00F505D1"/>
    <w:rsid w:val="00F7322E"/>
    <w:rsid w:val="00F77961"/>
    <w:rsid w:val="00F80C60"/>
    <w:rsid w:val="00F954C5"/>
    <w:rsid w:val="00FB604F"/>
    <w:rsid w:val="00FB7886"/>
    <w:rsid w:val="00FC1C0A"/>
    <w:rsid w:val="00FC7119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3ECE0-1404-4660-9A2B-F67CF880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nhideWhenUsed/>
    <w:rsid w:val="00A63670"/>
    <w:pPr>
      <w:ind w:firstLine="567"/>
      <w:jc w:val="both"/>
    </w:pPr>
    <w:rPr>
      <w:rFonts w:eastAsiaTheme="minorEastAsia"/>
    </w:rPr>
  </w:style>
  <w:style w:type="character" w:customStyle="1" w:styleId="NormalWebChar">
    <w:name w:val="Normal (Web) Char"/>
    <w:aliases w:val="Знак Char, Знак Char"/>
    <w:link w:val="NormalWeb"/>
    <w:locked/>
    <w:rsid w:val="00A63670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76386D"/>
    <w:pPr>
      <w:jc w:val="center"/>
    </w:pPr>
    <w:rPr>
      <w:b/>
      <w:bCs/>
      <w:lang w:val="en-GB" w:eastAsia="en-GB"/>
    </w:rPr>
  </w:style>
  <w:style w:type="paragraph" w:customStyle="1" w:styleId="cn">
    <w:name w:val="cn"/>
    <w:basedOn w:val="Normal"/>
    <w:rsid w:val="0076386D"/>
    <w:pPr>
      <w:jc w:val="center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01096"/>
    <w:rPr>
      <w:color w:val="0000FF"/>
      <w:u w:val="single"/>
    </w:rPr>
  </w:style>
  <w:style w:type="paragraph" w:customStyle="1" w:styleId="cp">
    <w:name w:val="cp"/>
    <w:basedOn w:val="Normal"/>
    <w:rsid w:val="001B26CF"/>
    <w:pPr>
      <w:jc w:val="center"/>
    </w:pPr>
    <w:rPr>
      <w:b/>
      <w:bCs/>
      <w:lang w:val="en-GB" w:eastAsia="en-GB"/>
    </w:rPr>
  </w:style>
  <w:style w:type="paragraph" w:customStyle="1" w:styleId="cb">
    <w:name w:val="cb"/>
    <w:basedOn w:val="Normal"/>
    <w:rsid w:val="001B26CF"/>
    <w:pPr>
      <w:jc w:val="center"/>
    </w:pPr>
    <w:rPr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1E6A4B"/>
    <w:pPr>
      <w:ind w:left="720"/>
      <w:contextualSpacing/>
    </w:pPr>
  </w:style>
  <w:style w:type="paragraph" w:customStyle="1" w:styleId="rg">
    <w:name w:val="rg"/>
    <w:basedOn w:val="Normal"/>
    <w:rsid w:val="001E6A4B"/>
    <w:pPr>
      <w:jc w:val="right"/>
    </w:pPr>
    <w:rPr>
      <w:lang w:val="en-GB" w:eastAsia="en-GB"/>
    </w:rPr>
  </w:style>
  <w:style w:type="paragraph" w:customStyle="1" w:styleId="CaracterCaracter">
    <w:name w:val="Caracter Caracter Знак"/>
    <w:basedOn w:val="Normal"/>
    <w:rsid w:val="0018454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md">
    <w:name w:val="md"/>
    <w:basedOn w:val="Normal"/>
    <w:rsid w:val="00014BCC"/>
    <w:pPr>
      <w:ind w:firstLine="567"/>
      <w:jc w:val="both"/>
    </w:pPr>
    <w:rPr>
      <w:i/>
      <w:iCs/>
      <w:color w:val="66330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A0868"/>
  </w:style>
  <w:style w:type="character" w:customStyle="1" w:styleId="docheader">
    <w:name w:val="doc_header"/>
    <w:basedOn w:val="DefaultParagraphFont"/>
    <w:rsid w:val="006A0868"/>
  </w:style>
  <w:style w:type="paragraph" w:styleId="BalloonText">
    <w:name w:val="Balloon Text"/>
    <w:basedOn w:val="Normal"/>
    <w:link w:val="BalloonTextChar"/>
    <w:uiPriority w:val="99"/>
    <w:semiHidden/>
    <w:unhideWhenUsed/>
    <w:rsid w:val="00EF4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B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x1">
    <w:name w:val="ax1"/>
    <w:rsid w:val="002B1D5D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544F97"/>
    <w:rPr>
      <w:b/>
      <w:bCs/>
    </w:rPr>
  </w:style>
  <w:style w:type="character" w:styleId="Emphasis">
    <w:name w:val="Emphasis"/>
    <w:basedOn w:val="DefaultParagraphFont"/>
    <w:uiPriority w:val="20"/>
    <w:qFormat/>
    <w:rsid w:val="00077674"/>
    <w:rPr>
      <w:i/>
      <w:iCs/>
    </w:rPr>
  </w:style>
  <w:style w:type="character" w:customStyle="1" w:styleId="a">
    <w:name w:val="Основной текст_"/>
    <w:basedOn w:val="DefaultParagraphFont"/>
    <w:link w:val="1"/>
    <w:uiPriority w:val="99"/>
    <w:rsid w:val="005C7F6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C7F6F"/>
    <w:pPr>
      <w:shd w:val="clear" w:color="auto" w:fill="FFFFFF"/>
      <w:spacing w:line="276" w:lineRule="exact"/>
      <w:jc w:val="both"/>
    </w:pPr>
    <w:rPr>
      <w:rFonts w:eastAsiaTheme="minorHAnsi"/>
      <w:sz w:val="23"/>
      <w:szCs w:val="23"/>
      <w:lang w:val="en-GB" w:eastAsia="en-US"/>
    </w:rPr>
  </w:style>
  <w:style w:type="character" w:customStyle="1" w:styleId="3SimHei">
    <w:name w:val="Основной текст (3) + SimHei"/>
    <w:basedOn w:val="DefaultParagraphFont"/>
    <w:uiPriority w:val="99"/>
    <w:rsid w:val="008C0A25"/>
    <w:rPr>
      <w:rFonts w:ascii="SimHei" w:eastAsia="SimHei" w:cs="SimHei"/>
      <w:spacing w:val="0"/>
      <w:sz w:val="22"/>
      <w:szCs w:val="22"/>
      <w:lang w:val="fr-FR" w:eastAsia="fr-FR"/>
    </w:rPr>
  </w:style>
  <w:style w:type="character" w:customStyle="1" w:styleId="12">
    <w:name w:val="Основной текст (12)_"/>
    <w:basedOn w:val="DefaultParagraphFont"/>
    <w:link w:val="120"/>
    <w:uiPriority w:val="99"/>
    <w:rsid w:val="008C0A25"/>
    <w:rPr>
      <w:rFonts w:ascii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Normal"/>
    <w:link w:val="12"/>
    <w:uiPriority w:val="99"/>
    <w:rsid w:val="008C0A25"/>
    <w:pPr>
      <w:shd w:val="clear" w:color="auto" w:fill="FFFFFF"/>
      <w:spacing w:line="317" w:lineRule="exact"/>
    </w:pPr>
    <w:rPr>
      <w:rFonts w:eastAsiaTheme="minorHAnsi"/>
      <w:sz w:val="22"/>
      <w:szCs w:val="22"/>
      <w:lang w:val="en-GB" w:eastAsia="en-US"/>
    </w:rPr>
  </w:style>
  <w:style w:type="character" w:customStyle="1" w:styleId="711pt">
    <w:name w:val="Основной текст (7) + 11 pt"/>
    <w:basedOn w:val="DefaultParagraphFont"/>
    <w:uiPriority w:val="99"/>
    <w:rsid w:val="008C0A25"/>
    <w:rPr>
      <w:rFonts w:ascii="Times New Roman" w:hAnsi="Times New Roman" w:cs="Times New Roman"/>
      <w:spacing w:val="0"/>
      <w:sz w:val="22"/>
      <w:szCs w:val="22"/>
      <w:lang w:val="fr-FR" w:eastAsia="fr-FR"/>
    </w:rPr>
  </w:style>
  <w:style w:type="character" w:customStyle="1" w:styleId="8115pt">
    <w:name w:val="Основной текст (8) + 11.5 pt"/>
    <w:aliases w:val="Не полужирный1"/>
    <w:basedOn w:val="DefaultParagraphFont"/>
    <w:uiPriority w:val="99"/>
    <w:rsid w:val="008C0A25"/>
    <w:rPr>
      <w:rFonts w:ascii="Times New Roman" w:hAnsi="Times New Roman" w:cs="Times New Roman"/>
      <w:spacing w:val="0"/>
      <w:sz w:val="23"/>
      <w:szCs w:val="23"/>
      <w:lang w:val="fr-FR" w:eastAsia="fr-FR"/>
    </w:rPr>
  </w:style>
  <w:style w:type="character" w:customStyle="1" w:styleId="17">
    <w:name w:val="Основной текст (17)_"/>
    <w:basedOn w:val="DefaultParagraphFont"/>
    <w:link w:val="170"/>
    <w:uiPriority w:val="99"/>
    <w:rsid w:val="008C0A2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Normal"/>
    <w:link w:val="17"/>
    <w:uiPriority w:val="99"/>
    <w:rsid w:val="008C0A25"/>
    <w:pPr>
      <w:shd w:val="clear" w:color="auto" w:fill="FFFFFF"/>
      <w:spacing w:line="230" w:lineRule="exact"/>
      <w:jc w:val="center"/>
    </w:pPr>
    <w:rPr>
      <w:rFonts w:eastAsiaTheme="minorHAnsi"/>
      <w:sz w:val="18"/>
      <w:szCs w:val="18"/>
      <w:lang w:val="en-GB" w:eastAsia="en-US"/>
    </w:rPr>
  </w:style>
  <w:style w:type="paragraph" w:customStyle="1" w:styleId="Default">
    <w:name w:val="Default"/>
    <w:rsid w:val="008C0A2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ru-RU"/>
    </w:rPr>
  </w:style>
  <w:style w:type="paragraph" w:customStyle="1" w:styleId="doc-ti">
    <w:name w:val="doc-ti"/>
    <w:basedOn w:val="Normal"/>
    <w:rsid w:val="00633A49"/>
    <w:pPr>
      <w:spacing w:before="100" w:beforeAutospacing="1" w:after="100" w:afterAutospacing="1"/>
    </w:pPr>
  </w:style>
  <w:style w:type="character" w:customStyle="1" w:styleId="4">
    <w:name w:val="л–’”‰’”Ћ Њђ– (4)_"/>
    <w:basedOn w:val="DefaultParagraphFont"/>
    <w:link w:val="40"/>
    <w:uiPriority w:val="99"/>
    <w:rsid w:val="00EC4F2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л–’”‰’”Ћ Њђ– (4)"/>
    <w:basedOn w:val="Normal"/>
    <w:link w:val="4"/>
    <w:uiPriority w:val="99"/>
    <w:rsid w:val="00EC4F23"/>
    <w:pPr>
      <w:shd w:val="clear" w:color="auto" w:fill="FFFFFF"/>
      <w:spacing w:before="360" w:line="322" w:lineRule="exact"/>
      <w:jc w:val="both"/>
    </w:pPr>
    <w:rPr>
      <w:rFonts w:eastAsiaTheme="minorHAnsi"/>
      <w:sz w:val="27"/>
      <w:szCs w:val="27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303131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452C-97B7-4371-B041-1CC786E1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4561</Words>
  <Characters>25998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Operator</cp:lastModifiedBy>
  <cp:revision>8</cp:revision>
  <cp:lastPrinted>2017-01-03T08:03:00Z</cp:lastPrinted>
  <dcterms:created xsi:type="dcterms:W3CDTF">2017-01-19T07:55:00Z</dcterms:created>
  <dcterms:modified xsi:type="dcterms:W3CDTF">2017-01-24T10:30:00Z</dcterms:modified>
</cp:coreProperties>
</file>