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80" w:rsidRPr="00EF1E30" w:rsidRDefault="00DF23DF" w:rsidP="00713680">
      <w:pPr>
        <w:pStyle w:val="cb"/>
        <w:jc w:val="right"/>
        <w:rPr>
          <w:b w:val="0"/>
          <w:sz w:val="20"/>
          <w:szCs w:val="20"/>
          <w:lang w:val="ro-RO"/>
        </w:rPr>
      </w:pPr>
      <w:r w:rsidRPr="00D26E33">
        <w:rPr>
          <w:b w:val="0"/>
          <w:sz w:val="28"/>
          <w:szCs w:val="28"/>
          <w:lang w:val="ro-RO"/>
        </w:rPr>
        <w:t xml:space="preserve">   </w:t>
      </w:r>
      <w:r w:rsidR="00BF1BEB" w:rsidRPr="00D26E33">
        <w:rPr>
          <w:b w:val="0"/>
          <w:sz w:val="28"/>
          <w:szCs w:val="28"/>
          <w:lang w:val="ro-RO"/>
        </w:rPr>
        <w:t xml:space="preserve"> </w:t>
      </w:r>
      <w:r w:rsidR="00DF7C0A" w:rsidRPr="00D26E33">
        <w:rPr>
          <w:b w:val="0"/>
          <w:sz w:val="28"/>
          <w:szCs w:val="28"/>
          <w:lang w:val="ro-RO"/>
        </w:rPr>
        <w:t xml:space="preserve"> </w:t>
      </w:r>
      <w:r w:rsidR="006C1719" w:rsidRPr="00EF1E30">
        <w:rPr>
          <w:b w:val="0"/>
          <w:sz w:val="20"/>
          <w:szCs w:val="20"/>
          <w:lang w:val="ro-RO"/>
        </w:rPr>
        <w:t>Anexa nr.</w:t>
      </w:r>
      <w:r w:rsidR="004107C9" w:rsidRPr="00EF1E30">
        <w:rPr>
          <w:b w:val="0"/>
          <w:sz w:val="20"/>
          <w:szCs w:val="20"/>
          <w:lang w:val="ro-RO"/>
        </w:rPr>
        <w:t>7</w:t>
      </w:r>
    </w:p>
    <w:p w:rsidR="00713680" w:rsidRPr="00D26E33" w:rsidRDefault="0078348D" w:rsidP="0078348D">
      <w:pPr>
        <w:pStyle w:val="cb"/>
        <w:rPr>
          <w:sz w:val="28"/>
          <w:szCs w:val="28"/>
          <w:lang w:val="ro-RO"/>
        </w:rPr>
      </w:pPr>
      <w:r w:rsidRPr="00D26E33">
        <w:rPr>
          <w:sz w:val="28"/>
          <w:szCs w:val="28"/>
          <w:lang w:val="ro-RO"/>
        </w:rPr>
        <w:t xml:space="preserve">  </w:t>
      </w:r>
    </w:p>
    <w:p w:rsidR="0078348D" w:rsidRPr="00D26E33" w:rsidRDefault="0078348D" w:rsidP="0078348D">
      <w:pPr>
        <w:pStyle w:val="cb"/>
        <w:rPr>
          <w:sz w:val="28"/>
          <w:szCs w:val="28"/>
          <w:lang w:val="ro-RO"/>
        </w:rPr>
      </w:pPr>
      <w:r w:rsidRPr="00D26E33">
        <w:rPr>
          <w:sz w:val="28"/>
          <w:szCs w:val="28"/>
          <w:lang w:val="ro-RO"/>
        </w:rPr>
        <w:t>Determinarea cuan</w:t>
      </w:r>
      <w:r w:rsidR="00D6654B" w:rsidRPr="00D26E33">
        <w:rPr>
          <w:sz w:val="28"/>
          <w:szCs w:val="28"/>
          <w:lang w:val="ro-RO"/>
        </w:rPr>
        <w:t>tumului minim al chiriei</w:t>
      </w:r>
      <w:r w:rsidRPr="00D26E33">
        <w:rPr>
          <w:sz w:val="28"/>
          <w:szCs w:val="28"/>
          <w:lang w:val="ro-RO"/>
        </w:rPr>
        <w:t xml:space="preserve"> </w:t>
      </w:r>
    </w:p>
    <w:p w:rsidR="0078348D" w:rsidRPr="00D26E33" w:rsidRDefault="004B339C" w:rsidP="0078348D">
      <w:pPr>
        <w:pStyle w:val="cn"/>
        <w:rPr>
          <w:sz w:val="28"/>
          <w:szCs w:val="28"/>
          <w:lang w:val="ro-RO"/>
        </w:rPr>
      </w:pPr>
      <w:r w:rsidRPr="00D26E33">
        <w:rPr>
          <w:b/>
          <w:bCs/>
          <w:sz w:val="28"/>
          <w:szCs w:val="28"/>
          <w:lang w:val="ro-RO"/>
        </w:rPr>
        <w:t>bunurilor proprietate</w:t>
      </w:r>
      <w:r w:rsidR="0078348D" w:rsidRPr="00D26E33">
        <w:rPr>
          <w:b/>
          <w:bCs/>
          <w:sz w:val="28"/>
          <w:szCs w:val="28"/>
          <w:lang w:val="ro-RO"/>
        </w:rPr>
        <w:t xml:space="preserve"> public</w:t>
      </w:r>
      <w:r w:rsidRPr="00D26E33">
        <w:rPr>
          <w:b/>
          <w:bCs/>
          <w:sz w:val="28"/>
          <w:szCs w:val="28"/>
          <w:lang w:val="ro-RO"/>
        </w:rPr>
        <w:t>ă</w:t>
      </w:r>
    </w:p>
    <w:p w:rsidR="0078348D" w:rsidRPr="00D26E33" w:rsidRDefault="0078348D" w:rsidP="0078348D">
      <w:pPr>
        <w:pStyle w:val="lf"/>
        <w:rPr>
          <w:sz w:val="28"/>
          <w:szCs w:val="28"/>
          <w:lang w:val="ro-RO"/>
        </w:rPr>
      </w:pP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1. Cuantumul minim al chiriei anuale pentru folosirea încăperilor se calculeaz</w:t>
      </w:r>
      <w:r w:rsidR="007B44CB" w:rsidRPr="00D26E33">
        <w:rPr>
          <w:sz w:val="28"/>
          <w:szCs w:val="28"/>
          <w:lang w:val="ro-RO"/>
        </w:rPr>
        <w:t>ă</w:t>
      </w:r>
      <w:r w:rsidR="00411DA9" w:rsidRPr="00D26E33">
        <w:rPr>
          <w:sz w:val="28"/>
          <w:szCs w:val="28"/>
          <w:lang w:val="ro-RO"/>
        </w:rPr>
        <w:t xml:space="preserve"> după</w:t>
      </w:r>
      <w:r w:rsidRPr="00D26E33">
        <w:rPr>
          <w:sz w:val="28"/>
          <w:szCs w:val="28"/>
          <w:lang w:val="ro-RO"/>
        </w:rPr>
        <w:t xml:space="preserve"> formula: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ai</w:t>
      </w:r>
      <w:r w:rsidRPr="00D26E33">
        <w:rPr>
          <w:i/>
          <w:iCs/>
          <w:sz w:val="28"/>
          <w:szCs w:val="28"/>
          <w:lang w:val="ro-RO"/>
        </w:rPr>
        <w:t xml:space="preserve"> </w:t>
      </w:r>
      <w:r w:rsidRPr="00D26E33">
        <w:rPr>
          <w:sz w:val="28"/>
          <w:szCs w:val="28"/>
          <w:lang w:val="ro-RO"/>
        </w:rPr>
        <w:t xml:space="preserve">= </w:t>
      </w:r>
      <w:r w:rsidRPr="00D26E33">
        <w:rPr>
          <w:i/>
          <w:iCs/>
          <w:sz w:val="28"/>
          <w:szCs w:val="28"/>
          <w:lang w:val="ro-RO"/>
        </w:rPr>
        <w:t>T</w:t>
      </w:r>
      <w:r w:rsidRPr="00D26E33">
        <w:rPr>
          <w:i/>
          <w:iCs/>
          <w:sz w:val="28"/>
          <w:szCs w:val="28"/>
          <w:vertAlign w:val="subscript"/>
          <w:lang w:val="ro-RO"/>
        </w:rPr>
        <w:t>b</w:t>
      </w:r>
      <w:r w:rsidRPr="00D26E33">
        <w:rPr>
          <w:sz w:val="28"/>
          <w:szCs w:val="28"/>
          <w:vertAlign w:val="subscript"/>
          <w:lang w:val="ro-RO"/>
        </w:rPr>
        <w:t xml:space="preserve"> </w:t>
      </w:r>
      <w:r w:rsidRPr="00D26E33">
        <w:rPr>
          <w:sz w:val="28"/>
          <w:szCs w:val="28"/>
          <w:lang w:val="ro-RO"/>
        </w:rPr>
        <w:t xml:space="preserve">x </w:t>
      </w:r>
      <w:r w:rsidRPr="00D26E33">
        <w:rPr>
          <w:i/>
          <w:iCs/>
          <w:sz w:val="28"/>
          <w:szCs w:val="28"/>
          <w:lang w:val="ro-RO"/>
        </w:rPr>
        <w:t xml:space="preserve">(1 </w:t>
      </w:r>
      <w:r w:rsidRPr="00D26E33">
        <w:rPr>
          <w:sz w:val="28"/>
          <w:szCs w:val="28"/>
          <w:lang w:val="ro-RO"/>
        </w:rPr>
        <w:t xml:space="preserve">+ </w:t>
      </w:r>
      <w:r w:rsidRPr="00D26E33">
        <w:rPr>
          <w:i/>
          <w:iCs/>
          <w:sz w:val="28"/>
          <w:szCs w:val="28"/>
          <w:lang w:val="ro-RO"/>
        </w:rPr>
        <w:t>K</w:t>
      </w:r>
      <w:r w:rsidRPr="00D26E33">
        <w:rPr>
          <w:i/>
          <w:iCs/>
          <w:sz w:val="28"/>
          <w:szCs w:val="28"/>
          <w:vertAlign w:val="subscript"/>
          <w:lang w:val="ro-RO"/>
        </w:rPr>
        <w:t>1</w:t>
      </w:r>
      <w:r w:rsidRPr="00D26E33">
        <w:rPr>
          <w:sz w:val="28"/>
          <w:szCs w:val="28"/>
          <w:lang w:val="ro-RO"/>
        </w:rPr>
        <w:t xml:space="preserve"> + </w:t>
      </w:r>
      <w:r w:rsidRPr="00D26E33">
        <w:rPr>
          <w:i/>
          <w:iCs/>
          <w:sz w:val="28"/>
          <w:szCs w:val="28"/>
          <w:lang w:val="ro-RO"/>
        </w:rPr>
        <w:t>K</w:t>
      </w:r>
      <w:r w:rsidRPr="00D26E33">
        <w:rPr>
          <w:i/>
          <w:iCs/>
          <w:sz w:val="28"/>
          <w:szCs w:val="28"/>
          <w:vertAlign w:val="subscript"/>
          <w:lang w:val="ro-RO"/>
        </w:rPr>
        <w:t>2</w:t>
      </w:r>
      <w:r w:rsidRPr="00D26E33">
        <w:rPr>
          <w:i/>
          <w:iCs/>
          <w:sz w:val="28"/>
          <w:szCs w:val="28"/>
          <w:lang w:val="ro-RO"/>
        </w:rPr>
        <w:t xml:space="preserve"> </w:t>
      </w:r>
      <w:r w:rsidRPr="00D26E33">
        <w:rPr>
          <w:sz w:val="28"/>
          <w:szCs w:val="28"/>
          <w:lang w:val="ro-RO"/>
        </w:rPr>
        <w:t xml:space="preserve">+ </w:t>
      </w:r>
      <w:r w:rsidRPr="00D26E33">
        <w:rPr>
          <w:i/>
          <w:iCs/>
          <w:sz w:val="28"/>
          <w:szCs w:val="28"/>
          <w:lang w:val="ro-RO"/>
        </w:rPr>
        <w:t>K</w:t>
      </w:r>
      <w:r w:rsidRPr="00D26E33">
        <w:rPr>
          <w:i/>
          <w:iCs/>
          <w:sz w:val="28"/>
          <w:szCs w:val="28"/>
          <w:vertAlign w:val="subscript"/>
          <w:lang w:val="ro-RO"/>
        </w:rPr>
        <w:t>3</w:t>
      </w:r>
      <w:r w:rsidRPr="00D26E33">
        <w:rPr>
          <w:sz w:val="28"/>
          <w:szCs w:val="28"/>
          <w:lang w:val="ro-RO"/>
        </w:rPr>
        <w:t xml:space="preserve">) x </w:t>
      </w:r>
      <w:r w:rsidRPr="00D26E33">
        <w:rPr>
          <w:i/>
          <w:iCs/>
          <w:sz w:val="28"/>
          <w:szCs w:val="28"/>
          <w:lang w:val="ro-RO"/>
        </w:rPr>
        <w:t>K</w:t>
      </w:r>
      <w:r w:rsidRPr="00D26E33">
        <w:rPr>
          <w:i/>
          <w:iCs/>
          <w:sz w:val="28"/>
          <w:szCs w:val="28"/>
          <w:vertAlign w:val="subscript"/>
          <w:lang w:val="ro-RO"/>
        </w:rPr>
        <w:t>4</w:t>
      </w:r>
      <w:r w:rsidRPr="00D26E33">
        <w:rPr>
          <w:i/>
          <w:iCs/>
          <w:sz w:val="28"/>
          <w:szCs w:val="28"/>
          <w:lang w:val="ro-RO"/>
        </w:rPr>
        <w:t xml:space="preserve"> </w:t>
      </w:r>
      <w:r w:rsidRPr="00D26E33">
        <w:rPr>
          <w:sz w:val="28"/>
          <w:szCs w:val="28"/>
          <w:lang w:val="ro-RO"/>
        </w:rPr>
        <w:t xml:space="preserve">x </w:t>
      </w:r>
      <w:r w:rsidRPr="00D26E33">
        <w:rPr>
          <w:i/>
          <w:iCs/>
          <w:sz w:val="28"/>
          <w:szCs w:val="28"/>
          <w:lang w:val="ro-RO"/>
        </w:rPr>
        <w:t>S</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în care: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ai</w:t>
      </w:r>
      <w:r w:rsidRPr="00D26E33">
        <w:rPr>
          <w:i/>
          <w:iCs/>
          <w:sz w:val="28"/>
          <w:szCs w:val="28"/>
          <w:lang w:val="ro-RO"/>
        </w:rPr>
        <w:t xml:space="preserve"> - </w:t>
      </w:r>
      <w:r w:rsidRPr="00D26E33">
        <w:rPr>
          <w:sz w:val="28"/>
          <w:szCs w:val="28"/>
          <w:lang w:val="ro-RO"/>
        </w:rPr>
        <w:t xml:space="preserve">cuantumul chiriei anuale; </w:t>
      </w:r>
    </w:p>
    <w:p w:rsidR="0078348D" w:rsidRPr="00D26E33" w:rsidRDefault="0078348D" w:rsidP="0078348D">
      <w:pPr>
        <w:pStyle w:val="NormalWeb"/>
        <w:rPr>
          <w:sz w:val="28"/>
          <w:szCs w:val="28"/>
          <w:lang w:val="ro-RO"/>
        </w:rPr>
      </w:pPr>
      <w:r w:rsidRPr="00D26E33">
        <w:rPr>
          <w:i/>
          <w:iCs/>
          <w:sz w:val="28"/>
          <w:szCs w:val="28"/>
          <w:lang w:val="ro-RO"/>
        </w:rPr>
        <w:t>T</w:t>
      </w:r>
      <w:r w:rsidRPr="00D26E33">
        <w:rPr>
          <w:i/>
          <w:iCs/>
          <w:sz w:val="28"/>
          <w:szCs w:val="28"/>
          <w:vertAlign w:val="subscript"/>
          <w:lang w:val="ro-RO"/>
        </w:rPr>
        <w:t>b</w:t>
      </w:r>
      <w:r w:rsidRPr="00D26E33">
        <w:rPr>
          <w:sz w:val="28"/>
          <w:szCs w:val="28"/>
          <w:lang w:val="ro-RO"/>
        </w:rPr>
        <w:t xml:space="preserve"> - tariful de bază pentru chiria anuală a unui metru pătrat de spaţiu;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1</w:t>
      </w:r>
      <w:r w:rsidRPr="00D26E33">
        <w:rPr>
          <w:sz w:val="28"/>
          <w:szCs w:val="28"/>
          <w:lang w:val="ro-RO"/>
        </w:rPr>
        <w:t xml:space="preserve"> - coeficientul de amplasare a încăperii;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2</w:t>
      </w:r>
      <w:r w:rsidRPr="00D26E33">
        <w:rPr>
          <w:i/>
          <w:iCs/>
          <w:sz w:val="28"/>
          <w:szCs w:val="28"/>
          <w:lang w:val="ro-RO"/>
        </w:rPr>
        <w:t xml:space="preserve"> - </w:t>
      </w:r>
      <w:r w:rsidRPr="00D26E33">
        <w:rPr>
          <w:sz w:val="28"/>
          <w:szCs w:val="28"/>
          <w:lang w:val="ro-RO"/>
        </w:rPr>
        <w:t xml:space="preserve">coeficientul amenajării tehnice;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3</w:t>
      </w:r>
      <w:r w:rsidRPr="00D26E33">
        <w:rPr>
          <w:i/>
          <w:iCs/>
          <w:sz w:val="28"/>
          <w:szCs w:val="28"/>
          <w:lang w:val="ro-RO"/>
        </w:rPr>
        <w:t xml:space="preserve"> - </w:t>
      </w:r>
      <w:r w:rsidR="00411DA9" w:rsidRPr="00D26E33">
        <w:rPr>
          <w:sz w:val="28"/>
          <w:szCs w:val="28"/>
          <w:lang w:val="ro-RO"/>
        </w:rPr>
        <w:t xml:space="preserve">coeficientul de ramură privind </w:t>
      </w:r>
      <w:r w:rsidRPr="00D26E33">
        <w:rPr>
          <w:sz w:val="28"/>
          <w:szCs w:val="28"/>
          <w:lang w:val="ro-RO"/>
        </w:rPr>
        <w:t xml:space="preserve"> utilizare</w:t>
      </w:r>
      <w:r w:rsidR="00411DA9" w:rsidRPr="00D26E33">
        <w:rPr>
          <w:sz w:val="28"/>
          <w:szCs w:val="28"/>
          <w:lang w:val="ro-RO"/>
        </w:rPr>
        <w:t xml:space="preserve">a </w:t>
      </w:r>
      <w:r w:rsidRPr="00D26E33">
        <w:rPr>
          <w:sz w:val="28"/>
          <w:szCs w:val="28"/>
          <w:lang w:val="ro-RO"/>
        </w:rPr>
        <w:t xml:space="preserve"> încăperii;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4</w:t>
      </w:r>
      <w:r w:rsidRPr="00D26E33">
        <w:rPr>
          <w:sz w:val="28"/>
          <w:szCs w:val="28"/>
          <w:lang w:val="ro-RO"/>
        </w:rPr>
        <w:t xml:space="preserve"> - coeficientul de piaţă; </w:t>
      </w:r>
    </w:p>
    <w:p w:rsidR="0078348D" w:rsidRPr="00D26E33" w:rsidRDefault="0078348D" w:rsidP="0078348D">
      <w:pPr>
        <w:pStyle w:val="NormalWeb"/>
        <w:rPr>
          <w:sz w:val="28"/>
          <w:szCs w:val="28"/>
          <w:lang w:val="ro-RO"/>
        </w:rPr>
      </w:pPr>
      <w:r w:rsidRPr="00D26E33">
        <w:rPr>
          <w:i/>
          <w:iCs/>
          <w:sz w:val="28"/>
          <w:szCs w:val="28"/>
          <w:lang w:val="ro-RO"/>
        </w:rPr>
        <w:t>S</w:t>
      </w:r>
      <w:r w:rsidRPr="00D26E33">
        <w:rPr>
          <w:sz w:val="28"/>
          <w:szCs w:val="28"/>
          <w:lang w:val="ro-RO"/>
        </w:rPr>
        <w:t xml:space="preserve"> - suprafaţa încăperii. </w:t>
      </w:r>
    </w:p>
    <w:p w:rsidR="00411DA9" w:rsidRPr="00D26E33" w:rsidRDefault="00411DA9" w:rsidP="0078348D">
      <w:pPr>
        <w:pStyle w:val="NormalWeb"/>
        <w:rPr>
          <w:sz w:val="28"/>
          <w:szCs w:val="28"/>
          <w:lang w:val="ro-RO"/>
        </w:rPr>
      </w:pPr>
    </w:p>
    <w:p w:rsidR="0078348D" w:rsidRPr="00D26E33" w:rsidRDefault="0078348D" w:rsidP="0078348D">
      <w:pPr>
        <w:pStyle w:val="NormalWeb"/>
        <w:rPr>
          <w:sz w:val="28"/>
          <w:szCs w:val="28"/>
          <w:lang w:val="ro-RO"/>
        </w:rPr>
      </w:pPr>
      <w:r w:rsidRPr="00D26E33">
        <w:rPr>
          <w:sz w:val="28"/>
          <w:szCs w:val="28"/>
          <w:lang w:val="ro-RO"/>
        </w:rPr>
        <w:t xml:space="preserve">Valoarea coeficienţilor folosiţi în calcule se determină după următoarele criterii: </w:t>
      </w:r>
    </w:p>
    <w:p w:rsidR="0078348D" w:rsidRPr="00D26E33" w:rsidRDefault="0078348D" w:rsidP="0078348D">
      <w:pPr>
        <w:pStyle w:val="NormalWeb"/>
        <w:rPr>
          <w:sz w:val="28"/>
          <w:szCs w:val="28"/>
          <w:lang w:val="ro-RO"/>
        </w:rPr>
      </w:pPr>
      <w:r w:rsidRPr="00D26E33">
        <w:rPr>
          <w:sz w:val="28"/>
          <w:szCs w:val="28"/>
          <w:lang w:val="ro-RO"/>
        </w:rPr>
        <w:t> </w:t>
      </w:r>
    </w:p>
    <w:p w:rsidR="0078348D" w:rsidRPr="00D26E33" w:rsidRDefault="0078348D" w:rsidP="0078348D">
      <w:pPr>
        <w:pStyle w:val="NormalWeb"/>
        <w:rPr>
          <w:sz w:val="28"/>
          <w:szCs w:val="28"/>
          <w:lang w:val="ro-RO"/>
        </w:rPr>
      </w:pPr>
      <w:r w:rsidRPr="00D26E33">
        <w:rPr>
          <w:sz w:val="28"/>
          <w:szCs w:val="28"/>
          <w:lang w:val="ro-RO"/>
        </w:rPr>
        <w:t>a) tariful de bază pentru chiria anuală a unui metru pătrat de spaţiu (</w:t>
      </w:r>
      <w:r w:rsidRPr="00D26E33">
        <w:rPr>
          <w:i/>
          <w:iCs/>
          <w:sz w:val="28"/>
          <w:szCs w:val="28"/>
          <w:lang w:val="ro-RO"/>
        </w:rPr>
        <w:t>T</w:t>
      </w:r>
      <w:r w:rsidRPr="00D26E33">
        <w:rPr>
          <w:i/>
          <w:iCs/>
          <w:sz w:val="28"/>
          <w:szCs w:val="28"/>
          <w:vertAlign w:val="subscript"/>
          <w:lang w:val="ro-RO"/>
        </w:rPr>
        <w:t>b</w:t>
      </w:r>
      <w:r w:rsidRPr="00D26E33">
        <w:rPr>
          <w:sz w:val="28"/>
          <w:szCs w:val="28"/>
          <w:lang w:val="ro-RO"/>
        </w:rPr>
        <w:t xml:space="preserve">): </w:t>
      </w:r>
    </w:p>
    <w:tbl>
      <w:tblPr>
        <w:tblW w:w="10316" w:type="dxa"/>
        <w:jc w:val="center"/>
        <w:tblInd w:w="-3465" w:type="dxa"/>
        <w:tblCellMar>
          <w:top w:w="15" w:type="dxa"/>
          <w:left w:w="15" w:type="dxa"/>
          <w:bottom w:w="15" w:type="dxa"/>
          <w:right w:w="15" w:type="dxa"/>
        </w:tblCellMar>
        <w:tblLook w:val="0000"/>
      </w:tblPr>
      <w:tblGrid>
        <w:gridCol w:w="9147"/>
        <w:gridCol w:w="1169"/>
      </w:tblGrid>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municipiul Chişinău </w:t>
            </w:r>
          </w:p>
        </w:tc>
        <w:tc>
          <w:tcPr>
            <w:tcW w:w="1169"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322</w:t>
            </w:r>
            <w:r w:rsidR="00A611B2" w:rsidRPr="00D26E33">
              <w:rPr>
                <w:sz w:val="28"/>
                <w:szCs w:val="28"/>
                <w:lang w:val="ro-RO"/>
              </w:rPr>
              <w:t>,</w:t>
            </w:r>
            <w:r>
              <w:rPr>
                <w:sz w:val="28"/>
                <w:szCs w:val="28"/>
                <w:lang w:val="ro-RO"/>
              </w:rPr>
              <w:t>6</w:t>
            </w:r>
            <w:r w:rsidR="00024B2A" w:rsidRPr="00D26E33">
              <w:rPr>
                <w:sz w:val="28"/>
                <w:szCs w:val="28"/>
                <w:lang w:val="ro-RO"/>
              </w:rPr>
              <w:t xml:space="preserve"> </w:t>
            </w:r>
            <w:r w:rsidR="0078348D" w:rsidRPr="00D26E33">
              <w:rPr>
                <w:sz w:val="28"/>
                <w:szCs w:val="28"/>
                <w:lang w:val="ro-RO"/>
              </w:rPr>
              <w:t xml:space="preserve">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municipiul Bălţi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228</w:t>
            </w:r>
            <w:r w:rsidR="0078348D" w:rsidRPr="00D26E33">
              <w:rPr>
                <w:sz w:val="28"/>
                <w:szCs w:val="28"/>
                <w:lang w:val="ro-RO"/>
              </w:rPr>
              <w:t>,</w:t>
            </w:r>
            <w:r>
              <w:rPr>
                <w:sz w:val="28"/>
                <w:szCs w:val="28"/>
                <w:lang w:val="ro-RO"/>
              </w:rPr>
              <w:t>8</w:t>
            </w:r>
            <w:r w:rsidR="0078348D" w:rsidRPr="00D26E33">
              <w:rPr>
                <w:sz w:val="28"/>
                <w:szCs w:val="28"/>
                <w:lang w:val="ro-RO"/>
              </w:rPr>
              <w:t xml:space="preserve"> 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E4664C">
            <w:pPr>
              <w:rPr>
                <w:sz w:val="28"/>
                <w:szCs w:val="28"/>
              </w:rPr>
            </w:pPr>
            <w:r w:rsidRPr="00D26E33">
              <w:rPr>
                <w:sz w:val="28"/>
                <w:szCs w:val="28"/>
              </w:rPr>
              <w:t xml:space="preserve">celelalte municipii, oraşele-reşedinţă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121B06">
            <w:pPr>
              <w:pStyle w:val="rg"/>
              <w:jc w:val="center"/>
              <w:rPr>
                <w:sz w:val="28"/>
                <w:szCs w:val="28"/>
                <w:lang w:val="ro-RO"/>
              </w:rPr>
            </w:pPr>
            <w:r>
              <w:rPr>
                <w:sz w:val="28"/>
                <w:szCs w:val="28"/>
                <w:lang w:val="ro-RO"/>
              </w:rPr>
              <w:t>166</w:t>
            </w:r>
            <w:r w:rsidR="002E00E8" w:rsidRPr="00D26E33">
              <w:rPr>
                <w:sz w:val="28"/>
                <w:szCs w:val="28"/>
                <w:lang w:val="ro-RO"/>
              </w:rPr>
              <w:t>,</w:t>
            </w:r>
            <w:r w:rsidR="00121B06">
              <w:rPr>
                <w:sz w:val="28"/>
                <w:szCs w:val="28"/>
                <w:lang w:val="ro-RO"/>
              </w:rPr>
              <w:t>3</w:t>
            </w:r>
            <w:r w:rsidR="0078348D" w:rsidRPr="00D26E33">
              <w:rPr>
                <w:sz w:val="28"/>
                <w:szCs w:val="28"/>
                <w:lang w:val="ro-RO"/>
              </w:rPr>
              <w:t xml:space="preserve"> 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E4664C">
            <w:pPr>
              <w:rPr>
                <w:sz w:val="28"/>
                <w:szCs w:val="28"/>
              </w:rPr>
            </w:pPr>
            <w:r w:rsidRPr="00D26E33">
              <w:rPr>
                <w:sz w:val="28"/>
                <w:szCs w:val="28"/>
              </w:rPr>
              <w:t xml:space="preserve">oraşele şi localităţile suburbane din componenţa municipiilor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124</w:t>
            </w:r>
            <w:r w:rsidR="0078348D" w:rsidRPr="00D26E33">
              <w:rPr>
                <w:sz w:val="28"/>
                <w:szCs w:val="28"/>
                <w:lang w:val="ro-RO"/>
              </w:rPr>
              <w:t>,</w:t>
            </w:r>
            <w:r>
              <w:rPr>
                <w:sz w:val="28"/>
                <w:szCs w:val="28"/>
                <w:lang w:val="ro-RO"/>
              </w:rPr>
              <w:t>8</w:t>
            </w:r>
            <w:r w:rsidR="0078348D" w:rsidRPr="00D26E33">
              <w:rPr>
                <w:sz w:val="28"/>
                <w:szCs w:val="28"/>
                <w:lang w:val="ro-RO"/>
              </w:rPr>
              <w:t xml:space="preserve"> lei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E4664C">
            <w:pPr>
              <w:rPr>
                <w:sz w:val="28"/>
                <w:szCs w:val="28"/>
              </w:rPr>
            </w:pPr>
            <w:r w:rsidRPr="00D26E33">
              <w:rPr>
                <w:sz w:val="28"/>
                <w:szCs w:val="28"/>
              </w:rPr>
              <w:t xml:space="preserve">localităţile săteşti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AA33E3" w:rsidP="00AA33E3">
            <w:pPr>
              <w:pStyle w:val="rg"/>
              <w:jc w:val="center"/>
              <w:rPr>
                <w:sz w:val="28"/>
                <w:szCs w:val="28"/>
                <w:lang w:val="ro-RO"/>
              </w:rPr>
            </w:pPr>
            <w:r>
              <w:rPr>
                <w:sz w:val="28"/>
                <w:szCs w:val="28"/>
                <w:lang w:val="ro-RO"/>
              </w:rPr>
              <w:t xml:space="preserve">  41</w:t>
            </w:r>
            <w:r w:rsidR="0078348D" w:rsidRPr="00D26E33">
              <w:rPr>
                <w:sz w:val="28"/>
                <w:szCs w:val="28"/>
                <w:lang w:val="ro-RO"/>
              </w:rPr>
              <w:t>,</w:t>
            </w:r>
            <w:r>
              <w:rPr>
                <w:sz w:val="28"/>
                <w:szCs w:val="28"/>
                <w:lang w:val="ro-RO"/>
              </w:rPr>
              <w:t>7</w:t>
            </w:r>
            <w:r w:rsidR="0078348D" w:rsidRPr="00D26E33">
              <w:rPr>
                <w:sz w:val="28"/>
                <w:szCs w:val="28"/>
                <w:lang w:val="ro-RO"/>
              </w:rPr>
              <w:t xml:space="preserve"> lei </w:t>
            </w:r>
          </w:p>
        </w:tc>
      </w:tr>
      <w:tr w:rsidR="0078348D" w:rsidRPr="00D26E33" w:rsidTr="0078348D">
        <w:trPr>
          <w:jc w:val="center"/>
        </w:trPr>
        <w:tc>
          <w:tcPr>
            <w:tcW w:w="10316" w:type="dxa"/>
            <w:gridSpan w:val="2"/>
            <w:tcBorders>
              <w:top w:val="single" w:sz="6" w:space="0" w:color="000000"/>
              <w:left w:val="nil"/>
              <w:bottom w:val="single" w:sz="6" w:space="0" w:color="000000"/>
              <w:right w:val="nil"/>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w:t>
            </w:r>
          </w:p>
          <w:p w:rsidR="0078348D" w:rsidRPr="00D26E33" w:rsidRDefault="0078348D" w:rsidP="0078348D">
            <w:pPr>
              <w:pStyle w:val="NormalWeb"/>
              <w:rPr>
                <w:sz w:val="28"/>
                <w:szCs w:val="28"/>
                <w:lang w:val="ro-RO"/>
              </w:rPr>
            </w:pPr>
            <w:r w:rsidRPr="00D26E33">
              <w:rPr>
                <w:sz w:val="28"/>
                <w:szCs w:val="28"/>
                <w:lang w:val="ro-RO"/>
              </w:rPr>
              <w:t xml:space="preserve">b) coeficientul de amplasare a încăperii </w:t>
            </w:r>
            <w:r w:rsidRPr="00D26E33">
              <w:rPr>
                <w:i/>
                <w:iCs/>
                <w:sz w:val="28"/>
                <w:szCs w:val="28"/>
                <w:lang w:val="ro-RO"/>
              </w:rPr>
              <w:t>(K</w:t>
            </w:r>
            <w:r w:rsidRPr="00D26E33">
              <w:rPr>
                <w:i/>
                <w:iCs/>
                <w:sz w:val="28"/>
                <w:szCs w:val="28"/>
                <w:vertAlign w:val="subscript"/>
                <w:lang w:val="ro-RO"/>
              </w:rPr>
              <w:t>1</w:t>
            </w:r>
            <w:r w:rsidRPr="00D26E33">
              <w:rPr>
                <w:i/>
                <w:iCs/>
                <w:sz w:val="28"/>
                <w:szCs w:val="28"/>
                <w:lang w:val="ro-RO"/>
              </w:rPr>
              <w:t>):</w:t>
            </w:r>
            <w:r w:rsidRPr="00D26E33">
              <w:rPr>
                <w:sz w:val="28"/>
                <w:szCs w:val="28"/>
                <w:lang w:val="ro-RO"/>
              </w:rPr>
              <w:t xml:space="preserve">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clădire separată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construcţie încorporată sau anexată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0,45</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D463D3" w:rsidP="0078348D">
            <w:pPr>
              <w:rPr>
                <w:sz w:val="28"/>
                <w:szCs w:val="28"/>
              </w:rPr>
            </w:pPr>
            <w:r w:rsidRPr="00D26E33">
              <w:rPr>
                <w:sz w:val="28"/>
                <w:szCs w:val="28"/>
              </w:rPr>
              <w:t>încăpere supraterană, inclusiv parter</w:t>
            </w:r>
            <w:r w:rsidR="0078348D" w:rsidRPr="00D26E33">
              <w:rPr>
                <w:sz w:val="28"/>
                <w:szCs w:val="28"/>
              </w:rPr>
              <w:t xml:space="preserv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0,4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soclu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0,35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demisol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0,3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subsol cu geamuri, etaj tehnic, acoperiş</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jc w:val="right"/>
              <w:rPr>
                <w:sz w:val="28"/>
                <w:szCs w:val="28"/>
              </w:rPr>
            </w:pPr>
            <w:r w:rsidRPr="00D26E33">
              <w:rPr>
                <w:sz w:val="28"/>
                <w:szCs w:val="28"/>
              </w:rPr>
              <w:t xml:space="preserve">0,2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alte subsoluri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41463D">
            <w:pPr>
              <w:pStyle w:val="rg"/>
              <w:rPr>
                <w:sz w:val="28"/>
                <w:szCs w:val="28"/>
                <w:lang w:val="ro-RO"/>
              </w:rPr>
            </w:pPr>
            <w:r w:rsidRPr="00D26E33">
              <w:rPr>
                <w:sz w:val="28"/>
                <w:szCs w:val="28"/>
                <w:lang w:val="ro-RO"/>
              </w:rPr>
              <w:t xml:space="preserve">0,0 </w:t>
            </w:r>
          </w:p>
        </w:tc>
      </w:tr>
      <w:tr w:rsidR="0078348D" w:rsidRPr="00D26E33" w:rsidTr="0078348D">
        <w:trPr>
          <w:jc w:val="center"/>
        </w:trPr>
        <w:tc>
          <w:tcPr>
            <w:tcW w:w="10316" w:type="dxa"/>
            <w:gridSpan w:val="2"/>
            <w:tcBorders>
              <w:top w:val="single" w:sz="6" w:space="0" w:color="000000"/>
              <w:left w:val="nil"/>
              <w:bottom w:val="single" w:sz="6" w:space="0" w:color="000000"/>
              <w:right w:val="nil"/>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w:t>
            </w:r>
          </w:p>
          <w:p w:rsidR="0078348D" w:rsidRPr="00D26E33" w:rsidRDefault="0078348D" w:rsidP="0078348D">
            <w:pPr>
              <w:pStyle w:val="NormalWeb"/>
              <w:rPr>
                <w:sz w:val="28"/>
                <w:szCs w:val="28"/>
                <w:lang w:val="ro-RO"/>
              </w:rPr>
            </w:pPr>
            <w:r w:rsidRPr="00D26E33">
              <w:rPr>
                <w:sz w:val="28"/>
                <w:szCs w:val="28"/>
                <w:lang w:val="ro-RO"/>
              </w:rPr>
              <w:t>c) coeficientul amenajării tehnice (</w:t>
            </w:r>
            <w:r w:rsidRPr="00D26E33">
              <w:rPr>
                <w:i/>
                <w:iCs/>
                <w:sz w:val="28"/>
                <w:szCs w:val="28"/>
                <w:lang w:val="ro-RO"/>
              </w:rPr>
              <w:t>K</w:t>
            </w:r>
            <w:r w:rsidRPr="00D26E33">
              <w:rPr>
                <w:i/>
                <w:iCs/>
                <w:sz w:val="28"/>
                <w:szCs w:val="28"/>
                <w:vertAlign w:val="subscript"/>
                <w:lang w:val="ro-RO"/>
              </w:rPr>
              <w:t>2</w:t>
            </w:r>
            <w:r w:rsidRPr="00D26E33">
              <w:rPr>
                <w:sz w:val="28"/>
                <w:szCs w:val="28"/>
                <w:lang w:val="ro-RO"/>
              </w:rPr>
              <w:t>):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apă caldă, încălzire centrală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încălzire centrală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0,4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apă caldă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0,3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apeduct, canalizare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0,2 </w:t>
            </w:r>
          </w:p>
        </w:tc>
      </w:tr>
      <w:tr w:rsidR="0078348D" w:rsidRPr="00D26E33" w:rsidTr="0002759F">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rPr>
                <w:sz w:val="28"/>
                <w:szCs w:val="28"/>
              </w:rPr>
            </w:pPr>
            <w:r w:rsidRPr="00D26E33">
              <w:rPr>
                <w:sz w:val="28"/>
                <w:szCs w:val="28"/>
              </w:rPr>
              <w:t xml:space="preserve">încălzire centrală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0,2 </w:t>
            </w:r>
          </w:p>
        </w:tc>
      </w:tr>
      <w:tr w:rsidR="0078348D" w:rsidRPr="00D26E33" w:rsidTr="0002759F">
        <w:trPr>
          <w:jc w:val="center"/>
        </w:trPr>
        <w:tc>
          <w:tcPr>
            <w:tcW w:w="9147"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8348D" w:rsidRPr="00D26E33" w:rsidRDefault="00411DA9" w:rsidP="0078348D">
            <w:pPr>
              <w:rPr>
                <w:sz w:val="28"/>
                <w:szCs w:val="28"/>
              </w:rPr>
            </w:pPr>
            <w:r w:rsidRPr="00D26E33">
              <w:rPr>
                <w:sz w:val="28"/>
                <w:szCs w:val="28"/>
              </w:rPr>
              <w:t xml:space="preserve">lipseşte </w:t>
            </w:r>
            <w:r w:rsidR="0078348D" w:rsidRPr="00D26E33">
              <w:rPr>
                <w:sz w:val="28"/>
                <w:szCs w:val="28"/>
              </w:rPr>
              <w:t xml:space="preserve">amenajarea tehnică </w:t>
            </w:r>
          </w:p>
        </w:tc>
        <w:tc>
          <w:tcPr>
            <w:tcW w:w="116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8348D" w:rsidRPr="00D26E33" w:rsidRDefault="0078348D" w:rsidP="0041463D">
            <w:pPr>
              <w:pStyle w:val="rg"/>
              <w:rPr>
                <w:sz w:val="28"/>
                <w:szCs w:val="28"/>
                <w:lang w:val="ro-RO"/>
              </w:rPr>
            </w:pPr>
            <w:r w:rsidRPr="00D26E33">
              <w:rPr>
                <w:sz w:val="28"/>
                <w:szCs w:val="28"/>
                <w:lang w:val="ro-RO"/>
              </w:rPr>
              <w:t xml:space="preserve">0,0 </w:t>
            </w:r>
          </w:p>
        </w:tc>
      </w:tr>
      <w:tr w:rsidR="0078348D" w:rsidRPr="00D26E33" w:rsidTr="0002759F">
        <w:trPr>
          <w:jc w:val="center"/>
        </w:trPr>
        <w:tc>
          <w:tcPr>
            <w:tcW w:w="10316" w:type="dxa"/>
            <w:gridSpan w:val="2"/>
            <w:tcBorders>
              <w:top w:val="single" w:sz="4" w:space="0" w:color="auto"/>
              <w:left w:val="nil"/>
              <w:right w:val="nil"/>
            </w:tcBorders>
            <w:tcMar>
              <w:top w:w="15" w:type="dxa"/>
              <w:left w:w="45" w:type="dxa"/>
              <w:bottom w:w="15" w:type="dxa"/>
              <w:right w:w="45" w:type="dxa"/>
            </w:tcMar>
          </w:tcPr>
          <w:p w:rsidR="0078348D" w:rsidRPr="00D26E33" w:rsidRDefault="0078348D" w:rsidP="0078348D">
            <w:pPr>
              <w:pStyle w:val="NormalWeb"/>
              <w:rPr>
                <w:sz w:val="28"/>
                <w:szCs w:val="28"/>
                <w:lang w:val="ro-RO"/>
              </w:rPr>
            </w:pPr>
            <w:r w:rsidRPr="00D26E33">
              <w:rPr>
                <w:lang w:val="ro-RO"/>
              </w:rPr>
              <w:t> </w:t>
            </w:r>
            <w:r w:rsidRPr="00D26E33">
              <w:rPr>
                <w:sz w:val="28"/>
                <w:szCs w:val="28"/>
                <w:lang w:val="ro-RO"/>
              </w:rPr>
              <w:t> </w:t>
            </w:r>
          </w:p>
        </w:tc>
      </w:tr>
      <w:tr w:rsidR="0002759F" w:rsidRPr="00D26E33" w:rsidTr="00AA7059">
        <w:trPr>
          <w:jc w:val="center"/>
        </w:trPr>
        <w:tc>
          <w:tcPr>
            <w:tcW w:w="10316" w:type="dxa"/>
            <w:gridSpan w:val="2"/>
            <w:tcBorders>
              <w:left w:val="nil"/>
              <w:right w:val="nil"/>
            </w:tcBorders>
            <w:tcMar>
              <w:top w:w="15" w:type="dxa"/>
              <w:left w:w="45" w:type="dxa"/>
              <w:bottom w:w="15" w:type="dxa"/>
              <w:right w:w="45" w:type="dxa"/>
            </w:tcMar>
          </w:tcPr>
          <w:p w:rsidR="0002759F" w:rsidRPr="00D26E33" w:rsidRDefault="0002759F" w:rsidP="0002759F">
            <w:pPr>
              <w:ind w:firstLine="609"/>
              <w:rPr>
                <w:sz w:val="28"/>
                <w:szCs w:val="28"/>
              </w:rPr>
            </w:pPr>
          </w:p>
          <w:p w:rsidR="0002759F" w:rsidRPr="00D26E33" w:rsidRDefault="0002759F" w:rsidP="0002759F">
            <w:pPr>
              <w:ind w:firstLine="609"/>
              <w:rPr>
                <w:sz w:val="28"/>
                <w:szCs w:val="28"/>
              </w:rPr>
            </w:pPr>
            <w:r w:rsidRPr="00D26E33">
              <w:rPr>
                <w:sz w:val="28"/>
                <w:szCs w:val="28"/>
              </w:rPr>
              <w:t>d) coeficientul de ramură privind utilizarea  încăperii (</w:t>
            </w:r>
            <w:r w:rsidRPr="00D26E33">
              <w:rPr>
                <w:i/>
                <w:iCs/>
                <w:sz w:val="28"/>
                <w:szCs w:val="28"/>
              </w:rPr>
              <w:t>K</w:t>
            </w:r>
            <w:r w:rsidRPr="00D26E33">
              <w:rPr>
                <w:i/>
                <w:iCs/>
                <w:sz w:val="28"/>
                <w:szCs w:val="28"/>
                <w:vertAlign w:val="subscript"/>
              </w:rPr>
              <w:t>3</w:t>
            </w:r>
            <w:r w:rsidRPr="00D26E33">
              <w:rPr>
                <w:sz w:val="28"/>
                <w:szCs w:val="28"/>
              </w:rPr>
              <w:t>):</w:t>
            </w:r>
          </w:p>
        </w:tc>
      </w:tr>
      <w:tr w:rsidR="0078348D" w:rsidRPr="00D26E33" w:rsidTr="00AA7059">
        <w:trPr>
          <w:jc w:val="center"/>
        </w:trPr>
        <w:tc>
          <w:tcPr>
            <w:tcW w:w="9147"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1) ateliere de creaţie ale pictorilor, sculptorilor, ar</w:t>
            </w:r>
            <w:r w:rsidR="00FA1787" w:rsidRPr="00D26E33">
              <w:rPr>
                <w:sz w:val="28"/>
                <w:szCs w:val="28"/>
              </w:rPr>
              <w:t>hitecţilor, meşterilor populari;</w:t>
            </w:r>
            <w:r w:rsidR="00411DA9" w:rsidRPr="00D26E33">
              <w:rPr>
                <w:sz w:val="28"/>
                <w:szCs w:val="28"/>
              </w:rPr>
              <w:t xml:space="preserve"> spatii utilizate de</w:t>
            </w:r>
            <w:r w:rsidRPr="00D26E33">
              <w:rPr>
                <w:sz w:val="28"/>
                <w:szCs w:val="28"/>
              </w:rPr>
              <w:t xml:space="preserve"> chiriaşi în s</w:t>
            </w:r>
            <w:r w:rsidR="00FA1787" w:rsidRPr="00D26E33">
              <w:rPr>
                <w:sz w:val="28"/>
                <w:szCs w:val="28"/>
              </w:rPr>
              <w:t>copuri medicale şi farmaceutice;</w:t>
            </w:r>
            <w:r w:rsidRPr="00D26E33">
              <w:rPr>
                <w:sz w:val="28"/>
                <w:szCs w:val="28"/>
              </w:rPr>
              <w:t xml:space="preserve"> întreprinderi de producţie ale socie</w:t>
            </w:r>
            <w:r w:rsidR="00FA1787" w:rsidRPr="00D26E33">
              <w:rPr>
                <w:sz w:val="28"/>
                <w:szCs w:val="28"/>
              </w:rPr>
              <w:t>tăţilor persoanelor cu handicap;</w:t>
            </w:r>
            <w:r w:rsidRPr="00D26E33">
              <w:rPr>
                <w:sz w:val="28"/>
                <w:szCs w:val="28"/>
              </w:rPr>
              <w:t xml:space="preserve"> spaţii utilizate pentru realizarea acţiunilor în masă din cadrul proiectelor şi programelor finanţate de la bugetul public naţional </w:t>
            </w:r>
          </w:p>
        </w:tc>
        <w:tc>
          <w:tcPr>
            <w:tcW w:w="1169"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2) instituţii finanţate de la bugetul de stat, </w:t>
            </w:r>
            <w:r w:rsidR="00411DA9" w:rsidRPr="00D26E33">
              <w:rPr>
                <w:sz w:val="28"/>
                <w:szCs w:val="28"/>
              </w:rPr>
              <w:t xml:space="preserve">de la </w:t>
            </w:r>
            <w:r w:rsidRPr="00D26E33">
              <w:rPr>
                <w:sz w:val="28"/>
                <w:szCs w:val="28"/>
              </w:rPr>
              <w:t xml:space="preserve">bugetele unităţilor administrativ-teritoriale, </w:t>
            </w:r>
            <w:r w:rsidR="00411DA9" w:rsidRPr="00D26E33">
              <w:rPr>
                <w:sz w:val="28"/>
                <w:szCs w:val="28"/>
              </w:rPr>
              <w:t xml:space="preserve">de la </w:t>
            </w:r>
            <w:r w:rsidRPr="00D26E33">
              <w:rPr>
                <w:sz w:val="28"/>
                <w:szCs w:val="28"/>
              </w:rPr>
              <w:t>bugetul asigurărilor sociale de stat şi din fondurile asigurării obligatorii de asistenţă medic</w:t>
            </w:r>
            <w:r w:rsidR="00DF734D" w:rsidRPr="00D26E33">
              <w:rPr>
                <w:sz w:val="28"/>
                <w:szCs w:val="28"/>
              </w:rPr>
              <w:t>ală, alte persoane juridice de drept public;</w:t>
            </w:r>
            <w:r w:rsidR="009A7270" w:rsidRPr="00D26E33">
              <w:rPr>
                <w:sz w:val="28"/>
                <w:szCs w:val="28"/>
              </w:rPr>
              <w:t xml:space="preserve"> patronate, fundaţii,</w:t>
            </w:r>
            <w:r w:rsidRPr="00D26E33">
              <w:rPr>
                <w:sz w:val="28"/>
                <w:szCs w:val="28"/>
              </w:rPr>
              <w:t xml:space="preserve"> asociaţii obşte</w:t>
            </w:r>
            <w:r w:rsidR="009737EA" w:rsidRPr="00D26E33">
              <w:rPr>
                <w:sz w:val="28"/>
                <w:szCs w:val="28"/>
              </w:rPr>
              <w:t>şti</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0,1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3) </w:t>
            </w:r>
            <w:r w:rsidR="00C87734" w:rsidRPr="00D26E33">
              <w:rPr>
                <w:sz w:val="28"/>
                <w:szCs w:val="28"/>
              </w:rPr>
              <w:t>spaţii pentru laboratoare, pentru instruire, pentru efectuarea de lucrări de cercetare şi proiectare; spaţii pentru prestarea de servicii poştale, sportive şi de întremare a sănătăţii</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0,</w:t>
            </w:r>
            <w:r w:rsidR="002B4B05" w:rsidRPr="00D26E33">
              <w:rPr>
                <w:sz w:val="28"/>
                <w:szCs w:val="28"/>
                <w:lang w:val="ro-RO"/>
              </w:rPr>
              <w:t>2</w:t>
            </w:r>
            <w:r w:rsidRPr="00D26E33">
              <w:rPr>
                <w:sz w:val="28"/>
                <w:szCs w:val="28"/>
                <w:lang w:val="ro-RO"/>
              </w:rPr>
              <w:t xml:space="preserve">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4) </w:t>
            </w:r>
            <w:r w:rsidR="002B4B05" w:rsidRPr="00D26E33">
              <w:rPr>
                <w:sz w:val="28"/>
                <w:szCs w:val="28"/>
              </w:rPr>
              <w:t>garaje, depozite, spaţii tehnice (cu excepţia celor menţionate la poziţia 6) şi alte încăperi auxiliare;</w:t>
            </w:r>
            <w:r w:rsidR="002B4B05" w:rsidRPr="00D26E33">
              <w:rPr>
                <w:i/>
                <w:sz w:val="28"/>
                <w:szCs w:val="28"/>
              </w:rPr>
              <w:t xml:space="preserve"> </w:t>
            </w:r>
            <w:r w:rsidR="000C67A9" w:rsidRPr="00D26E33">
              <w:rPr>
                <w:i/>
                <w:sz w:val="28"/>
                <w:szCs w:val="28"/>
              </w:rPr>
              <w:t xml:space="preserve"> </w:t>
            </w:r>
            <w:r w:rsidRPr="00D26E33">
              <w:rPr>
                <w:sz w:val="28"/>
                <w:szCs w:val="28"/>
              </w:rPr>
              <w:t xml:space="preserve">spaţii pentru prestarea de servicii către populaţie (ateliere de reparaţie a încălţămintei, a îmbrăcămintei şi a obiectelor de uz casnic, frizerii, curăţătorii chimice, puncte de închiriere a obiectelor, băi, birouri de avocaţi)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0,4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5) spaţii folosite pentru comercializarea produselor de panificaţie, a produselor lactate, alimentare şi de cofetărie, a băuturilor nealcoolice; unităţi de alimentaţie publică cu preparare şi comercializare a bucatelor</w:t>
            </w:r>
            <w:r w:rsidR="00C87734" w:rsidRPr="00D26E33">
              <w:rPr>
                <w:sz w:val="28"/>
                <w:szCs w:val="28"/>
              </w:rPr>
              <w:t xml:space="preserve">; </w:t>
            </w:r>
            <w:r w:rsidRPr="00D26E33">
              <w:rPr>
                <w:sz w:val="28"/>
                <w:szCs w:val="28"/>
              </w:rPr>
              <w:t xml:space="preserve">spaţii de producţie; sedii (încăperi) folosite de organele mijloacelor de informare în masă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6) încăperi pentru reparaţia şi deservirea tehnică a automobilelor, a tehnicii de calcul şi a altor utilaje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0,7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7) spaţii folosite î</w:t>
            </w:r>
            <w:r w:rsidR="00B95C9C" w:rsidRPr="00D26E33">
              <w:rPr>
                <w:sz w:val="28"/>
                <w:szCs w:val="28"/>
              </w:rPr>
              <w:t>n scopuri de comerţ, altele decî</w:t>
            </w:r>
            <w:r w:rsidRPr="00D26E33">
              <w:rPr>
                <w:sz w:val="28"/>
                <w:szCs w:val="28"/>
              </w:rPr>
              <w:t xml:space="preserve">t cele prevăzute la poziţia 5)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0,8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B43AE9">
            <w:pPr>
              <w:jc w:val="both"/>
              <w:rPr>
                <w:sz w:val="28"/>
                <w:szCs w:val="28"/>
              </w:rPr>
            </w:pPr>
            <w:r w:rsidRPr="00D26E33">
              <w:rPr>
                <w:sz w:val="28"/>
                <w:szCs w:val="28"/>
              </w:rPr>
              <w:t>8)</w:t>
            </w:r>
            <w:r w:rsidR="00B43AE9">
              <w:rPr>
                <w:sz w:val="28"/>
                <w:szCs w:val="28"/>
              </w:rPr>
              <w:t xml:space="preserve"> încăperi</w:t>
            </w:r>
            <w:r w:rsidR="00B7071F">
              <w:rPr>
                <w:sz w:val="28"/>
                <w:szCs w:val="28"/>
              </w:rPr>
              <w:t xml:space="preserve"> folosite pentru </w:t>
            </w:r>
            <w:r w:rsidRPr="00D26E33">
              <w:rPr>
                <w:sz w:val="28"/>
                <w:szCs w:val="28"/>
              </w:rPr>
              <w:t xml:space="preserve">jocuri electronice, jocuri computerizate şi alte jocuri distractive pentru copii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1,2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9) încăperi utilizate în calitate de oficii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1,5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B7071F">
            <w:pPr>
              <w:jc w:val="both"/>
              <w:rPr>
                <w:sz w:val="28"/>
                <w:szCs w:val="28"/>
              </w:rPr>
            </w:pPr>
            <w:r w:rsidRPr="00D26E33">
              <w:rPr>
                <w:sz w:val="28"/>
                <w:szCs w:val="28"/>
              </w:rPr>
              <w:t xml:space="preserve">10) instituţii financiare, burse, </w:t>
            </w:r>
            <w:r w:rsidR="00B7071F">
              <w:rPr>
                <w:sz w:val="28"/>
                <w:szCs w:val="28"/>
              </w:rPr>
              <w:t>companii</w:t>
            </w:r>
            <w:r w:rsidRPr="00D26E33">
              <w:rPr>
                <w:sz w:val="28"/>
                <w:szCs w:val="28"/>
              </w:rPr>
              <w:t xml:space="preserve"> de asigurare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2,0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11) restauran</w:t>
            </w:r>
            <w:r w:rsidR="00585D93" w:rsidRPr="00D26E33">
              <w:rPr>
                <w:sz w:val="28"/>
                <w:szCs w:val="28"/>
              </w:rPr>
              <w:t>te, baruri, cafenele cu servire a</w:t>
            </w:r>
            <w:r w:rsidRPr="00D26E33">
              <w:rPr>
                <w:sz w:val="28"/>
                <w:szCs w:val="28"/>
              </w:rPr>
              <w:t xml:space="preserve"> băuturilor alcoolice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2,5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AC012B">
            <w:pPr>
              <w:jc w:val="both"/>
              <w:rPr>
                <w:sz w:val="28"/>
                <w:szCs w:val="28"/>
              </w:rPr>
            </w:pPr>
            <w:r w:rsidRPr="00D26E33">
              <w:rPr>
                <w:sz w:val="28"/>
                <w:szCs w:val="28"/>
              </w:rPr>
              <w:t xml:space="preserve">12) case de schimb valutar, puncte de înregistrare video şi de închiriere a producţiei video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3,0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B7071F">
            <w:pPr>
              <w:jc w:val="both"/>
              <w:rPr>
                <w:sz w:val="28"/>
                <w:szCs w:val="28"/>
              </w:rPr>
            </w:pPr>
            <w:r w:rsidRPr="00D26E33">
              <w:rPr>
                <w:sz w:val="28"/>
                <w:szCs w:val="28"/>
              </w:rPr>
              <w:t xml:space="preserve">13) </w:t>
            </w:r>
            <w:r w:rsidR="00C778DB">
              <w:rPr>
                <w:sz w:val="28"/>
                <w:szCs w:val="28"/>
              </w:rPr>
              <w:t>încăperi</w:t>
            </w:r>
            <w:r w:rsidR="00B7071F">
              <w:rPr>
                <w:sz w:val="28"/>
                <w:szCs w:val="28"/>
              </w:rPr>
              <w:t xml:space="preserve"> folosite</w:t>
            </w:r>
            <w:r w:rsidRPr="00D26E33">
              <w:rPr>
                <w:sz w:val="28"/>
                <w:szCs w:val="28"/>
              </w:rPr>
              <w:t xml:space="preserve"> pentru jocuri de noroc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rg"/>
              <w:rPr>
                <w:sz w:val="28"/>
                <w:szCs w:val="28"/>
                <w:lang w:val="ro-RO"/>
              </w:rPr>
            </w:pPr>
            <w:r w:rsidRPr="00D26E33">
              <w:rPr>
                <w:sz w:val="28"/>
                <w:szCs w:val="28"/>
                <w:lang w:val="ro-RO"/>
              </w:rPr>
              <w:t xml:space="preserve">4,0 </w:t>
            </w:r>
          </w:p>
        </w:tc>
      </w:tr>
      <w:tr w:rsidR="0078348D" w:rsidRPr="00D26E33" w:rsidTr="00223F10">
        <w:trPr>
          <w:jc w:val="center"/>
        </w:trPr>
        <w:tc>
          <w:tcPr>
            <w:tcW w:w="91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9856F5" w:rsidP="00AC012B">
            <w:pPr>
              <w:jc w:val="both"/>
              <w:rPr>
                <w:sz w:val="28"/>
                <w:szCs w:val="28"/>
              </w:rPr>
            </w:pPr>
            <w:r w:rsidRPr="00D26E33">
              <w:rPr>
                <w:sz w:val="28"/>
                <w:szCs w:val="28"/>
              </w:rPr>
              <w:t>14) încăperi cu altă</w:t>
            </w:r>
            <w:r w:rsidR="0078348D" w:rsidRPr="00D26E33">
              <w:rPr>
                <w:sz w:val="28"/>
                <w:szCs w:val="28"/>
              </w:rPr>
              <w:t xml:space="preserve"> destinaţie decît cele enumerate la poziţiile 1)-13) </w:t>
            </w:r>
          </w:p>
        </w:tc>
        <w:tc>
          <w:tcPr>
            <w:tcW w:w="116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41463D">
            <w:pPr>
              <w:pStyle w:val="rg"/>
              <w:rPr>
                <w:sz w:val="28"/>
                <w:szCs w:val="28"/>
                <w:lang w:val="ro-RO"/>
              </w:rPr>
            </w:pPr>
            <w:r w:rsidRPr="00D26E33">
              <w:rPr>
                <w:sz w:val="28"/>
                <w:szCs w:val="28"/>
                <w:lang w:val="ro-RO"/>
              </w:rPr>
              <w:t xml:space="preserve">1,0 </w:t>
            </w:r>
          </w:p>
        </w:tc>
      </w:tr>
    </w:tbl>
    <w:p w:rsidR="0078348D" w:rsidRPr="00D26E33" w:rsidRDefault="0078348D"/>
    <w:p w:rsidR="0078348D" w:rsidRPr="00D26E33" w:rsidRDefault="0078348D" w:rsidP="0078348D">
      <w:pPr>
        <w:pStyle w:val="NormalWeb"/>
        <w:rPr>
          <w:sz w:val="28"/>
          <w:szCs w:val="28"/>
          <w:lang w:val="ro-RO"/>
        </w:rPr>
      </w:pPr>
      <w:r w:rsidRPr="00D26E33">
        <w:rPr>
          <w:sz w:val="28"/>
          <w:szCs w:val="28"/>
          <w:lang w:val="ro-RO"/>
        </w:rPr>
        <w:t>e) coeficientul de piaţă (</w:t>
      </w:r>
      <w:r w:rsidRPr="00D26E33">
        <w:rPr>
          <w:i/>
          <w:iCs/>
          <w:sz w:val="28"/>
          <w:szCs w:val="28"/>
          <w:lang w:val="ro-RO"/>
        </w:rPr>
        <w:t>K</w:t>
      </w:r>
      <w:r w:rsidRPr="00D26E33">
        <w:rPr>
          <w:i/>
          <w:iCs/>
          <w:sz w:val="28"/>
          <w:szCs w:val="28"/>
          <w:vertAlign w:val="subscript"/>
          <w:lang w:val="ro-RO"/>
        </w:rPr>
        <w:t>4</w:t>
      </w:r>
      <w:r w:rsidRPr="00D26E33">
        <w:rPr>
          <w:sz w:val="28"/>
          <w:szCs w:val="28"/>
          <w:lang w:val="ro-RO"/>
        </w:rPr>
        <w:t>) se stabileşte prin înţelegere</w:t>
      </w:r>
      <w:r w:rsidR="00123BFD" w:rsidRPr="00D26E33">
        <w:rPr>
          <w:sz w:val="28"/>
          <w:szCs w:val="28"/>
          <w:lang w:val="ro-RO"/>
        </w:rPr>
        <w:t xml:space="preserve"> </w:t>
      </w:r>
      <w:r w:rsidRPr="00D26E33">
        <w:rPr>
          <w:sz w:val="28"/>
          <w:szCs w:val="28"/>
          <w:lang w:val="ro-RO"/>
        </w:rPr>
        <w:t>a părţilor şi nu poate fi mai mic de 1,0, iar pentru genurile de activitate desfăşurate în încăperile menţionate la lit.d) poziţiile 1)–6)</w:t>
      </w:r>
      <w:r w:rsidR="00123BFD" w:rsidRPr="00D26E33">
        <w:rPr>
          <w:sz w:val="28"/>
          <w:szCs w:val="28"/>
          <w:lang w:val="ro-RO"/>
        </w:rPr>
        <w:t>,</w:t>
      </w:r>
      <w:r w:rsidR="004F43E3" w:rsidRPr="00D26E33">
        <w:rPr>
          <w:sz w:val="28"/>
          <w:szCs w:val="28"/>
          <w:lang w:val="ro-RO"/>
        </w:rPr>
        <w:t xml:space="preserve"> el</w:t>
      </w:r>
      <w:r w:rsidRPr="00D26E33">
        <w:rPr>
          <w:sz w:val="28"/>
          <w:szCs w:val="28"/>
          <w:lang w:val="ro-RO"/>
        </w:rPr>
        <w:t xml:space="preserve"> nu poate fi mai mic de 0,5, excepţie făcînd încăperile folosite de  organele mijloacelor de informare în masă, pentru care </w:t>
      </w:r>
      <w:r w:rsidR="00FC5D41" w:rsidRPr="00D26E33">
        <w:rPr>
          <w:sz w:val="28"/>
          <w:szCs w:val="28"/>
          <w:lang w:val="ro-RO"/>
        </w:rPr>
        <w:t>coeficientul de piaţă va fi de 1,0</w:t>
      </w:r>
      <w:r w:rsidRPr="00D26E33">
        <w:rPr>
          <w:sz w:val="28"/>
          <w:szCs w:val="28"/>
          <w:lang w:val="ro-RO"/>
        </w:rPr>
        <w:t>, spaţiile utilizate pentru realizarea acţiunilor în masă din cadrul proiectelor şi programelor finanţate de la bugetul public naţional şi spaţiile folosite de către uniunile de creaţie, pentru care coeficientul de piaţă se stabileşte în mărime de 0,1. L</w:t>
      </w:r>
      <w:r w:rsidR="004F43E3" w:rsidRPr="00D26E33">
        <w:rPr>
          <w:sz w:val="28"/>
          <w:szCs w:val="28"/>
          <w:lang w:val="ro-RO"/>
        </w:rPr>
        <w:t>a stabilirea acestui coeficient</w:t>
      </w:r>
      <w:r w:rsidRPr="00D26E33">
        <w:rPr>
          <w:sz w:val="28"/>
          <w:szCs w:val="28"/>
          <w:lang w:val="ro-RO"/>
        </w:rPr>
        <w:t xml:space="preserve"> trebuie să se ţină cont de cererea şi </w:t>
      </w:r>
      <w:r w:rsidR="00123BFD" w:rsidRPr="00D26E33">
        <w:rPr>
          <w:sz w:val="28"/>
          <w:szCs w:val="28"/>
          <w:lang w:val="ro-RO"/>
        </w:rPr>
        <w:t xml:space="preserve">de </w:t>
      </w:r>
      <w:r w:rsidRPr="00D26E33">
        <w:rPr>
          <w:sz w:val="28"/>
          <w:szCs w:val="28"/>
          <w:lang w:val="ro-RO"/>
        </w:rPr>
        <w:t xml:space="preserve">oferta spaţiilor ce ar putea fi </w:t>
      </w:r>
      <w:r w:rsidR="00B85F76" w:rsidRPr="00D26E33">
        <w:rPr>
          <w:sz w:val="28"/>
          <w:szCs w:val="28"/>
          <w:lang w:val="ro-RO"/>
        </w:rPr>
        <w:t>date în chirie</w:t>
      </w:r>
      <w:r w:rsidRPr="00D26E33">
        <w:rPr>
          <w:sz w:val="28"/>
          <w:szCs w:val="28"/>
          <w:lang w:val="ro-RO"/>
        </w:rPr>
        <w:t>, de posibilitatea utilizării terenului aferent, de caracteristicile teritorial-</w:t>
      </w:r>
      <w:r w:rsidRPr="00D26E33">
        <w:rPr>
          <w:sz w:val="28"/>
          <w:szCs w:val="28"/>
          <w:lang w:val="ro-RO"/>
        </w:rPr>
        <w:lastRenderedPageBreak/>
        <w:t>economice ale zonei şi de alte cri</w:t>
      </w:r>
      <w:r w:rsidR="00123BFD" w:rsidRPr="00D26E33">
        <w:rPr>
          <w:sz w:val="28"/>
          <w:szCs w:val="28"/>
          <w:lang w:val="ro-RO"/>
        </w:rPr>
        <w:t>terii calitative</w:t>
      </w:r>
      <w:r w:rsidRPr="00D26E33">
        <w:rPr>
          <w:sz w:val="28"/>
          <w:szCs w:val="28"/>
          <w:lang w:val="ro-RO"/>
        </w:rPr>
        <w:t>, necu</w:t>
      </w:r>
      <w:r w:rsidR="00123BFD" w:rsidRPr="00D26E33">
        <w:rPr>
          <w:sz w:val="28"/>
          <w:szCs w:val="28"/>
          <w:lang w:val="ro-RO"/>
        </w:rPr>
        <w:t>prinse în coeficienţii aplicaţi, ale încăperilor.</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În cazul în care se </w:t>
      </w:r>
      <w:r w:rsidR="00B85F76" w:rsidRPr="00D26E33">
        <w:rPr>
          <w:sz w:val="28"/>
          <w:szCs w:val="28"/>
          <w:lang w:val="ro-RO"/>
        </w:rPr>
        <w:t xml:space="preserve">dau în </w:t>
      </w:r>
      <w:r w:rsidR="007C2FD5" w:rsidRPr="00D26E33">
        <w:rPr>
          <w:sz w:val="28"/>
          <w:szCs w:val="28"/>
          <w:lang w:val="ro-RO"/>
        </w:rPr>
        <w:t>locațiune</w:t>
      </w:r>
      <w:r w:rsidR="00EF0769" w:rsidRPr="00D26E33">
        <w:rPr>
          <w:sz w:val="28"/>
          <w:szCs w:val="28"/>
          <w:lang w:val="ro-RO"/>
        </w:rPr>
        <w:t xml:space="preserve"> </w:t>
      </w:r>
      <w:r w:rsidRPr="00D26E33">
        <w:rPr>
          <w:sz w:val="28"/>
          <w:szCs w:val="28"/>
          <w:lang w:val="ro-RO"/>
        </w:rPr>
        <w:t>mai multe încăperi cu diferite condiţii de amplasare şi de amenajare tehnică sau încăperi care vor fi utilizate în diverse scopuri, cuantumul total al chiriei se con</w:t>
      </w:r>
      <w:r w:rsidR="00123BFD" w:rsidRPr="00D26E33">
        <w:rPr>
          <w:sz w:val="28"/>
          <w:szCs w:val="28"/>
          <w:lang w:val="ro-RO"/>
        </w:rPr>
        <w:t>stituie din suma chiriilor</w:t>
      </w:r>
      <w:r w:rsidRPr="00D26E33">
        <w:rPr>
          <w:sz w:val="28"/>
          <w:szCs w:val="28"/>
          <w:lang w:val="ro-RO"/>
        </w:rPr>
        <w:t xml:space="preserve"> calculate pentru fiecare încăpere sau grup de încăperi. </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D6654B" w:rsidP="0078348D">
      <w:pPr>
        <w:pStyle w:val="NormalWeb"/>
        <w:rPr>
          <w:sz w:val="28"/>
          <w:szCs w:val="28"/>
          <w:lang w:val="ro-RO"/>
        </w:rPr>
      </w:pPr>
      <w:r w:rsidRPr="00D26E33">
        <w:rPr>
          <w:sz w:val="28"/>
          <w:szCs w:val="28"/>
          <w:lang w:val="ro-RO"/>
        </w:rPr>
        <w:t>2. Cuantumul chiriei</w:t>
      </w:r>
      <w:r w:rsidR="0078348D" w:rsidRPr="00D26E33">
        <w:rPr>
          <w:sz w:val="28"/>
          <w:szCs w:val="28"/>
          <w:lang w:val="ro-RO"/>
        </w:rPr>
        <w:t xml:space="preserve"> anuale pentru utilajul, mijloacele de transport şi alte </w:t>
      </w:r>
      <w:r w:rsidR="00C82881" w:rsidRPr="00D26E33">
        <w:rPr>
          <w:sz w:val="28"/>
          <w:szCs w:val="28"/>
          <w:lang w:val="ro-RO"/>
        </w:rPr>
        <w:t>mijloace fixe</w:t>
      </w:r>
      <w:r w:rsidR="00C82881" w:rsidRPr="00D26E33">
        <w:rPr>
          <w:color w:val="00B050"/>
          <w:sz w:val="28"/>
          <w:szCs w:val="28"/>
          <w:lang w:val="ro-RO"/>
        </w:rPr>
        <w:t xml:space="preserve"> </w:t>
      </w:r>
      <w:r w:rsidR="0078348D" w:rsidRPr="00D26E33">
        <w:rPr>
          <w:sz w:val="28"/>
          <w:szCs w:val="28"/>
          <w:lang w:val="ro-RO"/>
        </w:rPr>
        <w:t xml:space="preserve">(denumite în continuare </w:t>
      </w:r>
      <w:r w:rsidR="0078348D" w:rsidRPr="00D26E33">
        <w:rPr>
          <w:i/>
          <w:iCs/>
          <w:sz w:val="28"/>
          <w:szCs w:val="28"/>
          <w:lang w:val="ro-RO"/>
        </w:rPr>
        <w:t>utilaj</w:t>
      </w:r>
      <w:r w:rsidR="00F07806" w:rsidRPr="00D26E33">
        <w:rPr>
          <w:sz w:val="28"/>
          <w:szCs w:val="28"/>
          <w:lang w:val="ro-RO"/>
        </w:rPr>
        <w:t>)</w:t>
      </w:r>
      <w:r w:rsidR="00961E9D" w:rsidRPr="00D26E33">
        <w:rPr>
          <w:sz w:val="28"/>
          <w:szCs w:val="28"/>
          <w:lang w:val="ro-RO"/>
        </w:rPr>
        <w:t xml:space="preserve"> </w:t>
      </w:r>
      <w:r w:rsidR="00B85F76" w:rsidRPr="00D26E33">
        <w:rPr>
          <w:sz w:val="28"/>
          <w:szCs w:val="28"/>
          <w:lang w:val="ro-RO"/>
        </w:rPr>
        <w:t>date</w:t>
      </w:r>
      <w:r w:rsidR="006010DF" w:rsidRPr="00D26E33">
        <w:rPr>
          <w:sz w:val="28"/>
          <w:szCs w:val="28"/>
          <w:lang w:val="ro-RO"/>
        </w:rPr>
        <w:t xml:space="preserve"> </w:t>
      </w:r>
      <w:r w:rsidR="00F07806" w:rsidRPr="00D26E33">
        <w:rPr>
          <w:sz w:val="28"/>
          <w:szCs w:val="28"/>
          <w:lang w:val="ro-RO"/>
        </w:rPr>
        <w:t>î</w:t>
      </w:r>
      <w:r w:rsidRPr="00D26E33">
        <w:rPr>
          <w:sz w:val="28"/>
          <w:szCs w:val="28"/>
          <w:lang w:val="ro-RO"/>
        </w:rPr>
        <w:t>n locaţiun</w:t>
      </w:r>
      <w:r w:rsidR="00123BFD" w:rsidRPr="00D26E33">
        <w:rPr>
          <w:sz w:val="28"/>
          <w:szCs w:val="28"/>
          <w:lang w:val="ro-RO"/>
        </w:rPr>
        <w:t>e se calculează după</w:t>
      </w:r>
      <w:r w:rsidR="0078348D" w:rsidRPr="00D26E33">
        <w:rPr>
          <w:sz w:val="28"/>
          <w:szCs w:val="28"/>
          <w:lang w:val="ro-RO"/>
        </w:rPr>
        <w:t xml:space="preserve"> formula: </w:t>
      </w:r>
    </w:p>
    <w:p w:rsidR="0078348D" w:rsidRPr="00D26E33" w:rsidRDefault="0078348D" w:rsidP="0078348D">
      <w:pPr>
        <w:pStyle w:val="NormalWeb"/>
        <w:rPr>
          <w:i/>
          <w:sz w:val="28"/>
          <w:szCs w:val="28"/>
          <w:lang w:val="ro-RO"/>
        </w:rPr>
      </w:pPr>
      <w:r w:rsidRPr="00D26E33">
        <w:rPr>
          <w:i/>
          <w:iCs/>
          <w:sz w:val="28"/>
          <w:szCs w:val="28"/>
          <w:lang w:val="ro-RO"/>
        </w:rPr>
        <w:t>P</w:t>
      </w:r>
      <w:r w:rsidRPr="00D26E33">
        <w:rPr>
          <w:i/>
          <w:iCs/>
          <w:sz w:val="28"/>
          <w:szCs w:val="28"/>
          <w:vertAlign w:val="subscript"/>
          <w:lang w:val="ro-RO"/>
        </w:rPr>
        <w:t>au</w:t>
      </w:r>
      <w:r w:rsidRPr="00D26E33">
        <w:rPr>
          <w:i/>
          <w:iCs/>
          <w:sz w:val="28"/>
          <w:szCs w:val="28"/>
          <w:lang w:val="ro-RO"/>
        </w:rPr>
        <w:t xml:space="preserve"> </w:t>
      </w:r>
      <w:r w:rsidRPr="00D26E33">
        <w:rPr>
          <w:i/>
          <w:sz w:val="28"/>
          <w:szCs w:val="28"/>
          <w:lang w:val="ro-RO"/>
        </w:rPr>
        <w:t xml:space="preserve">= </w:t>
      </w:r>
      <w:r w:rsidRPr="00D26E33">
        <w:rPr>
          <w:i/>
          <w:iCs/>
          <w:sz w:val="28"/>
          <w:szCs w:val="28"/>
          <w:lang w:val="ro-RO"/>
        </w:rPr>
        <w:t>U</w:t>
      </w:r>
      <w:r w:rsidRPr="00D26E33">
        <w:rPr>
          <w:i/>
          <w:iCs/>
          <w:sz w:val="28"/>
          <w:szCs w:val="28"/>
          <w:vertAlign w:val="subscript"/>
          <w:lang w:val="ro-RO"/>
        </w:rPr>
        <w:t>a</w:t>
      </w:r>
      <w:r w:rsidRPr="00D26E33">
        <w:rPr>
          <w:i/>
          <w:iCs/>
          <w:sz w:val="28"/>
          <w:szCs w:val="28"/>
          <w:lang w:val="ro-RO"/>
        </w:rPr>
        <w:t xml:space="preserve"> </w:t>
      </w:r>
      <w:r w:rsidR="00E61883" w:rsidRPr="00D26E33">
        <w:rPr>
          <w:i/>
          <w:sz w:val="28"/>
          <w:szCs w:val="28"/>
          <w:lang w:val="ro-RO"/>
        </w:rPr>
        <w:t>x</w:t>
      </w:r>
      <w:r w:rsidRPr="00D26E33">
        <w:rPr>
          <w:i/>
          <w:sz w:val="28"/>
          <w:szCs w:val="28"/>
          <w:lang w:val="ro-RO"/>
        </w:rPr>
        <w:t xml:space="preserve"> </w:t>
      </w:r>
      <w:r w:rsidRPr="00D26E33">
        <w:rPr>
          <w:i/>
          <w:iCs/>
          <w:sz w:val="28"/>
          <w:szCs w:val="28"/>
          <w:lang w:val="ro-RO"/>
        </w:rPr>
        <w:t>K</w:t>
      </w:r>
      <w:r w:rsidRPr="00D26E33">
        <w:rPr>
          <w:i/>
          <w:iCs/>
          <w:sz w:val="28"/>
          <w:szCs w:val="28"/>
          <w:vertAlign w:val="subscript"/>
          <w:lang w:val="ro-RO"/>
        </w:rPr>
        <w:t>1</w:t>
      </w:r>
      <w:r w:rsidRPr="00D26E33">
        <w:rPr>
          <w:i/>
          <w:sz w:val="28"/>
          <w:szCs w:val="28"/>
          <w:lang w:val="ro-RO"/>
        </w:rPr>
        <w:t xml:space="preserve"> x </w:t>
      </w:r>
      <w:r w:rsidRPr="00D26E33">
        <w:rPr>
          <w:i/>
          <w:iCs/>
          <w:sz w:val="28"/>
          <w:szCs w:val="28"/>
          <w:lang w:val="ro-RO"/>
        </w:rPr>
        <w:t>K</w:t>
      </w:r>
      <w:r w:rsidRPr="00D26E33">
        <w:rPr>
          <w:i/>
          <w:iCs/>
          <w:sz w:val="28"/>
          <w:szCs w:val="28"/>
          <w:vertAlign w:val="subscript"/>
          <w:lang w:val="ro-RO"/>
        </w:rPr>
        <w:t>2</w:t>
      </w:r>
      <w:r w:rsidRPr="00D26E33">
        <w:rPr>
          <w:i/>
          <w:sz w:val="28"/>
          <w:szCs w:val="28"/>
          <w:lang w:val="ro-RO"/>
        </w:rPr>
        <w:t xml:space="preserve"> + </w:t>
      </w:r>
      <w:r w:rsidRPr="00D26E33">
        <w:rPr>
          <w:i/>
          <w:iCs/>
          <w:sz w:val="28"/>
          <w:szCs w:val="28"/>
          <w:lang w:val="ro-RO"/>
        </w:rPr>
        <w:t>Q</w:t>
      </w:r>
      <w:r w:rsidRPr="00D26E33">
        <w:rPr>
          <w:i/>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în care: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au</w:t>
      </w:r>
      <w:r w:rsidR="00D6654B" w:rsidRPr="00D26E33">
        <w:rPr>
          <w:sz w:val="28"/>
          <w:szCs w:val="28"/>
          <w:lang w:val="ro-RO"/>
        </w:rPr>
        <w:t xml:space="preserve"> - cuantumul chiriei anuale pentru utilajul </w:t>
      </w:r>
      <w:r w:rsidR="00B85F76" w:rsidRPr="00D26E33">
        <w:rPr>
          <w:sz w:val="28"/>
          <w:szCs w:val="28"/>
          <w:lang w:val="ro-RO"/>
        </w:rPr>
        <w:t xml:space="preserve">dat </w:t>
      </w:r>
      <w:r w:rsidR="00D6654B" w:rsidRPr="00D26E33">
        <w:rPr>
          <w:sz w:val="28"/>
          <w:szCs w:val="28"/>
          <w:lang w:val="ro-RO"/>
        </w:rPr>
        <w:t>în locaţiune</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i/>
          <w:iCs/>
          <w:sz w:val="28"/>
          <w:szCs w:val="28"/>
          <w:lang w:val="ro-RO"/>
        </w:rPr>
        <w:t>U</w:t>
      </w:r>
      <w:r w:rsidRPr="00D26E33">
        <w:rPr>
          <w:i/>
          <w:iCs/>
          <w:sz w:val="28"/>
          <w:szCs w:val="28"/>
          <w:vertAlign w:val="subscript"/>
          <w:lang w:val="ro-RO"/>
        </w:rPr>
        <w:t>a</w:t>
      </w:r>
      <w:r w:rsidRPr="00D26E33">
        <w:rPr>
          <w:i/>
          <w:iCs/>
          <w:sz w:val="28"/>
          <w:szCs w:val="28"/>
          <w:lang w:val="ro-RO"/>
        </w:rPr>
        <w:t xml:space="preserve"> </w:t>
      </w:r>
      <w:r w:rsidR="00FB03D0" w:rsidRPr="00D26E33">
        <w:rPr>
          <w:i/>
          <w:iCs/>
          <w:sz w:val="28"/>
          <w:szCs w:val="28"/>
          <w:lang w:val="ro-RO"/>
        </w:rPr>
        <w:t>–</w:t>
      </w:r>
      <w:r w:rsidRPr="00D26E33">
        <w:rPr>
          <w:i/>
          <w:iCs/>
          <w:sz w:val="28"/>
          <w:szCs w:val="28"/>
          <w:lang w:val="ro-RO"/>
        </w:rPr>
        <w:t xml:space="preserve"> </w:t>
      </w:r>
      <w:r w:rsidR="00FD447F" w:rsidRPr="00D26E33">
        <w:rPr>
          <w:sz w:val="28"/>
          <w:szCs w:val="28"/>
          <w:lang w:val="ro-RO"/>
        </w:rPr>
        <w:t>amortizarea</w:t>
      </w:r>
      <w:r w:rsidR="009948D1" w:rsidRPr="00D26E33">
        <w:rPr>
          <w:sz w:val="28"/>
          <w:szCs w:val="28"/>
          <w:lang w:val="ro-RO"/>
        </w:rPr>
        <w:t>/uzura</w:t>
      </w:r>
      <w:r w:rsidRPr="00D26E33">
        <w:rPr>
          <w:sz w:val="28"/>
          <w:szCs w:val="28"/>
          <w:lang w:val="ro-RO"/>
        </w:rPr>
        <w:t xml:space="preserve"> a</w:t>
      </w:r>
      <w:r w:rsidR="00D6654B" w:rsidRPr="00D26E33">
        <w:rPr>
          <w:sz w:val="28"/>
          <w:szCs w:val="28"/>
          <w:lang w:val="ro-RO"/>
        </w:rPr>
        <w:t>nuală a utilajului</w:t>
      </w:r>
      <w:r w:rsidR="00C82881" w:rsidRPr="00D26E33">
        <w:rPr>
          <w:sz w:val="28"/>
          <w:szCs w:val="28"/>
          <w:lang w:val="ro-RO"/>
        </w:rPr>
        <w:t xml:space="preserve"> </w:t>
      </w:r>
      <w:r w:rsidR="00B85F76" w:rsidRPr="00D26E33">
        <w:rPr>
          <w:sz w:val="28"/>
          <w:szCs w:val="28"/>
          <w:lang w:val="ro-RO"/>
        </w:rPr>
        <w:t>dat</w:t>
      </w:r>
      <w:r w:rsidR="006010DF" w:rsidRPr="00D26E33">
        <w:rPr>
          <w:sz w:val="28"/>
          <w:szCs w:val="28"/>
          <w:lang w:val="ro-RO"/>
        </w:rPr>
        <w:t xml:space="preserve"> </w:t>
      </w:r>
      <w:r w:rsidR="00D6654B" w:rsidRPr="00D26E33">
        <w:rPr>
          <w:sz w:val="28"/>
          <w:szCs w:val="28"/>
          <w:lang w:val="ro-RO"/>
        </w:rPr>
        <w:t>în locaţiune</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1</w:t>
      </w:r>
      <w:r w:rsidRPr="00D26E33">
        <w:rPr>
          <w:i/>
          <w:iCs/>
          <w:sz w:val="28"/>
          <w:szCs w:val="28"/>
          <w:lang w:val="ro-RO"/>
        </w:rPr>
        <w:t xml:space="preserve"> - </w:t>
      </w:r>
      <w:r w:rsidRPr="00D26E33">
        <w:rPr>
          <w:sz w:val="28"/>
          <w:szCs w:val="28"/>
          <w:lang w:val="ro-RO"/>
        </w:rPr>
        <w:t xml:space="preserve">coeficientul de calcul; </w:t>
      </w:r>
    </w:p>
    <w:p w:rsidR="0078348D" w:rsidRPr="00D26E33" w:rsidRDefault="0078348D" w:rsidP="0078348D">
      <w:pPr>
        <w:pStyle w:val="NormalWeb"/>
        <w:rPr>
          <w:sz w:val="28"/>
          <w:szCs w:val="28"/>
          <w:lang w:val="ro-RO"/>
        </w:rPr>
      </w:pPr>
      <w:r w:rsidRPr="00D26E33">
        <w:rPr>
          <w:i/>
          <w:iCs/>
          <w:sz w:val="28"/>
          <w:szCs w:val="28"/>
          <w:lang w:val="ro-RO"/>
        </w:rPr>
        <w:t>K</w:t>
      </w:r>
      <w:r w:rsidRPr="00D26E33">
        <w:rPr>
          <w:i/>
          <w:iCs/>
          <w:sz w:val="28"/>
          <w:szCs w:val="28"/>
          <w:vertAlign w:val="subscript"/>
          <w:lang w:val="ro-RO"/>
        </w:rPr>
        <w:t>2</w:t>
      </w:r>
      <w:r w:rsidRPr="00D26E33">
        <w:rPr>
          <w:sz w:val="28"/>
          <w:szCs w:val="28"/>
          <w:lang w:val="ro-RO"/>
        </w:rPr>
        <w:t xml:space="preserve"> - coeficientul de piaţă; </w:t>
      </w:r>
    </w:p>
    <w:p w:rsidR="0034646E" w:rsidRPr="00D26E33" w:rsidRDefault="0078348D" w:rsidP="0078348D">
      <w:pPr>
        <w:pStyle w:val="NormalWeb"/>
        <w:rPr>
          <w:sz w:val="28"/>
          <w:szCs w:val="28"/>
          <w:lang w:val="ro-RO"/>
        </w:rPr>
      </w:pPr>
      <w:r w:rsidRPr="00D26E33">
        <w:rPr>
          <w:i/>
          <w:iCs/>
          <w:sz w:val="28"/>
          <w:szCs w:val="28"/>
          <w:lang w:val="ro-RO"/>
        </w:rPr>
        <w:t xml:space="preserve">Q </w:t>
      </w:r>
      <w:r w:rsidRPr="00D26E33">
        <w:rPr>
          <w:sz w:val="28"/>
          <w:szCs w:val="28"/>
          <w:lang w:val="ro-RO"/>
        </w:rPr>
        <w:t xml:space="preserve">- </w:t>
      </w:r>
      <w:r w:rsidR="00AB2B60" w:rsidRPr="00D26E33">
        <w:rPr>
          <w:sz w:val="28"/>
          <w:szCs w:val="28"/>
          <w:lang w:val="ro-RO"/>
        </w:rPr>
        <w:t>che</w:t>
      </w:r>
      <w:r w:rsidR="00B60303" w:rsidRPr="00D26E33">
        <w:rPr>
          <w:sz w:val="28"/>
          <w:szCs w:val="28"/>
          <w:lang w:val="ro-RO"/>
        </w:rPr>
        <w:t xml:space="preserve">ltuielile </w:t>
      </w:r>
      <w:r w:rsidR="00631A5A" w:rsidRPr="00D26E33">
        <w:rPr>
          <w:sz w:val="28"/>
          <w:szCs w:val="28"/>
          <w:lang w:val="ro-RO"/>
        </w:rPr>
        <w:t xml:space="preserve">de </w:t>
      </w:r>
      <w:r w:rsidR="00763EB7" w:rsidRPr="00D26E33">
        <w:rPr>
          <w:sz w:val="28"/>
          <w:szCs w:val="28"/>
          <w:lang w:val="ro-RO"/>
        </w:rPr>
        <w:t xml:space="preserve"> întreţinere</w:t>
      </w:r>
      <w:r w:rsidRPr="00D26E33">
        <w:rPr>
          <w:sz w:val="28"/>
          <w:szCs w:val="28"/>
          <w:lang w:val="ro-RO"/>
        </w:rPr>
        <w:t xml:space="preserve"> şi </w:t>
      </w:r>
      <w:r w:rsidR="00763EB7" w:rsidRPr="00D26E33">
        <w:rPr>
          <w:sz w:val="28"/>
          <w:szCs w:val="28"/>
          <w:lang w:val="ro-RO"/>
        </w:rPr>
        <w:t xml:space="preserve">de </w:t>
      </w:r>
      <w:r w:rsidRPr="00D26E33">
        <w:rPr>
          <w:sz w:val="28"/>
          <w:szCs w:val="28"/>
          <w:lang w:val="ro-RO"/>
        </w:rPr>
        <w:t>expl</w:t>
      </w:r>
      <w:r w:rsidR="00763EB7" w:rsidRPr="00D26E33">
        <w:rPr>
          <w:sz w:val="28"/>
          <w:szCs w:val="28"/>
          <w:lang w:val="ro-RO"/>
        </w:rPr>
        <w:t>oatare</w:t>
      </w:r>
      <w:r w:rsidR="00B60303" w:rsidRPr="00D26E33">
        <w:rPr>
          <w:sz w:val="28"/>
          <w:szCs w:val="28"/>
          <w:lang w:val="ro-RO"/>
        </w:rPr>
        <w:t xml:space="preserve"> </w:t>
      </w:r>
      <w:r w:rsidR="00763EB7" w:rsidRPr="00D26E33">
        <w:rPr>
          <w:sz w:val="28"/>
          <w:szCs w:val="28"/>
          <w:lang w:val="ro-RO"/>
        </w:rPr>
        <w:t xml:space="preserve">a </w:t>
      </w:r>
      <w:r w:rsidR="00B60303" w:rsidRPr="00D26E33">
        <w:rPr>
          <w:sz w:val="28"/>
          <w:szCs w:val="28"/>
          <w:lang w:val="ro-RO"/>
        </w:rPr>
        <w:t xml:space="preserve">utilajului </w:t>
      </w:r>
      <w:r w:rsidR="00B85F76" w:rsidRPr="00D26E33">
        <w:rPr>
          <w:sz w:val="28"/>
          <w:szCs w:val="28"/>
          <w:lang w:val="ro-RO"/>
        </w:rPr>
        <w:t>dat</w:t>
      </w:r>
      <w:r w:rsidR="006010DF" w:rsidRPr="00D26E33">
        <w:rPr>
          <w:sz w:val="28"/>
          <w:szCs w:val="28"/>
          <w:lang w:val="ro-RO"/>
        </w:rPr>
        <w:t xml:space="preserve"> </w:t>
      </w:r>
      <w:r w:rsidR="00B60303" w:rsidRPr="00D26E33">
        <w:rPr>
          <w:sz w:val="28"/>
          <w:szCs w:val="28"/>
          <w:lang w:val="ro-RO"/>
        </w:rPr>
        <w:t>în locaţiune</w:t>
      </w:r>
      <w:r w:rsidR="00763EB7" w:rsidRPr="00D26E33">
        <w:rPr>
          <w:sz w:val="28"/>
          <w:szCs w:val="28"/>
          <w:lang w:val="ro-RO"/>
        </w:rPr>
        <w:t>, suportate de locator.</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4B609D" w:rsidP="00961E9D">
      <w:pPr>
        <w:pStyle w:val="NormalWeb"/>
        <w:rPr>
          <w:sz w:val="28"/>
          <w:szCs w:val="28"/>
          <w:lang w:val="ro-RO"/>
        </w:rPr>
      </w:pPr>
      <w:r w:rsidRPr="00D26E33">
        <w:rPr>
          <w:sz w:val="28"/>
          <w:szCs w:val="28"/>
          <w:lang w:val="ro-RO"/>
        </w:rPr>
        <w:t xml:space="preserve"> </w:t>
      </w:r>
      <w:r w:rsidR="0078348D" w:rsidRPr="00D26E33">
        <w:rPr>
          <w:sz w:val="28"/>
          <w:szCs w:val="28"/>
          <w:lang w:val="ro-RO"/>
        </w:rPr>
        <w:t xml:space="preserve">Valoarea coeficienţilor folosiţi în calcule se determină după următoarele criterii: </w:t>
      </w:r>
    </w:p>
    <w:p w:rsidR="0078348D" w:rsidRPr="00D26E33" w:rsidRDefault="001D153F" w:rsidP="007B44CB">
      <w:pPr>
        <w:numPr>
          <w:ilvl w:val="0"/>
          <w:numId w:val="1"/>
        </w:numPr>
        <w:jc w:val="both"/>
        <w:rPr>
          <w:sz w:val="28"/>
          <w:szCs w:val="28"/>
        </w:rPr>
      </w:pPr>
      <w:r w:rsidRPr="00D26E33">
        <w:rPr>
          <w:sz w:val="28"/>
          <w:szCs w:val="28"/>
        </w:rPr>
        <w:t>a</w:t>
      </w:r>
      <w:r w:rsidR="00C16746" w:rsidRPr="00D26E33">
        <w:rPr>
          <w:sz w:val="28"/>
          <w:szCs w:val="28"/>
        </w:rPr>
        <w:t>mortizarea</w:t>
      </w:r>
      <w:r w:rsidR="009948D1" w:rsidRPr="00D26E33">
        <w:rPr>
          <w:sz w:val="28"/>
          <w:szCs w:val="28"/>
        </w:rPr>
        <w:t>/uzura</w:t>
      </w:r>
      <w:r w:rsidR="0078348D" w:rsidRPr="00D26E33">
        <w:rPr>
          <w:sz w:val="28"/>
          <w:szCs w:val="28"/>
        </w:rPr>
        <w:t xml:space="preserve"> anuală a utilajului</w:t>
      </w:r>
      <w:r w:rsidR="007B44CB" w:rsidRPr="00D26E33">
        <w:rPr>
          <w:sz w:val="28"/>
          <w:szCs w:val="28"/>
        </w:rPr>
        <w:t xml:space="preserve"> </w:t>
      </w:r>
      <w:r w:rsidR="0078348D" w:rsidRPr="00D26E33">
        <w:rPr>
          <w:sz w:val="28"/>
          <w:szCs w:val="28"/>
        </w:rPr>
        <w:t xml:space="preserve"> (</w:t>
      </w:r>
      <w:r w:rsidR="0078348D" w:rsidRPr="00D26E33">
        <w:rPr>
          <w:i/>
          <w:iCs/>
          <w:sz w:val="28"/>
          <w:szCs w:val="28"/>
        </w:rPr>
        <w:t>U</w:t>
      </w:r>
      <w:r w:rsidR="0078348D" w:rsidRPr="00D26E33">
        <w:rPr>
          <w:i/>
          <w:iCs/>
          <w:sz w:val="28"/>
          <w:szCs w:val="28"/>
          <w:vertAlign w:val="subscript"/>
        </w:rPr>
        <w:t>a</w:t>
      </w:r>
      <w:r w:rsidR="0078348D" w:rsidRPr="00D26E33">
        <w:rPr>
          <w:sz w:val="28"/>
          <w:szCs w:val="28"/>
        </w:rPr>
        <w:t xml:space="preserve">) </w:t>
      </w:r>
      <w:r w:rsidR="007B44CB" w:rsidRPr="00D26E33">
        <w:rPr>
          <w:sz w:val="28"/>
          <w:szCs w:val="28"/>
        </w:rPr>
        <w:t xml:space="preserve"> </w:t>
      </w:r>
      <w:r w:rsidR="0078348D" w:rsidRPr="00D26E33">
        <w:rPr>
          <w:sz w:val="28"/>
          <w:szCs w:val="28"/>
        </w:rPr>
        <w:t>se calculează pentru f</w:t>
      </w:r>
      <w:r w:rsidR="007B44CB" w:rsidRPr="00D26E33">
        <w:rPr>
          <w:sz w:val="28"/>
          <w:szCs w:val="28"/>
        </w:rPr>
        <w:t xml:space="preserve">iecare </w:t>
      </w:r>
      <w:r w:rsidR="006010DF" w:rsidRPr="00D26E33">
        <w:rPr>
          <w:sz w:val="28"/>
          <w:szCs w:val="28"/>
        </w:rPr>
        <w:t>obiect de evidenţă</w:t>
      </w:r>
      <w:r w:rsidR="007B44CB" w:rsidRPr="00D26E33">
        <w:rPr>
          <w:sz w:val="28"/>
          <w:szCs w:val="28"/>
        </w:rPr>
        <w:t>, potrivit</w:t>
      </w:r>
      <w:r w:rsidR="00C16746" w:rsidRPr="00D26E33">
        <w:rPr>
          <w:sz w:val="28"/>
          <w:szCs w:val="28"/>
        </w:rPr>
        <w:t xml:space="preserve"> </w:t>
      </w:r>
      <w:r w:rsidR="0078348D" w:rsidRPr="00D26E33">
        <w:rPr>
          <w:sz w:val="28"/>
          <w:szCs w:val="28"/>
        </w:rPr>
        <w:t>prevederilor Catalogului mijloacelor fixe şi activelor nemateriale, aprobat prin Hotărîrea Guvernului nr.338 din 21 martie 2003, conform tabelului nr.1:</w:t>
      </w:r>
    </w:p>
    <w:p w:rsidR="0078348D" w:rsidRPr="00D26E33" w:rsidRDefault="0078348D" w:rsidP="0078348D">
      <w:pPr>
        <w:ind w:left="360"/>
        <w:rPr>
          <w:sz w:val="28"/>
          <w:szCs w:val="28"/>
        </w:rPr>
      </w:pPr>
    </w:p>
    <w:p w:rsidR="0078348D" w:rsidRPr="00D26E33" w:rsidRDefault="0078348D" w:rsidP="0078348D">
      <w:pPr>
        <w:ind w:left="360"/>
        <w:rPr>
          <w:sz w:val="28"/>
          <w:szCs w:val="28"/>
        </w:rPr>
      </w:pPr>
      <w:r w:rsidRPr="00D26E33">
        <w:rPr>
          <w:sz w:val="28"/>
          <w:szCs w:val="28"/>
        </w:rPr>
        <w:t xml:space="preserve">                                                                                                              </w:t>
      </w:r>
      <w:r w:rsidR="007F292F" w:rsidRPr="00D26E33">
        <w:rPr>
          <w:sz w:val="28"/>
          <w:szCs w:val="28"/>
        </w:rPr>
        <w:t xml:space="preserve">      </w:t>
      </w:r>
      <w:r w:rsidRPr="00D26E33">
        <w:rPr>
          <w:sz w:val="28"/>
          <w:szCs w:val="28"/>
        </w:rPr>
        <w:t xml:space="preserve"> Tabelul nr.1</w:t>
      </w:r>
    </w:p>
    <w:tbl>
      <w:tblPr>
        <w:tblW w:w="10611" w:type="dxa"/>
        <w:jc w:val="center"/>
        <w:tblInd w:w="-582" w:type="dxa"/>
        <w:tblLayout w:type="fixed"/>
        <w:tblCellMar>
          <w:top w:w="15" w:type="dxa"/>
          <w:left w:w="15" w:type="dxa"/>
          <w:bottom w:w="15" w:type="dxa"/>
          <w:right w:w="15" w:type="dxa"/>
        </w:tblCellMar>
        <w:tblLook w:val="0000"/>
      </w:tblPr>
      <w:tblGrid>
        <w:gridCol w:w="447"/>
        <w:gridCol w:w="979"/>
        <w:gridCol w:w="815"/>
        <w:gridCol w:w="1080"/>
        <w:gridCol w:w="810"/>
        <w:gridCol w:w="1170"/>
        <w:gridCol w:w="1170"/>
        <w:gridCol w:w="1080"/>
        <w:gridCol w:w="1080"/>
        <w:gridCol w:w="990"/>
        <w:gridCol w:w="990"/>
      </w:tblGrid>
      <w:tr w:rsidR="00836479" w:rsidRPr="00D26E33" w:rsidTr="00D26E33">
        <w:trPr>
          <w:trHeight w:val="1605"/>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D26E33">
            <w:pPr>
              <w:pStyle w:val="cn"/>
              <w:tabs>
                <w:tab w:val="left" w:pos="1095"/>
              </w:tabs>
              <w:ind w:left="-48" w:right="-45"/>
              <w:rPr>
                <w:sz w:val="20"/>
                <w:szCs w:val="20"/>
                <w:lang w:val="ro-RO"/>
              </w:rPr>
            </w:pPr>
            <w:r w:rsidRPr="00D26E33">
              <w:rPr>
                <w:sz w:val="20"/>
                <w:szCs w:val="20"/>
                <w:lang w:val="ro-RO"/>
              </w:rPr>
              <w:t>Nr</w:t>
            </w:r>
            <w:r w:rsidR="00D57FF0" w:rsidRPr="00D26E33">
              <w:rPr>
                <w:sz w:val="20"/>
                <w:szCs w:val="20"/>
                <w:lang w:val="ro-RO"/>
              </w:rPr>
              <w:t>.</w:t>
            </w:r>
            <w:r w:rsidRPr="00D26E33">
              <w:rPr>
                <w:sz w:val="20"/>
                <w:szCs w:val="20"/>
                <w:lang w:val="ro-RO"/>
              </w:rPr>
              <w:t xml:space="preserve"> crt</w:t>
            </w:r>
            <w:r w:rsidR="00D57FF0" w:rsidRPr="00D26E33">
              <w:rPr>
                <w:sz w:val="20"/>
                <w:szCs w:val="20"/>
                <w:lang w:val="ro-RO"/>
              </w:rPr>
              <w:t>.</w:t>
            </w:r>
          </w:p>
        </w:tc>
        <w:tc>
          <w:tcPr>
            <w:tcW w:w="9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Denumirea </w:t>
            </w:r>
          </w:p>
          <w:p w:rsidR="0078348D" w:rsidRPr="00D26E33" w:rsidRDefault="0078348D" w:rsidP="0078348D">
            <w:pPr>
              <w:pStyle w:val="cn"/>
              <w:rPr>
                <w:sz w:val="20"/>
                <w:szCs w:val="20"/>
                <w:lang w:val="ro-RO"/>
              </w:rPr>
            </w:pPr>
            <w:r w:rsidRPr="00D26E33">
              <w:rPr>
                <w:sz w:val="20"/>
                <w:szCs w:val="20"/>
                <w:lang w:val="ro-RO"/>
              </w:rPr>
              <w:t xml:space="preserve">utilajului </w:t>
            </w:r>
          </w:p>
        </w:tc>
        <w:tc>
          <w:tcPr>
            <w:tcW w:w="8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C91916" w:rsidP="0078348D">
            <w:pPr>
              <w:pStyle w:val="cn"/>
              <w:rPr>
                <w:sz w:val="20"/>
                <w:szCs w:val="20"/>
                <w:lang w:val="ro-RO"/>
              </w:rPr>
            </w:pPr>
            <w:r w:rsidRPr="00D26E33">
              <w:rPr>
                <w:sz w:val="20"/>
                <w:szCs w:val="20"/>
                <w:lang w:val="ro-RO"/>
              </w:rPr>
              <w:t>Nr. d</w:t>
            </w:r>
            <w:r w:rsidR="0078348D" w:rsidRPr="00D26E33">
              <w:rPr>
                <w:sz w:val="20"/>
                <w:szCs w:val="20"/>
                <w:lang w:val="ro-RO"/>
              </w:rPr>
              <w:t xml:space="preserve">e </w:t>
            </w:r>
          </w:p>
          <w:p w:rsidR="0078348D" w:rsidRPr="00D26E33" w:rsidRDefault="0078348D" w:rsidP="0078348D">
            <w:pPr>
              <w:pStyle w:val="cn"/>
              <w:rPr>
                <w:sz w:val="20"/>
                <w:szCs w:val="20"/>
                <w:lang w:val="ro-RO"/>
              </w:rPr>
            </w:pPr>
            <w:r w:rsidRPr="00D26E33">
              <w:rPr>
                <w:sz w:val="20"/>
                <w:szCs w:val="20"/>
                <w:lang w:val="ro-RO"/>
              </w:rPr>
              <w:t xml:space="preserve">inventar </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6D52" w:rsidRPr="00D26E33" w:rsidRDefault="006010DF" w:rsidP="006010DF">
            <w:pPr>
              <w:pStyle w:val="cn"/>
              <w:rPr>
                <w:sz w:val="20"/>
                <w:szCs w:val="20"/>
                <w:lang w:val="ro-RO"/>
              </w:rPr>
            </w:pPr>
            <w:r w:rsidRPr="00D26E33">
              <w:rPr>
                <w:sz w:val="20"/>
                <w:szCs w:val="20"/>
                <w:lang w:val="ro-RO"/>
              </w:rPr>
              <w:t>Durata de utilizare</w:t>
            </w:r>
            <w:r w:rsidR="00300A64" w:rsidRPr="00D26E33">
              <w:rPr>
                <w:sz w:val="20"/>
                <w:szCs w:val="20"/>
                <w:lang w:val="ro-RO"/>
              </w:rPr>
              <w:t>/</w:t>
            </w:r>
          </w:p>
          <w:p w:rsidR="00300A64" w:rsidRPr="00D26E33" w:rsidRDefault="00616D52" w:rsidP="006010DF">
            <w:pPr>
              <w:pStyle w:val="cn"/>
              <w:rPr>
                <w:sz w:val="20"/>
                <w:szCs w:val="20"/>
                <w:lang w:val="ro-RO"/>
              </w:rPr>
            </w:pPr>
            <w:r w:rsidRPr="00D26E33">
              <w:rPr>
                <w:sz w:val="20"/>
                <w:szCs w:val="20"/>
                <w:lang w:val="ro-RO"/>
              </w:rPr>
              <w:t xml:space="preserve">durata de </w:t>
            </w:r>
            <w:r w:rsidR="00300A64" w:rsidRPr="00D26E33">
              <w:rPr>
                <w:sz w:val="20"/>
                <w:szCs w:val="20"/>
                <w:lang w:val="ro-RO"/>
              </w:rPr>
              <w:t xml:space="preserve"> </w:t>
            </w:r>
            <w:r w:rsidR="00FB03D0" w:rsidRPr="00D26E33">
              <w:rPr>
                <w:sz w:val="20"/>
                <w:szCs w:val="20"/>
                <w:lang w:val="ro-RO"/>
              </w:rPr>
              <w:t>funcționare utilă</w:t>
            </w:r>
            <w:r w:rsidR="006010DF" w:rsidRPr="00D26E33">
              <w:rPr>
                <w:sz w:val="20"/>
                <w:szCs w:val="20"/>
                <w:lang w:val="ro-RO"/>
              </w:rPr>
              <w:t>,</w:t>
            </w:r>
          </w:p>
          <w:p w:rsidR="00EF0769" w:rsidRPr="00D26E33" w:rsidRDefault="0041463D" w:rsidP="0041463D">
            <w:pPr>
              <w:pStyle w:val="cn"/>
              <w:jc w:val="left"/>
              <w:rPr>
                <w:sz w:val="20"/>
                <w:szCs w:val="20"/>
                <w:lang w:val="ro-RO"/>
              </w:rPr>
            </w:pPr>
            <w:r>
              <w:rPr>
                <w:sz w:val="20"/>
                <w:szCs w:val="20"/>
                <w:lang w:val="ro-RO"/>
              </w:rPr>
              <w:t xml:space="preserve">      </w:t>
            </w:r>
            <w:r w:rsidR="00865BA5" w:rsidRPr="00D26E33">
              <w:rPr>
                <w:sz w:val="20"/>
                <w:szCs w:val="20"/>
                <w:lang w:val="ro-RO"/>
              </w:rPr>
              <w:t xml:space="preserve"> </w:t>
            </w:r>
            <w:r w:rsidR="006010DF" w:rsidRPr="00D26E33">
              <w:rPr>
                <w:sz w:val="20"/>
                <w:szCs w:val="20"/>
                <w:lang w:val="ro-RO"/>
              </w:rPr>
              <w:t>ani</w:t>
            </w:r>
            <w:r w:rsidR="00A96461" w:rsidRPr="00D26E33">
              <w:rPr>
                <w:sz w:val="20"/>
                <w:szCs w:val="20"/>
                <w:lang w:val="ro-RO"/>
              </w:rPr>
              <w:t>.</w:t>
            </w:r>
            <w:r w:rsidR="006010DF" w:rsidRPr="00D26E33">
              <w:rPr>
                <w:sz w:val="20"/>
                <w:szCs w:val="20"/>
                <w:lang w:val="ro-RO"/>
              </w:rPr>
              <w:t xml:space="preserve"> </w:t>
            </w:r>
          </w:p>
          <w:p w:rsidR="006010DF" w:rsidRPr="00D26E33" w:rsidRDefault="006010DF" w:rsidP="006010DF">
            <w:pPr>
              <w:pStyle w:val="cn"/>
              <w:rPr>
                <w:b/>
                <w:sz w:val="20"/>
                <w:szCs w:val="20"/>
                <w:lang w:val="ro-RO"/>
              </w:rPr>
            </w:pPr>
            <w:r w:rsidRPr="00D26E33">
              <w:rPr>
                <w:sz w:val="20"/>
                <w:szCs w:val="20"/>
                <w:lang w:val="ro-RO"/>
              </w:rPr>
              <w:t xml:space="preserve">Distanţa, </w:t>
            </w:r>
            <w:r w:rsidR="00865BA5" w:rsidRPr="00D26E33">
              <w:rPr>
                <w:sz w:val="20"/>
                <w:szCs w:val="20"/>
                <w:lang w:val="ro-RO"/>
              </w:rPr>
              <w:t xml:space="preserve"> </w:t>
            </w:r>
            <w:r w:rsidRPr="00D26E33">
              <w:rPr>
                <w:sz w:val="20"/>
                <w:szCs w:val="20"/>
                <w:lang w:val="ro-RO"/>
              </w:rPr>
              <w:t>km</w:t>
            </w:r>
          </w:p>
        </w:tc>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36479" w:rsidRPr="00D26E33" w:rsidRDefault="006010DF" w:rsidP="00021BD5">
            <w:pPr>
              <w:pStyle w:val="cn"/>
              <w:rPr>
                <w:sz w:val="20"/>
                <w:szCs w:val="20"/>
                <w:lang w:val="ro-RO"/>
              </w:rPr>
            </w:pPr>
            <w:r w:rsidRPr="00D26E33">
              <w:rPr>
                <w:sz w:val="20"/>
                <w:szCs w:val="20"/>
                <w:lang w:val="ro-RO"/>
              </w:rPr>
              <w:t>Costul de intrare</w:t>
            </w:r>
            <w:r w:rsidR="009948D1" w:rsidRPr="00D26E33">
              <w:rPr>
                <w:sz w:val="20"/>
                <w:szCs w:val="20"/>
                <w:lang w:val="ro-RO"/>
              </w:rPr>
              <w:t>/</w:t>
            </w:r>
          </w:p>
          <w:p w:rsidR="006010DF" w:rsidRPr="00D26E33" w:rsidRDefault="00021BD5" w:rsidP="00021BD5">
            <w:pPr>
              <w:pStyle w:val="cn"/>
              <w:rPr>
                <w:sz w:val="20"/>
                <w:szCs w:val="20"/>
                <w:lang w:val="ro-RO"/>
              </w:rPr>
            </w:pPr>
            <w:r w:rsidRPr="00D26E33">
              <w:rPr>
                <w:sz w:val="20"/>
                <w:szCs w:val="20"/>
                <w:lang w:val="ro-RO"/>
              </w:rPr>
              <w:t>v</w:t>
            </w:r>
            <w:r w:rsidR="0041463D">
              <w:rPr>
                <w:sz w:val="20"/>
                <w:szCs w:val="20"/>
                <w:lang w:val="ro-RO"/>
              </w:rPr>
              <w:t xml:space="preserve">aloarea </w:t>
            </w:r>
            <w:r w:rsidR="00F45639" w:rsidRPr="00D26E33">
              <w:rPr>
                <w:sz w:val="20"/>
                <w:szCs w:val="20"/>
                <w:lang w:val="ro-RO"/>
              </w:rPr>
              <w:t xml:space="preserve"> inițială</w:t>
            </w:r>
            <w:r w:rsidR="00835A03" w:rsidRPr="00D26E33">
              <w:rPr>
                <w:sz w:val="20"/>
                <w:szCs w:val="20"/>
                <w:lang w:val="ro-RO"/>
              </w:rPr>
              <w:t xml:space="preserve"> </w:t>
            </w:r>
            <w:r w:rsidRPr="00D26E33">
              <w:rPr>
                <w:sz w:val="20"/>
                <w:szCs w:val="20"/>
                <w:lang w:val="ro-RO"/>
              </w:rPr>
              <w:t xml:space="preserve">    </w:t>
            </w:r>
            <w:r w:rsidR="006010DF" w:rsidRPr="00D26E33">
              <w:rPr>
                <w:sz w:val="20"/>
                <w:szCs w:val="20"/>
                <w:lang w:val="ro-RO"/>
              </w:rPr>
              <w:t>sau</w:t>
            </w:r>
          </w:p>
          <w:p w:rsidR="006010DF" w:rsidRPr="00D26E33" w:rsidRDefault="00835A03" w:rsidP="006010DF">
            <w:pPr>
              <w:pStyle w:val="cn"/>
              <w:rPr>
                <w:b/>
                <w:sz w:val="20"/>
                <w:szCs w:val="20"/>
                <w:lang w:val="ro-RO"/>
              </w:rPr>
            </w:pPr>
            <w:r w:rsidRPr="00D26E33">
              <w:rPr>
                <w:sz w:val="20"/>
                <w:szCs w:val="20"/>
                <w:lang w:val="ro-RO"/>
              </w:rPr>
              <w:t>v</w:t>
            </w:r>
            <w:r w:rsidR="006010DF" w:rsidRPr="00D26E33">
              <w:rPr>
                <w:sz w:val="20"/>
                <w:szCs w:val="20"/>
                <w:lang w:val="ro-RO"/>
              </w:rPr>
              <w:t xml:space="preserve">aloarea </w:t>
            </w:r>
            <w:r w:rsidRPr="00D26E33">
              <w:rPr>
                <w:sz w:val="20"/>
                <w:szCs w:val="20"/>
                <w:lang w:val="ro-RO"/>
              </w:rPr>
              <w:t>reevaluată</w:t>
            </w:r>
            <w:r w:rsidR="006010DF" w:rsidRPr="00D26E33">
              <w:rPr>
                <w:b/>
                <w:color w:val="00B050"/>
                <w:sz w:val="20"/>
                <w:szCs w:val="20"/>
                <w:lang w:val="ro-RO"/>
              </w:rPr>
              <w:t>,</w:t>
            </w:r>
          </w:p>
          <w:p w:rsidR="0078348D" w:rsidRPr="00D26E33" w:rsidRDefault="0078348D" w:rsidP="0078348D">
            <w:pPr>
              <w:pStyle w:val="cn"/>
              <w:rPr>
                <w:sz w:val="20"/>
                <w:szCs w:val="20"/>
                <w:lang w:val="ro-RO"/>
              </w:rPr>
            </w:pPr>
            <w:r w:rsidRPr="00D26E33">
              <w:rPr>
                <w:sz w:val="20"/>
                <w:szCs w:val="20"/>
                <w:lang w:val="ro-RO"/>
              </w:rPr>
              <w:t xml:space="preserve">în lei </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36479" w:rsidRPr="00D26E33" w:rsidRDefault="00EF0769" w:rsidP="009948D1">
            <w:pPr>
              <w:pStyle w:val="cn"/>
              <w:rPr>
                <w:sz w:val="20"/>
                <w:szCs w:val="20"/>
                <w:lang w:val="ro-RO"/>
              </w:rPr>
            </w:pPr>
            <w:r w:rsidRPr="00D26E33">
              <w:rPr>
                <w:sz w:val="20"/>
                <w:szCs w:val="20"/>
                <w:lang w:val="ro-RO"/>
              </w:rPr>
              <w:t>Amortizarea</w:t>
            </w:r>
            <w:r w:rsidR="009948D1" w:rsidRPr="00D26E33">
              <w:rPr>
                <w:sz w:val="20"/>
                <w:szCs w:val="20"/>
                <w:lang w:val="ro-RO"/>
              </w:rPr>
              <w:t>/</w:t>
            </w:r>
          </w:p>
          <w:p w:rsidR="00836479" w:rsidRPr="00D26E33" w:rsidRDefault="009948D1" w:rsidP="009948D1">
            <w:pPr>
              <w:pStyle w:val="cn"/>
              <w:rPr>
                <w:sz w:val="20"/>
                <w:szCs w:val="20"/>
                <w:lang w:val="ro-RO"/>
              </w:rPr>
            </w:pPr>
            <w:r w:rsidRPr="00D26E33">
              <w:rPr>
                <w:sz w:val="20"/>
                <w:szCs w:val="20"/>
                <w:lang w:val="ro-RO"/>
              </w:rPr>
              <w:t>uzura</w:t>
            </w:r>
            <w:r w:rsidR="00EF0769" w:rsidRPr="00D26E33">
              <w:rPr>
                <w:sz w:val="20"/>
                <w:szCs w:val="20"/>
                <w:lang w:val="ro-RO"/>
              </w:rPr>
              <w:t xml:space="preserve"> la data </w:t>
            </w:r>
          </w:p>
          <w:p w:rsidR="00EF0769" w:rsidRPr="00D26E33" w:rsidRDefault="009948D1" w:rsidP="009948D1">
            <w:pPr>
              <w:pStyle w:val="cn"/>
              <w:rPr>
                <w:sz w:val="20"/>
                <w:szCs w:val="20"/>
                <w:lang w:val="ro-RO"/>
              </w:rPr>
            </w:pPr>
            <w:r w:rsidRPr="00D26E33">
              <w:rPr>
                <w:sz w:val="20"/>
                <w:szCs w:val="20"/>
                <w:lang w:val="ro-RO"/>
              </w:rPr>
              <w:t>dării</w:t>
            </w:r>
            <w:r w:rsidR="00EF0769" w:rsidRPr="00D26E33">
              <w:rPr>
                <w:sz w:val="20"/>
                <w:szCs w:val="20"/>
                <w:lang w:val="ro-RO"/>
              </w:rPr>
              <w:t xml:space="preserve"> în locaţiune,</w:t>
            </w:r>
            <w:r w:rsidR="00D26E33">
              <w:rPr>
                <w:sz w:val="20"/>
                <w:szCs w:val="20"/>
                <w:lang w:val="ro-RO"/>
              </w:rPr>
              <w:t xml:space="preserve"> </w:t>
            </w:r>
            <w:r w:rsidR="00865BA5" w:rsidRPr="00D26E33">
              <w:rPr>
                <w:sz w:val="20"/>
                <w:szCs w:val="20"/>
                <w:lang w:val="ro-RO"/>
              </w:rPr>
              <w:t xml:space="preserve">în </w:t>
            </w:r>
            <w:r w:rsidRPr="00D26E33">
              <w:rPr>
                <w:sz w:val="20"/>
                <w:szCs w:val="20"/>
                <w:lang w:val="ro-RO"/>
              </w:rPr>
              <w:t xml:space="preserve"> </w:t>
            </w:r>
            <w:r w:rsidR="00EF0769" w:rsidRPr="00D26E33">
              <w:rPr>
                <w:sz w:val="20"/>
                <w:szCs w:val="20"/>
                <w:lang w:val="ro-RO"/>
              </w:rPr>
              <w:t>lei</w:t>
            </w:r>
            <w:r w:rsidR="00EF0769" w:rsidRPr="00D26E33">
              <w:rPr>
                <w:color w:val="00B050"/>
                <w:sz w:val="20"/>
                <w:szCs w:val="20"/>
                <w:lang w:val="ro-RO"/>
              </w:rPr>
              <w:t xml:space="preserve"> </w:t>
            </w:r>
          </w:p>
          <w:p w:rsidR="00EF0769" w:rsidRPr="00D26E33" w:rsidRDefault="00EF0769" w:rsidP="00EF0769">
            <w:pPr>
              <w:pStyle w:val="cn"/>
              <w:rPr>
                <w:sz w:val="20"/>
                <w:szCs w:val="20"/>
                <w:lang w:val="ro-RO"/>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94055F" w:rsidP="0078348D">
            <w:pPr>
              <w:pStyle w:val="cn"/>
              <w:rPr>
                <w:sz w:val="20"/>
                <w:szCs w:val="20"/>
                <w:lang w:val="ro-RO"/>
              </w:rPr>
            </w:pPr>
            <w:r w:rsidRPr="00D26E33">
              <w:rPr>
                <w:sz w:val="20"/>
                <w:szCs w:val="20"/>
                <w:lang w:val="ro-RO"/>
              </w:rPr>
              <w:t>Amortizarea</w:t>
            </w:r>
            <w:r w:rsidR="009948D1" w:rsidRPr="00D26E33">
              <w:rPr>
                <w:sz w:val="20"/>
                <w:szCs w:val="20"/>
                <w:lang w:val="ro-RO"/>
              </w:rPr>
              <w:t>/uzura</w:t>
            </w:r>
            <w:r w:rsidRPr="00D26E33">
              <w:rPr>
                <w:sz w:val="20"/>
                <w:szCs w:val="20"/>
                <w:lang w:val="ro-RO"/>
              </w:rPr>
              <w:t xml:space="preserve"> </w:t>
            </w:r>
            <w:r w:rsidR="0078348D" w:rsidRPr="00D26E33">
              <w:rPr>
                <w:sz w:val="20"/>
                <w:szCs w:val="20"/>
                <w:lang w:val="ro-RO"/>
              </w:rPr>
              <w:t xml:space="preserve"> </w:t>
            </w:r>
          </w:p>
          <w:p w:rsidR="0078348D" w:rsidRPr="00D26E33" w:rsidRDefault="0078348D" w:rsidP="0078348D">
            <w:pPr>
              <w:pStyle w:val="cn"/>
              <w:rPr>
                <w:sz w:val="20"/>
                <w:szCs w:val="20"/>
                <w:lang w:val="ro-RO"/>
              </w:rPr>
            </w:pPr>
            <w:r w:rsidRPr="00D26E33">
              <w:rPr>
                <w:sz w:val="20"/>
                <w:szCs w:val="20"/>
                <w:lang w:val="ro-RO"/>
              </w:rPr>
              <w:t xml:space="preserve">anuală </w:t>
            </w:r>
          </w:p>
          <w:p w:rsidR="0078348D" w:rsidRPr="00D26E33" w:rsidRDefault="009672BF" w:rsidP="0078348D">
            <w:pPr>
              <w:pStyle w:val="cn"/>
              <w:rPr>
                <w:sz w:val="20"/>
                <w:szCs w:val="20"/>
                <w:lang w:val="ro-RO"/>
              </w:rPr>
            </w:pPr>
            <w:r>
              <w:rPr>
                <w:i/>
                <w:iCs/>
                <w:sz w:val="20"/>
                <w:szCs w:val="20"/>
                <w:lang w:val="ro-RO"/>
              </w:rPr>
              <w:t>(Ua)</w:t>
            </w:r>
            <w:r w:rsidR="0078348D" w:rsidRPr="00D26E33">
              <w:rPr>
                <w:sz w:val="20"/>
                <w:szCs w:val="20"/>
                <w:lang w:val="ro-RO"/>
              </w:rPr>
              <w:t xml:space="preserve">, </w:t>
            </w:r>
          </w:p>
          <w:p w:rsidR="0078348D" w:rsidRPr="00D26E33" w:rsidRDefault="0078348D" w:rsidP="0078348D">
            <w:pPr>
              <w:pStyle w:val="cn"/>
              <w:rPr>
                <w:sz w:val="20"/>
                <w:szCs w:val="20"/>
                <w:lang w:val="ro-RO"/>
              </w:rPr>
            </w:pPr>
            <w:r w:rsidRPr="00D26E33">
              <w:rPr>
                <w:sz w:val="20"/>
                <w:szCs w:val="20"/>
                <w:lang w:val="ro-RO"/>
              </w:rPr>
              <w:t xml:space="preserve">în lei </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Coeficientul </w:t>
            </w:r>
          </w:p>
          <w:p w:rsidR="0078348D" w:rsidRPr="00D26E33" w:rsidRDefault="0078348D" w:rsidP="0078348D">
            <w:pPr>
              <w:pStyle w:val="cn"/>
              <w:rPr>
                <w:sz w:val="20"/>
                <w:szCs w:val="20"/>
                <w:lang w:val="ro-RO"/>
              </w:rPr>
            </w:pPr>
            <w:r w:rsidRPr="00D26E33">
              <w:rPr>
                <w:sz w:val="20"/>
                <w:szCs w:val="20"/>
                <w:lang w:val="ro-RO"/>
              </w:rPr>
              <w:t xml:space="preserve">de calcul </w:t>
            </w:r>
          </w:p>
          <w:p w:rsidR="0078348D" w:rsidRPr="00D26E33" w:rsidRDefault="0041463D" w:rsidP="0078348D">
            <w:pPr>
              <w:pStyle w:val="cn"/>
              <w:rPr>
                <w:sz w:val="20"/>
                <w:szCs w:val="20"/>
                <w:lang w:val="ro-RO"/>
              </w:rPr>
            </w:pPr>
            <w:r>
              <w:rPr>
                <w:i/>
                <w:iCs/>
                <w:sz w:val="20"/>
                <w:szCs w:val="20"/>
                <w:lang w:val="ro-RO"/>
              </w:rPr>
              <w:t>(K</w:t>
            </w:r>
            <w:r w:rsidR="0078348D" w:rsidRPr="00D26E33">
              <w:rPr>
                <w:i/>
                <w:iCs/>
                <w:sz w:val="20"/>
                <w:szCs w:val="20"/>
                <w:vertAlign w:val="subscript"/>
                <w:lang w:val="ro-RO"/>
              </w:rPr>
              <w:t>1</w:t>
            </w:r>
            <w:r w:rsidRPr="0041463D">
              <w:rPr>
                <w:i/>
                <w:sz w:val="20"/>
                <w:szCs w:val="20"/>
                <w:lang w:val="ro-RO"/>
              </w:rPr>
              <w:t>)</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Coeficientul </w:t>
            </w:r>
          </w:p>
          <w:p w:rsidR="0078348D" w:rsidRPr="00D26E33" w:rsidRDefault="0078348D" w:rsidP="0078348D">
            <w:pPr>
              <w:pStyle w:val="cn"/>
              <w:rPr>
                <w:sz w:val="20"/>
                <w:szCs w:val="20"/>
                <w:lang w:val="ro-RO"/>
              </w:rPr>
            </w:pPr>
            <w:r w:rsidRPr="00D26E33">
              <w:rPr>
                <w:sz w:val="20"/>
                <w:szCs w:val="20"/>
                <w:lang w:val="ro-RO"/>
              </w:rPr>
              <w:t xml:space="preserve">de piaţă </w:t>
            </w:r>
          </w:p>
          <w:p w:rsidR="0078348D" w:rsidRPr="0041463D" w:rsidRDefault="0041463D" w:rsidP="0078348D">
            <w:pPr>
              <w:pStyle w:val="cn"/>
              <w:rPr>
                <w:i/>
                <w:sz w:val="20"/>
                <w:szCs w:val="20"/>
                <w:lang w:val="ro-RO"/>
              </w:rPr>
            </w:pPr>
            <w:r>
              <w:rPr>
                <w:i/>
                <w:iCs/>
                <w:sz w:val="20"/>
                <w:szCs w:val="20"/>
                <w:lang w:val="ro-RO"/>
              </w:rPr>
              <w:t>(</w:t>
            </w:r>
            <w:r w:rsidR="0078348D" w:rsidRPr="00D26E33">
              <w:rPr>
                <w:i/>
                <w:iCs/>
                <w:sz w:val="20"/>
                <w:szCs w:val="20"/>
                <w:lang w:val="ro-RO"/>
              </w:rPr>
              <w:t>K</w:t>
            </w:r>
            <w:r w:rsidR="0078348D" w:rsidRPr="00D26E33">
              <w:rPr>
                <w:i/>
                <w:iCs/>
                <w:sz w:val="20"/>
                <w:szCs w:val="20"/>
                <w:vertAlign w:val="subscript"/>
                <w:lang w:val="ro-RO"/>
              </w:rPr>
              <w:t>2</w:t>
            </w:r>
            <w:r w:rsidRPr="0041463D">
              <w:rPr>
                <w:i/>
                <w:sz w:val="20"/>
                <w:szCs w:val="20"/>
                <w:lang w:val="ro-RO"/>
              </w:rPr>
              <w:t>)</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A64" w:rsidRPr="00D26E33" w:rsidRDefault="0078348D" w:rsidP="0078348D">
            <w:pPr>
              <w:pStyle w:val="cn"/>
              <w:ind w:left="-46" w:right="-30"/>
              <w:rPr>
                <w:sz w:val="20"/>
                <w:szCs w:val="20"/>
                <w:lang w:val="ro-RO"/>
              </w:rPr>
            </w:pPr>
            <w:r w:rsidRPr="00D26E33">
              <w:rPr>
                <w:sz w:val="20"/>
                <w:szCs w:val="20"/>
                <w:lang w:val="ro-RO"/>
              </w:rPr>
              <w:t xml:space="preserve">Cheltuielile de </w:t>
            </w:r>
          </w:p>
          <w:p w:rsidR="0078348D" w:rsidRPr="00D26E33" w:rsidRDefault="0078348D" w:rsidP="0078348D">
            <w:pPr>
              <w:pStyle w:val="cn"/>
              <w:ind w:left="-46" w:right="-30"/>
              <w:rPr>
                <w:sz w:val="20"/>
                <w:szCs w:val="20"/>
                <w:lang w:val="ro-RO"/>
              </w:rPr>
            </w:pPr>
            <w:r w:rsidRPr="00D26E33">
              <w:rPr>
                <w:sz w:val="20"/>
                <w:szCs w:val="20"/>
                <w:lang w:val="ro-RO"/>
              </w:rPr>
              <w:t xml:space="preserve">întreţinere şi </w:t>
            </w:r>
          </w:p>
          <w:p w:rsidR="0078348D" w:rsidRPr="00D26E33" w:rsidRDefault="0078348D" w:rsidP="00C91916">
            <w:pPr>
              <w:pStyle w:val="cn"/>
              <w:ind w:left="-46" w:right="-30"/>
              <w:rPr>
                <w:sz w:val="20"/>
                <w:szCs w:val="20"/>
                <w:lang w:val="ro-RO"/>
              </w:rPr>
            </w:pPr>
            <w:r w:rsidRPr="00D26E33">
              <w:rPr>
                <w:sz w:val="20"/>
                <w:szCs w:val="20"/>
                <w:lang w:val="ro-RO"/>
              </w:rPr>
              <w:t xml:space="preserve">exploatare </w:t>
            </w:r>
            <w:r w:rsidR="0041463D">
              <w:rPr>
                <w:sz w:val="20"/>
                <w:szCs w:val="20"/>
                <w:lang w:val="ro-RO"/>
              </w:rPr>
              <w:t>(</w:t>
            </w:r>
            <w:r w:rsidRPr="00D26E33">
              <w:rPr>
                <w:i/>
                <w:iCs/>
                <w:sz w:val="20"/>
                <w:szCs w:val="20"/>
                <w:lang w:val="ro-RO"/>
              </w:rPr>
              <w:t>Q</w:t>
            </w:r>
            <w:r w:rsidR="0041463D">
              <w:rPr>
                <w:i/>
                <w:iCs/>
                <w:sz w:val="20"/>
                <w:szCs w:val="20"/>
                <w:lang w:val="ro-RO"/>
              </w:rPr>
              <w:t>)</w:t>
            </w:r>
            <w:r w:rsidRPr="00D26E33">
              <w:rPr>
                <w:sz w:val="20"/>
                <w:szCs w:val="20"/>
                <w:lang w:val="ro-RO"/>
              </w:rPr>
              <w:t xml:space="preserve">, </w:t>
            </w:r>
          </w:p>
          <w:p w:rsidR="0078348D" w:rsidRPr="00D26E33" w:rsidRDefault="0078348D" w:rsidP="0078348D">
            <w:pPr>
              <w:pStyle w:val="cn"/>
              <w:ind w:left="-46" w:right="-30"/>
              <w:rPr>
                <w:sz w:val="20"/>
                <w:szCs w:val="20"/>
                <w:lang w:val="ro-RO"/>
              </w:rPr>
            </w:pPr>
            <w:r w:rsidRPr="00D26E33">
              <w:rPr>
                <w:sz w:val="20"/>
                <w:szCs w:val="20"/>
                <w:lang w:val="ro-RO"/>
              </w:rPr>
              <w:t xml:space="preserve">în lei </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 xml:space="preserve">Cuantumul </w:t>
            </w:r>
          </w:p>
          <w:p w:rsidR="0078348D" w:rsidRPr="00D26E33" w:rsidRDefault="00264818" w:rsidP="0078348D">
            <w:pPr>
              <w:pStyle w:val="cn"/>
              <w:rPr>
                <w:sz w:val="20"/>
                <w:szCs w:val="20"/>
                <w:lang w:val="ro-RO"/>
              </w:rPr>
            </w:pPr>
            <w:r w:rsidRPr="00D26E33">
              <w:rPr>
                <w:sz w:val="20"/>
                <w:szCs w:val="20"/>
                <w:lang w:val="ro-RO"/>
              </w:rPr>
              <w:t>chiriei</w:t>
            </w:r>
            <w:r w:rsidR="0078348D" w:rsidRPr="00D26E33">
              <w:rPr>
                <w:sz w:val="20"/>
                <w:szCs w:val="20"/>
                <w:lang w:val="ro-RO"/>
              </w:rPr>
              <w:t xml:space="preserve"> </w:t>
            </w:r>
          </w:p>
          <w:p w:rsidR="00C91916" w:rsidRPr="00D26E33" w:rsidRDefault="0078348D" w:rsidP="0078348D">
            <w:pPr>
              <w:pStyle w:val="cn"/>
              <w:rPr>
                <w:sz w:val="20"/>
                <w:szCs w:val="20"/>
                <w:lang w:val="ro-RO"/>
              </w:rPr>
            </w:pPr>
            <w:r w:rsidRPr="00D26E33">
              <w:rPr>
                <w:sz w:val="20"/>
                <w:szCs w:val="20"/>
                <w:lang w:val="ro-RO"/>
              </w:rPr>
              <w:t xml:space="preserve">anuale </w:t>
            </w:r>
          </w:p>
          <w:p w:rsidR="0078348D" w:rsidRPr="00D26E33" w:rsidRDefault="0041463D" w:rsidP="0078348D">
            <w:pPr>
              <w:pStyle w:val="cn"/>
              <w:rPr>
                <w:sz w:val="20"/>
                <w:szCs w:val="20"/>
                <w:lang w:val="ro-RO"/>
              </w:rPr>
            </w:pPr>
            <w:r>
              <w:rPr>
                <w:i/>
                <w:iCs/>
                <w:sz w:val="20"/>
                <w:szCs w:val="20"/>
                <w:lang w:val="ro-RO"/>
              </w:rPr>
              <w:t>(</w:t>
            </w:r>
            <w:r w:rsidR="0078348D" w:rsidRPr="00D26E33">
              <w:rPr>
                <w:i/>
                <w:iCs/>
                <w:sz w:val="20"/>
                <w:szCs w:val="20"/>
                <w:lang w:val="ro-RO"/>
              </w:rPr>
              <w:t>P</w:t>
            </w:r>
            <w:r w:rsidR="0078348D" w:rsidRPr="00D26E33">
              <w:rPr>
                <w:i/>
                <w:iCs/>
                <w:sz w:val="20"/>
                <w:szCs w:val="20"/>
                <w:vertAlign w:val="subscript"/>
                <w:lang w:val="ro-RO"/>
              </w:rPr>
              <w:t>au</w:t>
            </w:r>
            <w:r>
              <w:rPr>
                <w:sz w:val="20"/>
                <w:szCs w:val="20"/>
                <w:lang w:val="ro-RO"/>
              </w:rPr>
              <w:t>)</w:t>
            </w:r>
            <w:r w:rsidR="0078348D" w:rsidRPr="00D26E33">
              <w:rPr>
                <w:sz w:val="20"/>
                <w:szCs w:val="20"/>
                <w:lang w:val="ro-RO"/>
              </w:rPr>
              <w:t xml:space="preserve">, </w:t>
            </w:r>
          </w:p>
          <w:p w:rsidR="0078348D" w:rsidRPr="00D26E33" w:rsidRDefault="0078348D" w:rsidP="0078348D">
            <w:pPr>
              <w:pStyle w:val="cn"/>
              <w:rPr>
                <w:sz w:val="20"/>
                <w:szCs w:val="20"/>
                <w:lang w:val="ro-RO"/>
              </w:rPr>
            </w:pPr>
            <w:r w:rsidRPr="00D26E33">
              <w:rPr>
                <w:sz w:val="20"/>
                <w:szCs w:val="20"/>
                <w:lang w:val="ro-RO"/>
              </w:rPr>
              <w:t xml:space="preserve">în lei </w:t>
            </w:r>
          </w:p>
        </w:tc>
      </w:tr>
      <w:tr w:rsidR="00836479" w:rsidRPr="00D26E33" w:rsidTr="00D26E33">
        <w:trPr>
          <w:trHeight w:val="244"/>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1</w:t>
            </w:r>
          </w:p>
        </w:tc>
        <w:tc>
          <w:tcPr>
            <w:tcW w:w="9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2</w:t>
            </w:r>
          </w:p>
        </w:tc>
        <w:tc>
          <w:tcPr>
            <w:tcW w:w="8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3</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4</w:t>
            </w:r>
          </w:p>
        </w:tc>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5</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6</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7</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8</w:t>
            </w:r>
          </w:p>
        </w:tc>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9</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ind w:left="-46" w:right="-30"/>
              <w:rPr>
                <w:sz w:val="20"/>
                <w:szCs w:val="20"/>
                <w:lang w:val="ro-RO"/>
              </w:rPr>
            </w:pPr>
            <w:r w:rsidRPr="00D26E33">
              <w:rPr>
                <w:sz w:val="20"/>
                <w:szCs w:val="20"/>
                <w:lang w:val="ro-RO"/>
              </w:rPr>
              <w:t>10</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0"/>
                <w:szCs w:val="20"/>
                <w:lang w:val="ro-RO"/>
              </w:rPr>
            </w:pPr>
            <w:r w:rsidRPr="00D26E33">
              <w:rPr>
                <w:sz w:val="20"/>
                <w:szCs w:val="20"/>
                <w:lang w:val="ro-RO"/>
              </w:rPr>
              <w:t>11</w:t>
            </w:r>
          </w:p>
        </w:tc>
      </w:tr>
    </w:tbl>
    <w:p w:rsidR="0078348D" w:rsidRPr="00D26E33" w:rsidRDefault="0078348D" w:rsidP="0078348D">
      <w:pPr>
        <w:ind w:left="360"/>
      </w:pPr>
    </w:p>
    <w:p w:rsidR="0078348D" w:rsidRPr="00D26E33" w:rsidRDefault="0078348D" w:rsidP="00C91916">
      <w:pPr>
        <w:numPr>
          <w:ilvl w:val="0"/>
          <w:numId w:val="1"/>
        </w:numPr>
        <w:rPr>
          <w:sz w:val="28"/>
          <w:szCs w:val="28"/>
        </w:rPr>
      </w:pPr>
      <w:r w:rsidRPr="00D26E33">
        <w:rPr>
          <w:sz w:val="28"/>
          <w:szCs w:val="28"/>
        </w:rPr>
        <w:t>coeficientul de calcul (</w:t>
      </w:r>
      <w:r w:rsidRPr="00D26E33">
        <w:rPr>
          <w:i/>
          <w:iCs/>
          <w:sz w:val="28"/>
          <w:szCs w:val="28"/>
        </w:rPr>
        <w:t>K</w:t>
      </w:r>
      <w:r w:rsidRPr="00D26E33">
        <w:rPr>
          <w:i/>
          <w:iCs/>
          <w:sz w:val="28"/>
          <w:szCs w:val="28"/>
          <w:vertAlign w:val="subscript"/>
        </w:rPr>
        <w:t>1</w:t>
      </w:r>
      <w:r w:rsidRPr="00D26E33">
        <w:rPr>
          <w:sz w:val="28"/>
          <w:szCs w:val="28"/>
        </w:rPr>
        <w:t>) se va stabili</w:t>
      </w:r>
      <w:r w:rsidR="00862B5F" w:rsidRPr="00D26E33">
        <w:rPr>
          <w:sz w:val="28"/>
          <w:szCs w:val="28"/>
        </w:rPr>
        <w:t xml:space="preserve">, în funcţie de </w:t>
      </w:r>
      <w:r w:rsidR="0094055F" w:rsidRPr="00D26E33">
        <w:rPr>
          <w:sz w:val="28"/>
          <w:szCs w:val="28"/>
        </w:rPr>
        <w:t>amortizarea</w:t>
      </w:r>
      <w:r w:rsidR="00AC6262" w:rsidRPr="00D26E33">
        <w:rPr>
          <w:sz w:val="28"/>
          <w:szCs w:val="28"/>
        </w:rPr>
        <w:t>/</w:t>
      </w:r>
      <w:r w:rsidR="00021BD5" w:rsidRPr="00D26E33">
        <w:rPr>
          <w:sz w:val="28"/>
          <w:szCs w:val="28"/>
        </w:rPr>
        <w:t>uzura</w:t>
      </w:r>
      <w:r w:rsidR="0094055F" w:rsidRPr="00D26E33">
        <w:rPr>
          <w:color w:val="FF0000"/>
          <w:sz w:val="28"/>
          <w:szCs w:val="28"/>
        </w:rPr>
        <w:t xml:space="preserve"> </w:t>
      </w:r>
      <w:r w:rsidR="00862B5F" w:rsidRPr="00D26E33">
        <w:rPr>
          <w:sz w:val="28"/>
          <w:szCs w:val="28"/>
        </w:rPr>
        <w:t>de</w:t>
      </w:r>
      <w:r w:rsidRPr="00D26E33">
        <w:rPr>
          <w:sz w:val="28"/>
          <w:szCs w:val="28"/>
        </w:rPr>
        <w:t xml:space="preserve"> la </w:t>
      </w:r>
      <w:r w:rsidR="00C91916" w:rsidRPr="00D26E33">
        <w:rPr>
          <w:sz w:val="28"/>
          <w:szCs w:val="28"/>
        </w:rPr>
        <w:t>data</w:t>
      </w:r>
      <w:r w:rsidR="004B609D" w:rsidRPr="00D26E33">
        <w:rPr>
          <w:sz w:val="28"/>
          <w:szCs w:val="28"/>
        </w:rPr>
        <w:t xml:space="preserve"> </w:t>
      </w:r>
      <w:r w:rsidR="00B85F76" w:rsidRPr="00D26E33">
        <w:rPr>
          <w:sz w:val="28"/>
          <w:szCs w:val="28"/>
        </w:rPr>
        <w:t>dării</w:t>
      </w:r>
      <w:r w:rsidR="00862B5F" w:rsidRPr="00D26E33">
        <w:rPr>
          <w:b/>
          <w:color w:val="FF0000"/>
          <w:sz w:val="28"/>
          <w:szCs w:val="28"/>
        </w:rPr>
        <w:t xml:space="preserve"> </w:t>
      </w:r>
      <w:r w:rsidR="00264818" w:rsidRPr="00D26E33">
        <w:rPr>
          <w:sz w:val="28"/>
          <w:szCs w:val="28"/>
        </w:rPr>
        <w:t>în locaţiune</w:t>
      </w:r>
      <w:r w:rsidRPr="00D26E33">
        <w:rPr>
          <w:sz w:val="28"/>
          <w:szCs w:val="28"/>
        </w:rPr>
        <w:t xml:space="preserve"> a utilajului (tabelul nr.2)</w:t>
      </w:r>
      <w:r w:rsidR="00226F15" w:rsidRPr="00D26E33">
        <w:rPr>
          <w:sz w:val="28"/>
          <w:szCs w:val="28"/>
        </w:rPr>
        <w:t>.</w:t>
      </w:r>
    </w:p>
    <w:p w:rsidR="0078348D" w:rsidRPr="00D26E33" w:rsidRDefault="0078348D" w:rsidP="0078348D">
      <w:pPr>
        <w:ind w:left="360"/>
        <w:rPr>
          <w:sz w:val="28"/>
          <w:szCs w:val="28"/>
        </w:rPr>
      </w:pPr>
      <w:r w:rsidRPr="00D26E33">
        <w:rPr>
          <w:sz w:val="28"/>
          <w:szCs w:val="28"/>
        </w:rPr>
        <w:t xml:space="preserve">                                                                                                                   Tabelul nr.2</w:t>
      </w:r>
    </w:p>
    <w:tbl>
      <w:tblPr>
        <w:tblW w:w="9491" w:type="dxa"/>
        <w:jc w:val="center"/>
        <w:tblCellMar>
          <w:top w:w="15" w:type="dxa"/>
          <w:left w:w="15" w:type="dxa"/>
          <w:bottom w:w="15" w:type="dxa"/>
          <w:right w:w="15" w:type="dxa"/>
        </w:tblCellMar>
        <w:tblLook w:val="0000"/>
      </w:tblPr>
      <w:tblGrid>
        <w:gridCol w:w="1397"/>
        <w:gridCol w:w="773"/>
        <w:gridCol w:w="813"/>
        <w:gridCol w:w="716"/>
        <w:gridCol w:w="748"/>
        <w:gridCol w:w="690"/>
        <w:gridCol w:w="724"/>
        <w:gridCol w:w="724"/>
        <w:gridCol w:w="806"/>
        <w:gridCol w:w="770"/>
        <w:gridCol w:w="694"/>
        <w:gridCol w:w="636"/>
      </w:tblGrid>
      <w:tr w:rsidR="0078348D" w:rsidRPr="00D26E33" w:rsidTr="00FF656F">
        <w:trPr>
          <w:trHeight w:val="225"/>
          <w:jc w:val="center"/>
        </w:trPr>
        <w:tc>
          <w:tcPr>
            <w:tcW w:w="9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1BD5" w:rsidRPr="00D26E33" w:rsidRDefault="00C037DC" w:rsidP="00C037DC">
            <w:pPr>
              <w:pStyle w:val="cn"/>
              <w:rPr>
                <w:sz w:val="28"/>
                <w:szCs w:val="28"/>
                <w:lang w:val="ro-RO"/>
              </w:rPr>
            </w:pPr>
            <w:r w:rsidRPr="00D26E33">
              <w:rPr>
                <w:sz w:val="28"/>
                <w:szCs w:val="28"/>
                <w:lang w:val="ro-RO"/>
              </w:rPr>
              <w:t>Mărimea amortizării</w:t>
            </w:r>
            <w:r w:rsidR="00AC6262" w:rsidRPr="00D26E33">
              <w:rPr>
                <w:sz w:val="28"/>
                <w:szCs w:val="28"/>
                <w:lang w:val="ro-RO"/>
              </w:rPr>
              <w:t xml:space="preserve">/ </w:t>
            </w:r>
            <w:r w:rsidR="00992459" w:rsidRPr="00D26E33">
              <w:rPr>
                <w:sz w:val="28"/>
                <w:szCs w:val="28"/>
                <w:lang w:val="ro-RO"/>
              </w:rPr>
              <w:t>uzurii</w:t>
            </w:r>
          </w:p>
          <w:p w:rsidR="00C037DC" w:rsidRPr="00D26E33" w:rsidRDefault="00C037DC" w:rsidP="00C037DC">
            <w:pPr>
              <w:pStyle w:val="cn"/>
              <w:rPr>
                <w:sz w:val="28"/>
                <w:szCs w:val="28"/>
                <w:lang w:val="ro-RO"/>
              </w:rPr>
            </w:pPr>
            <w:r w:rsidRPr="00D26E33">
              <w:rPr>
                <w:i/>
                <w:iCs/>
                <w:sz w:val="28"/>
                <w:szCs w:val="28"/>
                <w:lang w:val="ro-RO"/>
              </w:rPr>
              <w:t xml:space="preserve"> U</w:t>
            </w:r>
            <w:r w:rsidR="00343E1A" w:rsidRPr="00D26E33">
              <w:rPr>
                <w:i/>
                <w:iCs/>
                <w:sz w:val="28"/>
                <w:szCs w:val="28"/>
                <w:vertAlign w:val="subscript"/>
                <w:lang w:val="ro-RO"/>
              </w:rPr>
              <w:t>a</w:t>
            </w:r>
            <w:r w:rsidRPr="00D26E33">
              <w:rPr>
                <w:i/>
                <w:iCs/>
                <w:sz w:val="28"/>
                <w:szCs w:val="28"/>
                <w:lang w:val="ro-RO"/>
              </w:rPr>
              <w:t xml:space="preserve"> </w:t>
            </w:r>
            <w:r w:rsidRPr="00D26E33">
              <w:rPr>
                <w:sz w:val="28"/>
                <w:szCs w:val="28"/>
                <w:lang w:val="ro-RO"/>
              </w:rPr>
              <w:t xml:space="preserve">(%) </w:t>
            </w:r>
          </w:p>
        </w:tc>
        <w:tc>
          <w:tcPr>
            <w:tcW w:w="7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0</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w:t>
            </w:r>
          </w:p>
        </w:tc>
        <w:tc>
          <w:tcPr>
            <w:tcW w:w="7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20</w:t>
            </w:r>
          </w:p>
        </w:tc>
        <w:tc>
          <w:tcPr>
            <w:tcW w:w="7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30</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60</w:t>
            </w:r>
          </w:p>
        </w:tc>
        <w:tc>
          <w:tcPr>
            <w:tcW w:w="8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70</w:t>
            </w:r>
          </w:p>
        </w:tc>
        <w:tc>
          <w:tcPr>
            <w:tcW w:w="7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80</w:t>
            </w:r>
          </w:p>
        </w:tc>
        <w:tc>
          <w:tcPr>
            <w:tcW w:w="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100</w:t>
            </w:r>
          </w:p>
        </w:tc>
      </w:tr>
      <w:tr w:rsidR="0078348D" w:rsidRPr="00D26E33" w:rsidTr="00FF656F">
        <w:trPr>
          <w:trHeight w:val="215"/>
          <w:jc w:val="center"/>
        </w:trPr>
        <w:tc>
          <w:tcPr>
            <w:tcW w:w="9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i/>
                <w:iCs/>
                <w:sz w:val="28"/>
                <w:szCs w:val="28"/>
                <w:lang w:val="ro-RO"/>
              </w:rPr>
              <w:t>K</w:t>
            </w:r>
            <w:r w:rsidRPr="00D26E33">
              <w:rPr>
                <w:i/>
                <w:iCs/>
                <w:sz w:val="28"/>
                <w:szCs w:val="28"/>
                <w:vertAlign w:val="subscript"/>
                <w:lang w:val="ro-RO"/>
              </w:rPr>
              <w:t>1</w:t>
            </w:r>
            <w:r w:rsidRPr="00D26E33">
              <w:rPr>
                <w:sz w:val="28"/>
                <w:szCs w:val="28"/>
                <w:lang w:val="ro-RO"/>
              </w:rPr>
              <w:t xml:space="preserve"> </w:t>
            </w:r>
          </w:p>
        </w:tc>
        <w:tc>
          <w:tcPr>
            <w:tcW w:w="7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1,88</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1,79</w:t>
            </w:r>
          </w:p>
        </w:tc>
        <w:tc>
          <w:tcPr>
            <w:tcW w:w="7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1,71</w:t>
            </w:r>
          </w:p>
        </w:tc>
        <w:tc>
          <w:tcPr>
            <w:tcW w:w="7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1,62</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1,35</w:t>
            </w:r>
          </w:p>
        </w:tc>
        <w:tc>
          <w:tcPr>
            <w:tcW w:w="8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1,27</w:t>
            </w:r>
          </w:p>
        </w:tc>
        <w:tc>
          <w:tcPr>
            <w:tcW w:w="7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1,18</w:t>
            </w:r>
          </w:p>
        </w:tc>
        <w:tc>
          <w:tcPr>
            <w:tcW w:w="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F292F">
            <w:pPr>
              <w:pStyle w:val="rg"/>
              <w:jc w:val="center"/>
              <w:rPr>
                <w:sz w:val="28"/>
                <w:szCs w:val="28"/>
                <w:lang w:val="ro-RO"/>
              </w:rPr>
            </w:pPr>
            <w:r w:rsidRPr="00D26E33">
              <w:rPr>
                <w:sz w:val="28"/>
                <w:szCs w:val="28"/>
                <w:lang w:val="ro-RO"/>
              </w:rPr>
              <w:t>1,0</w:t>
            </w:r>
          </w:p>
        </w:tc>
      </w:tr>
    </w:tbl>
    <w:p w:rsidR="0078348D" w:rsidRPr="00D26E33" w:rsidRDefault="0078348D" w:rsidP="004849B3">
      <w:pPr>
        <w:pStyle w:val="NormalWeb"/>
        <w:ind w:firstLine="0"/>
        <w:rPr>
          <w:i/>
          <w:sz w:val="28"/>
          <w:szCs w:val="28"/>
          <w:lang w:val="ro-RO"/>
        </w:rPr>
      </w:pPr>
      <w:r w:rsidRPr="00D26E33">
        <w:rPr>
          <w:i/>
          <w:sz w:val="28"/>
          <w:szCs w:val="28"/>
          <w:lang w:val="ro-RO"/>
        </w:rPr>
        <w:t> </w:t>
      </w:r>
    </w:p>
    <w:p w:rsidR="0078348D" w:rsidRPr="00D26E33" w:rsidRDefault="0078348D" w:rsidP="0078348D">
      <w:pPr>
        <w:pStyle w:val="NormalWeb"/>
        <w:rPr>
          <w:sz w:val="28"/>
          <w:szCs w:val="28"/>
          <w:lang w:val="ro-RO"/>
        </w:rPr>
      </w:pPr>
      <w:r w:rsidRPr="00D26E33">
        <w:rPr>
          <w:sz w:val="28"/>
          <w:szCs w:val="28"/>
          <w:lang w:val="ro-RO"/>
        </w:rPr>
        <w:t>c) coeficientul de piaţă (</w:t>
      </w:r>
      <w:r w:rsidRPr="00D26E33">
        <w:rPr>
          <w:i/>
          <w:iCs/>
          <w:sz w:val="28"/>
          <w:szCs w:val="28"/>
          <w:lang w:val="ro-RO"/>
        </w:rPr>
        <w:t>K</w:t>
      </w:r>
      <w:r w:rsidRPr="00D26E33">
        <w:rPr>
          <w:i/>
          <w:iCs/>
          <w:sz w:val="28"/>
          <w:szCs w:val="28"/>
          <w:vertAlign w:val="subscript"/>
          <w:lang w:val="ro-RO"/>
        </w:rPr>
        <w:t>2</w:t>
      </w:r>
      <w:r w:rsidRPr="00D26E33">
        <w:rPr>
          <w:sz w:val="28"/>
          <w:szCs w:val="28"/>
          <w:lang w:val="ro-RO"/>
        </w:rPr>
        <w:t>) se stabileşte prin înţelegere</w:t>
      </w:r>
      <w:r w:rsidR="00FD23C5" w:rsidRPr="00D26E33">
        <w:rPr>
          <w:sz w:val="28"/>
          <w:szCs w:val="28"/>
          <w:lang w:val="ro-RO"/>
        </w:rPr>
        <w:t xml:space="preserve"> </w:t>
      </w:r>
      <w:r w:rsidRPr="00D26E33">
        <w:rPr>
          <w:sz w:val="28"/>
          <w:szCs w:val="28"/>
          <w:lang w:val="ro-RO"/>
        </w:rPr>
        <w:t xml:space="preserve">a părţilor şi nu poate fi mai mic de 1,0. La stabilirea acestui coeficient se va ţine cont de cerere şi </w:t>
      </w:r>
      <w:r w:rsidR="00FD23C5" w:rsidRPr="00D26E33">
        <w:rPr>
          <w:sz w:val="28"/>
          <w:szCs w:val="28"/>
          <w:lang w:val="ro-RO"/>
        </w:rPr>
        <w:t xml:space="preserve">de </w:t>
      </w:r>
      <w:r w:rsidRPr="00D26E33">
        <w:rPr>
          <w:sz w:val="28"/>
          <w:szCs w:val="28"/>
          <w:lang w:val="ro-RO"/>
        </w:rPr>
        <w:t xml:space="preserve">ofertă, de </w:t>
      </w:r>
      <w:r w:rsidRPr="00D26E33">
        <w:rPr>
          <w:sz w:val="28"/>
          <w:szCs w:val="28"/>
          <w:lang w:val="ro-RO"/>
        </w:rPr>
        <w:lastRenderedPageBreak/>
        <w:t xml:space="preserve">venitul neobţinut, de diferenţa dintre valoarea </w:t>
      </w:r>
      <w:r w:rsidR="009D0976" w:rsidRPr="00D26E33">
        <w:rPr>
          <w:sz w:val="28"/>
          <w:szCs w:val="28"/>
          <w:lang w:val="ro-RO"/>
        </w:rPr>
        <w:t>contabilă</w:t>
      </w:r>
      <w:r w:rsidR="0093742B" w:rsidRPr="00D26E33">
        <w:rPr>
          <w:sz w:val="28"/>
          <w:szCs w:val="28"/>
          <w:lang w:val="ro-RO"/>
        </w:rPr>
        <w:t>/valoarea de bilanț</w:t>
      </w:r>
      <w:r w:rsidRPr="00D26E33">
        <w:rPr>
          <w:color w:val="00B050"/>
          <w:sz w:val="28"/>
          <w:szCs w:val="28"/>
          <w:lang w:val="ro-RO"/>
        </w:rPr>
        <w:t xml:space="preserve"> </w:t>
      </w:r>
      <w:r w:rsidRPr="00D26E33">
        <w:rPr>
          <w:sz w:val="28"/>
          <w:szCs w:val="28"/>
          <w:lang w:val="ro-RO"/>
        </w:rPr>
        <w:t>şi preţul de piaţă la utilajul de acelaşi tip sau cu caracteristici comparabile, precum şi de alţi factori. Excepţie fac instituţiile publice finanţate de la bugetul pu</w:t>
      </w:r>
      <w:r w:rsidR="00474D54" w:rsidRPr="00D26E33">
        <w:rPr>
          <w:sz w:val="28"/>
          <w:szCs w:val="28"/>
          <w:lang w:val="ro-RO"/>
        </w:rPr>
        <w:t xml:space="preserve">blic naţional la </w:t>
      </w:r>
      <w:r w:rsidR="00B85F76" w:rsidRPr="00D26E33">
        <w:rPr>
          <w:sz w:val="28"/>
          <w:szCs w:val="28"/>
          <w:lang w:val="ro-RO"/>
        </w:rPr>
        <w:t>darea</w:t>
      </w:r>
      <w:r w:rsidR="00474D54" w:rsidRPr="00D26E33">
        <w:rPr>
          <w:color w:val="FF0000"/>
          <w:sz w:val="28"/>
          <w:szCs w:val="28"/>
          <w:lang w:val="ro-RO"/>
        </w:rPr>
        <w:t xml:space="preserve"> </w:t>
      </w:r>
      <w:r w:rsidR="00474D54" w:rsidRPr="00D26E33">
        <w:rPr>
          <w:sz w:val="28"/>
          <w:szCs w:val="28"/>
          <w:lang w:val="ro-RO"/>
        </w:rPr>
        <w:t>în locaţiune</w:t>
      </w:r>
      <w:r w:rsidRPr="00D26E33">
        <w:rPr>
          <w:sz w:val="28"/>
          <w:szCs w:val="28"/>
          <w:lang w:val="ro-RO"/>
        </w:rPr>
        <w:t xml:space="preserve"> a utilajului altor instituţii publice finanţate de la bugetul public naţional, pentru care coeficientul de piaţă se stabileşte în mărime de 1,0. </w:t>
      </w:r>
    </w:p>
    <w:p w:rsidR="0078348D" w:rsidRPr="00D26E33" w:rsidRDefault="0078348D" w:rsidP="0078348D">
      <w:pPr>
        <w:pStyle w:val="NormalWeb"/>
        <w:rPr>
          <w:sz w:val="28"/>
          <w:szCs w:val="28"/>
          <w:lang w:val="ro-RO"/>
        </w:rPr>
      </w:pPr>
      <w:r w:rsidRPr="00D26E33">
        <w:rPr>
          <w:sz w:val="28"/>
          <w:szCs w:val="28"/>
          <w:lang w:val="ro-RO"/>
        </w:rPr>
        <w:t>În cazul în care mărimea cheltuielilor de întreţinere şi exploatare a utilajului (</w:t>
      </w:r>
      <w:r w:rsidRPr="00D26E33">
        <w:rPr>
          <w:i/>
          <w:iCs/>
          <w:sz w:val="28"/>
          <w:szCs w:val="28"/>
          <w:lang w:val="ro-RO"/>
        </w:rPr>
        <w:t>Q</w:t>
      </w:r>
      <w:r w:rsidRPr="00D26E33">
        <w:rPr>
          <w:sz w:val="28"/>
          <w:szCs w:val="28"/>
          <w:lang w:val="ro-RO"/>
        </w:rPr>
        <w:t xml:space="preserve">) variază, </w:t>
      </w:r>
      <w:r w:rsidR="00FD23C5" w:rsidRPr="00D26E33">
        <w:rPr>
          <w:sz w:val="28"/>
          <w:szCs w:val="28"/>
          <w:lang w:val="ro-RO"/>
        </w:rPr>
        <w:t>aceasta</w:t>
      </w:r>
      <w:r w:rsidRPr="00D26E33">
        <w:rPr>
          <w:sz w:val="28"/>
          <w:szCs w:val="28"/>
          <w:lang w:val="ro-RO"/>
        </w:rPr>
        <w:t xml:space="preserve"> </w:t>
      </w:r>
      <w:r w:rsidR="00D57FF0" w:rsidRPr="00D26E33">
        <w:rPr>
          <w:sz w:val="28"/>
          <w:szCs w:val="28"/>
          <w:lang w:val="ro-RO"/>
        </w:rPr>
        <w:t xml:space="preserve">se </w:t>
      </w:r>
      <w:r w:rsidRPr="00D26E33">
        <w:rPr>
          <w:sz w:val="28"/>
          <w:szCs w:val="28"/>
          <w:lang w:val="ro-RO"/>
        </w:rPr>
        <w:t xml:space="preserve">recalculează şi se achită suplimentar. </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474D54" w:rsidP="0078348D">
      <w:pPr>
        <w:pStyle w:val="NormalWeb"/>
        <w:rPr>
          <w:sz w:val="28"/>
          <w:szCs w:val="28"/>
          <w:lang w:val="ro-RO"/>
        </w:rPr>
      </w:pPr>
      <w:r w:rsidRPr="00D26E33">
        <w:rPr>
          <w:sz w:val="28"/>
          <w:szCs w:val="28"/>
          <w:lang w:val="ro-RO"/>
        </w:rPr>
        <w:t>3. Cuantumul chiriei</w:t>
      </w:r>
      <w:r w:rsidR="0078348D" w:rsidRPr="00D26E33">
        <w:rPr>
          <w:sz w:val="28"/>
          <w:szCs w:val="28"/>
          <w:lang w:val="ro-RO"/>
        </w:rPr>
        <w:t xml:space="preserve"> anuale pentru folosirea mijloacelor circu</w:t>
      </w:r>
      <w:r w:rsidR="0065026A" w:rsidRPr="00D26E33">
        <w:rPr>
          <w:sz w:val="28"/>
          <w:szCs w:val="28"/>
          <w:lang w:val="ro-RO"/>
        </w:rPr>
        <w:t>lante se calculează după</w:t>
      </w:r>
      <w:r w:rsidR="0078348D" w:rsidRPr="00D26E33">
        <w:rPr>
          <w:sz w:val="28"/>
          <w:szCs w:val="28"/>
          <w:lang w:val="ro-RO"/>
        </w:rPr>
        <w:t xml:space="preserve"> formula: </w:t>
      </w:r>
    </w:p>
    <w:p w:rsidR="00EB7ED5" w:rsidRPr="00D26E33" w:rsidRDefault="0078348D" w:rsidP="007F292F">
      <w:pPr>
        <w:pStyle w:val="NormalWeb"/>
        <w:rPr>
          <w:sz w:val="28"/>
          <w:szCs w:val="28"/>
          <w:lang w:val="ro-RO"/>
        </w:rPr>
      </w:pPr>
      <w:r w:rsidRPr="00D26E33">
        <w:rPr>
          <w:i/>
          <w:iCs/>
          <w:sz w:val="28"/>
          <w:szCs w:val="28"/>
          <w:lang w:val="ro-RO"/>
        </w:rPr>
        <w:t>P</w:t>
      </w:r>
      <w:r w:rsidRPr="00D26E33">
        <w:rPr>
          <w:i/>
          <w:iCs/>
          <w:sz w:val="28"/>
          <w:szCs w:val="28"/>
          <w:vertAlign w:val="subscript"/>
          <w:lang w:val="ro-RO"/>
        </w:rPr>
        <w:t>ac</w:t>
      </w:r>
      <w:r w:rsidRPr="00D26E33">
        <w:rPr>
          <w:sz w:val="28"/>
          <w:szCs w:val="28"/>
          <w:lang w:val="ro-RO"/>
        </w:rPr>
        <w:t xml:space="preserve"> = </w:t>
      </w:r>
      <w:r w:rsidRPr="00D26E33">
        <w:rPr>
          <w:i/>
          <w:iCs/>
          <w:sz w:val="28"/>
          <w:szCs w:val="28"/>
          <w:lang w:val="ro-RO"/>
        </w:rPr>
        <w:t>C</w:t>
      </w:r>
      <w:r w:rsidRPr="00D26E33">
        <w:rPr>
          <w:sz w:val="28"/>
          <w:szCs w:val="28"/>
          <w:lang w:val="ro-RO"/>
        </w:rPr>
        <w:t xml:space="preserve"> x </w:t>
      </w:r>
      <w:r w:rsidRPr="00D26E33">
        <w:rPr>
          <w:i/>
          <w:iCs/>
          <w:sz w:val="28"/>
          <w:szCs w:val="28"/>
          <w:lang w:val="ro-RO"/>
        </w:rPr>
        <w:t xml:space="preserve">R </w:t>
      </w:r>
      <w:r w:rsidRPr="00D26E33">
        <w:rPr>
          <w:sz w:val="28"/>
          <w:szCs w:val="28"/>
          <w:lang w:val="ro-RO"/>
        </w:rPr>
        <w:t xml:space="preserve">x </w:t>
      </w:r>
      <w:r w:rsidRPr="00D26E33">
        <w:rPr>
          <w:i/>
          <w:iCs/>
          <w:sz w:val="28"/>
          <w:szCs w:val="28"/>
          <w:lang w:val="ro-RO"/>
        </w:rPr>
        <w:t>K</w:t>
      </w:r>
      <w:r w:rsidRPr="00D26E33">
        <w:rPr>
          <w:sz w:val="28"/>
          <w:szCs w:val="28"/>
          <w:lang w:val="ro-RO"/>
        </w:rPr>
        <w:t xml:space="preserve">, </w:t>
      </w:r>
    </w:p>
    <w:p w:rsidR="007F292F" w:rsidRPr="00D26E33" w:rsidRDefault="007F292F" w:rsidP="007F292F">
      <w:pPr>
        <w:pStyle w:val="NormalWeb"/>
        <w:rPr>
          <w:sz w:val="28"/>
          <w:szCs w:val="28"/>
          <w:lang w:val="ro-RO"/>
        </w:rPr>
      </w:pPr>
    </w:p>
    <w:p w:rsidR="0078348D" w:rsidRPr="00D26E33" w:rsidRDefault="0078348D" w:rsidP="0078348D">
      <w:pPr>
        <w:pStyle w:val="NormalWeb"/>
        <w:rPr>
          <w:sz w:val="28"/>
          <w:szCs w:val="28"/>
          <w:lang w:val="ro-RO"/>
        </w:rPr>
      </w:pPr>
      <w:r w:rsidRPr="00D26E33">
        <w:rPr>
          <w:sz w:val="28"/>
          <w:szCs w:val="28"/>
          <w:lang w:val="ro-RO"/>
        </w:rPr>
        <w:t xml:space="preserve">în care: </w:t>
      </w:r>
    </w:p>
    <w:p w:rsidR="0078348D" w:rsidRPr="00D26E33" w:rsidRDefault="0078348D" w:rsidP="0078348D">
      <w:pPr>
        <w:pStyle w:val="NormalWeb"/>
        <w:rPr>
          <w:sz w:val="28"/>
          <w:szCs w:val="28"/>
          <w:lang w:val="ro-RO"/>
        </w:rPr>
      </w:pPr>
      <w:r w:rsidRPr="00D26E33">
        <w:rPr>
          <w:i/>
          <w:iCs/>
          <w:sz w:val="28"/>
          <w:szCs w:val="28"/>
          <w:lang w:val="ro-RO"/>
        </w:rPr>
        <w:t>P</w:t>
      </w:r>
      <w:r w:rsidRPr="00D26E33">
        <w:rPr>
          <w:i/>
          <w:iCs/>
          <w:sz w:val="28"/>
          <w:szCs w:val="28"/>
          <w:vertAlign w:val="subscript"/>
          <w:lang w:val="ro-RO"/>
        </w:rPr>
        <w:t>ac</w:t>
      </w:r>
      <w:r w:rsidRPr="00D26E33">
        <w:rPr>
          <w:i/>
          <w:iCs/>
          <w:sz w:val="28"/>
          <w:szCs w:val="28"/>
          <w:lang w:val="ro-RO"/>
        </w:rPr>
        <w:t xml:space="preserve"> - </w:t>
      </w:r>
      <w:r w:rsidR="00474D54" w:rsidRPr="00D26E33">
        <w:rPr>
          <w:sz w:val="28"/>
          <w:szCs w:val="28"/>
          <w:lang w:val="ro-RO"/>
        </w:rPr>
        <w:t>cuantumul chiriei</w:t>
      </w:r>
      <w:r w:rsidRPr="00D26E33">
        <w:rPr>
          <w:sz w:val="28"/>
          <w:szCs w:val="28"/>
          <w:lang w:val="ro-RO"/>
        </w:rPr>
        <w:t xml:space="preserve"> anuale pentru folosirea mijloacelor circulante; </w:t>
      </w:r>
    </w:p>
    <w:p w:rsidR="0078348D" w:rsidRPr="00D26E33" w:rsidRDefault="0078348D" w:rsidP="0078348D">
      <w:pPr>
        <w:pStyle w:val="NormalWeb"/>
        <w:rPr>
          <w:sz w:val="28"/>
          <w:szCs w:val="28"/>
          <w:lang w:val="ro-RO"/>
        </w:rPr>
      </w:pPr>
      <w:r w:rsidRPr="00D26E33">
        <w:rPr>
          <w:i/>
          <w:iCs/>
          <w:sz w:val="28"/>
          <w:szCs w:val="28"/>
          <w:lang w:val="ro-RO"/>
        </w:rPr>
        <w:t>C</w:t>
      </w:r>
      <w:r w:rsidRPr="00D26E33">
        <w:rPr>
          <w:sz w:val="28"/>
          <w:szCs w:val="28"/>
          <w:lang w:val="ro-RO"/>
        </w:rPr>
        <w:t xml:space="preserve">- </w:t>
      </w:r>
      <w:r w:rsidR="00531A0D" w:rsidRPr="00D26E33">
        <w:rPr>
          <w:sz w:val="28"/>
          <w:szCs w:val="28"/>
          <w:lang w:val="ro-RO"/>
        </w:rPr>
        <w:t>valoarea contabilă</w:t>
      </w:r>
      <w:r w:rsidR="00A03B7A" w:rsidRPr="00D26E33">
        <w:rPr>
          <w:sz w:val="28"/>
          <w:szCs w:val="28"/>
          <w:lang w:val="ro-RO"/>
        </w:rPr>
        <w:t>/valoarea de bilanț</w:t>
      </w:r>
      <w:r w:rsidR="00531A0D" w:rsidRPr="00D26E33">
        <w:rPr>
          <w:sz w:val="28"/>
          <w:szCs w:val="28"/>
          <w:lang w:val="ro-RO"/>
        </w:rPr>
        <w:t xml:space="preserve"> a</w:t>
      </w:r>
      <w:r w:rsidRPr="00D26E33">
        <w:rPr>
          <w:sz w:val="28"/>
          <w:szCs w:val="28"/>
          <w:lang w:val="ro-RO"/>
        </w:rPr>
        <w:t xml:space="preserve"> mijloacelor circu</w:t>
      </w:r>
      <w:r w:rsidR="00474D54" w:rsidRPr="00D26E33">
        <w:rPr>
          <w:sz w:val="28"/>
          <w:szCs w:val="28"/>
          <w:lang w:val="ro-RO"/>
        </w:rPr>
        <w:t>lante la data calculării chiriei</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i/>
          <w:iCs/>
          <w:sz w:val="28"/>
          <w:szCs w:val="28"/>
          <w:lang w:val="ro-RO"/>
        </w:rPr>
        <w:t xml:space="preserve">R </w:t>
      </w:r>
      <w:r w:rsidRPr="00D26E33">
        <w:rPr>
          <w:sz w:val="28"/>
          <w:szCs w:val="28"/>
          <w:lang w:val="ro-RO"/>
        </w:rPr>
        <w:t>- rata de bază aplicată</w:t>
      </w:r>
      <w:r w:rsidR="00534139" w:rsidRPr="00D26E33">
        <w:rPr>
          <w:sz w:val="28"/>
          <w:szCs w:val="28"/>
          <w:lang w:val="ro-RO"/>
        </w:rPr>
        <w:t xml:space="preserve"> </w:t>
      </w:r>
      <w:r w:rsidR="00536581" w:rsidRPr="00D26E33">
        <w:rPr>
          <w:sz w:val="28"/>
          <w:szCs w:val="28"/>
          <w:lang w:val="ro-RO"/>
        </w:rPr>
        <w:t>de Banca Naţională a Moldovei</w:t>
      </w:r>
      <w:r w:rsidR="008855FD" w:rsidRPr="00D26E33">
        <w:rPr>
          <w:sz w:val="28"/>
          <w:szCs w:val="28"/>
          <w:lang w:val="ro-RO"/>
        </w:rPr>
        <w:t xml:space="preserve"> la principalele operaţiuni</w:t>
      </w:r>
      <w:r w:rsidRPr="00D26E33">
        <w:rPr>
          <w:sz w:val="28"/>
          <w:szCs w:val="28"/>
          <w:lang w:val="ro-RO"/>
        </w:rPr>
        <w:t xml:space="preserve"> </w:t>
      </w:r>
      <w:r w:rsidR="008855FD" w:rsidRPr="00D26E33">
        <w:rPr>
          <w:sz w:val="28"/>
          <w:szCs w:val="28"/>
          <w:lang w:val="ro-RO"/>
        </w:rPr>
        <w:t>de politică monetară pe termen scurt</w:t>
      </w:r>
      <w:r w:rsidRPr="00D26E33">
        <w:rPr>
          <w:sz w:val="28"/>
          <w:szCs w:val="28"/>
          <w:lang w:val="ro-RO"/>
        </w:rPr>
        <w:t xml:space="preserve">; </w:t>
      </w:r>
    </w:p>
    <w:p w:rsidR="00EB7ED5" w:rsidRPr="00D26E33" w:rsidRDefault="0078348D" w:rsidP="0078348D">
      <w:pPr>
        <w:pStyle w:val="NormalWeb"/>
        <w:rPr>
          <w:sz w:val="28"/>
          <w:szCs w:val="28"/>
          <w:lang w:val="ro-RO"/>
        </w:rPr>
      </w:pPr>
      <w:r w:rsidRPr="00D26E33">
        <w:rPr>
          <w:i/>
          <w:iCs/>
          <w:sz w:val="28"/>
          <w:szCs w:val="28"/>
          <w:lang w:val="ro-RO"/>
        </w:rPr>
        <w:t>K</w:t>
      </w:r>
      <w:r w:rsidRPr="00D26E33">
        <w:rPr>
          <w:sz w:val="28"/>
          <w:szCs w:val="28"/>
          <w:lang w:val="ro-RO"/>
        </w:rPr>
        <w:t xml:space="preserve"> - coeficientul de piaţă.</w:t>
      </w:r>
    </w:p>
    <w:p w:rsidR="0078348D" w:rsidRPr="00D26E33" w:rsidRDefault="0078348D" w:rsidP="0078348D">
      <w:pPr>
        <w:pStyle w:val="NormalWeb"/>
        <w:rPr>
          <w:sz w:val="28"/>
          <w:szCs w:val="28"/>
          <w:lang w:val="ro-RO"/>
        </w:rPr>
      </w:pPr>
      <w:r w:rsidRPr="00D26E33">
        <w:rPr>
          <w:sz w:val="28"/>
          <w:szCs w:val="28"/>
          <w:lang w:val="ro-RO"/>
        </w:rPr>
        <w:t xml:space="preserve"> </w:t>
      </w:r>
    </w:p>
    <w:p w:rsidR="0078348D" w:rsidRPr="00D26E33" w:rsidRDefault="0078348D" w:rsidP="00C539DB">
      <w:pPr>
        <w:pStyle w:val="NormalWeb"/>
        <w:rPr>
          <w:sz w:val="28"/>
          <w:szCs w:val="28"/>
          <w:lang w:val="ro-RO"/>
        </w:rPr>
      </w:pPr>
      <w:r w:rsidRPr="00D26E33">
        <w:rPr>
          <w:sz w:val="28"/>
          <w:szCs w:val="28"/>
          <w:lang w:val="ro-RO"/>
        </w:rPr>
        <w:t>Valoarea coeficienţilor folosiţi în calcule se determină după următoarele criterii:  </w:t>
      </w:r>
    </w:p>
    <w:p w:rsidR="00D22E41" w:rsidRDefault="004A08F6" w:rsidP="0078348D">
      <w:pPr>
        <w:numPr>
          <w:ilvl w:val="0"/>
          <w:numId w:val="2"/>
        </w:numPr>
        <w:rPr>
          <w:sz w:val="28"/>
          <w:szCs w:val="28"/>
        </w:rPr>
      </w:pPr>
      <w:r>
        <w:rPr>
          <w:sz w:val="28"/>
          <w:szCs w:val="28"/>
        </w:rPr>
        <w:t>valoarea contabilă/valoarea de bilanț a</w:t>
      </w:r>
      <w:r w:rsidR="0078348D" w:rsidRPr="00D26E33">
        <w:rPr>
          <w:sz w:val="28"/>
          <w:szCs w:val="28"/>
        </w:rPr>
        <w:t xml:space="preserve"> mijloacelor </w:t>
      </w:r>
      <w:r w:rsidR="00D22E41">
        <w:rPr>
          <w:sz w:val="28"/>
          <w:szCs w:val="28"/>
        </w:rPr>
        <w:t>circulante se calculează pentru</w:t>
      </w:r>
    </w:p>
    <w:p w:rsidR="0078348D" w:rsidRPr="00D26E33" w:rsidRDefault="0078348D" w:rsidP="00046C08">
      <w:pPr>
        <w:rPr>
          <w:sz w:val="28"/>
          <w:szCs w:val="28"/>
        </w:rPr>
      </w:pPr>
      <w:r w:rsidRPr="00D26E33">
        <w:rPr>
          <w:sz w:val="28"/>
          <w:szCs w:val="28"/>
        </w:rPr>
        <w:t>f</w:t>
      </w:r>
      <w:r w:rsidR="00046C08" w:rsidRPr="00D26E33">
        <w:rPr>
          <w:sz w:val="28"/>
          <w:szCs w:val="28"/>
        </w:rPr>
        <w:t xml:space="preserve">iecare </w:t>
      </w:r>
      <w:r w:rsidR="00D22E41">
        <w:rPr>
          <w:sz w:val="28"/>
          <w:szCs w:val="28"/>
        </w:rPr>
        <w:t>obiect de evidență</w:t>
      </w:r>
      <w:r w:rsidR="00046C08" w:rsidRPr="00D26E33">
        <w:rPr>
          <w:sz w:val="28"/>
          <w:szCs w:val="28"/>
        </w:rPr>
        <w:t>, conform</w:t>
      </w:r>
      <w:r w:rsidR="00D22E41">
        <w:rPr>
          <w:sz w:val="28"/>
          <w:szCs w:val="28"/>
        </w:rPr>
        <w:t xml:space="preserve"> </w:t>
      </w:r>
      <w:r w:rsidRPr="00D26E33">
        <w:rPr>
          <w:sz w:val="28"/>
          <w:szCs w:val="28"/>
        </w:rPr>
        <w:t>tabelului nr.3:</w:t>
      </w:r>
    </w:p>
    <w:p w:rsidR="0078348D" w:rsidRPr="00D26E33" w:rsidRDefault="0078348D" w:rsidP="0078348D">
      <w:pPr>
        <w:ind w:left="360"/>
        <w:rPr>
          <w:sz w:val="28"/>
          <w:szCs w:val="28"/>
        </w:rPr>
      </w:pPr>
      <w:r w:rsidRPr="00D26E33">
        <w:t xml:space="preserve">                                                                                                        </w:t>
      </w:r>
      <w:r w:rsidR="002804F2" w:rsidRPr="00D26E33">
        <w:t xml:space="preserve">             </w:t>
      </w:r>
      <w:r w:rsidR="00542C82" w:rsidRPr="00D26E33">
        <w:t xml:space="preserve">                   </w:t>
      </w:r>
      <w:r w:rsidRPr="00D26E33">
        <w:rPr>
          <w:sz w:val="28"/>
          <w:szCs w:val="28"/>
        </w:rPr>
        <w:t>Tabelul nr.3</w:t>
      </w:r>
    </w:p>
    <w:tbl>
      <w:tblPr>
        <w:tblW w:w="10286" w:type="dxa"/>
        <w:jc w:val="center"/>
        <w:tblCellMar>
          <w:top w:w="15" w:type="dxa"/>
          <w:left w:w="15" w:type="dxa"/>
          <w:bottom w:w="15" w:type="dxa"/>
          <w:right w:w="15" w:type="dxa"/>
        </w:tblCellMar>
        <w:tblLook w:val="0000"/>
      </w:tblPr>
      <w:tblGrid>
        <w:gridCol w:w="456"/>
        <w:gridCol w:w="1837"/>
        <w:gridCol w:w="1226"/>
        <w:gridCol w:w="1268"/>
        <w:gridCol w:w="2584"/>
        <w:gridCol w:w="2280"/>
        <w:gridCol w:w="635"/>
      </w:tblGrid>
      <w:tr w:rsidR="00474D54" w:rsidRPr="00D26E33" w:rsidTr="00795C3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Nr. </w:t>
            </w:r>
          </w:p>
          <w:p w:rsidR="0078348D" w:rsidRPr="00D26E33" w:rsidRDefault="0078348D" w:rsidP="0078348D">
            <w:pPr>
              <w:pStyle w:val="cn"/>
              <w:rPr>
                <w:sz w:val="28"/>
                <w:szCs w:val="28"/>
                <w:lang w:val="ro-RO"/>
              </w:rPr>
            </w:pPr>
            <w:r w:rsidRPr="00D26E33">
              <w:rPr>
                <w:sz w:val="28"/>
                <w:szCs w:val="28"/>
                <w:lang w:val="ro-RO"/>
              </w:rPr>
              <w:t xml:space="preserve">crt. </w:t>
            </w:r>
          </w:p>
        </w:tc>
        <w:tc>
          <w:tcPr>
            <w:tcW w:w="18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Denumirea mijloacelor circulante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Cantitatea </w:t>
            </w:r>
          </w:p>
        </w:tc>
        <w:tc>
          <w:tcPr>
            <w:tcW w:w="1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Unitatea de măsură </w:t>
            </w:r>
          </w:p>
        </w:tc>
        <w:tc>
          <w:tcPr>
            <w:tcW w:w="26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531A0D" w:rsidP="00531A0D">
            <w:pPr>
              <w:pStyle w:val="cn"/>
              <w:rPr>
                <w:sz w:val="28"/>
                <w:szCs w:val="28"/>
                <w:lang w:val="ro-RO"/>
              </w:rPr>
            </w:pPr>
            <w:r w:rsidRPr="00D26E33">
              <w:rPr>
                <w:sz w:val="28"/>
                <w:szCs w:val="28"/>
                <w:lang w:val="ro-RO"/>
              </w:rPr>
              <w:t>Valoarea contabilă</w:t>
            </w:r>
            <w:r w:rsidR="00A03B7A" w:rsidRPr="00D26E33">
              <w:rPr>
                <w:sz w:val="28"/>
                <w:szCs w:val="28"/>
                <w:lang w:val="ro-RO"/>
              </w:rPr>
              <w:t>/valoarea de bilanț</w:t>
            </w:r>
            <w:r w:rsidRPr="00D26E33">
              <w:rPr>
                <w:sz w:val="28"/>
                <w:szCs w:val="28"/>
                <w:lang w:val="ro-RO"/>
              </w:rPr>
              <w:t xml:space="preserve"> a</w:t>
            </w:r>
            <w:r w:rsidR="003D4EE1" w:rsidRPr="00D26E33">
              <w:rPr>
                <w:sz w:val="28"/>
                <w:szCs w:val="28"/>
                <w:lang w:val="ro-RO"/>
              </w:rPr>
              <w:t xml:space="preserve"> </w:t>
            </w:r>
            <w:r w:rsidR="0078348D" w:rsidRPr="00D26E33">
              <w:rPr>
                <w:sz w:val="28"/>
                <w:szCs w:val="28"/>
                <w:lang w:val="ro-RO"/>
              </w:rPr>
              <w:t xml:space="preserve">unei unităţi la data calculării </w:t>
            </w:r>
            <w:r w:rsidR="00474D54" w:rsidRPr="00D26E33">
              <w:rPr>
                <w:sz w:val="28"/>
                <w:szCs w:val="28"/>
                <w:lang w:val="ro-RO"/>
              </w:rPr>
              <w:t>chiriei</w:t>
            </w:r>
            <w:r w:rsidR="0002196D" w:rsidRPr="00D26E33">
              <w:rPr>
                <w:sz w:val="28"/>
                <w:szCs w:val="28"/>
                <w:lang w:val="ro-RO"/>
              </w:rPr>
              <w:t>,</w:t>
            </w:r>
            <w:r w:rsidR="00865BA5" w:rsidRPr="00D26E33">
              <w:rPr>
                <w:sz w:val="28"/>
                <w:szCs w:val="28"/>
                <w:lang w:val="ro-RO"/>
              </w:rPr>
              <w:t xml:space="preserve"> în</w:t>
            </w:r>
            <w:r w:rsidR="0078348D" w:rsidRPr="00D26E33">
              <w:rPr>
                <w:sz w:val="28"/>
                <w:szCs w:val="28"/>
                <w:lang w:val="ro-RO"/>
              </w:rPr>
              <w:t xml:space="preserve"> lei </w:t>
            </w:r>
          </w:p>
        </w:tc>
        <w:tc>
          <w:tcPr>
            <w:tcW w:w="22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531A0D" w:rsidP="00237B35">
            <w:pPr>
              <w:pStyle w:val="cn"/>
              <w:rPr>
                <w:sz w:val="28"/>
                <w:szCs w:val="28"/>
                <w:lang w:val="ro-RO"/>
              </w:rPr>
            </w:pPr>
            <w:r w:rsidRPr="00D26E33">
              <w:rPr>
                <w:sz w:val="28"/>
                <w:szCs w:val="28"/>
                <w:lang w:val="ro-RO"/>
              </w:rPr>
              <w:t>Valoarea contabilă</w:t>
            </w:r>
            <w:r w:rsidR="00A03B7A" w:rsidRPr="00D26E33">
              <w:rPr>
                <w:sz w:val="28"/>
                <w:szCs w:val="28"/>
                <w:lang w:val="ro-RO"/>
              </w:rPr>
              <w:t>/valoarea de bilanț</w:t>
            </w:r>
            <w:r w:rsidR="003D4EE1" w:rsidRPr="00D26E33">
              <w:rPr>
                <w:sz w:val="28"/>
                <w:szCs w:val="28"/>
                <w:lang w:val="ro-RO"/>
              </w:rPr>
              <w:t xml:space="preserve"> </w:t>
            </w:r>
            <w:r w:rsidR="00DE7C25">
              <w:rPr>
                <w:sz w:val="28"/>
                <w:szCs w:val="28"/>
                <w:lang w:val="ro-RO"/>
              </w:rPr>
              <w:t>totală</w:t>
            </w:r>
            <w:r w:rsidR="004F3D21" w:rsidRPr="00D26E33">
              <w:rPr>
                <w:sz w:val="28"/>
                <w:szCs w:val="28"/>
                <w:lang w:val="ro-RO"/>
              </w:rPr>
              <w:t xml:space="preserve"> </w:t>
            </w:r>
            <w:r w:rsidR="00474D54" w:rsidRPr="00D26E33">
              <w:rPr>
                <w:sz w:val="28"/>
                <w:szCs w:val="28"/>
                <w:lang w:val="ro-RO"/>
              </w:rPr>
              <w:t xml:space="preserve">la data calculării </w:t>
            </w:r>
            <w:r w:rsidRPr="00D26E33">
              <w:rPr>
                <w:sz w:val="28"/>
                <w:szCs w:val="28"/>
                <w:lang w:val="ro-RO"/>
              </w:rPr>
              <w:t xml:space="preserve">  </w:t>
            </w:r>
            <w:r w:rsidR="00474D54" w:rsidRPr="00D26E33">
              <w:rPr>
                <w:sz w:val="28"/>
                <w:szCs w:val="28"/>
                <w:lang w:val="ro-RO"/>
              </w:rPr>
              <w:t>chiriei</w:t>
            </w:r>
            <w:r w:rsidR="002804F2" w:rsidRPr="00D26E33">
              <w:rPr>
                <w:sz w:val="28"/>
                <w:szCs w:val="28"/>
                <w:lang w:val="ro-RO"/>
              </w:rPr>
              <w:t>,</w:t>
            </w:r>
            <w:r w:rsidR="0078348D" w:rsidRPr="00D26E33">
              <w:rPr>
                <w:sz w:val="28"/>
                <w:szCs w:val="28"/>
                <w:lang w:val="ro-RO"/>
              </w:rPr>
              <w:t xml:space="preserve"> </w:t>
            </w:r>
            <w:r w:rsidR="00865BA5" w:rsidRPr="00D26E33">
              <w:rPr>
                <w:sz w:val="28"/>
                <w:szCs w:val="28"/>
                <w:lang w:val="ro-RO"/>
              </w:rPr>
              <w:t xml:space="preserve">în </w:t>
            </w:r>
            <w:r w:rsidR="0078348D" w:rsidRPr="00D26E33">
              <w:rPr>
                <w:sz w:val="28"/>
                <w:szCs w:val="28"/>
                <w:lang w:val="ro-RO"/>
              </w:rPr>
              <w:t>lei</w:t>
            </w:r>
          </w:p>
        </w:tc>
        <w:tc>
          <w:tcPr>
            <w:tcW w:w="5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Note </w:t>
            </w:r>
          </w:p>
        </w:tc>
      </w:tr>
      <w:tr w:rsidR="00474D54" w:rsidRPr="00D26E33" w:rsidTr="00795C3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1 </w:t>
            </w:r>
          </w:p>
        </w:tc>
        <w:tc>
          <w:tcPr>
            <w:tcW w:w="18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2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3 </w:t>
            </w:r>
          </w:p>
        </w:tc>
        <w:tc>
          <w:tcPr>
            <w:tcW w:w="1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4 </w:t>
            </w:r>
          </w:p>
        </w:tc>
        <w:tc>
          <w:tcPr>
            <w:tcW w:w="26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5 </w:t>
            </w:r>
          </w:p>
        </w:tc>
        <w:tc>
          <w:tcPr>
            <w:tcW w:w="22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6 </w:t>
            </w:r>
          </w:p>
        </w:tc>
        <w:tc>
          <w:tcPr>
            <w:tcW w:w="5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48D" w:rsidRPr="00D26E33" w:rsidRDefault="0078348D" w:rsidP="0078348D">
            <w:pPr>
              <w:pStyle w:val="cn"/>
              <w:rPr>
                <w:sz w:val="28"/>
                <w:szCs w:val="28"/>
                <w:lang w:val="ro-RO"/>
              </w:rPr>
            </w:pPr>
            <w:r w:rsidRPr="00D26E33">
              <w:rPr>
                <w:sz w:val="28"/>
                <w:szCs w:val="28"/>
                <w:lang w:val="ro-RO"/>
              </w:rPr>
              <w:t xml:space="preserve">7 </w:t>
            </w:r>
          </w:p>
        </w:tc>
      </w:tr>
    </w:tbl>
    <w:p w:rsidR="0078348D" w:rsidRPr="00D26E33" w:rsidRDefault="0078348D" w:rsidP="0078348D">
      <w:pPr>
        <w:ind w:left="360"/>
      </w:pPr>
    </w:p>
    <w:p w:rsidR="0078348D" w:rsidRPr="00D26E33" w:rsidRDefault="0078348D" w:rsidP="0078348D">
      <w:pPr>
        <w:pStyle w:val="NormalWeb"/>
        <w:rPr>
          <w:sz w:val="28"/>
          <w:szCs w:val="28"/>
          <w:lang w:val="ro-RO"/>
        </w:rPr>
      </w:pPr>
      <w:r w:rsidRPr="00D26E33">
        <w:rPr>
          <w:sz w:val="28"/>
          <w:szCs w:val="28"/>
          <w:lang w:val="ro-RO"/>
        </w:rPr>
        <w:t xml:space="preserve">b) rata de bază aplicată de Banca Naţională a Moldovei la </w:t>
      </w:r>
      <w:r w:rsidR="00536581" w:rsidRPr="00D26E33">
        <w:rPr>
          <w:sz w:val="28"/>
          <w:szCs w:val="28"/>
          <w:lang w:val="ro-RO"/>
        </w:rPr>
        <w:t xml:space="preserve">principalele operaţiuni de politică monetară pe termen scurt </w:t>
      </w:r>
      <w:r w:rsidRPr="00D26E33">
        <w:rPr>
          <w:sz w:val="28"/>
          <w:szCs w:val="28"/>
          <w:lang w:val="ro-RO"/>
        </w:rPr>
        <w:t>se publică periodic în presă. În calcule se foloseşte valoarea ratei în vigoare la data încheierii con</w:t>
      </w:r>
      <w:r w:rsidR="00474D54" w:rsidRPr="00D26E33">
        <w:rPr>
          <w:sz w:val="28"/>
          <w:szCs w:val="28"/>
          <w:lang w:val="ro-RO"/>
        </w:rPr>
        <w:t>tractului de locaţiune</w:t>
      </w:r>
      <w:r w:rsidRPr="00D26E33">
        <w:rPr>
          <w:sz w:val="28"/>
          <w:szCs w:val="28"/>
          <w:lang w:val="ro-RO"/>
        </w:rPr>
        <w:t xml:space="preserve">; </w:t>
      </w:r>
    </w:p>
    <w:p w:rsidR="0078348D" w:rsidRPr="00D26E33" w:rsidRDefault="0078348D" w:rsidP="0078348D">
      <w:pPr>
        <w:pStyle w:val="NormalWeb"/>
        <w:rPr>
          <w:sz w:val="28"/>
          <w:szCs w:val="28"/>
          <w:lang w:val="ro-RO"/>
        </w:rPr>
      </w:pPr>
      <w:r w:rsidRPr="00D26E33">
        <w:rPr>
          <w:sz w:val="28"/>
          <w:szCs w:val="28"/>
          <w:lang w:val="ro-RO"/>
        </w:rPr>
        <w:t xml:space="preserve">c) coeficientul de piaţă se stabileşte prin înţelegerea părţilor şi nu poate fi mai mic de 1,0. </w:t>
      </w:r>
    </w:p>
    <w:p w:rsidR="0078348D" w:rsidRPr="00D26E33" w:rsidRDefault="0078348D" w:rsidP="0078348D">
      <w:pPr>
        <w:pStyle w:val="NormalWeb"/>
        <w:rPr>
          <w:sz w:val="27"/>
          <w:szCs w:val="27"/>
          <w:lang w:val="ro-RO"/>
        </w:rPr>
      </w:pPr>
      <w:r w:rsidRPr="00D26E33">
        <w:rPr>
          <w:sz w:val="27"/>
          <w:szCs w:val="27"/>
          <w:lang w:val="ro-RO"/>
        </w:rPr>
        <w:t xml:space="preserve">După încetarea </w:t>
      </w:r>
      <w:r w:rsidR="00474D54" w:rsidRPr="00D26E33">
        <w:rPr>
          <w:sz w:val="27"/>
          <w:szCs w:val="27"/>
          <w:lang w:val="ro-RO"/>
        </w:rPr>
        <w:t>efectului contractului de locaţiune, locatar</w:t>
      </w:r>
      <w:r w:rsidRPr="00D26E33">
        <w:rPr>
          <w:sz w:val="27"/>
          <w:szCs w:val="27"/>
          <w:lang w:val="ro-RO"/>
        </w:rPr>
        <w:t>ul restituie mijloacele circulante în volumele fi</w:t>
      </w:r>
      <w:r w:rsidR="00123FAF" w:rsidRPr="00D26E33">
        <w:rPr>
          <w:sz w:val="27"/>
          <w:szCs w:val="27"/>
          <w:lang w:val="ro-RO"/>
        </w:rPr>
        <w:t>xate la data</w:t>
      </w:r>
      <w:r w:rsidR="00BD334B" w:rsidRPr="00D26E33">
        <w:rPr>
          <w:sz w:val="27"/>
          <w:szCs w:val="27"/>
          <w:lang w:val="ro-RO"/>
        </w:rPr>
        <w:t xml:space="preserve"> </w:t>
      </w:r>
      <w:r w:rsidR="00B85F76" w:rsidRPr="00D26E33">
        <w:rPr>
          <w:sz w:val="27"/>
          <w:szCs w:val="27"/>
          <w:lang w:val="ro-RO"/>
        </w:rPr>
        <w:t>dării</w:t>
      </w:r>
      <w:r w:rsidR="000A23A9" w:rsidRPr="00D26E33">
        <w:rPr>
          <w:sz w:val="27"/>
          <w:szCs w:val="27"/>
          <w:lang w:val="ro-RO"/>
        </w:rPr>
        <w:t xml:space="preserve"> </w:t>
      </w:r>
      <w:r w:rsidR="00123FAF" w:rsidRPr="00D26E33">
        <w:rPr>
          <w:sz w:val="27"/>
          <w:szCs w:val="27"/>
          <w:lang w:val="ro-RO"/>
        </w:rPr>
        <w:t>lor în locaţiune</w:t>
      </w:r>
      <w:r w:rsidRPr="00D26E33">
        <w:rPr>
          <w:sz w:val="27"/>
          <w:szCs w:val="27"/>
          <w:lang w:val="ro-RO"/>
        </w:rPr>
        <w:t xml:space="preserve">. În cazul imposibilităţii de restituire a mijloacelor circulante, costul lor se recuperează la preţurile </w:t>
      </w:r>
      <w:r w:rsidR="007E3773" w:rsidRPr="00D26E33">
        <w:rPr>
          <w:sz w:val="27"/>
          <w:szCs w:val="27"/>
          <w:lang w:val="ro-RO"/>
        </w:rPr>
        <w:t>de piaţă</w:t>
      </w:r>
      <w:r w:rsidR="006A5289">
        <w:rPr>
          <w:sz w:val="27"/>
          <w:szCs w:val="27"/>
          <w:lang w:val="ro-RO"/>
        </w:rPr>
        <w:t xml:space="preserve"> care sunt în vigoare</w:t>
      </w:r>
      <w:r w:rsidR="007E3773" w:rsidRPr="00D26E33">
        <w:rPr>
          <w:sz w:val="27"/>
          <w:szCs w:val="27"/>
          <w:lang w:val="ro-RO"/>
        </w:rPr>
        <w:t xml:space="preserve"> </w:t>
      </w:r>
      <w:r w:rsidRPr="00D26E33">
        <w:rPr>
          <w:sz w:val="27"/>
          <w:szCs w:val="27"/>
          <w:lang w:val="ro-RO"/>
        </w:rPr>
        <w:t xml:space="preserve">la data încetării </w:t>
      </w:r>
      <w:r w:rsidR="00123FAF" w:rsidRPr="00D26E33">
        <w:rPr>
          <w:sz w:val="27"/>
          <w:szCs w:val="27"/>
          <w:lang w:val="ro-RO"/>
        </w:rPr>
        <w:t>efectului contractului de locaţiune</w:t>
      </w:r>
      <w:r w:rsidRPr="00D26E33">
        <w:rPr>
          <w:sz w:val="27"/>
          <w:szCs w:val="27"/>
          <w:lang w:val="ro-RO"/>
        </w:rPr>
        <w:t xml:space="preserve">. </w:t>
      </w:r>
    </w:p>
    <w:p w:rsidR="0078348D" w:rsidRPr="00D26E33" w:rsidRDefault="0002196D" w:rsidP="00BD334B">
      <w:pPr>
        <w:pStyle w:val="NormalWeb"/>
        <w:rPr>
          <w:sz w:val="27"/>
          <w:szCs w:val="27"/>
          <w:lang w:val="ro-RO"/>
        </w:rPr>
      </w:pPr>
      <w:r w:rsidRPr="00D26E33">
        <w:rPr>
          <w:sz w:val="27"/>
          <w:szCs w:val="27"/>
          <w:lang w:val="ro-RO"/>
        </w:rPr>
        <w:t>4.</w:t>
      </w:r>
      <w:r w:rsidR="003D4EE1" w:rsidRPr="00D26E33">
        <w:rPr>
          <w:sz w:val="27"/>
          <w:szCs w:val="27"/>
          <w:lang w:val="ro-RO"/>
        </w:rPr>
        <w:t xml:space="preserve"> </w:t>
      </w:r>
      <w:r w:rsidR="0078348D" w:rsidRPr="00D26E33">
        <w:rPr>
          <w:sz w:val="27"/>
          <w:szCs w:val="27"/>
          <w:lang w:val="ro-RO"/>
        </w:rPr>
        <w:t>Cu</w:t>
      </w:r>
      <w:r w:rsidR="00123FAF" w:rsidRPr="00D26E33">
        <w:rPr>
          <w:sz w:val="27"/>
          <w:szCs w:val="27"/>
          <w:lang w:val="ro-RO"/>
        </w:rPr>
        <w:t>antumul minim al chiriei bunurilor proprietate</w:t>
      </w:r>
      <w:r w:rsidR="0078348D" w:rsidRPr="00D26E33">
        <w:rPr>
          <w:sz w:val="27"/>
          <w:szCs w:val="27"/>
          <w:lang w:val="ro-RO"/>
        </w:rPr>
        <w:t xml:space="preserve"> public</w:t>
      </w:r>
      <w:r w:rsidR="00AE7E04" w:rsidRPr="00D26E33">
        <w:rPr>
          <w:sz w:val="27"/>
          <w:szCs w:val="27"/>
          <w:lang w:val="ro-RO"/>
        </w:rPr>
        <w:t>ă</w:t>
      </w:r>
      <w:r w:rsidR="0078348D" w:rsidRPr="00D26E33">
        <w:rPr>
          <w:sz w:val="27"/>
          <w:szCs w:val="27"/>
          <w:lang w:val="ro-RO"/>
        </w:rPr>
        <w:t xml:space="preserve"> se stabileşte fără taxă pe valoarea adăugată. </w:t>
      </w:r>
    </w:p>
    <w:p w:rsidR="002B448D" w:rsidRPr="00D26E33" w:rsidRDefault="0002196D" w:rsidP="002B448D">
      <w:pPr>
        <w:ind w:firstLine="567"/>
        <w:jc w:val="both"/>
        <w:rPr>
          <w:sz w:val="27"/>
          <w:szCs w:val="27"/>
        </w:rPr>
      </w:pPr>
      <w:r w:rsidRPr="00D26E33">
        <w:rPr>
          <w:sz w:val="27"/>
          <w:szCs w:val="27"/>
        </w:rPr>
        <w:t xml:space="preserve">   </w:t>
      </w:r>
      <w:r w:rsidR="00123FAF" w:rsidRPr="00D26E33">
        <w:rPr>
          <w:sz w:val="27"/>
          <w:szCs w:val="27"/>
        </w:rPr>
        <w:t>Dacă locatorul</w:t>
      </w:r>
      <w:r w:rsidR="0078348D" w:rsidRPr="00D26E33">
        <w:rPr>
          <w:sz w:val="27"/>
          <w:szCs w:val="27"/>
        </w:rPr>
        <w:t xml:space="preserve"> este înregistrat ca </w:t>
      </w:r>
      <w:r w:rsidRPr="00D26E33">
        <w:rPr>
          <w:sz w:val="27"/>
          <w:szCs w:val="27"/>
        </w:rPr>
        <w:t>contribuabil</w:t>
      </w:r>
      <w:r w:rsidR="0078348D" w:rsidRPr="00D26E33">
        <w:rPr>
          <w:sz w:val="27"/>
          <w:szCs w:val="27"/>
        </w:rPr>
        <w:t xml:space="preserve"> al taxei pe </w:t>
      </w:r>
      <w:r w:rsidR="00123FAF" w:rsidRPr="00D26E33">
        <w:rPr>
          <w:sz w:val="27"/>
          <w:szCs w:val="27"/>
        </w:rPr>
        <w:t>valoarea adăugată, chiria</w:t>
      </w:r>
      <w:r w:rsidR="0078348D" w:rsidRPr="00D26E33">
        <w:rPr>
          <w:sz w:val="27"/>
          <w:szCs w:val="27"/>
        </w:rPr>
        <w:t xml:space="preserve"> va f</w:t>
      </w:r>
      <w:r w:rsidR="00123FAF" w:rsidRPr="00D26E33">
        <w:rPr>
          <w:sz w:val="27"/>
          <w:szCs w:val="27"/>
        </w:rPr>
        <w:t>i încasată de la locatar</w:t>
      </w:r>
      <w:r w:rsidR="0078348D" w:rsidRPr="00D26E33">
        <w:rPr>
          <w:sz w:val="27"/>
          <w:szCs w:val="27"/>
        </w:rPr>
        <w:t xml:space="preserve"> cu aplicarea taxei pe valoarea adăuga</w:t>
      </w:r>
      <w:r w:rsidR="00AE7E04" w:rsidRPr="00D26E33">
        <w:rPr>
          <w:sz w:val="27"/>
          <w:szCs w:val="27"/>
        </w:rPr>
        <w:t>tă, calculată</w:t>
      </w:r>
      <w:r w:rsidR="0078348D" w:rsidRPr="00D26E33">
        <w:rPr>
          <w:sz w:val="27"/>
          <w:szCs w:val="27"/>
        </w:rPr>
        <w:t xml:space="preserve"> suplimentar l</w:t>
      </w:r>
      <w:r w:rsidR="004F3D21" w:rsidRPr="00D26E33">
        <w:rPr>
          <w:sz w:val="27"/>
          <w:szCs w:val="27"/>
        </w:rPr>
        <w:t>a valoarea serviciilor prestate.</w:t>
      </w:r>
    </w:p>
    <w:sectPr w:rsidR="002B448D" w:rsidRPr="00D26E33" w:rsidSect="0002759F">
      <w:footerReference w:type="even" r:id="rId8"/>
      <w:footerReference w:type="default" r:id="rId9"/>
      <w:pgSz w:w="11906" w:h="16838"/>
      <w:pgMar w:top="851" w:right="851" w:bottom="1080" w:left="851" w:header="567" w:footer="567" w:gutter="2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C27" w:rsidRDefault="00241C27">
      <w:r>
        <w:separator/>
      </w:r>
    </w:p>
  </w:endnote>
  <w:endnote w:type="continuationSeparator" w:id="1">
    <w:p w:rsidR="00241C27" w:rsidRDefault="00241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F0" w:rsidRDefault="00CD3A2F" w:rsidP="00BA6ECF">
    <w:pPr>
      <w:pStyle w:val="Footer"/>
      <w:framePr w:wrap="around" w:vAnchor="text" w:hAnchor="margin" w:xAlign="center" w:y="1"/>
      <w:rPr>
        <w:rStyle w:val="PageNumber"/>
      </w:rPr>
    </w:pPr>
    <w:r>
      <w:rPr>
        <w:rStyle w:val="PageNumber"/>
      </w:rPr>
      <w:fldChar w:fldCharType="begin"/>
    </w:r>
    <w:r w:rsidR="00D57FF0">
      <w:rPr>
        <w:rStyle w:val="PageNumber"/>
      </w:rPr>
      <w:instrText xml:space="preserve">PAGE  </w:instrText>
    </w:r>
    <w:r>
      <w:rPr>
        <w:rStyle w:val="PageNumber"/>
      </w:rPr>
      <w:fldChar w:fldCharType="end"/>
    </w:r>
  </w:p>
  <w:p w:rsidR="00D57FF0" w:rsidRDefault="00D57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F0" w:rsidRDefault="00CD3A2F" w:rsidP="00BA6ECF">
    <w:pPr>
      <w:pStyle w:val="Footer"/>
      <w:framePr w:wrap="around" w:vAnchor="text" w:hAnchor="margin" w:xAlign="center" w:y="1"/>
      <w:rPr>
        <w:rStyle w:val="PageNumber"/>
      </w:rPr>
    </w:pPr>
    <w:r>
      <w:rPr>
        <w:rStyle w:val="PageNumber"/>
      </w:rPr>
      <w:fldChar w:fldCharType="begin"/>
    </w:r>
    <w:r w:rsidR="00D57FF0">
      <w:rPr>
        <w:rStyle w:val="PageNumber"/>
      </w:rPr>
      <w:instrText xml:space="preserve">PAGE  </w:instrText>
    </w:r>
    <w:r>
      <w:rPr>
        <w:rStyle w:val="PageNumber"/>
      </w:rPr>
      <w:fldChar w:fldCharType="separate"/>
    </w:r>
    <w:r w:rsidR="00EF1E30">
      <w:rPr>
        <w:rStyle w:val="PageNumber"/>
        <w:noProof/>
      </w:rPr>
      <w:t>1</w:t>
    </w:r>
    <w:r>
      <w:rPr>
        <w:rStyle w:val="PageNumber"/>
      </w:rPr>
      <w:fldChar w:fldCharType="end"/>
    </w:r>
  </w:p>
  <w:p w:rsidR="00D57FF0" w:rsidRDefault="00D57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C27" w:rsidRDefault="00241C27">
      <w:r>
        <w:separator/>
      </w:r>
    </w:p>
  </w:footnote>
  <w:footnote w:type="continuationSeparator" w:id="1">
    <w:p w:rsidR="00241C27" w:rsidRDefault="00241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8AA"/>
    <w:multiLevelType w:val="hybridMultilevel"/>
    <w:tmpl w:val="1D16491C"/>
    <w:lvl w:ilvl="0" w:tplc="7780E7C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821887"/>
    <w:multiLevelType w:val="hybridMultilevel"/>
    <w:tmpl w:val="78B4256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3F4A69"/>
    <w:multiLevelType w:val="hybridMultilevel"/>
    <w:tmpl w:val="67EC5DF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57"/>
  <w:displayHorizontalDrawingGridEvery w:val="0"/>
  <w:displayVerticalDrawingGridEvery w:val="2"/>
  <w:characterSpacingControl w:val="doNotCompress"/>
  <w:footnotePr>
    <w:footnote w:id="0"/>
    <w:footnote w:id="1"/>
  </w:footnotePr>
  <w:endnotePr>
    <w:endnote w:id="0"/>
    <w:endnote w:id="1"/>
  </w:endnotePr>
  <w:compat/>
  <w:rsids>
    <w:rsidRoot w:val="0078348D"/>
    <w:rsid w:val="00001AE5"/>
    <w:rsid w:val="0000207D"/>
    <w:rsid w:val="00002FCF"/>
    <w:rsid w:val="00003DB1"/>
    <w:rsid w:val="0000430C"/>
    <w:rsid w:val="000100CE"/>
    <w:rsid w:val="00020840"/>
    <w:rsid w:val="0002196D"/>
    <w:rsid w:val="00021BD5"/>
    <w:rsid w:val="00024B2A"/>
    <w:rsid w:val="00024DC2"/>
    <w:rsid w:val="00025D43"/>
    <w:rsid w:val="0002759F"/>
    <w:rsid w:val="00031532"/>
    <w:rsid w:val="0003463B"/>
    <w:rsid w:val="000445BA"/>
    <w:rsid w:val="0004658F"/>
    <w:rsid w:val="00046C08"/>
    <w:rsid w:val="000529CC"/>
    <w:rsid w:val="000567E0"/>
    <w:rsid w:val="000650A2"/>
    <w:rsid w:val="00086159"/>
    <w:rsid w:val="00095FDF"/>
    <w:rsid w:val="00097404"/>
    <w:rsid w:val="000A23A9"/>
    <w:rsid w:val="000A37C5"/>
    <w:rsid w:val="000A6840"/>
    <w:rsid w:val="000B55DF"/>
    <w:rsid w:val="000C211D"/>
    <w:rsid w:val="000C3ED2"/>
    <w:rsid w:val="000C67A9"/>
    <w:rsid w:val="000C68B4"/>
    <w:rsid w:val="000D14CD"/>
    <w:rsid w:val="000E244E"/>
    <w:rsid w:val="000E4F54"/>
    <w:rsid w:val="000F0A06"/>
    <w:rsid w:val="000F3B86"/>
    <w:rsid w:val="000F60FF"/>
    <w:rsid w:val="001122E0"/>
    <w:rsid w:val="00121B06"/>
    <w:rsid w:val="00123BFD"/>
    <w:rsid w:val="00123FAF"/>
    <w:rsid w:val="0012529B"/>
    <w:rsid w:val="00127DA7"/>
    <w:rsid w:val="00132E93"/>
    <w:rsid w:val="00152287"/>
    <w:rsid w:val="001557D3"/>
    <w:rsid w:val="00156C2D"/>
    <w:rsid w:val="001667D4"/>
    <w:rsid w:val="00172EBA"/>
    <w:rsid w:val="001843B1"/>
    <w:rsid w:val="00190315"/>
    <w:rsid w:val="00194347"/>
    <w:rsid w:val="001971BF"/>
    <w:rsid w:val="001A028D"/>
    <w:rsid w:val="001A4508"/>
    <w:rsid w:val="001D0CE4"/>
    <w:rsid w:val="001D153F"/>
    <w:rsid w:val="001D154F"/>
    <w:rsid w:val="001D4FFE"/>
    <w:rsid w:val="001F5864"/>
    <w:rsid w:val="00200CCC"/>
    <w:rsid w:val="0021734C"/>
    <w:rsid w:val="00220EF6"/>
    <w:rsid w:val="00220FC6"/>
    <w:rsid w:val="00223F10"/>
    <w:rsid w:val="00226233"/>
    <w:rsid w:val="002263E5"/>
    <w:rsid w:val="00226F15"/>
    <w:rsid w:val="00232010"/>
    <w:rsid w:val="00236A8D"/>
    <w:rsid w:val="00236D4E"/>
    <w:rsid w:val="00237B35"/>
    <w:rsid w:val="00241C27"/>
    <w:rsid w:val="0024677D"/>
    <w:rsid w:val="002468DF"/>
    <w:rsid w:val="002500E9"/>
    <w:rsid w:val="00254CA4"/>
    <w:rsid w:val="00264749"/>
    <w:rsid w:val="00264818"/>
    <w:rsid w:val="00273655"/>
    <w:rsid w:val="002743C2"/>
    <w:rsid w:val="002804F2"/>
    <w:rsid w:val="00285DD1"/>
    <w:rsid w:val="00291170"/>
    <w:rsid w:val="002A341C"/>
    <w:rsid w:val="002A6540"/>
    <w:rsid w:val="002A6F3F"/>
    <w:rsid w:val="002B448D"/>
    <w:rsid w:val="002B4B05"/>
    <w:rsid w:val="002B76C4"/>
    <w:rsid w:val="002C2BA1"/>
    <w:rsid w:val="002C4A0E"/>
    <w:rsid w:val="002D0076"/>
    <w:rsid w:val="002E00E8"/>
    <w:rsid w:val="002E0EDA"/>
    <w:rsid w:val="002E7BFD"/>
    <w:rsid w:val="002F3F2B"/>
    <w:rsid w:val="00300A64"/>
    <w:rsid w:val="003057F9"/>
    <w:rsid w:val="00311146"/>
    <w:rsid w:val="003158E2"/>
    <w:rsid w:val="003215ED"/>
    <w:rsid w:val="00326DEF"/>
    <w:rsid w:val="00332A09"/>
    <w:rsid w:val="00343E1A"/>
    <w:rsid w:val="0034646E"/>
    <w:rsid w:val="0035037F"/>
    <w:rsid w:val="0035708E"/>
    <w:rsid w:val="00373944"/>
    <w:rsid w:val="0037536B"/>
    <w:rsid w:val="0038709D"/>
    <w:rsid w:val="00387FEC"/>
    <w:rsid w:val="003A1744"/>
    <w:rsid w:val="003C04E5"/>
    <w:rsid w:val="003C2259"/>
    <w:rsid w:val="003D20C2"/>
    <w:rsid w:val="003D4EE1"/>
    <w:rsid w:val="003F46BC"/>
    <w:rsid w:val="0040115A"/>
    <w:rsid w:val="00405449"/>
    <w:rsid w:val="004107C9"/>
    <w:rsid w:val="00411DA9"/>
    <w:rsid w:val="0041463D"/>
    <w:rsid w:val="00422947"/>
    <w:rsid w:val="00426C13"/>
    <w:rsid w:val="00427108"/>
    <w:rsid w:val="00430F0D"/>
    <w:rsid w:val="004429C2"/>
    <w:rsid w:val="00451D25"/>
    <w:rsid w:val="004520D5"/>
    <w:rsid w:val="004549AB"/>
    <w:rsid w:val="00460EC3"/>
    <w:rsid w:val="00462DB3"/>
    <w:rsid w:val="00470404"/>
    <w:rsid w:val="00474D54"/>
    <w:rsid w:val="004768BE"/>
    <w:rsid w:val="004849B3"/>
    <w:rsid w:val="00486E23"/>
    <w:rsid w:val="0048780D"/>
    <w:rsid w:val="004A08F6"/>
    <w:rsid w:val="004A2422"/>
    <w:rsid w:val="004A2B7C"/>
    <w:rsid w:val="004A6327"/>
    <w:rsid w:val="004B339C"/>
    <w:rsid w:val="004B609D"/>
    <w:rsid w:val="004C6721"/>
    <w:rsid w:val="004D05C1"/>
    <w:rsid w:val="004D5A86"/>
    <w:rsid w:val="004E0F52"/>
    <w:rsid w:val="004F3D21"/>
    <w:rsid w:val="004F43E3"/>
    <w:rsid w:val="004F71AA"/>
    <w:rsid w:val="005240E2"/>
    <w:rsid w:val="005246DF"/>
    <w:rsid w:val="00531A0D"/>
    <w:rsid w:val="00533649"/>
    <w:rsid w:val="00534139"/>
    <w:rsid w:val="00536581"/>
    <w:rsid w:val="00537BAA"/>
    <w:rsid w:val="005418D2"/>
    <w:rsid w:val="005427C1"/>
    <w:rsid w:val="00542C82"/>
    <w:rsid w:val="005440E1"/>
    <w:rsid w:val="00544E9E"/>
    <w:rsid w:val="00547993"/>
    <w:rsid w:val="00551F88"/>
    <w:rsid w:val="00560C2F"/>
    <w:rsid w:val="005707D2"/>
    <w:rsid w:val="00572C3B"/>
    <w:rsid w:val="005752BB"/>
    <w:rsid w:val="00575845"/>
    <w:rsid w:val="00585D93"/>
    <w:rsid w:val="00591262"/>
    <w:rsid w:val="00596404"/>
    <w:rsid w:val="005A6E6C"/>
    <w:rsid w:val="005A7AF0"/>
    <w:rsid w:val="005B2565"/>
    <w:rsid w:val="005C2E92"/>
    <w:rsid w:val="005D0397"/>
    <w:rsid w:val="005D498E"/>
    <w:rsid w:val="005D6758"/>
    <w:rsid w:val="005E1CB1"/>
    <w:rsid w:val="006010DF"/>
    <w:rsid w:val="00604F88"/>
    <w:rsid w:val="00616D52"/>
    <w:rsid w:val="00621301"/>
    <w:rsid w:val="0062554A"/>
    <w:rsid w:val="006261F1"/>
    <w:rsid w:val="006305D2"/>
    <w:rsid w:val="00630647"/>
    <w:rsid w:val="00631A5A"/>
    <w:rsid w:val="00646978"/>
    <w:rsid w:val="0065026A"/>
    <w:rsid w:val="00656C28"/>
    <w:rsid w:val="0066294B"/>
    <w:rsid w:val="0069147D"/>
    <w:rsid w:val="006A4F79"/>
    <w:rsid w:val="006A5289"/>
    <w:rsid w:val="006C1719"/>
    <w:rsid w:val="006C2DA2"/>
    <w:rsid w:val="006C4642"/>
    <w:rsid w:val="006C6707"/>
    <w:rsid w:val="006D4A65"/>
    <w:rsid w:val="006E2F4F"/>
    <w:rsid w:val="006F1D62"/>
    <w:rsid w:val="006F1FD8"/>
    <w:rsid w:val="006F28E5"/>
    <w:rsid w:val="00707C80"/>
    <w:rsid w:val="0071239E"/>
    <w:rsid w:val="00713680"/>
    <w:rsid w:val="007149B7"/>
    <w:rsid w:val="00717E20"/>
    <w:rsid w:val="00721680"/>
    <w:rsid w:val="0072443A"/>
    <w:rsid w:val="0072640A"/>
    <w:rsid w:val="00730BE9"/>
    <w:rsid w:val="00761469"/>
    <w:rsid w:val="00763EB7"/>
    <w:rsid w:val="00771378"/>
    <w:rsid w:val="0078348D"/>
    <w:rsid w:val="00784E79"/>
    <w:rsid w:val="00795C35"/>
    <w:rsid w:val="00797ECE"/>
    <w:rsid w:val="007A0327"/>
    <w:rsid w:val="007A6177"/>
    <w:rsid w:val="007B0EC1"/>
    <w:rsid w:val="007B4050"/>
    <w:rsid w:val="007B44CB"/>
    <w:rsid w:val="007B4988"/>
    <w:rsid w:val="007C2FD5"/>
    <w:rsid w:val="007E3773"/>
    <w:rsid w:val="007F292F"/>
    <w:rsid w:val="007F4FE2"/>
    <w:rsid w:val="0081176E"/>
    <w:rsid w:val="00811905"/>
    <w:rsid w:val="008253D8"/>
    <w:rsid w:val="00835A03"/>
    <w:rsid w:val="00836479"/>
    <w:rsid w:val="00837523"/>
    <w:rsid w:val="0084722E"/>
    <w:rsid w:val="00862B5F"/>
    <w:rsid w:val="00865BA5"/>
    <w:rsid w:val="00866A0B"/>
    <w:rsid w:val="00882175"/>
    <w:rsid w:val="008823F9"/>
    <w:rsid w:val="008855FD"/>
    <w:rsid w:val="00885EC2"/>
    <w:rsid w:val="00887D75"/>
    <w:rsid w:val="00892C20"/>
    <w:rsid w:val="0089739D"/>
    <w:rsid w:val="008A0952"/>
    <w:rsid w:val="008A17E9"/>
    <w:rsid w:val="008A1B3D"/>
    <w:rsid w:val="008A2A4C"/>
    <w:rsid w:val="008A4335"/>
    <w:rsid w:val="008B7B0F"/>
    <w:rsid w:val="008C45CA"/>
    <w:rsid w:val="008D48DA"/>
    <w:rsid w:val="008F58D0"/>
    <w:rsid w:val="009073F8"/>
    <w:rsid w:val="00926CAA"/>
    <w:rsid w:val="0093742B"/>
    <w:rsid w:val="0094055F"/>
    <w:rsid w:val="00940C73"/>
    <w:rsid w:val="00954EAF"/>
    <w:rsid w:val="00960953"/>
    <w:rsid w:val="00961E9D"/>
    <w:rsid w:val="00962F46"/>
    <w:rsid w:val="00963667"/>
    <w:rsid w:val="00963D8F"/>
    <w:rsid w:val="00964792"/>
    <w:rsid w:val="00965F2E"/>
    <w:rsid w:val="009672BF"/>
    <w:rsid w:val="009702E3"/>
    <w:rsid w:val="009737EA"/>
    <w:rsid w:val="00982053"/>
    <w:rsid w:val="009833E1"/>
    <w:rsid w:val="009843BB"/>
    <w:rsid w:val="009856F5"/>
    <w:rsid w:val="00985D06"/>
    <w:rsid w:val="0099146E"/>
    <w:rsid w:val="00992459"/>
    <w:rsid w:val="00993810"/>
    <w:rsid w:val="009948D1"/>
    <w:rsid w:val="009956FD"/>
    <w:rsid w:val="00996DEA"/>
    <w:rsid w:val="009A7270"/>
    <w:rsid w:val="009C4406"/>
    <w:rsid w:val="009C7E18"/>
    <w:rsid w:val="009D0976"/>
    <w:rsid w:val="009D15B5"/>
    <w:rsid w:val="009D52FA"/>
    <w:rsid w:val="009E0949"/>
    <w:rsid w:val="009E20E4"/>
    <w:rsid w:val="009F20E8"/>
    <w:rsid w:val="00A03B09"/>
    <w:rsid w:val="00A03B7A"/>
    <w:rsid w:val="00A238A4"/>
    <w:rsid w:val="00A34625"/>
    <w:rsid w:val="00A44869"/>
    <w:rsid w:val="00A53B9C"/>
    <w:rsid w:val="00A611B2"/>
    <w:rsid w:val="00A63AEB"/>
    <w:rsid w:val="00A662B9"/>
    <w:rsid w:val="00A7781F"/>
    <w:rsid w:val="00A77E09"/>
    <w:rsid w:val="00A82DCF"/>
    <w:rsid w:val="00A92355"/>
    <w:rsid w:val="00A931EB"/>
    <w:rsid w:val="00A95139"/>
    <w:rsid w:val="00A96461"/>
    <w:rsid w:val="00AA20E8"/>
    <w:rsid w:val="00AA33E3"/>
    <w:rsid w:val="00AA7059"/>
    <w:rsid w:val="00AB2B60"/>
    <w:rsid w:val="00AC012B"/>
    <w:rsid w:val="00AC0A0F"/>
    <w:rsid w:val="00AC6262"/>
    <w:rsid w:val="00AC6E14"/>
    <w:rsid w:val="00AC7923"/>
    <w:rsid w:val="00AD61C4"/>
    <w:rsid w:val="00AE2A9E"/>
    <w:rsid w:val="00AE7E04"/>
    <w:rsid w:val="00AF0434"/>
    <w:rsid w:val="00AF51C2"/>
    <w:rsid w:val="00B0379A"/>
    <w:rsid w:val="00B11DBA"/>
    <w:rsid w:val="00B25249"/>
    <w:rsid w:val="00B3581C"/>
    <w:rsid w:val="00B43AE9"/>
    <w:rsid w:val="00B50C53"/>
    <w:rsid w:val="00B52FD2"/>
    <w:rsid w:val="00B5328C"/>
    <w:rsid w:val="00B56490"/>
    <w:rsid w:val="00B60303"/>
    <w:rsid w:val="00B65BBE"/>
    <w:rsid w:val="00B6613A"/>
    <w:rsid w:val="00B66F36"/>
    <w:rsid w:val="00B7071F"/>
    <w:rsid w:val="00B72178"/>
    <w:rsid w:val="00B77C6F"/>
    <w:rsid w:val="00B85F76"/>
    <w:rsid w:val="00B95388"/>
    <w:rsid w:val="00B95C9C"/>
    <w:rsid w:val="00B976A6"/>
    <w:rsid w:val="00BA1F3A"/>
    <w:rsid w:val="00BA6ECF"/>
    <w:rsid w:val="00BA782B"/>
    <w:rsid w:val="00BA7AFD"/>
    <w:rsid w:val="00BB7CC4"/>
    <w:rsid w:val="00BC5F6E"/>
    <w:rsid w:val="00BD334B"/>
    <w:rsid w:val="00BD7828"/>
    <w:rsid w:val="00BF1BEB"/>
    <w:rsid w:val="00BF6053"/>
    <w:rsid w:val="00C037DC"/>
    <w:rsid w:val="00C102F7"/>
    <w:rsid w:val="00C10A71"/>
    <w:rsid w:val="00C10E92"/>
    <w:rsid w:val="00C16746"/>
    <w:rsid w:val="00C409E3"/>
    <w:rsid w:val="00C41D60"/>
    <w:rsid w:val="00C52F0B"/>
    <w:rsid w:val="00C539DB"/>
    <w:rsid w:val="00C778DB"/>
    <w:rsid w:val="00C82881"/>
    <w:rsid w:val="00C84BC3"/>
    <w:rsid w:val="00C87734"/>
    <w:rsid w:val="00C9076F"/>
    <w:rsid w:val="00C91916"/>
    <w:rsid w:val="00CA0C82"/>
    <w:rsid w:val="00CB0D1F"/>
    <w:rsid w:val="00CB6B30"/>
    <w:rsid w:val="00CC0F2D"/>
    <w:rsid w:val="00CD1CBB"/>
    <w:rsid w:val="00CD3A2F"/>
    <w:rsid w:val="00CD53DB"/>
    <w:rsid w:val="00CD607E"/>
    <w:rsid w:val="00CD61A3"/>
    <w:rsid w:val="00CF2360"/>
    <w:rsid w:val="00D159CA"/>
    <w:rsid w:val="00D202D1"/>
    <w:rsid w:val="00D22E41"/>
    <w:rsid w:val="00D26E33"/>
    <w:rsid w:val="00D32BBA"/>
    <w:rsid w:val="00D33873"/>
    <w:rsid w:val="00D463D3"/>
    <w:rsid w:val="00D57FF0"/>
    <w:rsid w:val="00D62D78"/>
    <w:rsid w:val="00D6654B"/>
    <w:rsid w:val="00D85A41"/>
    <w:rsid w:val="00DA0D75"/>
    <w:rsid w:val="00DA729F"/>
    <w:rsid w:val="00DC4106"/>
    <w:rsid w:val="00DD1E21"/>
    <w:rsid w:val="00DD31EA"/>
    <w:rsid w:val="00DE34CE"/>
    <w:rsid w:val="00DE7C25"/>
    <w:rsid w:val="00DF0F24"/>
    <w:rsid w:val="00DF23DF"/>
    <w:rsid w:val="00DF734D"/>
    <w:rsid w:val="00DF7C0A"/>
    <w:rsid w:val="00E06929"/>
    <w:rsid w:val="00E23A03"/>
    <w:rsid w:val="00E356D4"/>
    <w:rsid w:val="00E4664C"/>
    <w:rsid w:val="00E52331"/>
    <w:rsid w:val="00E60B8D"/>
    <w:rsid w:val="00E61883"/>
    <w:rsid w:val="00E67B7F"/>
    <w:rsid w:val="00E7390A"/>
    <w:rsid w:val="00E807F3"/>
    <w:rsid w:val="00E8673A"/>
    <w:rsid w:val="00EA0F8C"/>
    <w:rsid w:val="00EB7ED5"/>
    <w:rsid w:val="00ED54E6"/>
    <w:rsid w:val="00ED7F65"/>
    <w:rsid w:val="00EE0DD7"/>
    <w:rsid w:val="00EE494C"/>
    <w:rsid w:val="00EF0769"/>
    <w:rsid w:val="00EF1E30"/>
    <w:rsid w:val="00F07806"/>
    <w:rsid w:val="00F232BC"/>
    <w:rsid w:val="00F2625A"/>
    <w:rsid w:val="00F34942"/>
    <w:rsid w:val="00F435FA"/>
    <w:rsid w:val="00F45639"/>
    <w:rsid w:val="00F8458A"/>
    <w:rsid w:val="00F91E95"/>
    <w:rsid w:val="00F95E6C"/>
    <w:rsid w:val="00FA1787"/>
    <w:rsid w:val="00FA290B"/>
    <w:rsid w:val="00FA407D"/>
    <w:rsid w:val="00FB03D0"/>
    <w:rsid w:val="00FB3D26"/>
    <w:rsid w:val="00FC0554"/>
    <w:rsid w:val="00FC5D41"/>
    <w:rsid w:val="00FD23C5"/>
    <w:rsid w:val="00FD36B5"/>
    <w:rsid w:val="00FD447F"/>
    <w:rsid w:val="00FE49A9"/>
    <w:rsid w:val="00FF6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48D"/>
    <w:rPr>
      <w:sz w:val="24"/>
      <w:szCs w:val="24"/>
      <w:lang w:val="ro-RO"/>
    </w:rPr>
  </w:style>
  <w:style w:type="paragraph" w:styleId="Heading2">
    <w:name w:val="heading 2"/>
    <w:basedOn w:val="Normal"/>
    <w:next w:val="Normal"/>
    <w:qFormat/>
    <w:rsid w:val="0078348D"/>
    <w:pPr>
      <w:keepNext/>
      <w:jc w:val="right"/>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348D"/>
    <w:pPr>
      <w:jc w:val="center"/>
    </w:pPr>
    <w:rPr>
      <w:sz w:val="28"/>
    </w:rPr>
  </w:style>
  <w:style w:type="paragraph" w:styleId="NormalWeb">
    <w:name w:val="Normal (Web)"/>
    <w:basedOn w:val="Normal"/>
    <w:rsid w:val="0078348D"/>
    <w:pPr>
      <w:ind w:firstLine="567"/>
      <w:jc w:val="both"/>
    </w:pPr>
    <w:rPr>
      <w:lang w:val="ru-RU"/>
    </w:rPr>
  </w:style>
  <w:style w:type="paragraph" w:customStyle="1" w:styleId="cn">
    <w:name w:val="cn"/>
    <w:basedOn w:val="Normal"/>
    <w:rsid w:val="0078348D"/>
    <w:pPr>
      <w:jc w:val="center"/>
    </w:pPr>
    <w:rPr>
      <w:lang w:val="ru-RU"/>
    </w:rPr>
  </w:style>
  <w:style w:type="paragraph" w:customStyle="1" w:styleId="cb">
    <w:name w:val="cb"/>
    <w:basedOn w:val="Normal"/>
    <w:rsid w:val="0078348D"/>
    <w:pPr>
      <w:jc w:val="center"/>
    </w:pPr>
    <w:rPr>
      <w:b/>
      <w:bCs/>
      <w:lang w:val="ru-RU"/>
    </w:rPr>
  </w:style>
  <w:style w:type="paragraph" w:customStyle="1" w:styleId="rg">
    <w:name w:val="rg"/>
    <w:basedOn w:val="Normal"/>
    <w:rsid w:val="0078348D"/>
    <w:pPr>
      <w:jc w:val="right"/>
    </w:pPr>
    <w:rPr>
      <w:lang w:val="ru-RU"/>
    </w:rPr>
  </w:style>
  <w:style w:type="paragraph" w:customStyle="1" w:styleId="lf">
    <w:name w:val="lf"/>
    <w:basedOn w:val="Normal"/>
    <w:rsid w:val="0078348D"/>
    <w:rPr>
      <w:lang w:val="ru-RU"/>
    </w:rPr>
  </w:style>
  <w:style w:type="paragraph" w:styleId="BodyText">
    <w:name w:val="Body Text"/>
    <w:basedOn w:val="Normal"/>
    <w:rsid w:val="0078348D"/>
    <w:rPr>
      <w:sz w:val="28"/>
    </w:rPr>
  </w:style>
  <w:style w:type="paragraph" w:styleId="Footer">
    <w:name w:val="footer"/>
    <w:basedOn w:val="Normal"/>
    <w:rsid w:val="0035708E"/>
    <w:pPr>
      <w:tabs>
        <w:tab w:val="center" w:pos="4677"/>
        <w:tab w:val="right" w:pos="9355"/>
      </w:tabs>
    </w:pPr>
  </w:style>
  <w:style w:type="character" w:styleId="PageNumber">
    <w:name w:val="page number"/>
    <w:basedOn w:val="DefaultParagraphFont"/>
    <w:rsid w:val="0035708E"/>
  </w:style>
  <w:style w:type="paragraph" w:styleId="BalloonText">
    <w:name w:val="Balloon Text"/>
    <w:basedOn w:val="Normal"/>
    <w:semiHidden/>
    <w:rsid w:val="00BC5F6E"/>
    <w:rPr>
      <w:rFonts w:ascii="Tahoma" w:hAnsi="Tahoma" w:cs="Tahoma"/>
      <w:sz w:val="16"/>
      <w:szCs w:val="16"/>
    </w:rPr>
  </w:style>
  <w:style w:type="character" w:customStyle="1" w:styleId="TitleChar">
    <w:name w:val="Title Char"/>
    <w:basedOn w:val="DefaultParagraphFont"/>
    <w:link w:val="Title"/>
    <w:rsid w:val="00572C3B"/>
    <w:rPr>
      <w:sz w:val="28"/>
      <w:szCs w:val="24"/>
      <w:lang w:val="ro-RO"/>
    </w:rPr>
  </w:style>
</w:styles>
</file>

<file path=word/webSettings.xml><?xml version="1.0" encoding="utf-8"?>
<w:webSettings xmlns:r="http://schemas.openxmlformats.org/officeDocument/2006/relationships" xmlns:w="http://schemas.openxmlformats.org/wordprocessingml/2006/main">
  <w:divs>
    <w:div w:id="1505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2973-C7B1-472B-BFE5-CAAC18A3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04</vt:lpstr>
    </vt:vector>
  </TitlesOfParts>
  <Company>minfin</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NLEVITCHI</dc:creator>
  <cp:lastModifiedBy>cotunsilvi</cp:lastModifiedBy>
  <cp:revision>4</cp:revision>
  <cp:lastPrinted>2016-11-21T14:27:00Z</cp:lastPrinted>
  <dcterms:created xsi:type="dcterms:W3CDTF">2016-11-25T18:00:00Z</dcterms:created>
  <dcterms:modified xsi:type="dcterms:W3CDTF">2016-12-03T09:51:00Z</dcterms:modified>
</cp:coreProperties>
</file>