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word/theme/themeOverride5.xml" ContentType="application/vnd.openxmlformats-officedocument.themeOverrid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theme/themeOverride3.xml" ContentType="application/vnd.openxmlformats-officedocument.themeOverride+xml"/>
  <Override PartName="/word/theme/themeOverride1.xml" ContentType="application/vnd.openxmlformats-officedocument.themeOverride+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theme/themeOverride8.xml" ContentType="application/vnd.openxmlformats-officedocument.themeOverride+xml"/>
  <Override PartName="/word/charts/chart31.xml" ContentType="application/vnd.openxmlformats-officedocument.drawingml.chart+xml"/>
  <Override PartName="/word/charts/chart3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diagrams/layout1.xml" ContentType="application/vnd.openxmlformats-officedocument.drawingml.diagramLayout+xml"/>
  <Override PartName="/word/diagrams/layout2.xml" ContentType="application/vnd.openxmlformats-officedocument.drawingml.diagramLayout+xml"/>
  <Override PartName="/word/theme/themeOverride6.xml" ContentType="application/vnd.openxmlformats-officedocument.themeOverride+xml"/>
  <Override PartName="/word/theme/themeOverride7.xml" ContentType="application/vnd.openxmlformats-officedocument.themeOverride+xml"/>
  <Override PartName="/word/charts/chart30.xml" ContentType="application/vnd.openxmlformats-officedocument.drawingml.chart+xml"/>
  <Override PartName="/docProps/core.xml" ContentType="application/vnd.openxmlformats-package.core-properties+xml"/>
  <Override PartName="/word/diagrams/quickStyle1.xml" ContentType="application/vnd.openxmlformats-officedocument.drawingml.diagramStyle+xml"/>
  <Override PartName="/word/theme/themeOverride4.xml" ContentType="application/vnd.openxmlformats-officedocument.themeOverride+xml"/>
  <Override PartName="/word/theme/themeOverride2.xml" ContentType="application/vnd.openxmlformats-officedocument.themeOverride+xml"/>
  <Override PartName="/word/diagrams/data2.xml" ContentType="application/vnd.openxmlformats-officedocument.drawingml.diagramData+xml"/>
  <Override PartName="/word/diagrams/colors2.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FE5" w:rsidRPr="00651044" w:rsidRDefault="006E6FE5" w:rsidP="006E6FE5">
      <w:pPr>
        <w:ind w:right="282"/>
        <w:jc w:val="center"/>
        <w:rPr>
          <w:b/>
          <w:i/>
          <w:sz w:val="28"/>
          <w:szCs w:val="28"/>
        </w:rPr>
      </w:pPr>
      <w:r w:rsidRPr="00651044">
        <w:rPr>
          <w:b/>
          <w:i/>
          <w:sz w:val="28"/>
          <w:szCs w:val="28"/>
        </w:rPr>
        <w:t>Notă analitică</w:t>
      </w:r>
      <w:r>
        <w:rPr>
          <w:b/>
          <w:i/>
          <w:sz w:val="28"/>
          <w:szCs w:val="28"/>
        </w:rPr>
        <w:t xml:space="preserve"> </w:t>
      </w:r>
      <w:r w:rsidRPr="00651044">
        <w:rPr>
          <w:b/>
          <w:i/>
          <w:sz w:val="28"/>
          <w:szCs w:val="28"/>
        </w:rPr>
        <w:t>privind rezultatele monitoringului financiar al activităţii economico-financiare a întreprinderilor de stat şi societăţilor comerciale cu capital integral sau majoritar de stat</w:t>
      </w:r>
      <w:r>
        <w:rPr>
          <w:b/>
          <w:i/>
          <w:sz w:val="28"/>
          <w:szCs w:val="28"/>
        </w:rPr>
        <w:t xml:space="preserve"> pentru anul 2015 și ianuarie–iunie 2016  </w:t>
      </w:r>
    </w:p>
    <w:p w:rsidR="006E6FE5" w:rsidRDefault="006E6FE5" w:rsidP="006E6FE5">
      <w:pPr>
        <w:ind w:right="282"/>
        <w:jc w:val="center"/>
        <w:rPr>
          <w:b/>
          <w:i/>
          <w:sz w:val="28"/>
          <w:szCs w:val="28"/>
        </w:rPr>
      </w:pPr>
    </w:p>
    <w:p w:rsidR="00806E4D" w:rsidRPr="00651044" w:rsidRDefault="00895280" w:rsidP="006E6FE5">
      <w:pPr>
        <w:numPr>
          <w:ilvl w:val="0"/>
          <w:numId w:val="12"/>
        </w:numPr>
        <w:ind w:left="0" w:right="282" w:firstLine="0"/>
        <w:jc w:val="both"/>
        <w:rPr>
          <w:b/>
          <w:i/>
          <w:sz w:val="28"/>
          <w:szCs w:val="28"/>
        </w:rPr>
      </w:pPr>
      <w:r w:rsidRPr="00651044">
        <w:rPr>
          <w:b/>
          <w:i/>
          <w:sz w:val="28"/>
          <w:szCs w:val="28"/>
        </w:rPr>
        <w:t>Notă analitică</w:t>
      </w:r>
      <w:r w:rsidR="006E6FE5">
        <w:rPr>
          <w:b/>
          <w:i/>
          <w:sz w:val="28"/>
          <w:szCs w:val="28"/>
        </w:rPr>
        <w:t xml:space="preserve"> </w:t>
      </w:r>
      <w:r w:rsidR="00806E4D" w:rsidRPr="00651044">
        <w:rPr>
          <w:b/>
          <w:i/>
          <w:sz w:val="28"/>
          <w:szCs w:val="28"/>
        </w:rPr>
        <w:t>privind rezul</w:t>
      </w:r>
      <w:r w:rsidR="007C2796" w:rsidRPr="00651044">
        <w:rPr>
          <w:b/>
          <w:i/>
          <w:sz w:val="28"/>
          <w:szCs w:val="28"/>
        </w:rPr>
        <w:t xml:space="preserve">tatele monitoringului financiar </w:t>
      </w:r>
      <w:r w:rsidR="00806E4D" w:rsidRPr="00651044">
        <w:rPr>
          <w:b/>
          <w:i/>
          <w:sz w:val="28"/>
          <w:szCs w:val="28"/>
        </w:rPr>
        <w:t>al activităţii economico-financiare în anul 2015</w:t>
      </w:r>
      <w:r w:rsidR="007C2796" w:rsidRPr="00651044">
        <w:rPr>
          <w:b/>
          <w:i/>
          <w:sz w:val="28"/>
          <w:szCs w:val="28"/>
        </w:rPr>
        <w:t xml:space="preserve"> </w:t>
      </w:r>
      <w:r w:rsidR="00806E4D" w:rsidRPr="00651044">
        <w:rPr>
          <w:b/>
          <w:i/>
          <w:sz w:val="28"/>
          <w:szCs w:val="28"/>
        </w:rPr>
        <w:t>a întreprin</w:t>
      </w:r>
      <w:r w:rsidR="007C2796" w:rsidRPr="00651044">
        <w:rPr>
          <w:b/>
          <w:i/>
          <w:sz w:val="28"/>
          <w:szCs w:val="28"/>
        </w:rPr>
        <w:t xml:space="preserve">derilor de stat şi societăţilor </w:t>
      </w:r>
      <w:r w:rsidR="00806E4D" w:rsidRPr="00651044">
        <w:rPr>
          <w:b/>
          <w:i/>
          <w:sz w:val="28"/>
          <w:szCs w:val="28"/>
        </w:rPr>
        <w:t>comerciale cu capital integral sau majoritar de stat</w:t>
      </w:r>
    </w:p>
    <w:p w:rsidR="00806E4D" w:rsidRPr="00651044" w:rsidRDefault="00806E4D" w:rsidP="007C2796">
      <w:pPr>
        <w:ind w:left="540"/>
        <w:jc w:val="center"/>
        <w:rPr>
          <w:b/>
          <w:i/>
          <w:sz w:val="32"/>
          <w:szCs w:val="32"/>
        </w:rPr>
      </w:pPr>
    </w:p>
    <w:p w:rsidR="002C7963" w:rsidRPr="00651044" w:rsidRDefault="002C7963" w:rsidP="00136F34">
      <w:pPr>
        <w:numPr>
          <w:ilvl w:val="0"/>
          <w:numId w:val="11"/>
        </w:numPr>
        <w:jc w:val="center"/>
        <w:rPr>
          <w:b/>
          <w:i/>
          <w:sz w:val="28"/>
          <w:szCs w:val="28"/>
        </w:rPr>
      </w:pPr>
      <w:r w:rsidRPr="00651044">
        <w:rPr>
          <w:b/>
          <w:i/>
          <w:sz w:val="28"/>
          <w:szCs w:val="28"/>
        </w:rPr>
        <w:t>Prezentare general</w:t>
      </w:r>
      <w:r w:rsidR="004C1804" w:rsidRPr="00651044">
        <w:rPr>
          <w:b/>
          <w:i/>
          <w:sz w:val="28"/>
          <w:szCs w:val="28"/>
        </w:rPr>
        <w:t>ă</w:t>
      </w:r>
    </w:p>
    <w:p w:rsidR="0022511A" w:rsidRPr="00651044" w:rsidRDefault="0022511A" w:rsidP="00C6280E">
      <w:pPr>
        <w:spacing w:line="120" w:lineRule="auto"/>
        <w:ind w:left="1259"/>
        <w:rPr>
          <w:b/>
          <w:i/>
          <w:sz w:val="28"/>
          <w:szCs w:val="28"/>
        </w:rPr>
      </w:pPr>
    </w:p>
    <w:p w:rsidR="00F33AF7" w:rsidRPr="00651044" w:rsidRDefault="00F33AF7" w:rsidP="00F33AF7">
      <w:pPr>
        <w:spacing w:line="276" w:lineRule="auto"/>
        <w:ind w:firstLine="567"/>
        <w:jc w:val="both"/>
        <w:rPr>
          <w:sz w:val="28"/>
          <w:szCs w:val="28"/>
        </w:rPr>
      </w:pPr>
      <w:r w:rsidRPr="00651044">
        <w:rPr>
          <w:sz w:val="28"/>
          <w:szCs w:val="28"/>
        </w:rPr>
        <w:t>La situaţia din 31 decembrie 201</w:t>
      </w:r>
      <w:r w:rsidR="001762BF" w:rsidRPr="00651044">
        <w:rPr>
          <w:sz w:val="28"/>
          <w:szCs w:val="28"/>
        </w:rPr>
        <w:t>5</w:t>
      </w:r>
      <w:r w:rsidRPr="00651044">
        <w:rPr>
          <w:sz w:val="28"/>
          <w:szCs w:val="28"/>
        </w:rPr>
        <w:t>, în Registrul patrimoniului public ţinut de către Agenţia Proprietăţii Publice subordonată Ministerului Econ</w:t>
      </w:r>
      <w:r w:rsidR="001E5AB2" w:rsidRPr="00651044">
        <w:rPr>
          <w:sz w:val="28"/>
          <w:szCs w:val="28"/>
        </w:rPr>
        <w:t>omiei</w:t>
      </w:r>
      <w:r w:rsidR="00AE562E" w:rsidRPr="00651044">
        <w:rPr>
          <w:sz w:val="28"/>
          <w:szCs w:val="28"/>
        </w:rPr>
        <w:t xml:space="preserve"> (în continuare – Agenția Proprietății Publice)</w:t>
      </w:r>
      <w:r w:rsidR="001E5AB2" w:rsidRPr="00651044">
        <w:rPr>
          <w:sz w:val="28"/>
          <w:szCs w:val="28"/>
        </w:rPr>
        <w:t>, sunt incluse 25</w:t>
      </w:r>
      <w:r w:rsidR="001762BF" w:rsidRPr="00651044">
        <w:rPr>
          <w:sz w:val="28"/>
          <w:szCs w:val="28"/>
        </w:rPr>
        <w:t>1</w:t>
      </w:r>
      <w:r w:rsidRPr="00651044">
        <w:rPr>
          <w:sz w:val="28"/>
          <w:szCs w:val="28"/>
        </w:rPr>
        <w:t xml:space="preserve"> întreprinderi de stat, cu </w:t>
      </w:r>
      <w:r w:rsidR="001E5AB2" w:rsidRPr="00651044">
        <w:rPr>
          <w:sz w:val="28"/>
          <w:szCs w:val="28"/>
        </w:rPr>
        <w:t xml:space="preserve">capital social în mărime de </w:t>
      </w:r>
      <w:r w:rsidR="001762BF" w:rsidRPr="00651044">
        <w:rPr>
          <w:sz w:val="28"/>
          <w:szCs w:val="28"/>
        </w:rPr>
        <w:t>6 415,9</w:t>
      </w:r>
      <w:r w:rsidR="001E5AB2" w:rsidRPr="00651044">
        <w:rPr>
          <w:sz w:val="28"/>
          <w:szCs w:val="28"/>
        </w:rPr>
        <w:t xml:space="preserve"> mil. lei</w:t>
      </w:r>
      <w:r w:rsidR="001762BF" w:rsidRPr="00651044">
        <w:rPr>
          <w:sz w:val="28"/>
          <w:szCs w:val="28"/>
        </w:rPr>
        <w:t xml:space="preserve"> şi 111</w:t>
      </w:r>
      <w:r w:rsidRPr="00651044">
        <w:rPr>
          <w:sz w:val="28"/>
          <w:szCs w:val="28"/>
        </w:rPr>
        <w:t xml:space="preserve"> societăţi comerciale cu capital</w:t>
      </w:r>
      <w:r w:rsidR="008901F0" w:rsidRPr="00651044">
        <w:rPr>
          <w:sz w:val="28"/>
          <w:szCs w:val="28"/>
        </w:rPr>
        <w:t xml:space="preserve"> de stat, capitalul</w:t>
      </w:r>
      <w:r w:rsidRPr="00651044">
        <w:rPr>
          <w:sz w:val="28"/>
          <w:szCs w:val="28"/>
        </w:rPr>
        <w:t xml:space="preserve"> social </w:t>
      </w:r>
      <w:r w:rsidR="008901F0" w:rsidRPr="00651044">
        <w:rPr>
          <w:sz w:val="28"/>
          <w:szCs w:val="28"/>
        </w:rPr>
        <w:t xml:space="preserve">al cărora este </w:t>
      </w:r>
      <w:r w:rsidRPr="00651044">
        <w:rPr>
          <w:sz w:val="28"/>
          <w:szCs w:val="28"/>
        </w:rPr>
        <w:t xml:space="preserve">în mărime de </w:t>
      </w:r>
      <w:r w:rsidR="001762BF" w:rsidRPr="00651044">
        <w:rPr>
          <w:sz w:val="28"/>
          <w:szCs w:val="28"/>
        </w:rPr>
        <w:t>5 388,5</w:t>
      </w:r>
      <w:r w:rsidRPr="00651044">
        <w:rPr>
          <w:sz w:val="28"/>
          <w:szCs w:val="28"/>
        </w:rPr>
        <w:t xml:space="preserve"> mil. lei, din care proprietatea statulu</w:t>
      </w:r>
      <w:r w:rsidR="00CA23A8" w:rsidRPr="00651044">
        <w:rPr>
          <w:sz w:val="28"/>
          <w:szCs w:val="28"/>
        </w:rPr>
        <w:t xml:space="preserve">i – </w:t>
      </w:r>
      <w:r w:rsidR="001358C4" w:rsidRPr="00651044">
        <w:rPr>
          <w:sz w:val="28"/>
          <w:szCs w:val="28"/>
        </w:rPr>
        <w:t xml:space="preserve">                 </w:t>
      </w:r>
      <w:r w:rsidR="001762BF" w:rsidRPr="00651044">
        <w:rPr>
          <w:sz w:val="28"/>
          <w:szCs w:val="28"/>
        </w:rPr>
        <w:t>3 894,9</w:t>
      </w:r>
      <w:r w:rsidRPr="00651044">
        <w:rPr>
          <w:sz w:val="28"/>
          <w:szCs w:val="28"/>
        </w:rPr>
        <w:t xml:space="preserve"> mil. lei sau </w:t>
      </w:r>
      <w:r w:rsidR="001762BF" w:rsidRPr="00651044">
        <w:rPr>
          <w:sz w:val="28"/>
          <w:szCs w:val="28"/>
        </w:rPr>
        <w:t>72,3</w:t>
      </w:r>
      <w:r w:rsidRPr="00651044">
        <w:rPr>
          <w:sz w:val="28"/>
          <w:szCs w:val="28"/>
        </w:rPr>
        <w:t xml:space="preserve"> la sută. Din numărul total al societăţilor comerciale, </w:t>
      </w:r>
      <w:r w:rsidR="009E1150" w:rsidRPr="00651044">
        <w:rPr>
          <w:sz w:val="28"/>
          <w:szCs w:val="28"/>
        </w:rPr>
        <w:t xml:space="preserve">              </w:t>
      </w:r>
      <w:r w:rsidR="006737C0" w:rsidRPr="00651044">
        <w:rPr>
          <w:sz w:val="28"/>
          <w:szCs w:val="28"/>
        </w:rPr>
        <w:t>7</w:t>
      </w:r>
      <w:r w:rsidR="001762BF" w:rsidRPr="00651044">
        <w:rPr>
          <w:sz w:val="28"/>
          <w:szCs w:val="28"/>
        </w:rPr>
        <w:t>2</w:t>
      </w:r>
      <w:r w:rsidRPr="00651044">
        <w:rPr>
          <w:sz w:val="28"/>
          <w:szCs w:val="28"/>
        </w:rPr>
        <w:t xml:space="preserve"> societăţi comerciale deţin capital integral sau maj</w:t>
      </w:r>
      <w:r w:rsidR="001B2089" w:rsidRPr="00651044">
        <w:rPr>
          <w:sz w:val="28"/>
          <w:szCs w:val="28"/>
        </w:rPr>
        <w:t xml:space="preserve">oritar de stat în mărime de </w:t>
      </w:r>
      <w:r w:rsidR="009E1150" w:rsidRPr="00651044">
        <w:rPr>
          <w:sz w:val="28"/>
          <w:szCs w:val="28"/>
        </w:rPr>
        <w:t xml:space="preserve">  </w:t>
      </w:r>
      <w:r w:rsidR="001762BF" w:rsidRPr="00651044">
        <w:rPr>
          <w:sz w:val="28"/>
          <w:szCs w:val="28"/>
        </w:rPr>
        <w:t>3 378,9</w:t>
      </w:r>
      <w:r w:rsidRPr="00651044">
        <w:rPr>
          <w:sz w:val="28"/>
          <w:szCs w:val="28"/>
        </w:rPr>
        <w:t xml:space="preserve"> mil. lei, din c</w:t>
      </w:r>
      <w:r w:rsidR="001B2089" w:rsidRPr="00651044">
        <w:rPr>
          <w:sz w:val="28"/>
          <w:szCs w:val="28"/>
        </w:rPr>
        <w:t>ar</w:t>
      </w:r>
      <w:r w:rsidR="001762BF" w:rsidRPr="00651044">
        <w:rPr>
          <w:sz w:val="28"/>
          <w:szCs w:val="28"/>
        </w:rPr>
        <w:t>e proprietatea statului – 3 242,9</w:t>
      </w:r>
      <w:r w:rsidRPr="00651044">
        <w:rPr>
          <w:sz w:val="28"/>
          <w:szCs w:val="28"/>
        </w:rPr>
        <w:t xml:space="preserve"> mil. lei sau 9</w:t>
      </w:r>
      <w:r w:rsidR="001B2089" w:rsidRPr="00651044">
        <w:rPr>
          <w:sz w:val="28"/>
          <w:szCs w:val="28"/>
        </w:rPr>
        <w:t>6</w:t>
      </w:r>
      <w:r w:rsidRPr="00651044">
        <w:rPr>
          <w:sz w:val="28"/>
          <w:szCs w:val="28"/>
        </w:rPr>
        <w:t>,</w:t>
      </w:r>
      <w:r w:rsidR="001B2089" w:rsidRPr="00651044">
        <w:rPr>
          <w:sz w:val="28"/>
          <w:szCs w:val="28"/>
        </w:rPr>
        <w:t>0</w:t>
      </w:r>
      <w:r w:rsidRPr="00651044">
        <w:rPr>
          <w:sz w:val="28"/>
          <w:szCs w:val="28"/>
        </w:rPr>
        <w:t xml:space="preserve"> la sută.</w:t>
      </w:r>
    </w:p>
    <w:p w:rsidR="001762BF" w:rsidRPr="00651044" w:rsidRDefault="001762BF" w:rsidP="001762BF">
      <w:pPr>
        <w:spacing w:line="276" w:lineRule="auto"/>
        <w:ind w:firstLine="539"/>
        <w:jc w:val="both"/>
        <w:rPr>
          <w:color w:val="FF0000"/>
          <w:sz w:val="28"/>
          <w:szCs w:val="28"/>
        </w:rPr>
      </w:pPr>
      <w:r w:rsidRPr="00651044">
        <w:rPr>
          <w:sz w:val="28"/>
          <w:szCs w:val="28"/>
        </w:rPr>
        <w:t>Din 111 societăţi comerciale cu capital de stat, la 25 entităţi economice cota statului în c</w:t>
      </w:r>
      <w:r w:rsidR="00CC6619" w:rsidRPr="00651044">
        <w:rPr>
          <w:sz w:val="28"/>
          <w:szCs w:val="28"/>
        </w:rPr>
        <w:t>apitalul social constituie 100</w:t>
      </w:r>
      <w:r w:rsidRPr="00651044">
        <w:rPr>
          <w:sz w:val="28"/>
          <w:szCs w:val="28"/>
        </w:rPr>
        <w:t xml:space="preserve">%, </w:t>
      </w:r>
      <w:r w:rsidR="006953FD" w:rsidRPr="00651044">
        <w:rPr>
          <w:sz w:val="28"/>
          <w:szCs w:val="28"/>
        </w:rPr>
        <w:t>la 31</w:t>
      </w:r>
      <w:r w:rsidRPr="00651044">
        <w:rPr>
          <w:sz w:val="28"/>
          <w:szCs w:val="28"/>
        </w:rPr>
        <w:t xml:space="preserve"> entităţi economice – de la 75,0% p</w:t>
      </w:r>
      <w:r w:rsidR="006E6FE5">
        <w:rPr>
          <w:sz w:val="28"/>
          <w:szCs w:val="28"/>
        </w:rPr>
        <w:t>î</w:t>
      </w:r>
      <w:r w:rsidRPr="00651044">
        <w:rPr>
          <w:sz w:val="28"/>
          <w:szCs w:val="28"/>
        </w:rPr>
        <w:t>nă la 99,9%, la 16 entităţi economice – de la 50,0% p</w:t>
      </w:r>
      <w:r w:rsidR="006E6FE5">
        <w:rPr>
          <w:sz w:val="28"/>
          <w:szCs w:val="28"/>
        </w:rPr>
        <w:t>î</w:t>
      </w:r>
      <w:r w:rsidRPr="00651044">
        <w:rPr>
          <w:sz w:val="28"/>
          <w:szCs w:val="28"/>
        </w:rPr>
        <w:t>nă la 74,9%,</w:t>
      </w:r>
      <w:r w:rsidR="006953FD" w:rsidRPr="00651044">
        <w:rPr>
          <w:color w:val="FF0000"/>
          <w:sz w:val="28"/>
          <w:szCs w:val="28"/>
        </w:rPr>
        <w:t xml:space="preserve"> </w:t>
      </w:r>
      <w:r w:rsidR="006953FD" w:rsidRPr="00651044">
        <w:rPr>
          <w:sz w:val="28"/>
          <w:szCs w:val="28"/>
        </w:rPr>
        <w:t>la 14</w:t>
      </w:r>
      <w:r w:rsidRPr="00651044">
        <w:rPr>
          <w:sz w:val="28"/>
          <w:szCs w:val="28"/>
        </w:rPr>
        <w:t xml:space="preserve"> entităţi economice – de la 25,0% p</w:t>
      </w:r>
      <w:r w:rsidR="006E6FE5">
        <w:rPr>
          <w:sz w:val="28"/>
          <w:szCs w:val="28"/>
        </w:rPr>
        <w:t>î</w:t>
      </w:r>
      <w:r w:rsidRPr="00651044">
        <w:rPr>
          <w:sz w:val="28"/>
          <w:szCs w:val="28"/>
        </w:rPr>
        <w:t>nă la 49,9%,</w:t>
      </w:r>
      <w:r w:rsidRPr="00651044">
        <w:rPr>
          <w:color w:val="FF0000"/>
          <w:sz w:val="28"/>
          <w:szCs w:val="28"/>
        </w:rPr>
        <w:t xml:space="preserve"> </w:t>
      </w:r>
      <w:r w:rsidRPr="00651044">
        <w:rPr>
          <w:sz w:val="28"/>
          <w:szCs w:val="28"/>
        </w:rPr>
        <w:t>la 6 entităţi economice – de la 10,0% p</w:t>
      </w:r>
      <w:r w:rsidR="006E6FE5">
        <w:rPr>
          <w:sz w:val="28"/>
          <w:szCs w:val="28"/>
        </w:rPr>
        <w:t>î</w:t>
      </w:r>
      <w:r w:rsidRPr="00651044">
        <w:rPr>
          <w:sz w:val="28"/>
          <w:szCs w:val="28"/>
        </w:rPr>
        <w:t>nă la 24,9%,</w:t>
      </w:r>
      <w:r w:rsidR="006953FD" w:rsidRPr="00651044">
        <w:rPr>
          <w:color w:val="FF0000"/>
          <w:sz w:val="28"/>
          <w:szCs w:val="28"/>
        </w:rPr>
        <w:t xml:space="preserve"> </w:t>
      </w:r>
      <w:r w:rsidR="006953FD" w:rsidRPr="00651044">
        <w:rPr>
          <w:sz w:val="28"/>
          <w:szCs w:val="28"/>
        </w:rPr>
        <w:t xml:space="preserve">iar la </w:t>
      </w:r>
      <w:r w:rsidRPr="00651044">
        <w:rPr>
          <w:sz w:val="28"/>
          <w:szCs w:val="28"/>
        </w:rPr>
        <w:t>1</w:t>
      </w:r>
      <w:r w:rsidR="004D55DB" w:rsidRPr="00651044">
        <w:rPr>
          <w:sz w:val="28"/>
          <w:szCs w:val="28"/>
        </w:rPr>
        <w:t>9</w:t>
      </w:r>
      <w:r w:rsidRPr="00651044">
        <w:rPr>
          <w:sz w:val="28"/>
          <w:szCs w:val="28"/>
        </w:rPr>
        <w:t xml:space="preserve"> entităţi economice – p</w:t>
      </w:r>
      <w:r w:rsidR="006E6FE5">
        <w:rPr>
          <w:sz w:val="28"/>
          <w:szCs w:val="28"/>
        </w:rPr>
        <w:t>î</w:t>
      </w:r>
      <w:r w:rsidRPr="00651044">
        <w:rPr>
          <w:sz w:val="28"/>
          <w:szCs w:val="28"/>
        </w:rPr>
        <w:t>nă la 9,9 la sută.</w:t>
      </w:r>
    </w:p>
    <w:p w:rsidR="00F33AF7" w:rsidRPr="00651044" w:rsidRDefault="00F33AF7" w:rsidP="00F33AF7">
      <w:pPr>
        <w:spacing w:line="276" w:lineRule="auto"/>
        <w:ind w:firstLine="539"/>
        <w:jc w:val="both"/>
        <w:rPr>
          <w:sz w:val="28"/>
          <w:szCs w:val="28"/>
        </w:rPr>
      </w:pPr>
      <w:r w:rsidRPr="00651044">
        <w:rPr>
          <w:sz w:val="28"/>
          <w:szCs w:val="28"/>
        </w:rPr>
        <w:t>Din numărul t</w:t>
      </w:r>
      <w:r w:rsidR="002C0D98" w:rsidRPr="00651044">
        <w:rPr>
          <w:sz w:val="28"/>
          <w:szCs w:val="28"/>
        </w:rPr>
        <w:t>otal de entită</w:t>
      </w:r>
      <w:r w:rsidR="00253020" w:rsidRPr="00651044">
        <w:rPr>
          <w:sz w:val="28"/>
          <w:szCs w:val="28"/>
        </w:rPr>
        <w:t>ţ</w:t>
      </w:r>
      <w:r w:rsidR="002C0D98" w:rsidRPr="00651044">
        <w:rPr>
          <w:sz w:val="28"/>
          <w:szCs w:val="28"/>
        </w:rPr>
        <w:t>i economice cu capital de stat</w:t>
      </w:r>
      <w:r w:rsidR="004A10F1" w:rsidRPr="00651044">
        <w:rPr>
          <w:sz w:val="28"/>
          <w:szCs w:val="28"/>
        </w:rPr>
        <w:t>, 7</w:t>
      </w:r>
      <w:r w:rsidRPr="00651044">
        <w:rPr>
          <w:sz w:val="28"/>
          <w:szCs w:val="28"/>
        </w:rPr>
        <w:t xml:space="preserve"> întreprinderi de stat se află pe teritoriul Ucrainei</w:t>
      </w:r>
      <w:r w:rsidR="001358C4" w:rsidRPr="00651044">
        <w:rPr>
          <w:sz w:val="28"/>
          <w:szCs w:val="28"/>
        </w:rPr>
        <w:t xml:space="preserve"> (cu capital social în mărime de 30,4 mil. lei)</w:t>
      </w:r>
      <w:r w:rsidRPr="00651044">
        <w:rPr>
          <w:sz w:val="28"/>
          <w:szCs w:val="28"/>
        </w:rPr>
        <w:t xml:space="preserve">, </w:t>
      </w:r>
      <w:r w:rsidR="007F7408" w:rsidRPr="00651044">
        <w:rPr>
          <w:sz w:val="28"/>
          <w:szCs w:val="28"/>
        </w:rPr>
        <w:t xml:space="preserve">iar </w:t>
      </w:r>
      <w:r w:rsidR="009E1150" w:rsidRPr="00651044">
        <w:rPr>
          <w:sz w:val="28"/>
          <w:szCs w:val="28"/>
        </w:rPr>
        <w:t xml:space="preserve">               </w:t>
      </w:r>
      <w:r w:rsidR="007F7408" w:rsidRPr="00651044">
        <w:rPr>
          <w:sz w:val="28"/>
          <w:szCs w:val="28"/>
        </w:rPr>
        <w:t>3 întreprinderi de stat</w:t>
      </w:r>
      <w:r w:rsidR="001358C4" w:rsidRPr="00651044">
        <w:rPr>
          <w:sz w:val="28"/>
          <w:szCs w:val="28"/>
        </w:rPr>
        <w:t xml:space="preserve"> (cu capital social în mărime de 3,8 mil. lei)</w:t>
      </w:r>
      <w:r w:rsidR="004D55DB" w:rsidRPr="00651044">
        <w:rPr>
          <w:sz w:val="28"/>
          <w:szCs w:val="28"/>
        </w:rPr>
        <w:t xml:space="preserve"> şi 1 societate comercială cu capital de stat</w:t>
      </w:r>
      <w:r w:rsidR="001358C4" w:rsidRPr="00651044">
        <w:rPr>
          <w:sz w:val="28"/>
          <w:szCs w:val="28"/>
        </w:rPr>
        <w:t xml:space="preserve"> (cu capital social – 1,6 mil. lei din care cota statului – </w:t>
      </w:r>
      <w:r w:rsidR="009E1150" w:rsidRPr="00651044">
        <w:rPr>
          <w:sz w:val="28"/>
          <w:szCs w:val="28"/>
        </w:rPr>
        <w:t xml:space="preserve">   </w:t>
      </w:r>
      <w:r w:rsidR="001358C4" w:rsidRPr="00651044">
        <w:rPr>
          <w:sz w:val="28"/>
          <w:szCs w:val="28"/>
        </w:rPr>
        <w:t>0,2 mil. lei)</w:t>
      </w:r>
      <w:r w:rsidR="004D55DB" w:rsidRPr="00651044">
        <w:rPr>
          <w:sz w:val="28"/>
          <w:szCs w:val="28"/>
        </w:rPr>
        <w:t xml:space="preserve"> </w:t>
      </w:r>
      <w:r w:rsidRPr="00651044">
        <w:rPr>
          <w:sz w:val="28"/>
          <w:szCs w:val="28"/>
        </w:rPr>
        <w:t>– pe teritoriul UTA Găgăuzia.</w:t>
      </w:r>
    </w:p>
    <w:p w:rsidR="00F33AF7" w:rsidRPr="00651044" w:rsidRDefault="00F33AF7" w:rsidP="00F33AF7">
      <w:pPr>
        <w:spacing w:line="276" w:lineRule="auto"/>
        <w:ind w:firstLine="539"/>
        <w:jc w:val="both"/>
        <w:rPr>
          <w:sz w:val="28"/>
          <w:szCs w:val="28"/>
        </w:rPr>
      </w:pPr>
      <w:r w:rsidRPr="00651044">
        <w:rPr>
          <w:sz w:val="28"/>
          <w:szCs w:val="28"/>
        </w:rPr>
        <w:t xml:space="preserve">Procedura lichidării </w:t>
      </w:r>
      <w:r w:rsidR="005F5ABF" w:rsidRPr="00651044">
        <w:rPr>
          <w:sz w:val="28"/>
          <w:szCs w:val="28"/>
        </w:rPr>
        <w:t>ş</w:t>
      </w:r>
      <w:r w:rsidR="004A10F1" w:rsidRPr="00651044">
        <w:rPr>
          <w:sz w:val="28"/>
          <w:szCs w:val="28"/>
        </w:rPr>
        <w:t xml:space="preserve">i </w:t>
      </w:r>
      <w:r w:rsidR="00CC6619" w:rsidRPr="00651044">
        <w:rPr>
          <w:sz w:val="28"/>
          <w:szCs w:val="28"/>
        </w:rPr>
        <w:t>insolvabilității</w:t>
      </w:r>
      <w:r w:rsidR="004D55DB" w:rsidRPr="00651044">
        <w:rPr>
          <w:sz w:val="28"/>
          <w:szCs w:val="28"/>
        </w:rPr>
        <w:t xml:space="preserve"> este aplicată faţă de 26</w:t>
      </w:r>
      <w:r w:rsidR="000C29D7" w:rsidRPr="00651044">
        <w:rPr>
          <w:sz w:val="28"/>
          <w:szCs w:val="28"/>
        </w:rPr>
        <w:t xml:space="preserve"> întreprinderi de stat</w:t>
      </w:r>
      <w:r w:rsidR="001358C4" w:rsidRPr="00651044">
        <w:rPr>
          <w:sz w:val="28"/>
          <w:szCs w:val="28"/>
        </w:rPr>
        <w:t xml:space="preserve"> (cu capital social în mărime de 156,8 mil. lei)</w:t>
      </w:r>
      <w:r w:rsidR="000C29D7" w:rsidRPr="00651044">
        <w:rPr>
          <w:sz w:val="28"/>
          <w:szCs w:val="28"/>
        </w:rPr>
        <w:t xml:space="preserve"> şi 37</w:t>
      </w:r>
      <w:r w:rsidRPr="00651044">
        <w:rPr>
          <w:sz w:val="28"/>
          <w:szCs w:val="28"/>
        </w:rPr>
        <w:t xml:space="preserve"> s</w:t>
      </w:r>
      <w:r w:rsidR="000C29D7" w:rsidRPr="00651044">
        <w:rPr>
          <w:sz w:val="28"/>
          <w:szCs w:val="28"/>
        </w:rPr>
        <w:t xml:space="preserve">ocietăţi comerciale </w:t>
      </w:r>
      <w:r w:rsidR="001358C4" w:rsidRPr="00651044">
        <w:rPr>
          <w:sz w:val="28"/>
          <w:szCs w:val="28"/>
        </w:rPr>
        <w:t>(cu capital social total de 646,0 mil. lei, din care cota statului – 345,7 mil. lei)</w:t>
      </w:r>
      <w:r w:rsidR="001358C4" w:rsidRPr="00651044">
        <w:rPr>
          <w:color w:val="FF0000"/>
          <w:sz w:val="28"/>
          <w:szCs w:val="28"/>
        </w:rPr>
        <w:t xml:space="preserve"> </w:t>
      </w:r>
      <w:r w:rsidR="000C29D7" w:rsidRPr="00651044">
        <w:rPr>
          <w:sz w:val="28"/>
          <w:szCs w:val="28"/>
        </w:rPr>
        <w:t xml:space="preserve">(inclusiv </w:t>
      </w:r>
      <w:r w:rsidR="009E1150" w:rsidRPr="00651044">
        <w:rPr>
          <w:sz w:val="28"/>
          <w:szCs w:val="28"/>
        </w:rPr>
        <w:t xml:space="preserve">              </w:t>
      </w:r>
      <w:r w:rsidR="000C29D7" w:rsidRPr="00651044">
        <w:rPr>
          <w:sz w:val="28"/>
          <w:szCs w:val="28"/>
        </w:rPr>
        <w:t>2</w:t>
      </w:r>
      <w:r w:rsidR="00631C19" w:rsidRPr="00651044">
        <w:rPr>
          <w:sz w:val="28"/>
          <w:szCs w:val="28"/>
        </w:rPr>
        <w:t>0</w:t>
      </w:r>
      <w:r w:rsidRPr="00651044">
        <w:rPr>
          <w:sz w:val="28"/>
          <w:szCs w:val="28"/>
        </w:rPr>
        <w:t xml:space="preserve"> societăţi </w:t>
      </w:r>
      <w:r w:rsidR="002C0D98" w:rsidRPr="00651044">
        <w:rPr>
          <w:sz w:val="28"/>
          <w:szCs w:val="28"/>
        </w:rPr>
        <w:t xml:space="preserve">comerciale </w:t>
      </w:r>
      <w:r w:rsidRPr="00651044">
        <w:rPr>
          <w:sz w:val="28"/>
          <w:szCs w:val="28"/>
        </w:rPr>
        <w:t>cu cotă majoritară a statului în capitalul social</w:t>
      </w:r>
      <w:r w:rsidR="001358C4" w:rsidRPr="00651044">
        <w:rPr>
          <w:sz w:val="28"/>
          <w:szCs w:val="28"/>
        </w:rPr>
        <w:t xml:space="preserve"> (cu capital social total de 286,6 mil. lei, din care cota statului – 250,5 mil. lei</w:t>
      </w:r>
      <w:r w:rsidRPr="00651044">
        <w:rPr>
          <w:sz w:val="28"/>
          <w:szCs w:val="28"/>
        </w:rPr>
        <w:t xml:space="preserve">), conform prevederilor Codului Civil nr. 1107-XV din 06 iunie 2002 şi Legii insolvabilităţii nr. 149 din </w:t>
      </w:r>
      <w:r w:rsidR="009E1150" w:rsidRPr="00651044">
        <w:rPr>
          <w:sz w:val="28"/>
          <w:szCs w:val="28"/>
        </w:rPr>
        <w:t xml:space="preserve">        </w:t>
      </w:r>
      <w:r w:rsidRPr="00651044">
        <w:rPr>
          <w:sz w:val="28"/>
          <w:szCs w:val="28"/>
        </w:rPr>
        <w:t xml:space="preserve">29 iunie 2012. </w:t>
      </w:r>
    </w:p>
    <w:p w:rsidR="00F33AF7" w:rsidRPr="00651044" w:rsidRDefault="00F33AF7" w:rsidP="00F33AF7">
      <w:pPr>
        <w:spacing w:line="276" w:lineRule="auto"/>
        <w:ind w:firstLine="539"/>
        <w:jc w:val="both"/>
        <w:rPr>
          <w:sz w:val="28"/>
          <w:szCs w:val="28"/>
        </w:rPr>
      </w:pPr>
      <w:r w:rsidRPr="00651044">
        <w:rPr>
          <w:sz w:val="28"/>
          <w:szCs w:val="28"/>
        </w:rPr>
        <w:t xml:space="preserve">Din totalul </w:t>
      </w:r>
      <w:r w:rsidR="009B4AC6" w:rsidRPr="00651044">
        <w:rPr>
          <w:sz w:val="28"/>
          <w:szCs w:val="28"/>
        </w:rPr>
        <w:t>entită</w:t>
      </w:r>
      <w:r w:rsidR="005F5ABF" w:rsidRPr="00651044">
        <w:rPr>
          <w:sz w:val="28"/>
          <w:szCs w:val="28"/>
        </w:rPr>
        <w:t>ţ</w:t>
      </w:r>
      <w:r w:rsidR="009B4AC6" w:rsidRPr="00651044">
        <w:rPr>
          <w:sz w:val="28"/>
          <w:szCs w:val="28"/>
        </w:rPr>
        <w:t>ilor</w:t>
      </w:r>
      <w:r w:rsidRPr="00651044">
        <w:rPr>
          <w:sz w:val="28"/>
          <w:szCs w:val="28"/>
        </w:rPr>
        <w:t xml:space="preserve"> economice incluse în Registrul patrimoniului public, nu au fost su</w:t>
      </w:r>
      <w:r w:rsidR="00631C19" w:rsidRPr="00651044">
        <w:rPr>
          <w:sz w:val="28"/>
          <w:szCs w:val="28"/>
        </w:rPr>
        <w:t>puse monitoringului financiar 21</w:t>
      </w:r>
      <w:r w:rsidRPr="00651044">
        <w:rPr>
          <w:sz w:val="28"/>
          <w:szCs w:val="28"/>
        </w:rPr>
        <w:t xml:space="preserve"> întreprinderi de stat </w:t>
      </w:r>
      <w:r w:rsidR="001358C4" w:rsidRPr="00651044">
        <w:rPr>
          <w:sz w:val="28"/>
          <w:szCs w:val="28"/>
        </w:rPr>
        <w:t xml:space="preserve">(cu capital social în mărime de 21,6 mil. lei) </w:t>
      </w:r>
      <w:r w:rsidRPr="00651044">
        <w:rPr>
          <w:sz w:val="28"/>
          <w:szCs w:val="28"/>
        </w:rPr>
        <w:t>şi</w:t>
      </w:r>
      <w:r w:rsidRPr="00651044">
        <w:rPr>
          <w:color w:val="FF0000"/>
          <w:sz w:val="28"/>
          <w:szCs w:val="28"/>
        </w:rPr>
        <w:t xml:space="preserve"> </w:t>
      </w:r>
      <w:r w:rsidR="009676CB" w:rsidRPr="00651044">
        <w:rPr>
          <w:sz w:val="28"/>
          <w:szCs w:val="28"/>
        </w:rPr>
        <w:t>1</w:t>
      </w:r>
      <w:r w:rsidR="00631C19" w:rsidRPr="00651044">
        <w:rPr>
          <w:sz w:val="28"/>
          <w:szCs w:val="28"/>
        </w:rPr>
        <w:t>5</w:t>
      </w:r>
      <w:r w:rsidR="009676CB" w:rsidRPr="00651044">
        <w:rPr>
          <w:sz w:val="28"/>
          <w:szCs w:val="28"/>
        </w:rPr>
        <w:t xml:space="preserve"> societă</w:t>
      </w:r>
      <w:r w:rsidR="00253020" w:rsidRPr="00651044">
        <w:rPr>
          <w:sz w:val="28"/>
          <w:szCs w:val="28"/>
        </w:rPr>
        <w:t>ţ</w:t>
      </w:r>
      <w:r w:rsidR="009676CB" w:rsidRPr="00651044">
        <w:rPr>
          <w:sz w:val="28"/>
          <w:szCs w:val="28"/>
        </w:rPr>
        <w:t>i comerciale</w:t>
      </w:r>
      <w:r w:rsidR="001358C4" w:rsidRPr="00651044">
        <w:rPr>
          <w:sz w:val="28"/>
          <w:szCs w:val="28"/>
        </w:rPr>
        <w:t xml:space="preserve"> (cu capital social de 36,2 mil. lei din care cota statului – 16,2 mil. lei)</w:t>
      </w:r>
      <w:r w:rsidR="00631C19" w:rsidRPr="00651044">
        <w:rPr>
          <w:color w:val="FF0000"/>
          <w:sz w:val="28"/>
          <w:szCs w:val="28"/>
        </w:rPr>
        <w:t xml:space="preserve"> </w:t>
      </w:r>
      <w:r w:rsidR="00631C19" w:rsidRPr="00651044">
        <w:rPr>
          <w:sz w:val="28"/>
          <w:szCs w:val="28"/>
        </w:rPr>
        <w:t>(inclusiv 11</w:t>
      </w:r>
      <w:r w:rsidR="009676CB" w:rsidRPr="00651044">
        <w:rPr>
          <w:sz w:val="28"/>
          <w:szCs w:val="28"/>
        </w:rPr>
        <w:t xml:space="preserve"> </w:t>
      </w:r>
      <w:r w:rsidRPr="00651044">
        <w:rPr>
          <w:sz w:val="28"/>
          <w:szCs w:val="28"/>
        </w:rPr>
        <w:t>societăţi comerciale cu capital integral sau majoritar de stat</w:t>
      </w:r>
      <w:r w:rsidR="001358C4" w:rsidRPr="00651044">
        <w:rPr>
          <w:sz w:val="28"/>
          <w:szCs w:val="28"/>
        </w:rPr>
        <w:t xml:space="preserve"> (cu capital social de 24,0 mil. lei, din care cota statului reprezintă </w:t>
      </w:r>
      <w:r w:rsidR="001358C4" w:rsidRPr="00651044">
        <w:rPr>
          <w:sz w:val="28"/>
          <w:szCs w:val="28"/>
        </w:rPr>
        <w:lastRenderedPageBreak/>
        <w:t>15,4 mil. lei</w:t>
      </w:r>
      <w:r w:rsidR="009676CB" w:rsidRPr="00651044">
        <w:rPr>
          <w:sz w:val="28"/>
          <w:szCs w:val="28"/>
        </w:rPr>
        <w:t>)</w:t>
      </w:r>
      <w:r w:rsidRPr="00651044">
        <w:rPr>
          <w:sz w:val="28"/>
          <w:szCs w:val="28"/>
        </w:rPr>
        <w:t xml:space="preserve">, </w:t>
      </w:r>
      <w:r w:rsidR="009B4AC6" w:rsidRPr="00651044">
        <w:rPr>
          <w:sz w:val="28"/>
          <w:szCs w:val="28"/>
        </w:rPr>
        <w:t xml:space="preserve">care sunt </w:t>
      </w:r>
      <w:r w:rsidRPr="00651044">
        <w:rPr>
          <w:sz w:val="28"/>
          <w:szCs w:val="28"/>
        </w:rPr>
        <w:t xml:space="preserve">înregistrate la </w:t>
      </w:r>
      <w:r w:rsidR="006E6FE5">
        <w:rPr>
          <w:sz w:val="28"/>
          <w:szCs w:val="28"/>
        </w:rPr>
        <w:t>Î.S. „</w:t>
      </w:r>
      <w:r w:rsidRPr="00651044">
        <w:rPr>
          <w:sz w:val="28"/>
          <w:szCs w:val="28"/>
        </w:rPr>
        <w:t>Camera Înregistrării de Stat</w:t>
      </w:r>
      <w:r w:rsidR="006E6FE5">
        <w:rPr>
          <w:sz w:val="28"/>
          <w:szCs w:val="28"/>
        </w:rPr>
        <w:t>”</w:t>
      </w:r>
      <w:r w:rsidRPr="00651044">
        <w:rPr>
          <w:sz w:val="28"/>
          <w:szCs w:val="28"/>
        </w:rPr>
        <w:t xml:space="preserve">, </w:t>
      </w:r>
      <w:r w:rsidR="009B4AC6" w:rsidRPr="00651044">
        <w:rPr>
          <w:sz w:val="28"/>
          <w:szCs w:val="28"/>
        </w:rPr>
        <w:t>dar</w:t>
      </w:r>
      <w:r w:rsidRPr="00651044">
        <w:rPr>
          <w:sz w:val="28"/>
          <w:szCs w:val="28"/>
        </w:rPr>
        <w:t xml:space="preserve"> nu desfăşoară activitate. </w:t>
      </w:r>
    </w:p>
    <w:p w:rsidR="00F33AF7" w:rsidRPr="00651044" w:rsidRDefault="00CC6619" w:rsidP="00F33AF7">
      <w:pPr>
        <w:spacing w:line="276" w:lineRule="auto"/>
        <w:ind w:firstLine="539"/>
        <w:jc w:val="both"/>
        <w:rPr>
          <w:color w:val="FF0000"/>
          <w:sz w:val="28"/>
          <w:szCs w:val="28"/>
        </w:rPr>
      </w:pPr>
      <w:r w:rsidRPr="00651044">
        <w:rPr>
          <w:sz w:val="28"/>
          <w:szCs w:val="28"/>
        </w:rPr>
        <w:t>Astfel, l</w:t>
      </w:r>
      <w:r w:rsidR="008901F0" w:rsidRPr="00651044">
        <w:rPr>
          <w:sz w:val="28"/>
          <w:szCs w:val="28"/>
        </w:rPr>
        <w:t>a situa</w:t>
      </w:r>
      <w:r w:rsidR="005F5ABF" w:rsidRPr="00651044">
        <w:rPr>
          <w:sz w:val="28"/>
          <w:szCs w:val="28"/>
        </w:rPr>
        <w:t>ţ</w:t>
      </w:r>
      <w:r w:rsidR="008901F0" w:rsidRPr="00651044">
        <w:rPr>
          <w:sz w:val="28"/>
          <w:szCs w:val="28"/>
        </w:rPr>
        <w:t xml:space="preserve">ia din </w:t>
      </w:r>
      <w:r w:rsidR="00C6280E" w:rsidRPr="00651044">
        <w:rPr>
          <w:sz w:val="28"/>
          <w:szCs w:val="28"/>
        </w:rPr>
        <w:t>31.12.</w:t>
      </w:r>
      <w:r w:rsidR="008901F0" w:rsidRPr="00651044">
        <w:rPr>
          <w:sz w:val="28"/>
          <w:szCs w:val="28"/>
        </w:rPr>
        <w:t>201</w:t>
      </w:r>
      <w:r w:rsidR="000C29D7" w:rsidRPr="00651044">
        <w:rPr>
          <w:sz w:val="28"/>
          <w:szCs w:val="28"/>
        </w:rPr>
        <w:t>5</w:t>
      </w:r>
      <w:r w:rsidR="008901F0" w:rsidRPr="00651044">
        <w:rPr>
          <w:sz w:val="28"/>
          <w:szCs w:val="28"/>
        </w:rPr>
        <w:t xml:space="preserve">, </w:t>
      </w:r>
      <w:r w:rsidR="00F33AF7" w:rsidRPr="00651044">
        <w:rPr>
          <w:sz w:val="28"/>
          <w:szCs w:val="28"/>
        </w:rPr>
        <w:t>Lista întreprinderilor de stat şi a societăţilor comerciale cu capital integral sau majoritar de stat, monitorizate de către Ministerul Finanţelor, inclu</w:t>
      </w:r>
      <w:r w:rsidR="008901F0" w:rsidRPr="00651044">
        <w:rPr>
          <w:sz w:val="28"/>
          <w:szCs w:val="28"/>
        </w:rPr>
        <w:t>d</w:t>
      </w:r>
      <w:r w:rsidR="00631C19" w:rsidRPr="00651044">
        <w:rPr>
          <w:sz w:val="28"/>
          <w:szCs w:val="28"/>
        </w:rPr>
        <w:t>e 194</w:t>
      </w:r>
      <w:r w:rsidR="00F33AF7" w:rsidRPr="00651044">
        <w:rPr>
          <w:sz w:val="28"/>
          <w:szCs w:val="28"/>
        </w:rPr>
        <w:t xml:space="preserve"> întreprinderi de stat cu </w:t>
      </w:r>
      <w:r w:rsidR="000C29D7" w:rsidRPr="00651044">
        <w:rPr>
          <w:sz w:val="28"/>
          <w:szCs w:val="28"/>
        </w:rPr>
        <w:t xml:space="preserve">capital social în mărime de </w:t>
      </w:r>
      <w:r w:rsidR="00631C19" w:rsidRPr="00651044">
        <w:rPr>
          <w:sz w:val="28"/>
          <w:szCs w:val="28"/>
        </w:rPr>
        <w:t>6 203,3</w:t>
      </w:r>
      <w:r w:rsidR="00F33AF7" w:rsidRPr="00651044">
        <w:rPr>
          <w:sz w:val="28"/>
          <w:szCs w:val="28"/>
        </w:rPr>
        <w:t xml:space="preserve"> mil. </w:t>
      </w:r>
      <w:r w:rsidR="000C29D7" w:rsidRPr="00651044">
        <w:rPr>
          <w:sz w:val="28"/>
          <w:szCs w:val="28"/>
        </w:rPr>
        <w:t xml:space="preserve">lei, şi </w:t>
      </w:r>
      <w:r w:rsidR="00631C19" w:rsidRPr="00651044">
        <w:rPr>
          <w:sz w:val="28"/>
          <w:szCs w:val="28"/>
        </w:rPr>
        <w:t>41</w:t>
      </w:r>
      <w:r w:rsidR="00F33AF7" w:rsidRPr="00651044">
        <w:rPr>
          <w:sz w:val="28"/>
          <w:szCs w:val="28"/>
        </w:rPr>
        <w:t xml:space="preserve"> societăţi comerciale cu capital integral sau maj</w:t>
      </w:r>
      <w:r w:rsidR="00631C19" w:rsidRPr="00651044">
        <w:rPr>
          <w:sz w:val="28"/>
          <w:szCs w:val="28"/>
        </w:rPr>
        <w:t>oritar de stat în mărime de 3 068,3</w:t>
      </w:r>
      <w:r w:rsidR="00F33AF7" w:rsidRPr="00651044">
        <w:rPr>
          <w:sz w:val="28"/>
          <w:szCs w:val="28"/>
        </w:rPr>
        <w:t xml:space="preserve"> mil. lei, din c</w:t>
      </w:r>
      <w:r w:rsidR="000C29D7" w:rsidRPr="00651044">
        <w:rPr>
          <w:sz w:val="28"/>
          <w:szCs w:val="28"/>
        </w:rPr>
        <w:t xml:space="preserve">are proprietatea statului – </w:t>
      </w:r>
      <w:r w:rsidR="00631C19" w:rsidRPr="00651044">
        <w:rPr>
          <w:sz w:val="28"/>
          <w:szCs w:val="28"/>
        </w:rPr>
        <w:t>2 976,8 mil. lei sau 97,0</w:t>
      </w:r>
      <w:r w:rsidR="00F33AF7" w:rsidRPr="00651044">
        <w:rPr>
          <w:sz w:val="28"/>
          <w:szCs w:val="28"/>
        </w:rPr>
        <w:t xml:space="preserve"> la sută.</w:t>
      </w:r>
      <w:r w:rsidR="00F33AF7" w:rsidRPr="00651044">
        <w:rPr>
          <w:color w:val="FF0000"/>
          <w:sz w:val="28"/>
          <w:szCs w:val="28"/>
        </w:rPr>
        <w:t xml:space="preserve"> </w:t>
      </w:r>
    </w:p>
    <w:p w:rsidR="00F33AF7" w:rsidRPr="00651044" w:rsidRDefault="00763829" w:rsidP="00F33AF7">
      <w:pPr>
        <w:pStyle w:val="BodyText"/>
        <w:jc w:val="center"/>
        <w:rPr>
          <w:color w:val="FF0000"/>
          <w:szCs w:val="28"/>
          <w:highlight w:val="yellow"/>
        </w:rPr>
      </w:pPr>
      <w:r>
        <w:rPr>
          <w:noProof/>
          <w:color w:val="FF0000"/>
          <w:szCs w:val="28"/>
          <w:lang w:val="ru-RU"/>
        </w:rPr>
        <w:drawing>
          <wp:inline distT="0" distB="0" distL="0" distR="0">
            <wp:extent cx="2616200" cy="114300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33AF7" w:rsidRPr="00651044" w:rsidRDefault="00F33AF7" w:rsidP="00F33AF7">
      <w:pPr>
        <w:jc w:val="center"/>
        <w:rPr>
          <w:b/>
          <w:i/>
          <w:sz w:val="20"/>
          <w:szCs w:val="20"/>
        </w:rPr>
      </w:pPr>
      <w:r w:rsidRPr="00651044">
        <w:rPr>
          <w:b/>
          <w:i/>
          <w:sz w:val="20"/>
          <w:szCs w:val="20"/>
        </w:rPr>
        <w:t>Figura 1.1. S</w:t>
      </w:r>
      <w:r w:rsidR="000A7F09" w:rsidRPr="00651044">
        <w:rPr>
          <w:b/>
          <w:i/>
          <w:sz w:val="20"/>
          <w:szCs w:val="20"/>
        </w:rPr>
        <w:t>tructura proprietăţii statului</w:t>
      </w:r>
    </w:p>
    <w:p w:rsidR="00F33AF7" w:rsidRPr="00651044" w:rsidRDefault="00F33AF7" w:rsidP="00F33AF7">
      <w:pPr>
        <w:jc w:val="center"/>
        <w:rPr>
          <w:b/>
          <w:i/>
          <w:color w:val="FF0000"/>
          <w:sz w:val="20"/>
          <w:szCs w:val="20"/>
        </w:rPr>
      </w:pPr>
    </w:p>
    <w:p w:rsidR="008901F0" w:rsidRPr="00651044" w:rsidRDefault="008A2B6D" w:rsidP="00D96B7C">
      <w:pPr>
        <w:spacing w:line="276" w:lineRule="auto"/>
        <w:ind w:firstLine="539"/>
        <w:jc w:val="both"/>
        <w:rPr>
          <w:sz w:val="28"/>
          <w:szCs w:val="28"/>
        </w:rPr>
      </w:pPr>
      <w:r w:rsidRPr="00651044">
        <w:rPr>
          <w:sz w:val="28"/>
          <w:szCs w:val="28"/>
        </w:rPr>
        <w:t>Concomitent, î</w:t>
      </w:r>
      <w:r w:rsidR="008901F0" w:rsidRPr="00651044">
        <w:rPr>
          <w:sz w:val="28"/>
          <w:szCs w:val="28"/>
        </w:rPr>
        <w:t>n perioada de raportare, din numărul total al entită</w:t>
      </w:r>
      <w:r w:rsidR="005F5ABF" w:rsidRPr="00651044">
        <w:rPr>
          <w:sz w:val="28"/>
          <w:szCs w:val="28"/>
        </w:rPr>
        <w:t>ţ</w:t>
      </w:r>
      <w:r w:rsidR="008901F0" w:rsidRPr="00651044">
        <w:rPr>
          <w:sz w:val="28"/>
          <w:szCs w:val="28"/>
        </w:rPr>
        <w:t>ilor e</w:t>
      </w:r>
      <w:r w:rsidR="00F36CC8" w:rsidRPr="00651044">
        <w:rPr>
          <w:sz w:val="28"/>
          <w:szCs w:val="28"/>
        </w:rPr>
        <w:t>c</w:t>
      </w:r>
      <w:r w:rsidR="00631C19" w:rsidRPr="00651044">
        <w:rPr>
          <w:sz w:val="28"/>
          <w:szCs w:val="28"/>
        </w:rPr>
        <w:t>onomice supuse monitorizării, 5</w:t>
      </w:r>
      <w:r w:rsidR="008901F0" w:rsidRPr="00651044">
        <w:rPr>
          <w:sz w:val="28"/>
          <w:szCs w:val="28"/>
        </w:rPr>
        <w:t xml:space="preserve"> întreprinderi de stat</w:t>
      </w:r>
      <w:r w:rsidR="001358C4" w:rsidRPr="00651044">
        <w:rPr>
          <w:sz w:val="28"/>
          <w:szCs w:val="28"/>
        </w:rPr>
        <w:t xml:space="preserve"> (capitalul social al cărora constituie 0,5 mil. lei)</w:t>
      </w:r>
      <w:r w:rsidR="008901F0" w:rsidRPr="00651044">
        <w:rPr>
          <w:sz w:val="28"/>
          <w:szCs w:val="28"/>
        </w:rPr>
        <w:t xml:space="preserve"> nu au prezentat situa</w:t>
      </w:r>
      <w:r w:rsidR="005F5ABF" w:rsidRPr="00651044">
        <w:rPr>
          <w:sz w:val="28"/>
          <w:szCs w:val="28"/>
        </w:rPr>
        <w:t>ţ</w:t>
      </w:r>
      <w:r w:rsidR="008901F0" w:rsidRPr="00651044">
        <w:rPr>
          <w:sz w:val="28"/>
          <w:szCs w:val="28"/>
        </w:rPr>
        <w:t>iile financiare anuale în modul stabilit de legisla</w:t>
      </w:r>
      <w:r w:rsidR="005F5ABF" w:rsidRPr="00651044">
        <w:rPr>
          <w:sz w:val="28"/>
          <w:szCs w:val="28"/>
        </w:rPr>
        <w:t>ţ</w:t>
      </w:r>
      <w:r w:rsidR="008901F0" w:rsidRPr="00651044">
        <w:rPr>
          <w:sz w:val="28"/>
          <w:szCs w:val="28"/>
        </w:rPr>
        <w:t xml:space="preserve">ia în vigoare </w:t>
      </w:r>
      <w:r w:rsidR="005F5ABF" w:rsidRPr="00651044">
        <w:rPr>
          <w:sz w:val="28"/>
          <w:szCs w:val="28"/>
        </w:rPr>
        <w:t>ş</w:t>
      </w:r>
      <w:r w:rsidR="008901F0" w:rsidRPr="00651044">
        <w:rPr>
          <w:sz w:val="28"/>
          <w:szCs w:val="28"/>
        </w:rPr>
        <w:t>i astfel nu au fost i</w:t>
      </w:r>
      <w:r w:rsidR="00296759" w:rsidRPr="00651044">
        <w:rPr>
          <w:sz w:val="28"/>
          <w:szCs w:val="28"/>
        </w:rPr>
        <w:t>ncluse în sfera de monitorizare.</w:t>
      </w:r>
    </w:p>
    <w:p w:rsidR="00CC6619" w:rsidRPr="00651044" w:rsidRDefault="00CC6619" w:rsidP="00CC6619">
      <w:pPr>
        <w:spacing w:line="276" w:lineRule="auto"/>
        <w:ind w:firstLine="539"/>
        <w:jc w:val="both"/>
        <w:rPr>
          <w:sz w:val="28"/>
          <w:szCs w:val="28"/>
        </w:rPr>
      </w:pPr>
      <w:r w:rsidRPr="00651044">
        <w:rPr>
          <w:sz w:val="28"/>
          <w:szCs w:val="28"/>
        </w:rPr>
        <w:t>Prin urmare</w:t>
      </w:r>
      <w:r w:rsidR="00631C19" w:rsidRPr="00651044">
        <w:rPr>
          <w:sz w:val="28"/>
          <w:szCs w:val="28"/>
        </w:rPr>
        <w:t>, lu</w:t>
      </w:r>
      <w:r w:rsidR="006E6FE5">
        <w:rPr>
          <w:sz w:val="28"/>
          <w:szCs w:val="28"/>
        </w:rPr>
        <w:t>î</w:t>
      </w:r>
      <w:r w:rsidR="00D96B7C" w:rsidRPr="00651044">
        <w:rPr>
          <w:sz w:val="28"/>
          <w:szCs w:val="28"/>
        </w:rPr>
        <w:t>nd în considerare cele enumerate anterior, se men</w:t>
      </w:r>
      <w:r w:rsidR="005F5ABF" w:rsidRPr="00651044">
        <w:rPr>
          <w:sz w:val="28"/>
          <w:szCs w:val="28"/>
        </w:rPr>
        <w:t>ţ</w:t>
      </w:r>
      <w:r w:rsidR="00D96B7C" w:rsidRPr="00651044">
        <w:rPr>
          <w:sz w:val="28"/>
          <w:szCs w:val="28"/>
        </w:rPr>
        <w:t xml:space="preserve">ionează că, în perioada analizată, au fost supuse monitorizării financiare </w:t>
      </w:r>
      <w:r w:rsidR="00F36CC8" w:rsidRPr="00651044">
        <w:rPr>
          <w:sz w:val="28"/>
          <w:szCs w:val="28"/>
        </w:rPr>
        <w:t>189 întreprinderi de stat şi 4</w:t>
      </w:r>
      <w:r w:rsidR="009479C1" w:rsidRPr="00651044">
        <w:rPr>
          <w:sz w:val="28"/>
          <w:szCs w:val="28"/>
        </w:rPr>
        <w:t>1</w:t>
      </w:r>
      <w:r w:rsidR="00F33AF7" w:rsidRPr="00651044">
        <w:rPr>
          <w:sz w:val="28"/>
          <w:szCs w:val="28"/>
        </w:rPr>
        <w:t xml:space="preserve"> societăţi comerciale cu capital integral sau majoritar de stat, inclusiv</w:t>
      </w:r>
      <w:r w:rsidR="00D96B7C" w:rsidRPr="00651044">
        <w:rPr>
          <w:sz w:val="28"/>
          <w:szCs w:val="28"/>
        </w:rPr>
        <w:t xml:space="preserve"> </w:t>
      </w:r>
      <w:r w:rsidR="00F2072F" w:rsidRPr="00651044">
        <w:rPr>
          <w:sz w:val="28"/>
          <w:szCs w:val="28"/>
        </w:rPr>
        <w:t>14</w:t>
      </w:r>
      <w:r w:rsidR="00F33AF7" w:rsidRPr="00651044">
        <w:rPr>
          <w:sz w:val="28"/>
          <w:szCs w:val="28"/>
        </w:rPr>
        <w:t xml:space="preserve"> societăţi comerciale cu capital integral de stat, care au prezentat </w:t>
      </w:r>
      <w:r w:rsidR="006737C0" w:rsidRPr="00651044">
        <w:rPr>
          <w:sz w:val="28"/>
          <w:szCs w:val="28"/>
        </w:rPr>
        <w:t>situa</w:t>
      </w:r>
      <w:r w:rsidR="005F5ABF" w:rsidRPr="00651044">
        <w:rPr>
          <w:sz w:val="28"/>
          <w:szCs w:val="28"/>
        </w:rPr>
        <w:t>ţ</w:t>
      </w:r>
      <w:r w:rsidR="006737C0" w:rsidRPr="00651044">
        <w:rPr>
          <w:sz w:val="28"/>
          <w:szCs w:val="28"/>
        </w:rPr>
        <w:t>iile</w:t>
      </w:r>
      <w:r w:rsidR="00F33AF7" w:rsidRPr="00651044">
        <w:rPr>
          <w:sz w:val="28"/>
          <w:szCs w:val="28"/>
        </w:rPr>
        <w:t xml:space="preserve"> financiare</w:t>
      </w:r>
      <w:r w:rsidR="009B4AC6" w:rsidRPr="00651044">
        <w:rPr>
          <w:sz w:val="28"/>
          <w:szCs w:val="28"/>
        </w:rPr>
        <w:t xml:space="preserve"> anuale Serviciului situa</w:t>
      </w:r>
      <w:r w:rsidR="005F5ABF" w:rsidRPr="00651044">
        <w:rPr>
          <w:sz w:val="28"/>
          <w:szCs w:val="28"/>
        </w:rPr>
        <w:t>ţ</w:t>
      </w:r>
      <w:r w:rsidR="000A7F09" w:rsidRPr="00651044">
        <w:rPr>
          <w:sz w:val="28"/>
          <w:szCs w:val="28"/>
        </w:rPr>
        <w:t>iilor financiare de pe l</w:t>
      </w:r>
      <w:r w:rsidR="006E6FE5">
        <w:rPr>
          <w:sz w:val="28"/>
          <w:szCs w:val="28"/>
        </w:rPr>
        <w:t>î</w:t>
      </w:r>
      <w:r w:rsidR="009B4AC6" w:rsidRPr="00651044">
        <w:rPr>
          <w:sz w:val="28"/>
          <w:szCs w:val="28"/>
        </w:rPr>
        <w:t>ngă Biroul</w:t>
      </w:r>
      <w:r w:rsidR="00F33AF7" w:rsidRPr="00651044">
        <w:rPr>
          <w:sz w:val="28"/>
          <w:szCs w:val="28"/>
        </w:rPr>
        <w:t xml:space="preserve"> Naţional de Statistică. </w:t>
      </w:r>
    </w:p>
    <w:p w:rsidR="00C6280E" w:rsidRPr="00651044" w:rsidRDefault="00F33AF7" w:rsidP="00C6280E">
      <w:pPr>
        <w:spacing w:line="276" w:lineRule="auto"/>
        <w:ind w:firstLine="539"/>
        <w:jc w:val="both"/>
        <w:rPr>
          <w:sz w:val="28"/>
          <w:szCs w:val="28"/>
        </w:rPr>
      </w:pPr>
      <w:r w:rsidRPr="00651044">
        <w:rPr>
          <w:sz w:val="28"/>
          <w:szCs w:val="28"/>
        </w:rPr>
        <w:t xml:space="preserve">Monitoringul activităţii economico-financiare </w:t>
      </w:r>
      <w:r w:rsidR="000A7F09" w:rsidRPr="00651044">
        <w:rPr>
          <w:sz w:val="28"/>
          <w:szCs w:val="28"/>
        </w:rPr>
        <w:t>în anul 2015</w:t>
      </w:r>
      <w:r w:rsidR="002C0D98" w:rsidRPr="00651044">
        <w:rPr>
          <w:sz w:val="28"/>
          <w:szCs w:val="28"/>
        </w:rPr>
        <w:t xml:space="preserve"> </w:t>
      </w:r>
      <w:r w:rsidRPr="00651044">
        <w:rPr>
          <w:sz w:val="28"/>
          <w:szCs w:val="28"/>
        </w:rPr>
        <w:t>a întreprinderilor de s</w:t>
      </w:r>
      <w:r w:rsidR="00AE562E" w:rsidRPr="00651044">
        <w:rPr>
          <w:sz w:val="28"/>
          <w:szCs w:val="28"/>
        </w:rPr>
        <w:t>tat şi  societăţilor comerciale</w:t>
      </w:r>
      <w:r w:rsidRPr="00651044">
        <w:rPr>
          <w:sz w:val="28"/>
          <w:szCs w:val="28"/>
        </w:rPr>
        <w:t xml:space="preserve"> a fost efectuat în baza </w:t>
      </w:r>
      <w:r w:rsidR="009B4AC6" w:rsidRPr="00651044">
        <w:rPr>
          <w:sz w:val="28"/>
          <w:szCs w:val="28"/>
        </w:rPr>
        <w:t>situa</w:t>
      </w:r>
      <w:r w:rsidR="005F5ABF" w:rsidRPr="00651044">
        <w:rPr>
          <w:sz w:val="28"/>
          <w:szCs w:val="28"/>
        </w:rPr>
        <w:t>ţ</w:t>
      </w:r>
      <w:r w:rsidR="009B4AC6" w:rsidRPr="00651044">
        <w:rPr>
          <w:sz w:val="28"/>
          <w:szCs w:val="28"/>
        </w:rPr>
        <w:t>iilor</w:t>
      </w:r>
      <w:r w:rsidRPr="00651044">
        <w:rPr>
          <w:sz w:val="28"/>
          <w:szCs w:val="28"/>
        </w:rPr>
        <w:t xml:space="preserve"> financiar</w:t>
      </w:r>
      <w:r w:rsidR="006737C0" w:rsidRPr="00651044">
        <w:rPr>
          <w:sz w:val="28"/>
          <w:szCs w:val="28"/>
        </w:rPr>
        <w:t>e</w:t>
      </w:r>
      <w:r w:rsidR="009B4AC6" w:rsidRPr="00651044">
        <w:rPr>
          <w:sz w:val="28"/>
          <w:szCs w:val="28"/>
        </w:rPr>
        <w:t xml:space="preserve"> anuale</w:t>
      </w:r>
      <w:r w:rsidRPr="00651044">
        <w:rPr>
          <w:sz w:val="28"/>
          <w:szCs w:val="28"/>
        </w:rPr>
        <w:t>, prezentate</w:t>
      </w:r>
      <w:r w:rsidR="009B4AC6" w:rsidRPr="00651044">
        <w:rPr>
          <w:sz w:val="28"/>
          <w:szCs w:val="28"/>
        </w:rPr>
        <w:t xml:space="preserve"> Serviciului situa</w:t>
      </w:r>
      <w:r w:rsidR="005F5ABF" w:rsidRPr="00651044">
        <w:rPr>
          <w:sz w:val="28"/>
          <w:szCs w:val="28"/>
        </w:rPr>
        <w:t>ţ</w:t>
      </w:r>
      <w:r w:rsidR="00777C61" w:rsidRPr="00651044">
        <w:rPr>
          <w:sz w:val="28"/>
          <w:szCs w:val="28"/>
        </w:rPr>
        <w:t>iilor financiare de pe l</w:t>
      </w:r>
      <w:r w:rsidR="006E6FE5">
        <w:rPr>
          <w:sz w:val="28"/>
          <w:szCs w:val="28"/>
        </w:rPr>
        <w:t>î</w:t>
      </w:r>
      <w:r w:rsidR="009B4AC6" w:rsidRPr="00651044">
        <w:rPr>
          <w:sz w:val="28"/>
          <w:szCs w:val="28"/>
        </w:rPr>
        <w:t>ngă Biroul Na</w:t>
      </w:r>
      <w:r w:rsidR="005F5ABF" w:rsidRPr="00651044">
        <w:rPr>
          <w:sz w:val="28"/>
          <w:szCs w:val="28"/>
        </w:rPr>
        <w:t>ţ</w:t>
      </w:r>
      <w:r w:rsidR="009B4AC6" w:rsidRPr="00651044">
        <w:rPr>
          <w:sz w:val="28"/>
          <w:szCs w:val="28"/>
        </w:rPr>
        <w:t>ional de Statistică</w:t>
      </w:r>
      <w:r w:rsidRPr="00651044">
        <w:rPr>
          <w:sz w:val="28"/>
          <w:szCs w:val="28"/>
        </w:rPr>
        <w:t>,</w:t>
      </w:r>
      <w:r w:rsidR="009B4AC6" w:rsidRPr="00651044">
        <w:rPr>
          <w:sz w:val="28"/>
          <w:szCs w:val="28"/>
        </w:rPr>
        <w:t xml:space="preserve"> </w:t>
      </w:r>
      <w:r w:rsidR="000A7F09" w:rsidRPr="00651044">
        <w:rPr>
          <w:sz w:val="28"/>
          <w:szCs w:val="28"/>
        </w:rPr>
        <w:t xml:space="preserve">a datelor </w:t>
      </w:r>
      <w:r w:rsidR="00777C61" w:rsidRPr="00651044">
        <w:rPr>
          <w:sz w:val="28"/>
          <w:szCs w:val="28"/>
        </w:rPr>
        <w:t xml:space="preserve">Agenţiei Proprietăţii Publice privind informaţiile din Registrul Patrimoniului Public, a datelor </w:t>
      </w:r>
      <w:r w:rsidR="000A7F09" w:rsidRPr="00651044">
        <w:rPr>
          <w:sz w:val="28"/>
          <w:szCs w:val="28"/>
        </w:rPr>
        <w:t xml:space="preserve">Inspectoratului Fiscal Principal de Stat cu privire la obligaţiile fiscale (calculate, achitate şi restanţele admise), a datelor cu privire la datoria publică, monitorizată de către Ministerul Finanţelor conform art.12 din Legea </w:t>
      </w:r>
      <w:r w:rsidR="00AE562E" w:rsidRPr="00651044">
        <w:rPr>
          <w:sz w:val="28"/>
          <w:szCs w:val="28"/>
        </w:rPr>
        <w:t xml:space="preserve">nr.419-XVI din 22 decembrie 2006 </w:t>
      </w:r>
      <w:r w:rsidR="000A7F09" w:rsidRPr="00651044">
        <w:rPr>
          <w:sz w:val="28"/>
          <w:szCs w:val="28"/>
        </w:rPr>
        <w:t xml:space="preserve">cu privire la datoria </w:t>
      </w:r>
      <w:r w:rsidR="00AE562E" w:rsidRPr="00651044">
        <w:rPr>
          <w:sz w:val="28"/>
          <w:szCs w:val="28"/>
        </w:rPr>
        <w:t>sectorului public</w:t>
      </w:r>
      <w:r w:rsidR="000A7F09" w:rsidRPr="00651044">
        <w:rPr>
          <w:sz w:val="28"/>
          <w:szCs w:val="28"/>
        </w:rPr>
        <w:t xml:space="preserve">, garanţiile de stat şi recreditarea de stat, precum şi în baza datelor Comisiei Naţionale a Pieţei Financiare privind </w:t>
      </w:r>
      <w:r w:rsidR="00777C61" w:rsidRPr="00651044">
        <w:rPr>
          <w:sz w:val="28"/>
          <w:szCs w:val="28"/>
        </w:rPr>
        <w:t>tranzacţiile cu valorile mobiliare de stat efectuate pe piaţa reglementată la Bursa de Valori a Moldovei şi privind emisiunile suplimentare de acţiuni înregistrate pe parcursul anului 2015</w:t>
      </w:r>
      <w:r w:rsidR="000A7F09" w:rsidRPr="00651044">
        <w:rPr>
          <w:sz w:val="28"/>
          <w:szCs w:val="28"/>
        </w:rPr>
        <w:t>.</w:t>
      </w:r>
    </w:p>
    <w:p w:rsidR="00895280" w:rsidRDefault="00895280" w:rsidP="00F33AF7">
      <w:pPr>
        <w:spacing w:line="276" w:lineRule="auto"/>
        <w:ind w:firstLine="567"/>
        <w:jc w:val="both"/>
        <w:rPr>
          <w:sz w:val="28"/>
          <w:szCs w:val="28"/>
        </w:rPr>
      </w:pPr>
    </w:p>
    <w:p w:rsidR="006E6FE5" w:rsidRDefault="006E6FE5" w:rsidP="00F33AF7">
      <w:pPr>
        <w:spacing w:line="276" w:lineRule="auto"/>
        <w:ind w:firstLine="567"/>
        <w:jc w:val="both"/>
        <w:rPr>
          <w:sz w:val="28"/>
          <w:szCs w:val="28"/>
        </w:rPr>
      </w:pPr>
    </w:p>
    <w:p w:rsidR="006E6FE5" w:rsidRDefault="006E6FE5" w:rsidP="00F33AF7">
      <w:pPr>
        <w:spacing w:line="276" w:lineRule="auto"/>
        <w:ind w:firstLine="567"/>
        <w:jc w:val="both"/>
        <w:rPr>
          <w:sz w:val="28"/>
          <w:szCs w:val="28"/>
        </w:rPr>
      </w:pPr>
    </w:p>
    <w:p w:rsidR="006E6FE5" w:rsidRPr="00651044" w:rsidRDefault="006E6FE5" w:rsidP="00F33AF7">
      <w:pPr>
        <w:spacing w:line="276" w:lineRule="auto"/>
        <w:ind w:firstLine="567"/>
        <w:jc w:val="both"/>
        <w:rPr>
          <w:sz w:val="28"/>
          <w:szCs w:val="28"/>
        </w:rPr>
      </w:pPr>
    </w:p>
    <w:p w:rsidR="00CF7E5F" w:rsidRPr="00651044" w:rsidRDefault="00CF7E5F" w:rsidP="00136F34">
      <w:pPr>
        <w:pStyle w:val="NormalWeb"/>
        <w:numPr>
          <w:ilvl w:val="0"/>
          <w:numId w:val="11"/>
        </w:numPr>
        <w:jc w:val="center"/>
        <w:rPr>
          <w:b/>
          <w:i/>
          <w:sz w:val="28"/>
          <w:szCs w:val="28"/>
          <w:lang w:val="ro-RO"/>
        </w:rPr>
      </w:pPr>
      <w:r w:rsidRPr="00651044">
        <w:rPr>
          <w:b/>
          <w:i/>
          <w:sz w:val="28"/>
          <w:szCs w:val="28"/>
          <w:lang w:val="ro-RO"/>
        </w:rPr>
        <w:lastRenderedPageBreak/>
        <w:t>Monitoringul</w:t>
      </w:r>
      <w:r w:rsidR="00A35775" w:rsidRPr="00651044">
        <w:rPr>
          <w:b/>
          <w:i/>
          <w:sz w:val="28"/>
          <w:szCs w:val="28"/>
          <w:lang w:val="ro-RO"/>
        </w:rPr>
        <w:t xml:space="preserve"> financiar al activită</w:t>
      </w:r>
      <w:r w:rsidR="00EF6BF4" w:rsidRPr="00651044">
        <w:rPr>
          <w:b/>
          <w:i/>
          <w:sz w:val="28"/>
          <w:szCs w:val="28"/>
          <w:lang w:val="ro-RO"/>
        </w:rPr>
        <w:t>ţ</w:t>
      </w:r>
      <w:r w:rsidR="00A35775" w:rsidRPr="00651044">
        <w:rPr>
          <w:b/>
          <w:i/>
          <w:sz w:val="28"/>
          <w:szCs w:val="28"/>
          <w:lang w:val="ro-RO"/>
        </w:rPr>
        <w:t>ii</w:t>
      </w:r>
      <w:r w:rsidRPr="00651044">
        <w:rPr>
          <w:b/>
          <w:i/>
          <w:sz w:val="28"/>
          <w:szCs w:val="28"/>
          <w:lang w:val="ro-RO"/>
        </w:rPr>
        <w:t xml:space="preserve"> economico-financiar</w:t>
      </w:r>
      <w:r w:rsidR="008C1A4A" w:rsidRPr="00651044">
        <w:rPr>
          <w:b/>
          <w:i/>
          <w:sz w:val="28"/>
          <w:szCs w:val="28"/>
          <w:lang w:val="ro-RO"/>
        </w:rPr>
        <w:t>e</w:t>
      </w:r>
      <w:r w:rsidR="00122F2A" w:rsidRPr="00651044">
        <w:rPr>
          <w:b/>
          <w:i/>
          <w:sz w:val="28"/>
          <w:szCs w:val="28"/>
          <w:lang w:val="ro-RO"/>
        </w:rPr>
        <w:t xml:space="preserve"> </w:t>
      </w:r>
      <w:r w:rsidR="008C1A4A" w:rsidRPr="00651044">
        <w:rPr>
          <w:b/>
          <w:i/>
          <w:sz w:val="28"/>
          <w:szCs w:val="28"/>
          <w:lang w:val="ro-RO"/>
        </w:rPr>
        <w:t>a</w:t>
      </w:r>
      <w:r w:rsidR="00122F2A" w:rsidRPr="00651044">
        <w:rPr>
          <w:b/>
          <w:i/>
          <w:sz w:val="28"/>
          <w:szCs w:val="28"/>
          <w:lang w:val="ro-RO"/>
        </w:rPr>
        <w:t xml:space="preserve"> întreprinderilor </w:t>
      </w:r>
      <w:r w:rsidRPr="00651044">
        <w:rPr>
          <w:b/>
          <w:i/>
          <w:sz w:val="28"/>
          <w:szCs w:val="28"/>
          <w:lang w:val="ro-RO"/>
        </w:rPr>
        <w:t>de stat</w:t>
      </w:r>
    </w:p>
    <w:p w:rsidR="00F33AF7" w:rsidRPr="00651044" w:rsidRDefault="00F33AF7" w:rsidP="00F33AF7">
      <w:pPr>
        <w:pStyle w:val="NormalWeb"/>
        <w:ind w:left="1260" w:firstLine="0"/>
        <w:rPr>
          <w:b/>
          <w:i/>
          <w:sz w:val="28"/>
          <w:szCs w:val="28"/>
          <w:lang w:val="ro-RO"/>
        </w:rPr>
      </w:pPr>
    </w:p>
    <w:p w:rsidR="008A12C0" w:rsidRPr="00651044" w:rsidRDefault="00F33AF7" w:rsidP="0006246A">
      <w:pPr>
        <w:pStyle w:val="BodyTextIndent"/>
        <w:spacing w:line="276" w:lineRule="auto"/>
        <w:ind w:firstLine="539"/>
        <w:jc w:val="both"/>
        <w:rPr>
          <w:b w:val="0"/>
          <w:i w:val="0"/>
          <w:sz w:val="28"/>
          <w:szCs w:val="28"/>
        </w:rPr>
      </w:pPr>
      <w:r w:rsidRPr="00651044">
        <w:rPr>
          <w:b w:val="0"/>
          <w:i w:val="0"/>
          <w:sz w:val="28"/>
          <w:szCs w:val="28"/>
        </w:rPr>
        <w:t>L</w:t>
      </w:r>
      <w:r w:rsidR="00AA3242" w:rsidRPr="00651044">
        <w:rPr>
          <w:b w:val="0"/>
          <w:i w:val="0"/>
          <w:sz w:val="28"/>
          <w:szCs w:val="28"/>
        </w:rPr>
        <w:t>a situaţia din 31 decembrie 2015</w:t>
      </w:r>
      <w:r w:rsidRPr="00651044">
        <w:rPr>
          <w:b w:val="0"/>
          <w:i w:val="0"/>
          <w:sz w:val="28"/>
          <w:szCs w:val="28"/>
        </w:rPr>
        <w:t xml:space="preserve">, potrivit datelor bilanţului generalizat, valoarea totală a activelor întreprinderilor de stat constituie </w:t>
      </w:r>
      <w:r w:rsidR="006E45D2" w:rsidRPr="00651044">
        <w:rPr>
          <w:b w:val="0"/>
          <w:i w:val="0"/>
          <w:sz w:val="28"/>
          <w:szCs w:val="28"/>
        </w:rPr>
        <w:t>22 714</w:t>
      </w:r>
      <w:r w:rsidR="00AA3242" w:rsidRPr="00651044">
        <w:rPr>
          <w:b w:val="0"/>
          <w:i w:val="0"/>
          <w:sz w:val="28"/>
          <w:szCs w:val="28"/>
        </w:rPr>
        <w:t>,</w:t>
      </w:r>
      <w:r w:rsidR="006E45D2" w:rsidRPr="00651044">
        <w:rPr>
          <w:b w:val="0"/>
          <w:i w:val="0"/>
          <w:sz w:val="28"/>
          <w:szCs w:val="28"/>
        </w:rPr>
        <w:t>7</w:t>
      </w:r>
      <w:r w:rsidRPr="00651044">
        <w:rPr>
          <w:b w:val="0"/>
          <w:i w:val="0"/>
          <w:sz w:val="28"/>
          <w:szCs w:val="28"/>
        </w:rPr>
        <w:t xml:space="preserve"> mil. lei şi</w:t>
      </w:r>
      <w:r w:rsidR="00EA28A6" w:rsidRPr="00651044">
        <w:rPr>
          <w:b w:val="0"/>
          <w:i w:val="0"/>
          <w:sz w:val="28"/>
          <w:szCs w:val="28"/>
        </w:rPr>
        <w:t>,</w:t>
      </w:r>
      <w:r w:rsidRPr="00651044">
        <w:rPr>
          <w:b w:val="0"/>
          <w:i w:val="0"/>
          <w:sz w:val="28"/>
          <w:szCs w:val="28"/>
        </w:rPr>
        <w:t xml:space="preserve"> în perioada de gestiune</w:t>
      </w:r>
      <w:r w:rsidR="00EA28A6" w:rsidRPr="00651044">
        <w:rPr>
          <w:b w:val="0"/>
          <w:i w:val="0"/>
          <w:sz w:val="28"/>
          <w:szCs w:val="28"/>
        </w:rPr>
        <w:t>,</w:t>
      </w:r>
      <w:r w:rsidRPr="00651044">
        <w:rPr>
          <w:b w:val="0"/>
          <w:i w:val="0"/>
          <w:sz w:val="28"/>
          <w:szCs w:val="28"/>
        </w:rPr>
        <w:t xml:space="preserve"> s-a majorat cu </w:t>
      </w:r>
      <w:r w:rsidR="006E45D2" w:rsidRPr="00651044">
        <w:rPr>
          <w:b w:val="0"/>
          <w:i w:val="0"/>
          <w:sz w:val="28"/>
          <w:szCs w:val="28"/>
        </w:rPr>
        <w:t>2 085</w:t>
      </w:r>
      <w:r w:rsidR="00AA3242" w:rsidRPr="00651044">
        <w:rPr>
          <w:b w:val="0"/>
          <w:i w:val="0"/>
          <w:sz w:val="28"/>
          <w:szCs w:val="28"/>
        </w:rPr>
        <w:t>,</w:t>
      </w:r>
      <w:r w:rsidR="006E45D2" w:rsidRPr="00651044">
        <w:rPr>
          <w:b w:val="0"/>
          <w:i w:val="0"/>
          <w:sz w:val="28"/>
          <w:szCs w:val="28"/>
        </w:rPr>
        <w:t>8</w:t>
      </w:r>
      <w:r w:rsidRPr="00651044">
        <w:rPr>
          <w:b w:val="0"/>
          <w:i w:val="0"/>
          <w:sz w:val="28"/>
          <w:szCs w:val="28"/>
        </w:rPr>
        <w:t xml:space="preserve"> mil. lei.</w:t>
      </w:r>
      <w:r w:rsidR="0006246A" w:rsidRPr="00651044">
        <w:rPr>
          <w:b w:val="0"/>
          <w:i w:val="0"/>
          <w:sz w:val="28"/>
          <w:szCs w:val="28"/>
        </w:rPr>
        <w:t xml:space="preserve"> </w:t>
      </w:r>
      <w:r w:rsidRPr="00651044">
        <w:rPr>
          <w:b w:val="0"/>
          <w:i w:val="0"/>
          <w:sz w:val="28"/>
          <w:szCs w:val="28"/>
        </w:rPr>
        <w:t xml:space="preserve">La baza acestei majorări a stat creşterea </w:t>
      </w:r>
      <w:r w:rsidR="00973F36" w:rsidRPr="00651044">
        <w:rPr>
          <w:b w:val="0"/>
          <w:i w:val="0"/>
          <w:sz w:val="28"/>
          <w:szCs w:val="28"/>
        </w:rPr>
        <w:t xml:space="preserve">valorică a </w:t>
      </w:r>
      <w:r w:rsidR="0006246A" w:rsidRPr="00651044">
        <w:rPr>
          <w:b w:val="0"/>
          <w:i w:val="0"/>
          <w:sz w:val="28"/>
          <w:szCs w:val="28"/>
        </w:rPr>
        <w:t>activelo</w:t>
      </w:r>
      <w:r w:rsidR="005560CC" w:rsidRPr="00651044">
        <w:rPr>
          <w:b w:val="0"/>
          <w:i w:val="0"/>
          <w:sz w:val="28"/>
          <w:szCs w:val="28"/>
        </w:rPr>
        <w:t>r imobilizate ale întreprinderilor</w:t>
      </w:r>
      <w:r w:rsidR="0006246A" w:rsidRPr="00651044">
        <w:rPr>
          <w:b w:val="0"/>
          <w:i w:val="0"/>
          <w:sz w:val="28"/>
          <w:szCs w:val="28"/>
        </w:rPr>
        <w:t xml:space="preserve"> </w:t>
      </w:r>
      <w:r w:rsidR="0065265B" w:rsidRPr="00651044">
        <w:rPr>
          <w:b w:val="0"/>
          <w:i w:val="0"/>
          <w:sz w:val="28"/>
          <w:szCs w:val="28"/>
        </w:rPr>
        <w:t xml:space="preserve">– cu </w:t>
      </w:r>
      <w:r w:rsidR="00052860" w:rsidRPr="00651044">
        <w:rPr>
          <w:b w:val="0"/>
          <w:i w:val="0"/>
          <w:sz w:val="28"/>
          <w:szCs w:val="28"/>
        </w:rPr>
        <w:t>1 750,0</w:t>
      </w:r>
      <w:r w:rsidR="0006246A" w:rsidRPr="00651044">
        <w:rPr>
          <w:b w:val="0"/>
          <w:i w:val="0"/>
          <w:sz w:val="28"/>
          <w:szCs w:val="28"/>
        </w:rPr>
        <w:t xml:space="preserve"> mil. lei şi</w:t>
      </w:r>
      <w:r w:rsidR="00052860" w:rsidRPr="00651044">
        <w:rPr>
          <w:b w:val="0"/>
          <w:i w:val="0"/>
          <w:sz w:val="28"/>
          <w:szCs w:val="28"/>
        </w:rPr>
        <w:t xml:space="preserve"> a activelor circulante – cu 335</w:t>
      </w:r>
      <w:r w:rsidR="0006246A" w:rsidRPr="00651044">
        <w:rPr>
          <w:b w:val="0"/>
          <w:i w:val="0"/>
          <w:sz w:val="28"/>
          <w:szCs w:val="28"/>
        </w:rPr>
        <w:t>,8</w:t>
      </w:r>
      <w:r w:rsidR="0065265B" w:rsidRPr="00651044">
        <w:rPr>
          <w:b w:val="0"/>
          <w:i w:val="0"/>
          <w:sz w:val="28"/>
          <w:szCs w:val="28"/>
        </w:rPr>
        <w:t xml:space="preserve"> mil. lei</w:t>
      </w:r>
      <w:r w:rsidR="00B80AE1" w:rsidRPr="00651044">
        <w:rPr>
          <w:b w:val="0"/>
          <w:i w:val="0"/>
          <w:sz w:val="28"/>
          <w:szCs w:val="28"/>
        </w:rPr>
        <w:t>.</w:t>
      </w:r>
      <w:r w:rsidR="00973F36" w:rsidRPr="00651044">
        <w:rPr>
          <w:b w:val="0"/>
          <w:i w:val="0"/>
          <w:sz w:val="28"/>
          <w:szCs w:val="28"/>
        </w:rPr>
        <w:t xml:space="preserve"> </w:t>
      </w:r>
    </w:p>
    <w:p w:rsidR="00F33AF7" w:rsidRPr="00651044" w:rsidRDefault="00F33AF7" w:rsidP="00F33AF7">
      <w:pPr>
        <w:spacing w:line="26" w:lineRule="atLeast"/>
        <w:jc w:val="right"/>
        <w:rPr>
          <w:sz w:val="20"/>
          <w:szCs w:val="20"/>
        </w:rPr>
      </w:pPr>
      <w:r w:rsidRPr="00651044">
        <w:rPr>
          <w:sz w:val="20"/>
          <w:szCs w:val="20"/>
        </w:rPr>
        <w:t>Tabelul 2.1</w:t>
      </w:r>
    </w:p>
    <w:p w:rsidR="00223771" w:rsidRPr="00651044" w:rsidRDefault="00F33AF7" w:rsidP="009E39C2">
      <w:pPr>
        <w:spacing w:line="26" w:lineRule="atLeast"/>
        <w:jc w:val="center"/>
        <w:rPr>
          <w:b/>
          <w:i/>
        </w:rPr>
      </w:pPr>
      <w:r w:rsidRPr="00651044">
        <w:rPr>
          <w:b/>
          <w:i/>
        </w:rPr>
        <w:t>Analiza structurii patrimoniului întreprinderilor de stat</w:t>
      </w:r>
      <w:r w:rsidR="009E39C2" w:rsidRPr="00651044">
        <w:rPr>
          <w:b/>
          <w:i/>
        </w:rPr>
        <w:t>, în dinamică</w:t>
      </w:r>
    </w:p>
    <w:p w:rsidR="00F33AF7" w:rsidRPr="00651044" w:rsidRDefault="00F33AF7" w:rsidP="00F33AF7">
      <w:pPr>
        <w:spacing w:line="60" w:lineRule="auto"/>
        <w:jc w:val="center"/>
        <w:rPr>
          <w:b/>
          <w:i/>
          <w:sz w:val="28"/>
          <w:szCs w:val="28"/>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860"/>
        <w:gridCol w:w="1036"/>
        <w:gridCol w:w="1092"/>
        <w:gridCol w:w="976"/>
        <w:gridCol w:w="1080"/>
        <w:gridCol w:w="1019"/>
      </w:tblGrid>
      <w:tr w:rsidR="00F33AF7" w:rsidRPr="00651044" w:rsidTr="00AE562E">
        <w:trPr>
          <w:jc w:val="center"/>
        </w:trPr>
        <w:tc>
          <w:tcPr>
            <w:tcW w:w="568" w:type="dxa"/>
            <w:vMerge w:val="restart"/>
          </w:tcPr>
          <w:p w:rsidR="00F33AF7" w:rsidRPr="00651044" w:rsidRDefault="006737C0" w:rsidP="00361B4F">
            <w:pPr>
              <w:spacing w:line="26" w:lineRule="atLeast"/>
              <w:jc w:val="center"/>
              <w:rPr>
                <w:b/>
                <w:i/>
                <w:iCs/>
                <w:sz w:val="20"/>
                <w:szCs w:val="20"/>
              </w:rPr>
            </w:pPr>
            <w:r w:rsidRPr="00651044">
              <w:rPr>
                <w:b/>
                <w:i/>
                <w:iCs/>
                <w:sz w:val="20"/>
                <w:szCs w:val="20"/>
              </w:rPr>
              <w:t>Nr.</w:t>
            </w:r>
          </w:p>
          <w:p w:rsidR="008A2B6D" w:rsidRPr="00651044" w:rsidRDefault="008A2B6D" w:rsidP="00361B4F">
            <w:pPr>
              <w:spacing w:line="26" w:lineRule="atLeast"/>
              <w:jc w:val="center"/>
              <w:rPr>
                <w:b/>
                <w:i/>
                <w:iCs/>
                <w:sz w:val="20"/>
                <w:szCs w:val="20"/>
              </w:rPr>
            </w:pPr>
          </w:p>
        </w:tc>
        <w:tc>
          <w:tcPr>
            <w:tcW w:w="3860" w:type="dxa"/>
            <w:vMerge w:val="restart"/>
          </w:tcPr>
          <w:p w:rsidR="00F33AF7" w:rsidRPr="00651044" w:rsidRDefault="00F33AF7" w:rsidP="00361B4F">
            <w:pPr>
              <w:spacing w:line="26" w:lineRule="atLeast"/>
              <w:jc w:val="center"/>
              <w:rPr>
                <w:b/>
                <w:i/>
                <w:iCs/>
                <w:sz w:val="20"/>
                <w:szCs w:val="20"/>
              </w:rPr>
            </w:pPr>
            <w:r w:rsidRPr="00651044">
              <w:rPr>
                <w:b/>
                <w:i/>
                <w:iCs/>
                <w:sz w:val="20"/>
                <w:szCs w:val="20"/>
              </w:rPr>
              <w:t>Indicatori</w:t>
            </w:r>
          </w:p>
        </w:tc>
        <w:tc>
          <w:tcPr>
            <w:tcW w:w="2128" w:type="dxa"/>
            <w:gridSpan w:val="2"/>
          </w:tcPr>
          <w:p w:rsidR="00F33AF7" w:rsidRPr="00651044" w:rsidRDefault="00B80AE1" w:rsidP="00361B4F">
            <w:pPr>
              <w:spacing w:line="26" w:lineRule="atLeast"/>
              <w:jc w:val="center"/>
              <w:rPr>
                <w:b/>
                <w:i/>
                <w:iCs/>
                <w:sz w:val="20"/>
                <w:szCs w:val="20"/>
              </w:rPr>
            </w:pPr>
            <w:r w:rsidRPr="00651044">
              <w:rPr>
                <w:b/>
                <w:i/>
                <w:iCs/>
                <w:sz w:val="20"/>
                <w:szCs w:val="20"/>
              </w:rPr>
              <w:t xml:space="preserve">La situaţia din </w:t>
            </w:r>
            <w:r w:rsidR="0006246A" w:rsidRPr="00651044">
              <w:rPr>
                <w:b/>
                <w:i/>
                <w:iCs/>
                <w:sz w:val="20"/>
                <w:szCs w:val="20"/>
              </w:rPr>
              <w:t>01.01.2015</w:t>
            </w:r>
          </w:p>
        </w:tc>
        <w:tc>
          <w:tcPr>
            <w:tcW w:w="2056" w:type="dxa"/>
            <w:gridSpan w:val="2"/>
          </w:tcPr>
          <w:p w:rsidR="00F33AF7" w:rsidRPr="00651044" w:rsidRDefault="00B80AE1" w:rsidP="00361B4F">
            <w:pPr>
              <w:spacing w:line="26" w:lineRule="atLeast"/>
              <w:jc w:val="center"/>
              <w:rPr>
                <w:b/>
                <w:i/>
                <w:iCs/>
                <w:sz w:val="20"/>
                <w:szCs w:val="20"/>
              </w:rPr>
            </w:pPr>
            <w:r w:rsidRPr="00651044">
              <w:rPr>
                <w:b/>
                <w:i/>
                <w:iCs/>
                <w:sz w:val="20"/>
                <w:szCs w:val="20"/>
              </w:rPr>
              <w:t>La situaţia din 31.12.201</w:t>
            </w:r>
            <w:r w:rsidR="0006246A" w:rsidRPr="00651044">
              <w:rPr>
                <w:b/>
                <w:i/>
                <w:iCs/>
                <w:sz w:val="20"/>
                <w:szCs w:val="20"/>
              </w:rPr>
              <w:t>5</w:t>
            </w:r>
          </w:p>
        </w:tc>
        <w:tc>
          <w:tcPr>
            <w:tcW w:w="1019" w:type="dxa"/>
            <w:vMerge w:val="restart"/>
            <w:vAlign w:val="center"/>
          </w:tcPr>
          <w:p w:rsidR="00F33AF7" w:rsidRPr="00651044" w:rsidRDefault="00F33AF7" w:rsidP="00361B4F">
            <w:pPr>
              <w:spacing w:line="26" w:lineRule="atLeast"/>
              <w:jc w:val="center"/>
              <w:rPr>
                <w:bCs/>
                <w:sz w:val="20"/>
                <w:szCs w:val="20"/>
              </w:rPr>
            </w:pPr>
            <w:r w:rsidRPr="00651044">
              <w:rPr>
                <w:b/>
                <w:bCs/>
                <w:sz w:val="20"/>
                <w:szCs w:val="20"/>
              </w:rPr>
              <w:t xml:space="preserve">Devierea   </w:t>
            </w:r>
            <w:r w:rsidRPr="00651044">
              <w:rPr>
                <w:bCs/>
                <w:sz w:val="20"/>
                <w:szCs w:val="20"/>
              </w:rPr>
              <w:t>+/-</w:t>
            </w:r>
          </w:p>
          <w:p w:rsidR="00F33AF7" w:rsidRPr="00651044" w:rsidRDefault="00F33AF7" w:rsidP="00361B4F">
            <w:pPr>
              <w:spacing w:line="26" w:lineRule="atLeast"/>
              <w:jc w:val="center"/>
              <w:rPr>
                <w:b/>
                <w:bCs/>
                <w:sz w:val="20"/>
                <w:szCs w:val="20"/>
              </w:rPr>
            </w:pPr>
            <w:r w:rsidRPr="00651044">
              <w:rPr>
                <w:bCs/>
                <w:sz w:val="20"/>
                <w:szCs w:val="20"/>
              </w:rPr>
              <w:t>mil. lei</w:t>
            </w:r>
          </w:p>
        </w:tc>
      </w:tr>
      <w:tr w:rsidR="00F33AF7" w:rsidRPr="00651044" w:rsidTr="00AE562E">
        <w:trPr>
          <w:jc w:val="center"/>
        </w:trPr>
        <w:tc>
          <w:tcPr>
            <w:tcW w:w="568" w:type="dxa"/>
            <w:vMerge/>
          </w:tcPr>
          <w:p w:rsidR="00F33AF7" w:rsidRPr="00651044" w:rsidRDefault="00F33AF7" w:rsidP="00361B4F">
            <w:pPr>
              <w:spacing w:line="26" w:lineRule="atLeast"/>
              <w:jc w:val="both"/>
              <w:rPr>
                <w:sz w:val="20"/>
                <w:szCs w:val="20"/>
              </w:rPr>
            </w:pPr>
          </w:p>
        </w:tc>
        <w:tc>
          <w:tcPr>
            <w:tcW w:w="3860" w:type="dxa"/>
            <w:vMerge/>
          </w:tcPr>
          <w:p w:rsidR="00F33AF7" w:rsidRPr="00651044" w:rsidRDefault="00F33AF7" w:rsidP="00361B4F">
            <w:pPr>
              <w:spacing w:line="26" w:lineRule="atLeast"/>
              <w:jc w:val="both"/>
              <w:rPr>
                <w:sz w:val="20"/>
                <w:szCs w:val="20"/>
              </w:rPr>
            </w:pPr>
          </w:p>
        </w:tc>
        <w:tc>
          <w:tcPr>
            <w:tcW w:w="1036" w:type="dxa"/>
          </w:tcPr>
          <w:p w:rsidR="00F33AF7" w:rsidRPr="00651044" w:rsidRDefault="00F33AF7" w:rsidP="00361B4F">
            <w:pPr>
              <w:spacing w:line="26" w:lineRule="atLeast"/>
              <w:jc w:val="center"/>
              <w:rPr>
                <w:sz w:val="20"/>
                <w:szCs w:val="20"/>
              </w:rPr>
            </w:pPr>
            <w:r w:rsidRPr="00651044">
              <w:rPr>
                <w:sz w:val="20"/>
                <w:szCs w:val="20"/>
              </w:rPr>
              <w:t>suma,</w:t>
            </w:r>
          </w:p>
          <w:p w:rsidR="00F33AF7" w:rsidRPr="00651044" w:rsidRDefault="00F33AF7" w:rsidP="00361B4F">
            <w:pPr>
              <w:spacing w:line="26" w:lineRule="atLeast"/>
              <w:jc w:val="center"/>
              <w:rPr>
                <w:sz w:val="20"/>
                <w:szCs w:val="20"/>
              </w:rPr>
            </w:pPr>
            <w:r w:rsidRPr="00651044">
              <w:rPr>
                <w:sz w:val="20"/>
                <w:szCs w:val="20"/>
              </w:rPr>
              <w:t>mil. lei</w:t>
            </w:r>
          </w:p>
        </w:tc>
        <w:tc>
          <w:tcPr>
            <w:tcW w:w="1092" w:type="dxa"/>
          </w:tcPr>
          <w:p w:rsidR="00F33AF7" w:rsidRPr="00651044" w:rsidRDefault="00F33AF7" w:rsidP="00361B4F">
            <w:pPr>
              <w:spacing w:line="26" w:lineRule="atLeast"/>
              <w:jc w:val="center"/>
              <w:rPr>
                <w:sz w:val="20"/>
                <w:szCs w:val="20"/>
              </w:rPr>
            </w:pPr>
            <w:r w:rsidRPr="00651044">
              <w:rPr>
                <w:sz w:val="20"/>
                <w:szCs w:val="20"/>
              </w:rPr>
              <w:t>ponderea, %</w:t>
            </w:r>
          </w:p>
        </w:tc>
        <w:tc>
          <w:tcPr>
            <w:tcW w:w="976" w:type="dxa"/>
          </w:tcPr>
          <w:p w:rsidR="00F33AF7" w:rsidRPr="00651044" w:rsidRDefault="00F33AF7" w:rsidP="00361B4F">
            <w:pPr>
              <w:spacing w:line="26" w:lineRule="atLeast"/>
              <w:jc w:val="center"/>
              <w:rPr>
                <w:sz w:val="20"/>
                <w:szCs w:val="20"/>
              </w:rPr>
            </w:pPr>
            <w:r w:rsidRPr="00651044">
              <w:rPr>
                <w:sz w:val="20"/>
                <w:szCs w:val="20"/>
              </w:rPr>
              <w:t>suma,</w:t>
            </w:r>
          </w:p>
          <w:p w:rsidR="00F33AF7" w:rsidRPr="00651044" w:rsidRDefault="00F33AF7" w:rsidP="00361B4F">
            <w:pPr>
              <w:spacing w:line="26" w:lineRule="atLeast"/>
              <w:jc w:val="center"/>
              <w:rPr>
                <w:sz w:val="20"/>
                <w:szCs w:val="20"/>
              </w:rPr>
            </w:pPr>
            <w:r w:rsidRPr="00651044">
              <w:rPr>
                <w:sz w:val="20"/>
                <w:szCs w:val="20"/>
              </w:rPr>
              <w:t>mil. lei</w:t>
            </w:r>
          </w:p>
        </w:tc>
        <w:tc>
          <w:tcPr>
            <w:tcW w:w="1080" w:type="dxa"/>
          </w:tcPr>
          <w:p w:rsidR="00F33AF7" w:rsidRPr="00651044" w:rsidRDefault="00F33AF7" w:rsidP="00361B4F">
            <w:pPr>
              <w:spacing w:line="26" w:lineRule="atLeast"/>
              <w:jc w:val="center"/>
              <w:rPr>
                <w:sz w:val="20"/>
                <w:szCs w:val="20"/>
              </w:rPr>
            </w:pPr>
            <w:r w:rsidRPr="00651044">
              <w:rPr>
                <w:sz w:val="20"/>
                <w:szCs w:val="20"/>
              </w:rPr>
              <w:t>ponderea,   %</w:t>
            </w:r>
          </w:p>
        </w:tc>
        <w:tc>
          <w:tcPr>
            <w:tcW w:w="1019" w:type="dxa"/>
            <w:vMerge/>
          </w:tcPr>
          <w:p w:rsidR="00F33AF7" w:rsidRPr="00651044" w:rsidRDefault="00F33AF7" w:rsidP="00361B4F">
            <w:pPr>
              <w:spacing w:line="26" w:lineRule="atLeast"/>
              <w:jc w:val="both"/>
              <w:rPr>
                <w:b/>
                <w:bCs/>
                <w:sz w:val="20"/>
                <w:szCs w:val="20"/>
              </w:rPr>
            </w:pPr>
          </w:p>
        </w:tc>
      </w:tr>
      <w:tr w:rsidR="00F33AF7" w:rsidRPr="00651044" w:rsidTr="00AE562E">
        <w:trPr>
          <w:jc w:val="center"/>
        </w:trPr>
        <w:tc>
          <w:tcPr>
            <w:tcW w:w="568" w:type="dxa"/>
          </w:tcPr>
          <w:p w:rsidR="00F33AF7" w:rsidRPr="006E6FE5" w:rsidRDefault="0006246A" w:rsidP="006E6FE5">
            <w:pPr>
              <w:spacing w:line="26" w:lineRule="atLeast"/>
              <w:jc w:val="center"/>
              <w:rPr>
                <w:b/>
                <w:sz w:val="20"/>
                <w:szCs w:val="20"/>
              </w:rPr>
            </w:pPr>
            <w:r w:rsidRPr="006E6FE5">
              <w:rPr>
                <w:b/>
                <w:sz w:val="20"/>
                <w:szCs w:val="20"/>
              </w:rPr>
              <w:t>1.</w:t>
            </w:r>
          </w:p>
        </w:tc>
        <w:tc>
          <w:tcPr>
            <w:tcW w:w="3860" w:type="dxa"/>
          </w:tcPr>
          <w:p w:rsidR="00F33AF7" w:rsidRPr="00651044" w:rsidRDefault="0006246A" w:rsidP="00361B4F">
            <w:pPr>
              <w:spacing w:line="26" w:lineRule="atLeast"/>
              <w:rPr>
                <w:sz w:val="20"/>
                <w:szCs w:val="20"/>
              </w:rPr>
            </w:pPr>
            <w:r w:rsidRPr="00651044">
              <w:rPr>
                <w:sz w:val="20"/>
                <w:szCs w:val="20"/>
              </w:rPr>
              <w:t>A</w:t>
            </w:r>
            <w:r w:rsidR="00F33AF7" w:rsidRPr="00651044">
              <w:rPr>
                <w:sz w:val="20"/>
                <w:szCs w:val="20"/>
              </w:rPr>
              <w:t xml:space="preserve">ctive </w:t>
            </w:r>
            <w:r w:rsidR="00B80AE1" w:rsidRPr="00651044">
              <w:rPr>
                <w:sz w:val="20"/>
                <w:szCs w:val="20"/>
              </w:rPr>
              <w:t>imobilizate</w:t>
            </w:r>
          </w:p>
        </w:tc>
        <w:tc>
          <w:tcPr>
            <w:tcW w:w="1036" w:type="dxa"/>
            <w:vAlign w:val="center"/>
          </w:tcPr>
          <w:p w:rsidR="00F33AF7" w:rsidRPr="00651044" w:rsidRDefault="00052860" w:rsidP="00052860">
            <w:pPr>
              <w:spacing w:line="26" w:lineRule="atLeast"/>
              <w:jc w:val="center"/>
              <w:rPr>
                <w:sz w:val="20"/>
                <w:szCs w:val="20"/>
              </w:rPr>
            </w:pPr>
            <w:r w:rsidRPr="00651044">
              <w:rPr>
                <w:sz w:val="20"/>
                <w:szCs w:val="20"/>
              </w:rPr>
              <w:t>16 502</w:t>
            </w:r>
            <w:r w:rsidR="0006246A" w:rsidRPr="00651044">
              <w:rPr>
                <w:sz w:val="20"/>
                <w:szCs w:val="20"/>
              </w:rPr>
              <w:t>,</w:t>
            </w:r>
            <w:r w:rsidRPr="00651044">
              <w:rPr>
                <w:sz w:val="20"/>
                <w:szCs w:val="20"/>
              </w:rPr>
              <w:t>4</w:t>
            </w:r>
          </w:p>
        </w:tc>
        <w:tc>
          <w:tcPr>
            <w:tcW w:w="1092" w:type="dxa"/>
            <w:vAlign w:val="center"/>
          </w:tcPr>
          <w:p w:rsidR="00F33AF7" w:rsidRPr="00651044" w:rsidRDefault="0006246A" w:rsidP="00361B4F">
            <w:pPr>
              <w:spacing w:line="26" w:lineRule="atLeast"/>
              <w:jc w:val="center"/>
              <w:rPr>
                <w:sz w:val="20"/>
                <w:szCs w:val="20"/>
              </w:rPr>
            </w:pPr>
            <w:r w:rsidRPr="00651044">
              <w:rPr>
                <w:sz w:val="20"/>
                <w:szCs w:val="20"/>
              </w:rPr>
              <w:t>80,0</w:t>
            </w:r>
          </w:p>
        </w:tc>
        <w:tc>
          <w:tcPr>
            <w:tcW w:w="976" w:type="dxa"/>
            <w:vAlign w:val="center"/>
          </w:tcPr>
          <w:p w:rsidR="00F33AF7" w:rsidRPr="00651044" w:rsidRDefault="00052860" w:rsidP="00052860">
            <w:pPr>
              <w:spacing w:line="26" w:lineRule="atLeast"/>
              <w:jc w:val="center"/>
              <w:rPr>
                <w:sz w:val="20"/>
                <w:szCs w:val="20"/>
              </w:rPr>
            </w:pPr>
            <w:r w:rsidRPr="00651044">
              <w:rPr>
                <w:sz w:val="20"/>
                <w:szCs w:val="20"/>
              </w:rPr>
              <w:t>18 252</w:t>
            </w:r>
            <w:r w:rsidR="0006246A" w:rsidRPr="00651044">
              <w:rPr>
                <w:sz w:val="20"/>
                <w:szCs w:val="20"/>
              </w:rPr>
              <w:t>,</w:t>
            </w:r>
            <w:r w:rsidRPr="00651044">
              <w:rPr>
                <w:sz w:val="20"/>
                <w:szCs w:val="20"/>
              </w:rPr>
              <w:t>4</w:t>
            </w:r>
          </w:p>
        </w:tc>
        <w:tc>
          <w:tcPr>
            <w:tcW w:w="1080" w:type="dxa"/>
            <w:vAlign w:val="center"/>
          </w:tcPr>
          <w:p w:rsidR="00F33AF7" w:rsidRPr="00651044" w:rsidRDefault="0006246A" w:rsidP="00361B4F">
            <w:pPr>
              <w:spacing w:line="26" w:lineRule="atLeast"/>
              <w:jc w:val="center"/>
              <w:rPr>
                <w:sz w:val="20"/>
                <w:szCs w:val="20"/>
              </w:rPr>
            </w:pPr>
            <w:r w:rsidRPr="00651044">
              <w:rPr>
                <w:sz w:val="20"/>
                <w:szCs w:val="20"/>
              </w:rPr>
              <w:t>80,</w:t>
            </w:r>
            <w:r w:rsidR="00052860" w:rsidRPr="00651044">
              <w:rPr>
                <w:sz w:val="20"/>
                <w:szCs w:val="20"/>
              </w:rPr>
              <w:t>4</w:t>
            </w:r>
          </w:p>
        </w:tc>
        <w:tc>
          <w:tcPr>
            <w:tcW w:w="1019" w:type="dxa"/>
            <w:vAlign w:val="center"/>
          </w:tcPr>
          <w:p w:rsidR="00F33AF7" w:rsidRPr="00651044" w:rsidRDefault="0006246A" w:rsidP="00361B4F">
            <w:pPr>
              <w:spacing w:line="26" w:lineRule="atLeast"/>
              <w:jc w:val="center"/>
              <w:rPr>
                <w:bCs/>
                <w:sz w:val="20"/>
                <w:szCs w:val="20"/>
              </w:rPr>
            </w:pPr>
            <w:r w:rsidRPr="00651044">
              <w:rPr>
                <w:bCs/>
                <w:sz w:val="20"/>
                <w:szCs w:val="20"/>
              </w:rPr>
              <w:t>+1 750,</w:t>
            </w:r>
            <w:r w:rsidR="00052860" w:rsidRPr="00651044">
              <w:rPr>
                <w:bCs/>
                <w:sz w:val="20"/>
                <w:szCs w:val="20"/>
              </w:rPr>
              <w:t>0</w:t>
            </w:r>
          </w:p>
        </w:tc>
      </w:tr>
      <w:tr w:rsidR="00C14B25" w:rsidRPr="00651044" w:rsidTr="00AE562E">
        <w:trPr>
          <w:jc w:val="center"/>
        </w:trPr>
        <w:tc>
          <w:tcPr>
            <w:tcW w:w="568" w:type="dxa"/>
          </w:tcPr>
          <w:p w:rsidR="00C14B25" w:rsidRPr="006E6FE5" w:rsidRDefault="0006246A" w:rsidP="006E6FE5">
            <w:pPr>
              <w:spacing w:line="26" w:lineRule="atLeast"/>
              <w:jc w:val="center"/>
              <w:rPr>
                <w:b/>
                <w:sz w:val="20"/>
                <w:szCs w:val="20"/>
              </w:rPr>
            </w:pPr>
            <w:r w:rsidRPr="006E6FE5">
              <w:rPr>
                <w:b/>
                <w:sz w:val="20"/>
                <w:szCs w:val="20"/>
              </w:rPr>
              <w:t>2.</w:t>
            </w:r>
          </w:p>
        </w:tc>
        <w:tc>
          <w:tcPr>
            <w:tcW w:w="3860" w:type="dxa"/>
          </w:tcPr>
          <w:p w:rsidR="00C14B25" w:rsidRPr="00651044" w:rsidRDefault="0006246A" w:rsidP="00361B4F">
            <w:pPr>
              <w:spacing w:line="26" w:lineRule="atLeast"/>
              <w:rPr>
                <w:sz w:val="20"/>
                <w:szCs w:val="20"/>
              </w:rPr>
            </w:pPr>
            <w:r w:rsidRPr="00651044">
              <w:rPr>
                <w:sz w:val="20"/>
                <w:szCs w:val="20"/>
              </w:rPr>
              <w:t>A</w:t>
            </w:r>
            <w:r w:rsidR="00C14B25" w:rsidRPr="00651044">
              <w:rPr>
                <w:sz w:val="20"/>
                <w:szCs w:val="20"/>
              </w:rPr>
              <w:t>ctive circulante</w:t>
            </w:r>
          </w:p>
        </w:tc>
        <w:tc>
          <w:tcPr>
            <w:tcW w:w="1036" w:type="dxa"/>
            <w:vAlign w:val="center"/>
          </w:tcPr>
          <w:p w:rsidR="00C14B25" w:rsidRPr="00651044" w:rsidRDefault="00052860" w:rsidP="00052860">
            <w:pPr>
              <w:spacing w:line="26" w:lineRule="atLeast"/>
              <w:jc w:val="center"/>
              <w:rPr>
                <w:sz w:val="20"/>
                <w:szCs w:val="20"/>
              </w:rPr>
            </w:pPr>
            <w:r w:rsidRPr="00651044">
              <w:rPr>
                <w:sz w:val="20"/>
                <w:szCs w:val="20"/>
              </w:rPr>
              <w:t>4 126</w:t>
            </w:r>
            <w:r w:rsidR="0006246A" w:rsidRPr="00651044">
              <w:rPr>
                <w:sz w:val="20"/>
                <w:szCs w:val="20"/>
              </w:rPr>
              <w:t>,</w:t>
            </w:r>
            <w:r w:rsidRPr="00651044">
              <w:rPr>
                <w:sz w:val="20"/>
                <w:szCs w:val="20"/>
              </w:rPr>
              <w:t>5</w:t>
            </w:r>
          </w:p>
        </w:tc>
        <w:tc>
          <w:tcPr>
            <w:tcW w:w="1092" w:type="dxa"/>
            <w:vAlign w:val="center"/>
          </w:tcPr>
          <w:p w:rsidR="00C14B25" w:rsidRPr="00651044" w:rsidRDefault="0006246A" w:rsidP="00361B4F">
            <w:pPr>
              <w:spacing w:line="26" w:lineRule="atLeast"/>
              <w:jc w:val="center"/>
              <w:rPr>
                <w:sz w:val="20"/>
                <w:szCs w:val="20"/>
              </w:rPr>
            </w:pPr>
            <w:r w:rsidRPr="00651044">
              <w:rPr>
                <w:sz w:val="20"/>
                <w:szCs w:val="20"/>
              </w:rPr>
              <w:t>20,0</w:t>
            </w:r>
          </w:p>
        </w:tc>
        <w:tc>
          <w:tcPr>
            <w:tcW w:w="976" w:type="dxa"/>
            <w:vAlign w:val="center"/>
          </w:tcPr>
          <w:p w:rsidR="00C14B25" w:rsidRPr="00651044" w:rsidRDefault="0006246A" w:rsidP="00052860">
            <w:pPr>
              <w:spacing w:line="26" w:lineRule="atLeast"/>
              <w:jc w:val="center"/>
              <w:rPr>
                <w:sz w:val="20"/>
                <w:szCs w:val="20"/>
              </w:rPr>
            </w:pPr>
            <w:r w:rsidRPr="00651044">
              <w:rPr>
                <w:sz w:val="20"/>
                <w:szCs w:val="20"/>
              </w:rPr>
              <w:t>4 46</w:t>
            </w:r>
            <w:r w:rsidR="00052860" w:rsidRPr="00651044">
              <w:rPr>
                <w:sz w:val="20"/>
                <w:szCs w:val="20"/>
              </w:rPr>
              <w:t>2</w:t>
            </w:r>
            <w:r w:rsidRPr="00651044">
              <w:rPr>
                <w:sz w:val="20"/>
                <w:szCs w:val="20"/>
              </w:rPr>
              <w:t>,</w:t>
            </w:r>
            <w:r w:rsidR="00052860" w:rsidRPr="00651044">
              <w:rPr>
                <w:sz w:val="20"/>
                <w:szCs w:val="20"/>
              </w:rPr>
              <w:t>3</w:t>
            </w:r>
          </w:p>
        </w:tc>
        <w:tc>
          <w:tcPr>
            <w:tcW w:w="1080" w:type="dxa"/>
            <w:vAlign w:val="center"/>
          </w:tcPr>
          <w:p w:rsidR="00C14B25" w:rsidRPr="00651044" w:rsidRDefault="0006246A" w:rsidP="00361B4F">
            <w:pPr>
              <w:spacing w:line="26" w:lineRule="atLeast"/>
              <w:jc w:val="center"/>
              <w:rPr>
                <w:sz w:val="20"/>
                <w:szCs w:val="20"/>
              </w:rPr>
            </w:pPr>
            <w:r w:rsidRPr="00651044">
              <w:rPr>
                <w:sz w:val="20"/>
                <w:szCs w:val="20"/>
              </w:rPr>
              <w:t>19,</w:t>
            </w:r>
            <w:r w:rsidR="00052860" w:rsidRPr="00651044">
              <w:rPr>
                <w:sz w:val="20"/>
                <w:szCs w:val="20"/>
              </w:rPr>
              <w:t>6</w:t>
            </w:r>
          </w:p>
        </w:tc>
        <w:tc>
          <w:tcPr>
            <w:tcW w:w="1019" w:type="dxa"/>
            <w:vAlign w:val="center"/>
          </w:tcPr>
          <w:p w:rsidR="00C14B25" w:rsidRPr="00651044" w:rsidRDefault="0006246A" w:rsidP="00361B4F">
            <w:pPr>
              <w:spacing w:line="26" w:lineRule="atLeast"/>
              <w:jc w:val="center"/>
              <w:rPr>
                <w:bCs/>
                <w:sz w:val="20"/>
                <w:szCs w:val="20"/>
              </w:rPr>
            </w:pPr>
            <w:r w:rsidRPr="00651044">
              <w:rPr>
                <w:bCs/>
                <w:sz w:val="20"/>
                <w:szCs w:val="20"/>
              </w:rPr>
              <w:t>+</w:t>
            </w:r>
            <w:r w:rsidR="00052860" w:rsidRPr="00651044">
              <w:rPr>
                <w:bCs/>
                <w:sz w:val="20"/>
                <w:szCs w:val="20"/>
              </w:rPr>
              <w:t>335</w:t>
            </w:r>
            <w:r w:rsidRPr="00651044">
              <w:rPr>
                <w:bCs/>
                <w:sz w:val="20"/>
                <w:szCs w:val="20"/>
              </w:rPr>
              <w:t>,8</w:t>
            </w:r>
          </w:p>
        </w:tc>
      </w:tr>
      <w:tr w:rsidR="00F33AF7" w:rsidRPr="00651044" w:rsidTr="00AE562E">
        <w:trPr>
          <w:jc w:val="center"/>
        </w:trPr>
        <w:tc>
          <w:tcPr>
            <w:tcW w:w="568" w:type="dxa"/>
          </w:tcPr>
          <w:p w:rsidR="00F33AF7" w:rsidRPr="00651044" w:rsidRDefault="00F33AF7" w:rsidP="00361B4F">
            <w:pPr>
              <w:spacing w:line="26" w:lineRule="atLeast"/>
              <w:jc w:val="both"/>
              <w:rPr>
                <w:b/>
                <w:bCs/>
                <w:sz w:val="20"/>
                <w:szCs w:val="20"/>
              </w:rPr>
            </w:pPr>
          </w:p>
        </w:tc>
        <w:tc>
          <w:tcPr>
            <w:tcW w:w="3860" w:type="dxa"/>
          </w:tcPr>
          <w:p w:rsidR="00F33AF7" w:rsidRPr="00651044" w:rsidRDefault="00F33AF7" w:rsidP="00361B4F">
            <w:pPr>
              <w:spacing w:line="26" w:lineRule="atLeast"/>
              <w:rPr>
                <w:b/>
                <w:bCs/>
                <w:sz w:val="20"/>
                <w:szCs w:val="20"/>
              </w:rPr>
            </w:pPr>
            <w:r w:rsidRPr="00651044">
              <w:rPr>
                <w:b/>
                <w:bCs/>
                <w:sz w:val="20"/>
                <w:szCs w:val="20"/>
              </w:rPr>
              <w:t>Total active</w:t>
            </w:r>
          </w:p>
        </w:tc>
        <w:tc>
          <w:tcPr>
            <w:tcW w:w="1036" w:type="dxa"/>
            <w:vAlign w:val="center"/>
          </w:tcPr>
          <w:p w:rsidR="00F33AF7" w:rsidRPr="00651044" w:rsidRDefault="00052860" w:rsidP="00052860">
            <w:pPr>
              <w:spacing w:line="26" w:lineRule="atLeast"/>
              <w:jc w:val="center"/>
              <w:rPr>
                <w:b/>
                <w:bCs/>
                <w:sz w:val="20"/>
                <w:szCs w:val="20"/>
              </w:rPr>
            </w:pPr>
            <w:r w:rsidRPr="00651044">
              <w:rPr>
                <w:b/>
                <w:sz w:val="20"/>
                <w:szCs w:val="20"/>
              </w:rPr>
              <w:t>20 628</w:t>
            </w:r>
            <w:r w:rsidR="0006246A" w:rsidRPr="00651044">
              <w:rPr>
                <w:b/>
                <w:sz w:val="20"/>
                <w:szCs w:val="20"/>
              </w:rPr>
              <w:t>,</w:t>
            </w:r>
            <w:r w:rsidRPr="00651044">
              <w:rPr>
                <w:b/>
                <w:sz w:val="20"/>
                <w:szCs w:val="20"/>
              </w:rPr>
              <w:t>9</w:t>
            </w:r>
          </w:p>
        </w:tc>
        <w:tc>
          <w:tcPr>
            <w:tcW w:w="1092" w:type="dxa"/>
            <w:vAlign w:val="center"/>
          </w:tcPr>
          <w:p w:rsidR="00F33AF7" w:rsidRPr="00651044" w:rsidRDefault="00F33AF7" w:rsidP="00361B4F">
            <w:pPr>
              <w:spacing w:line="26" w:lineRule="atLeast"/>
              <w:jc w:val="center"/>
              <w:rPr>
                <w:b/>
                <w:bCs/>
                <w:sz w:val="20"/>
                <w:szCs w:val="20"/>
              </w:rPr>
            </w:pPr>
            <w:r w:rsidRPr="00651044">
              <w:rPr>
                <w:b/>
                <w:bCs/>
                <w:sz w:val="20"/>
                <w:szCs w:val="20"/>
              </w:rPr>
              <w:t>100,0</w:t>
            </w:r>
          </w:p>
        </w:tc>
        <w:tc>
          <w:tcPr>
            <w:tcW w:w="976" w:type="dxa"/>
            <w:vAlign w:val="center"/>
          </w:tcPr>
          <w:p w:rsidR="00F33AF7" w:rsidRPr="00651044" w:rsidRDefault="00052860" w:rsidP="00052860">
            <w:pPr>
              <w:spacing w:line="26" w:lineRule="atLeast"/>
              <w:jc w:val="center"/>
              <w:rPr>
                <w:b/>
                <w:bCs/>
                <w:sz w:val="20"/>
                <w:szCs w:val="20"/>
              </w:rPr>
            </w:pPr>
            <w:r w:rsidRPr="00651044">
              <w:rPr>
                <w:b/>
                <w:bCs/>
                <w:sz w:val="20"/>
                <w:szCs w:val="20"/>
              </w:rPr>
              <w:t>22 714</w:t>
            </w:r>
            <w:r w:rsidR="0006246A" w:rsidRPr="00651044">
              <w:rPr>
                <w:b/>
                <w:bCs/>
                <w:sz w:val="20"/>
                <w:szCs w:val="20"/>
              </w:rPr>
              <w:t>,</w:t>
            </w:r>
            <w:r w:rsidRPr="00651044">
              <w:rPr>
                <w:b/>
                <w:bCs/>
                <w:sz w:val="20"/>
                <w:szCs w:val="20"/>
              </w:rPr>
              <w:t>7</w:t>
            </w:r>
          </w:p>
        </w:tc>
        <w:tc>
          <w:tcPr>
            <w:tcW w:w="1080" w:type="dxa"/>
            <w:vAlign w:val="center"/>
          </w:tcPr>
          <w:p w:rsidR="00F33AF7" w:rsidRPr="00651044" w:rsidRDefault="00F33AF7" w:rsidP="00361B4F">
            <w:pPr>
              <w:spacing w:line="26" w:lineRule="atLeast"/>
              <w:jc w:val="center"/>
              <w:rPr>
                <w:b/>
                <w:bCs/>
                <w:sz w:val="20"/>
                <w:szCs w:val="20"/>
              </w:rPr>
            </w:pPr>
            <w:r w:rsidRPr="00651044">
              <w:rPr>
                <w:b/>
                <w:bCs/>
                <w:sz w:val="20"/>
                <w:szCs w:val="20"/>
              </w:rPr>
              <w:t>100,0</w:t>
            </w:r>
          </w:p>
        </w:tc>
        <w:tc>
          <w:tcPr>
            <w:tcW w:w="1019" w:type="dxa"/>
            <w:vAlign w:val="center"/>
          </w:tcPr>
          <w:p w:rsidR="00F33AF7" w:rsidRPr="00651044" w:rsidRDefault="00052860" w:rsidP="00052860">
            <w:pPr>
              <w:spacing w:line="26" w:lineRule="atLeast"/>
              <w:jc w:val="center"/>
              <w:rPr>
                <w:b/>
                <w:bCs/>
                <w:sz w:val="20"/>
                <w:szCs w:val="20"/>
              </w:rPr>
            </w:pPr>
            <w:r w:rsidRPr="00651044">
              <w:rPr>
                <w:b/>
                <w:bCs/>
                <w:sz w:val="20"/>
                <w:szCs w:val="20"/>
              </w:rPr>
              <w:t>+2 085</w:t>
            </w:r>
            <w:r w:rsidR="0006246A" w:rsidRPr="00651044">
              <w:rPr>
                <w:b/>
                <w:bCs/>
                <w:sz w:val="20"/>
                <w:szCs w:val="20"/>
              </w:rPr>
              <w:t>,</w:t>
            </w:r>
            <w:r w:rsidRPr="00651044">
              <w:rPr>
                <w:b/>
                <w:bCs/>
                <w:sz w:val="20"/>
                <w:szCs w:val="20"/>
              </w:rPr>
              <w:t>8</w:t>
            </w:r>
          </w:p>
        </w:tc>
      </w:tr>
    </w:tbl>
    <w:p w:rsidR="00F33AF7" w:rsidRPr="00651044" w:rsidRDefault="00F33AF7" w:rsidP="00F33AF7">
      <w:pPr>
        <w:spacing w:line="276" w:lineRule="auto"/>
        <w:ind w:firstLine="539"/>
        <w:jc w:val="both"/>
        <w:rPr>
          <w:sz w:val="28"/>
          <w:szCs w:val="28"/>
        </w:rPr>
      </w:pPr>
    </w:p>
    <w:p w:rsidR="0006246A" w:rsidRPr="00651044" w:rsidRDefault="007F08F7" w:rsidP="0006246A">
      <w:pPr>
        <w:spacing w:line="276" w:lineRule="auto"/>
        <w:ind w:firstLine="540"/>
        <w:jc w:val="both"/>
        <w:rPr>
          <w:sz w:val="28"/>
          <w:szCs w:val="28"/>
        </w:rPr>
      </w:pPr>
      <w:r w:rsidRPr="00651044">
        <w:rPr>
          <w:sz w:val="28"/>
          <w:szCs w:val="28"/>
        </w:rPr>
        <w:t>Efectu</w:t>
      </w:r>
      <w:r w:rsidR="006E6FE5">
        <w:rPr>
          <w:sz w:val="28"/>
          <w:szCs w:val="28"/>
        </w:rPr>
        <w:t>î</w:t>
      </w:r>
      <w:r w:rsidRPr="00651044">
        <w:rPr>
          <w:sz w:val="28"/>
          <w:szCs w:val="28"/>
        </w:rPr>
        <w:t>nd o analiză detaliată a activelor întreprinderilor de stat, se constată că majorarea acestora a fost generată în special de creşterea valorică semnificativă</w:t>
      </w:r>
      <w:r w:rsidR="007F34EA" w:rsidRPr="00651044">
        <w:rPr>
          <w:sz w:val="28"/>
          <w:szCs w:val="28"/>
        </w:rPr>
        <w:t xml:space="preserve"> a mijloacelor fixe – cu 905</w:t>
      </w:r>
      <w:r w:rsidRPr="00651044">
        <w:rPr>
          <w:sz w:val="28"/>
          <w:szCs w:val="28"/>
        </w:rPr>
        <w:t>,</w:t>
      </w:r>
      <w:r w:rsidR="007F34EA" w:rsidRPr="00651044">
        <w:rPr>
          <w:sz w:val="28"/>
          <w:szCs w:val="28"/>
        </w:rPr>
        <w:t>7</w:t>
      </w:r>
      <w:r w:rsidRPr="00651044">
        <w:rPr>
          <w:sz w:val="28"/>
          <w:szCs w:val="28"/>
        </w:rPr>
        <w:t xml:space="preserve"> mil. lei, a imobilizărilor corporale în curs de execuţie – cu 429,9 mil. lei, a avansurilor acordate pe termen lung – cu 261,5 mil. lei, a creanţelor comerciale – cu 177,</w:t>
      </w:r>
      <w:r w:rsidR="007F34EA" w:rsidRPr="00651044">
        <w:rPr>
          <w:sz w:val="28"/>
          <w:szCs w:val="28"/>
        </w:rPr>
        <w:t>4</w:t>
      </w:r>
      <w:r w:rsidRPr="00651044">
        <w:rPr>
          <w:sz w:val="28"/>
          <w:szCs w:val="28"/>
        </w:rPr>
        <w:t xml:space="preserve"> mil. lei, a numerarului în casieri</w:t>
      </w:r>
      <w:r w:rsidR="007F34EA" w:rsidRPr="00651044">
        <w:rPr>
          <w:sz w:val="28"/>
          <w:szCs w:val="28"/>
        </w:rPr>
        <w:t>e şi la conturi curente – cu 137</w:t>
      </w:r>
      <w:r w:rsidRPr="00651044">
        <w:rPr>
          <w:sz w:val="28"/>
          <w:szCs w:val="28"/>
        </w:rPr>
        <w:t>,</w:t>
      </w:r>
      <w:r w:rsidR="007F34EA" w:rsidRPr="00651044">
        <w:rPr>
          <w:sz w:val="28"/>
          <w:szCs w:val="28"/>
        </w:rPr>
        <w:t>3</w:t>
      </w:r>
      <w:r w:rsidRPr="00651044">
        <w:rPr>
          <w:sz w:val="28"/>
          <w:szCs w:val="28"/>
        </w:rPr>
        <w:t xml:space="preserve"> mil. lei şi a </w:t>
      </w:r>
      <w:r w:rsidR="007F34EA" w:rsidRPr="00651044">
        <w:rPr>
          <w:sz w:val="28"/>
          <w:szCs w:val="28"/>
        </w:rPr>
        <w:t>alor creanţe curente  - cu 95,5</w:t>
      </w:r>
      <w:r w:rsidRPr="00651044">
        <w:rPr>
          <w:sz w:val="28"/>
          <w:szCs w:val="28"/>
        </w:rPr>
        <w:t xml:space="preserve"> mil. lei.</w:t>
      </w:r>
    </w:p>
    <w:p w:rsidR="007F08F7" w:rsidRPr="00651044" w:rsidRDefault="007F08F7" w:rsidP="0006246A">
      <w:pPr>
        <w:spacing w:line="276" w:lineRule="auto"/>
        <w:ind w:firstLine="540"/>
        <w:jc w:val="both"/>
        <w:rPr>
          <w:sz w:val="28"/>
          <w:szCs w:val="28"/>
        </w:rPr>
      </w:pPr>
      <w:r w:rsidRPr="00651044">
        <w:rPr>
          <w:sz w:val="28"/>
          <w:szCs w:val="28"/>
        </w:rPr>
        <w:t>Totodată, în componenţa activelor întreprinderilor de stat au fost înregistrate şi diminuări, cele mai semnificative atest</w:t>
      </w:r>
      <w:r w:rsidR="006E6FE5">
        <w:rPr>
          <w:sz w:val="28"/>
          <w:szCs w:val="28"/>
        </w:rPr>
        <w:t>î</w:t>
      </w:r>
      <w:r w:rsidRPr="00651044">
        <w:rPr>
          <w:sz w:val="28"/>
          <w:szCs w:val="28"/>
        </w:rPr>
        <w:t xml:space="preserve">ndu-se la </w:t>
      </w:r>
      <w:r w:rsidR="009B7AAA" w:rsidRPr="00651044">
        <w:rPr>
          <w:sz w:val="28"/>
          <w:szCs w:val="28"/>
        </w:rPr>
        <w:t>investiţiile financiare</w:t>
      </w:r>
      <w:r w:rsidR="00AE562E" w:rsidRPr="00651044">
        <w:rPr>
          <w:sz w:val="28"/>
          <w:szCs w:val="28"/>
        </w:rPr>
        <w:t xml:space="preserve"> curente</w:t>
      </w:r>
      <w:r w:rsidR="009B7AAA" w:rsidRPr="00651044">
        <w:rPr>
          <w:sz w:val="28"/>
          <w:szCs w:val="28"/>
        </w:rPr>
        <w:t xml:space="preserve"> în părţi neafiliate – cu 118,4 mil. lei, investiţiile financiare pe termen lung în părţi neafiliate – cu 78,8 mil. lei, producţia în curs </w:t>
      </w:r>
      <w:r w:rsidR="002B5DEA" w:rsidRPr="00651044">
        <w:rPr>
          <w:sz w:val="28"/>
          <w:szCs w:val="28"/>
        </w:rPr>
        <w:t>de execuţie şi produse – cu 56,3</w:t>
      </w:r>
      <w:r w:rsidR="009B7AAA" w:rsidRPr="00651044">
        <w:rPr>
          <w:sz w:val="28"/>
          <w:szCs w:val="28"/>
        </w:rPr>
        <w:t xml:space="preserve"> mil. lei şi </w:t>
      </w:r>
      <w:r w:rsidR="00CC6619" w:rsidRPr="00651044">
        <w:rPr>
          <w:sz w:val="28"/>
          <w:szCs w:val="28"/>
        </w:rPr>
        <w:t>la creanţe</w:t>
      </w:r>
      <w:r w:rsidR="009B7AAA" w:rsidRPr="00651044">
        <w:rPr>
          <w:sz w:val="28"/>
          <w:szCs w:val="28"/>
        </w:rPr>
        <w:t>le bugetului – cu 34,6 mil. lei.</w:t>
      </w:r>
    </w:p>
    <w:p w:rsidR="008A12C0" w:rsidRPr="00651044" w:rsidRDefault="009B7AAA" w:rsidP="00F33AF7">
      <w:pPr>
        <w:spacing w:line="276" w:lineRule="auto"/>
        <w:ind w:firstLine="539"/>
        <w:jc w:val="both"/>
        <w:rPr>
          <w:color w:val="FF0000"/>
          <w:sz w:val="28"/>
          <w:szCs w:val="28"/>
        </w:rPr>
      </w:pPr>
      <w:r w:rsidRPr="00651044">
        <w:rPr>
          <w:sz w:val="28"/>
          <w:szCs w:val="28"/>
        </w:rPr>
        <w:t>De asemenea, ponderi</w:t>
      </w:r>
      <w:r w:rsidR="00F33AF7" w:rsidRPr="00651044">
        <w:rPr>
          <w:sz w:val="28"/>
          <w:szCs w:val="28"/>
        </w:rPr>
        <w:t xml:space="preserve"> </w:t>
      </w:r>
      <w:r w:rsidRPr="00651044">
        <w:rPr>
          <w:sz w:val="28"/>
          <w:szCs w:val="28"/>
        </w:rPr>
        <w:t>semnificative</w:t>
      </w:r>
      <w:r w:rsidR="00F33AF7" w:rsidRPr="00651044">
        <w:rPr>
          <w:sz w:val="28"/>
          <w:szCs w:val="28"/>
        </w:rPr>
        <w:t xml:space="preserve"> în totalul activelor </w:t>
      </w:r>
      <w:r w:rsidR="00EA28A6" w:rsidRPr="00651044">
        <w:rPr>
          <w:sz w:val="28"/>
          <w:szCs w:val="28"/>
        </w:rPr>
        <w:t xml:space="preserve">întreprinderilor </w:t>
      </w:r>
      <w:r w:rsidRPr="00651044">
        <w:rPr>
          <w:sz w:val="28"/>
          <w:szCs w:val="28"/>
        </w:rPr>
        <w:t xml:space="preserve">au revenit mijloacelor fixe </w:t>
      </w:r>
      <w:r w:rsidR="00F33AF7" w:rsidRPr="00651044">
        <w:rPr>
          <w:sz w:val="28"/>
          <w:szCs w:val="28"/>
        </w:rPr>
        <w:t xml:space="preserve"> – </w:t>
      </w:r>
      <w:r w:rsidRPr="00651044">
        <w:rPr>
          <w:sz w:val="28"/>
          <w:szCs w:val="28"/>
        </w:rPr>
        <w:t>52,0</w:t>
      </w:r>
      <w:r w:rsidR="00F33AF7" w:rsidRPr="00651044">
        <w:rPr>
          <w:sz w:val="28"/>
          <w:szCs w:val="28"/>
        </w:rPr>
        <w:t xml:space="preserve">% </w:t>
      </w:r>
      <w:r w:rsidR="00EA28A6" w:rsidRPr="00651044">
        <w:rPr>
          <w:sz w:val="28"/>
          <w:szCs w:val="28"/>
        </w:rPr>
        <w:t>(</w:t>
      </w:r>
      <w:r w:rsidR="00F33AF7" w:rsidRPr="00651044">
        <w:rPr>
          <w:sz w:val="28"/>
          <w:szCs w:val="28"/>
        </w:rPr>
        <w:t xml:space="preserve">sau </w:t>
      </w:r>
      <w:r w:rsidR="001F33BD" w:rsidRPr="00651044">
        <w:rPr>
          <w:sz w:val="28"/>
          <w:szCs w:val="28"/>
        </w:rPr>
        <w:t>11 818</w:t>
      </w:r>
      <w:r w:rsidRPr="00651044">
        <w:rPr>
          <w:sz w:val="28"/>
          <w:szCs w:val="28"/>
        </w:rPr>
        <w:t>,</w:t>
      </w:r>
      <w:r w:rsidR="001F33BD" w:rsidRPr="00651044">
        <w:rPr>
          <w:sz w:val="28"/>
          <w:szCs w:val="28"/>
        </w:rPr>
        <w:t>2</w:t>
      </w:r>
      <w:r w:rsidR="00F33AF7" w:rsidRPr="00651044">
        <w:rPr>
          <w:sz w:val="28"/>
          <w:szCs w:val="28"/>
        </w:rPr>
        <w:t xml:space="preserve"> mil. lei</w:t>
      </w:r>
      <w:r w:rsidR="00EA28A6" w:rsidRPr="00651044">
        <w:rPr>
          <w:sz w:val="28"/>
          <w:szCs w:val="28"/>
        </w:rPr>
        <w:t>)</w:t>
      </w:r>
      <w:r w:rsidRPr="00651044">
        <w:rPr>
          <w:sz w:val="28"/>
          <w:szCs w:val="28"/>
        </w:rPr>
        <w:t>, imobilizărilor corporale în curs de execuţie – 16,3% (sau 3 701,0 mil. lei), crean</w:t>
      </w:r>
      <w:r w:rsidR="001F33BD" w:rsidRPr="00651044">
        <w:rPr>
          <w:sz w:val="28"/>
          <w:szCs w:val="28"/>
        </w:rPr>
        <w:t>ţelor comerciale – 3,6% (sau 814</w:t>
      </w:r>
      <w:r w:rsidRPr="00651044">
        <w:rPr>
          <w:sz w:val="28"/>
          <w:szCs w:val="28"/>
        </w:rPr>
        <w:t>,</w:t>
      </w:r>
      <w:r w:rsidR="001F33BD" w:rsidRPr="00651044">
        <w:rPr>
          <w:sz w:val="28"/>
          <w:szCs w:val="28"/>
        </w:rPr>
        <w:t>9</w:t>
      </w:r>
      <w:r w:rsidRPr="00651044">
        <w:rPr>
          <w:sz w:val="28"/>
          <w:szCs w:val="28"/>
        </w:rPr>
        <w:t xml:space="preserve"> mil. lei) şi numerarului în casierie ş</w:t>
      </w:r>
      <w:r w:rsidR="001F33BD" w:rsidRPr="00651044">
        <w:rPr>
          <w:sz w:val="28"/>
          <w:szCs w:val="28"/>
        </w:rPr>
        <w:t>i la conturi curente – 3,6% (806</w:t>
      </w:r>
      <w:r w:rsidRPr="00651044">
        <w:rPr>
          <w:sz w:val="28"/>
          <w:szCs w:val="28"/>
        </w:rPr>
        <w:t>,</w:t>
      </w:r>
      <w:r w:rsidR="001F33BD" w:rsidRPr="00651044">
        <w:rPr>
          <w:sz w:val="28"/>
          <w:szCs w:val="28"/>
        </w:rPr>
        <w:t>9</w:t>
      </w:r>
      <w:r w:rsidRPr="00651044">
        <w:rPr>
          <w:sz w:val="28"/>
          <w:szCs w:val="28"/>
        </w:rPr>
        <w:t xml:space="preserve"> mil. lei)</w:t>
      </w:r>
      <w:r w:rsidR="00F33AF7" w:rsidRPr="00651044">
        <w:rPr>
          <w:sz w:val="28"/>
          <w:szCs w:val="28"/>
        </w:rPr>
        <w:t xml:space="preserve">. </w:t>
      </w:r>
      <w:r w:rsidRPr="00651044">
        <w:rPr>
          <w:sz w:val="28"/>
          <w:szCs w:val="28"/>
        </w:rPr>
        <w:t>P</w:t>
      </w:r>
      <w:r w:rsidR="008A12C0" w:rsidRPr="00651044">
        <w:rPr>
          <w:sz w:val="28"/>
          <w:szCs w:val="28"/>
        </w:rPr>
        <w:t xml:space="preserve">onderile minoritare în total active </w:t>
      </w:r>
      <w:r w:rsidRPr="00651044">
        <w:rPr>
          <w:sz w:val="28"/>
          <w:szCs w:val="28"/>
        </w:rPr>
        <w:t>s-au înregistrat la</w:t>
      </w:r>
      <w:r w:rsidR="008A12C0" w:rsidRPr="00651044">
        <w:rPr>
          <w:sz w:val="28"/>
          <w:szCs w:val="28"/>
        </w:rPr>
        <w:t xml:space="preserve"> </w:t>
      </w:r>
      <w:r w:rsidR="00793257" w:rsidRPr="00651044">
        <w:rPr>
          <w:sz w:val="28"/>
          <w:szCs w:val="28"/>
        </w:rPr>
        <w:t>investiţii</w:t>
      </w:r>
      <w:r w:rsidR="00CC6619" w:rsidRPr="00651044">
        <w:rPr>
          <w:sz w:val="28"/>
          <w:szCs w:val="28"/>
        </w:rPr>
        <w:t>le</w:t>
      </w:r>
      <w:r w:rsidR="00793257" w:rsidRPr="00651044">
        <w:rPr>
          <w:sz w:val="28"/>
          <w:szCs w:val="28"/>
        </w:rPr>
        <w:t xml:space="preserve"> financiare curente în părţi afiliate</w:t>
      </w:r>
      <w:r w:rsidR="008A12C0" w:rsidRPr="00651044">
        <w:rPr>
          <w:sz w:val="28"/>
          <w:szCs w:val="28"/>
        </w:rPr>
        <w:t xml:space="preserve"> – 0,</w:t>
      </w:r>
      <w:r w:rsidR="00793257" w:rsidRPr="00651044">
        <w:rPr>
          <w:sz w:val="28"/>
          <w:szCs w:val="28"/>
        </w:rPr>
        <w:t>0001</w:t>
      </w:r>
      <w:r w:rsidR="008A12C0" w:rsidRPr="00651044">
        <w:rPr>
          <w:sz w:val="28"/>
          <w:szCs w:val="28"/>
        </w:rPr>
        <w:t xml:space="preserve">% (sau </w:t>
      </w:r>
      <w:r w:rsidR="00793257" w:rsidRPr="00651044">
        <w:rPr>
          <w:sz w:val="28"/>
          <w:szCs w:val="28"/>
        </w:rPr>
        <w:t>0,03</w:t>
      </w:r>
      <w:r w:rsidR="008A12C0" w:rsidRPr="00651044">
        <w:rPr>
          <w:sz w:val="28"/>
          <w:szCs w:val="28"/>
        </w:rPr>
        <w:t xml:space="preserve"> mil. lei)</w:t>
      </w:r>
      <w:r w:rsidR="00793257" w:rsidRPr="00651044">
        <w:rPr>
          <w:sz w:val="28"/>
          <w:szCs w:val="28"/>
        </w:rPr>
        <w:t>,</w:t>
      </w:r>
      <w:r w:rsidR="007F3CD0" w:rsidRPr="00651044">
        <w:rPr>
          <w:sz w:val="28"/>
          <w:szCs w:val="28"/>
        </w:rPr>
        <w:t xml:space="preserve"> </w:t>
      </w:r>
      <w:r w:rsidR="00AE562E" w:rsidRPr="00651044">
        <w:rPr>
          <w:sz w:val="28"/>
          <w:szCs w:val="28"/>
        </w:rPr>
        <w:t>la alte</w:t>
      </w:r>
      <w:r w:rsidR="007F3CD0" w:rsidRPr="00651044">
        <w:rPr>
          <w:sz w:val="28"/>
          <w:szCs w:val="28"/>
        </w:rPr>
        <w:t xml:space="preserve"> elemente de numerar – 0,04% (sau 8,8 mil. lei),  </w:t>
      </w:r>
      <w:r w:rsidR="00AE562E" w:rsidRPr="00651044">
        <w:rPr>
          <w:sz w:val="28"/>
          <w:szCs w:val="28"/>
        </w:rPr>
        <w:t>la activele</w:t>
      </w:r>
      <w:r w:rsidR="007F3CD0" w:rsidRPr="00651044">
        <w:rPr>
          <w:sz w:val="28"/>
          <w:szCs w:val="28"/>
        </w:rPr>
        <w:t xml:space="preserve"> biologice circulante</w:t>
      </w:r>
      <w:r w:rsidR="00793257" w:rsidRPr="00651044">
        <w:rPr>
          <w:sz w:val="28"/>
          <w:szCs w:val="28"/>
        </w:rPr>
        <w:t xml:space="preserve"> </w:t>
      </w:r>
      <w:r w:rsidR="007F3CD0" w:rsidRPr="00651044">
        <w:rPr>
          <w:sz w:val="28"/>
          <w:szCs w:val="28"/>
        </w:rPr>
        <w:t>–</w:t>
      </w:r>
      <w:r w:rsidR="00793257" w:rsidRPr="00651044">
        <w:rPr>
          <w:sz w:val="28"/>
          <w:szCs w:val="28"/>
        </w:rPr>
        <w:t xml:space="preserve"> </w:t>
      </w:r>
      <w:r w:rsidR="007F3CD0" w:rsidRPr="00651044">
        <w:rPr>
          <w:sz w:val="28"/>
          <w:szCs w:val="28"/>
        </w:rPr>
        <w:t>0,04% (sau 9,2 mil. lei)</w:t>
      </w:r>
      <w:r w:rsidR="008A12C0" w:rsidRPr="00651044">
        <w:rPr>
          <w:sz w:val="28"/>
          <w:szCs w:val="28"/>
        </w:rPr>
        <w:t xml:space="preserve"> şi </w:t>
      </w:r>
      <w:r w:rsidR="00AE562E" w:rsidRPr="00651044">
        <w:rPr>
          <w:sz w:val="28"/>
          <w:szCs w:val="28"/>
        </w:rPr>
        <w:t>investiţiile</w:t>
      </w:r>
      <w:r w:rsidR="007F3CD0" w:rsidRPr="00651044">
        <w:rPr>
          <w:sz w:val="28"/>
          <w:szCs w:val="28"/>
        </w:rPr>
        <w:t xml:space="preserve"> financiare pe termen lung în părţi neafiliate – 0,1</w:t>
      </w:r>
      <w:r w:rsidR="008A12C0" w:rsidRPr="00651044">
        <w:rPr>
          <w:sz w:val="28"/>
          <w:szCs w:val="28"/>
        </w:rPr>
        <w:t xml:space="preserve">% (sau </w:t>
      </w:r>
      <w:r w:rsidR="007F3CD0" w:rsidRPr="00651044">
        <w:rPr>
          <w:sz w:val="28"/>
          <w:szCs w:val="28"/>
        </w:rPr>
        <w:t>22,7</w:t>
      </w:r>
      <w:r w:rsidR="008A12C0" w:rsidRPr="00651044">
        <w:rPr>
          <w:sz w:val="28"/>
          <w:szCs w:val="28"/>
        </w:rPr>
        <w:t xml:space="preserve"> mil. lei).</w:t>
      </w:r>
    </w:p>
    <w:p w:rsidR="00AE562E" w:rsidRPr="00651044" w:rsidRDefault="00F54795" w:rsidP="00A473C7">
      <w:pPr>
        <w:spacing w:line="276" w:lineRule="auto"/>
        <w:ind w:firstLine="539"/>
        <w:jc w:val="both"/>
        <w:rPr>
          <w:sz w:val="28"/>
          <w:szCs w:val="28"/>
        </w:rPr>
      </w:pPr>
      <w:r w:rsidRPr="00651044">
        <w:rPr>
          <w:sz w:val="28"/>
          <w:szCs w:val="28"/>
        </w:rPr>
        <w:t>În acelaşi timp</w:t>
      </w:r>
      <w:r w:rsidR="00F33AF7" w:rsidRPr="00651044">
        <w:rPr>
          <w:sz w:val="28"/>
          <w:szCs w:val="28"/>
        </w:rPr>
        <w:t>,</w:t>
      </w:r>
      <w:r w:rsidR="004260BE" w:rsidRPr="00651044">
        <w:rPr>
          <w:sz w:val="28"/>
          <w:szCs w:val="28"/>
        </w:rPr>
        <w:t xml:space="preserve"> se menţi</w:t>
      </w:r>
      <w:r w:rsidRPr="00651044">
        <w:rPr>
          <w:sz w:val="28"/>
          <w:szCs w:val="28"/>
        </w:rPr>
        <w:t>onează că</w:t>
      </w:r>
      <w:r w:rsidR="007F3CD0" w:rsidRPr="00651044">
        <w:rPr>
          <w:sz w:val="28"/>
          <w:szCs w:val="28"/>
        </w:rPr>
        <w:t xml:space="preserve"> la finele anului 2015</w:t>
      </w:r>
      <w:r w:rsidR="00F33AF7" w:rsidRPr="00651044">
        <w:rPr>
          <w:sz w:val="28"/>
          <w:szCs w:val="28"/>
        </w:rPr>
        <w:t>, cele mai mari majorări a</w:t>
      </w:r>
      <w:r w:rsidR="00FF050C" w:rsidRPr="00651044">
        <w:rPr>
          <w:sz w:val="28"/>
          <w:szCs w:val="28"/>
        </w:rPr>
        <w:t>le</w:t>
      </w:r>
      <w:r w:rsidR="004260BE" w:rsidRPr="00651044">
        <w:rPr>
          <w:sz w:val="28"/>
          <w:szCs w:val="28"/>
        </w:rPr>
        <w:t xml:space="preserve"> activelor</w:t>
      </w:r>
      <w:r w:rsidR="007F3CD0" w:rsidRPr="00651044">
        <w:rPr>
          <w:sz w:val="28"/>
          <w:szCs w:val="28"/>
        </w:rPr>
        <w:t>,</w:t>
      </w:r>
      <w:r w:rsidR="004260BE" w:rsidRPr="00651044">
        <w:rPr>
          <w:sz w:val="28"/>
          <w:szCs w:val="28"/>
        </w:rPr>
        <w:t xml:space="preserve"> faţă de </w:t>
      </w:r>
      <w:r w:rsidR="007F3CD0" w:rsidRPr="00651044">
        <w:rPr>
          <w:sz w:val="28"/>
          <w:szCs w:val="28"/>
        </w:rPr>
        <w:t>începutul anului 2015,</w:t>
      </w:r>
      <w:r w:rsidR="00F33AF7" w:rsidRPr="00651044">
        <w:rPr>
          <w:sz w:val="28"/>
          <w:szCs w:val="28"/>
        </w:rPr>
        <w:t xml:space="preserve"> s-au înregistrat la întreprinderile din </w:t>
      </w:r>
      <w:r w:rsidRPr="00651044">
        <w:rPr>
          <w:sz w:val="28"/>
          <w:szCs w:val="28"/>
        </w:rPr>
        <w:t>administrarea</w:t>
      </w:r>
      <w:r w:rsidR="00F33AF7" w:rsidRPr="00651044">
        <w:rPr>
          <w:sz w:val="28"/>
          <w:szCs w:val="28"/>
        </w:rPr>
        <w:t xml:space="preserve"> Ministerului Transporturilor şi Infrastructurii Drumurilor – cu </w:t>
      </w:r>
      <w:r w:rsidRPr="00651044">
        <w:rPr>
          <w:sz w:val="28"/>
          <w:szCs w:val="28"/>
        </w:rPr>
        <w:t xml:space="preserve">2 205,1 mil. lei şi a </w:t>
      </w:r>
      <w:r w:rsidR="00AE562E" w:rsidRPr="00651044">
        <w:rPr>
          <w:sz w:val="28"/>
          <w:szCs w:val="28"/>
        </w:rPr>
        <w:t xml:space="preserve">Ministerului </w:t>
      </w:r>
      <w:r w:rsidR="002C0D98" w:rsidRPr="00651044">
        <w:rPr>
          <w:sz w:val="28"/>
          <w:szCs w:val="28"/>
        </w:rPr>
        <w:t>Tehnologiei Informa</w:t>
      </w:r>
      <w:r w:rsidR="00253020" w:rsidRPr="00651044">
        <w:rPr>
          <w:sz w:val="28"/>
          <w:szCs w:val="28"/>
        </w:rPr>
        <w:t>ţ</w:t>
      </w:r>
      <w:r w:rsidR="002C0D98" w:rsidRPr="00651044">
        <w:rPr>
          <w:sz w:val="28"/>
          <w:szCs w:val="28"/>
        </w:rPr>
        <w:t xml:space="preserve">iei </w:t>
      </w:r>
      <w:r w:rsidR="00253020" w:rsidRPr="00651044">
        <w:rPr>
          <w:sz w:val="28"/>
          <w:szCs w:val="28"/>
        </w:rPr>
        <w:t>ş</w:t>
      </w:r>
      <w:r w:rsidR="002C0D98" w:rsidRPr="00651044">
        <w:rPr>
          <w:sz w:val="28"/>
          <w:szCs w:val="28"/>
        </w:rPr>
        <w:t>i Comunica</w:t>
      </w:r>
      <w:r w:rsidR="00253020" w:rsidRPr="00651044">
        <w:rPr>
          <w:sz w:val="28"/>
          <w:szCs w:val="28"/>
        </w:rPr>
        <w:t>ţ</w:t>
      </w:r>
      <w:r w:rsidR="002C0D98" w:rsidRPr="00651044">
        <w:rPr>
          <w:sz w:val="28"/>
          <w:szCs w:val="28"/>
        </w:rPr>
        <w:t>iilor</w:t>
      </w:r>
      <w:r w:rsidR="00F33AF7" w:rsidRPr="00651044">
        <w:rPr>
          <w:sz w:val="28"/>
          <w:szCs w:val="28"/>
        </w:rPr>
        <w:t xml:space="preserve"> – cu </w:t>
      </w:r>
      <w:r w:rsidRPr="00651044">
        <w:rPr>
          <w:sz w:val="28"/>
          <w:szCs w:val="28"/>
        </w:rPr>
        <w:t>167,0</w:t>
      </w:r>
      <w:r w:rsidR="00F33AF7" w:rsidRPr="00651044">
        <w:rPr>
          <w:sz w:val="28"/>
          <w:szCs w:val="28"/>
        </w:rPr>
        <w:t xml:space="preserve"> mil. lei.</w:t>
      </w:r>
    </w:p>
    <w:p w:rsidR="00A473C7" w:rsidRDefault="00A473C7" w:rsidP="00A473C7">
      <w:pPr>
        <w:spacing w:line="276" w:lineRule="auto"/>
        <w:ind w:firstLine="539"/>
        <w:jc w:val="both"/>
        <w:rPr>
          <w:sz w:val="28"/>
          <w:szCs w:val="28"/>
        </w:rPr>
      </w:pPr>
    </w:p>
    <w:p w:rsidR="006E6FE5" w:rsidRPr="00651044" w:rsidRDefault="006E6FE5" w:rsidP="00A473C7">
      <w:pPr>
        <w:spacing w:line="276" w:lineRule="auto"/>
        <w:ind w:firstLine="539"/>
        <w:jc w:val="both"/>
        <w:rPr>
          <w:sz w:val="28"/>
          <w:szCs w:val="28"/>
        </w:rPr>
      </w:pPr>
    </w:p>
    <w:p w:rsidR="00F33AF7" w:rsidRPr="00651044" w:rsidRDefault="00F33AF7" w:rsidP="00F33AF7">
      <w:pPr>
        <w:spacing w:line="360" w:lineRule="auto"/>
        <w:ind w:firstLine="539"/>
        <w:jc w:val="right"/>
        <w:rPr>
          <w:sz w:val="20"/>
          <w:szCs w:val="20"/>
        </w:rPr>
      </w:pPr>
      <w:r w:rsidRPr="00651044">
        <w:rPr>
          <w:sz w:val="20"/>
          <w:szCs w:val="20"/>
        </w:rPr>
        <w:t>Tabelul 2.2</w:t>
      </w:r>
    </w:p>
    <w:p w:rsidR="00223771" w:rsidRPr="00651044" w:rsidRDefault="00037D37" w:rsidP="00F54795">
      <w:pPr>
        <w:ind w:firstLine="539"/>
        <w:jc w:val="center"/>
        <w:rPr>
          <w:b/>
          <w:i/>
        </w:rPr>
      </w:pPr>
      <w:r w:rsidRPr="00651044">
        <w:rPr>
          <w:b/>
          <w:i/>
        </w:rPr>
        <w:t>Cele mai considerabile</w:t>
      </w:r>
      <w:r w:rsidR="00F33AF7" w:rsidRPr="00651044">
        <w:rPr>
          <w:b/>
          <w:i/>
        </w:rPr>
        <w:t xml:space="preserve"> majorări şi diminuări a</w:t>
      </w:r>
      <w:r w:rsidR="00223771" w:rsidRPr="00651044">
        <w:rPr>
          <w:b/>
          <w:i/>
        </w:rPr>
        <w:t>le</w:t>
      </w:r>
      <w:r w:rsidR="00F33AF7" w:rsidRPr="00651044">
        <w:rPr>
          <w:b/>
          <w:i/>
        </w:rPr>
        <w:t xml:space="preserve"> activelor </w:t>
      </w:r>
      <w:r w:rsidR="00223771" w:rsidRPr="00651044">
        <w:rPr>
          <w:b/>
          <w:i/>
        </w:rPr>
        <w:t>totale la situa</w:t>
      </w:r>
      <w:r w:rsidR="005F5ABF" w:rsidRPr="00651044">
        <w:rPr>
          <w:b/>
          <w:i/>
        </w:rPr>
        <w:t>ţ</w:t>
      </w:r>
      <w:r w:rsidR="007F3CD0" w:rsidRPr="00651044">
        <w:rPr>
          <w:b/>
          <w:i/>
        </w:rPr>
        <w:t>ia din 31.12.2015</w:t>
      </w:r>
      <w:r w:rsidR="00223771" w:rsidRPr="00651044">
        <w:rPr>
          <w:b/>
          <w:i/>
        </w:rPr>
        <w:t>,</w:t>
      </w:r>
    </w:p>
    <w:p w:rsidR="00F33AF7" w:rsidRPr="00651044" w:rsidRDefault="00223771" w:rsidP="00F33AF7">
      <w:pPr>
        <w:spacing w:line="276" w:lineRule="auto"/>
        <w:ind w:firstLine="539"/>
        <w:jc w:val="center"/>
        <w:rPr>
          <w:b/>
          <w:i/>
        </w:rPr>
      </w:pPr>
      <w:r w:rsidRPr="00651044">
        <w:rPr>
          <w:b/>
          <w:i/>
        </w:rPr>
        <w:t>clasificate pe autorită</w:t>
      </w:r>
      <w:r w:rsidR="005F5ABF" w:rsidRPr="00651044">
        <w:rPr>
          <w:b/>
          <w:i/>
        </w:rPr>
        <w:t>ţ</w:t>
      </w:r>
      <w:r w:rsidRPr="00651044">
        <w:rPr>
          <w:b/>
          <w:i/>
        </w:rPr>
        <w:t xml:space="preserve">i </w:t>
      </w:r>
      <w:r w:rsidR="008A2B6D" w:rsidRPr="00651044">
        <w:rPr>
          <w:b/>
          <w:i/>
        </w:rPr>
        <w:t xml:space="preserve">ale </w:t>
      </w:r>
      <w:r w:rsidRPr="00651044">
        <w:rPr>
          <w:b/>
          <w:i/>
        </w:rPr>
        <w:t>administra</w:t>
      </w:r>
      <w:r w:rsidR="005F5ABF" w:rsidRPr="00651044">
        <w:rPr>
          <w:b/>
          <w:i/>
        </w:rPr>
        <w:t>ţ</w:t>
      </w:r>
      <w:r w:rsidR="008A2B6D" w:rsidRPr="00651044">
        <w:rPr>
          <w:b/>
          <w:i/>
        </w:rPr>
        <w:t>iei publice</w:t>
      </w:r>
      <w:r w:rsidRPr="00651044">
        <w:rPr>
          <w:b/>
          <w:i/>
        </w:rPr>
        <w:t xml:space="preserve"> centrale </w:t>
      </w:r>
    </w:p>
    <w:p w:rsidR="00F33AF7" w:rsidRPr="00651044" w:rsidRDefault="007F3CD0" w:rsidP="007F3CD0">
      <w:pPr>
        <w:ind w:firstLine="539"/>
        <w:jc w:val="right"/>
        <w:rPr>
          <w:i/>
          <w:sz w:val="16"/>
          <w:szCs w:val="16"/>
        </w:rPr>
      </w:pPr>
      <w:r w:rsidRPr="00651044">
        <w:rPr>
          <w:i/>
          <w:sz w:val="16"/>
          <w:szCs w:val="16"/>
        </w:rPr>
        <w:t>mil. lei</w:t>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3036"/>
        <w:gridCol w:w="1409"/>
        <w:gridCol w:w="626"/>
        <w:gridCol w:w="2482"/>
        <w:gridCol w:w="1395"/>
      </w:tblGrid>
      <w:tr w:rsidR="00223771" w:rsidRPr="00651044" w:rsidTr="00361B4F">
        <w:trPr>
          <w:jc w:val="center"/>
        </w:trPr>
        <w:tc>
          <w:tcPr>
            <w:tcW w:w="510" w:type="dxa"/>
            <w:vMerge w:val="restart"/>
          </w:tcPr>
          <w:p w:rsidR="00223771" w:rsidRPr="00651044" w:rsidRDefault="00223771" w:rsidP="00361B4F">
            <w:pPr>
              <w:spacing w:line="276" w:lineRule="auto"/>
              <w:jc w:val="center"/>
              <w:rPr>
                <w:b/>
                <w:i/>
                <w:iCs/>
                <w:sz w:val="20"/>
                <w:szCs w:val="20"/>
              </w:rPr>
            </w:pPr>
            <w:r w:rsidRPr="00651044">
              <w:rPr>
                <w:b/>
                <w:i/>
                <w:iCs/>
                <w:sz w:val="20"/>
                <w:szCs w:val="20"/>
              </w:rPr>
              <w:t>Nr.</w:t>
            </w:r>
          </w:p>
          <w:p w:rsidR="008A2B6D" w:rsidRPr="00651044" w:rsidRDefault="008A2B6D" w:rsidP="00361B4F">
            <w:pPr>
              <w:spacing w:line="276" w:lineRule="auto"/>
              <w:jc w:val="center"/>
              <w:rPr>
                <w:b/>
                <w:i/>
                <w:iCs/>
                <w:sz w:val="20"/>
                <w:szCs w:val="20"/>
              </w:rPr>
            </w:pPr>
          </w:p>
        </w:tc>
        <w:tc>
          <w:tcPr>
            <w:tcW w:w="4445" w:type="dxa"/>
            <w:gridSpan w:val="2"/>
          </w:tcPr>
          <w:p w:rsidR="00223771" w:rsidRPr="00651044" w:rsidRDefault="00223771" w:rsidP="00361B4F">
            <w:pPr>
              <w:jc w:val="center"/>
              <w:rPr>
                <w:b/>
                <w:i/>
                <w:iCs/>
                <w:sz w:val="20"/>
                <w:szCs w:val="20"/>
              </w:rPr>
            </w:pPr>
            <w:r w:rsidRPr="00651044">
              <w:rPr>
                <w:b/>
                <w:i/>
                <w:iCs/>
                <w:sz w:val="20"/>
                <w:szCs w:val="20"/>
              </w:rPr>
              <w:t>Majorări ale activelor</w:t>
            </w:r>
          </w:p>
          <w:p w:rsidR="00223771" w:rsidRPr="00651044" w:rsidRDefault="004260BE" w:rsidP="00361B4F">
            <w:pPr>
              <w:jc w:val="center"/>
              <w:rPr>
                <w:b/>
                <w:i/>
                <w:iCs/>
                <w:sz w:val="20"/>
                <w:szCs w:val="20"/>
              </w:rPr>
            </w:pPr>
            <w:r w:rsidRPr="00651044">
              <w:rPr>
                <w:b/>
                <w:i/>
                <w:iCs/>
                <w:sz w:val="20"/>
                <w:szCs w:val="20"/>
              </w:rPr>
              <w:t xml:space="preserve">comparativ cu </w:t>
            </w:r>
            <w:r w:rsidR="007F3CD0" w:rsidRPr="00651044">
              <w:rPr>
                <w:b/>
                <w:i/>
                <w:iCs/>
                <w:sz w:val="20"/>
                <w:szCs w:val="20"/>
              </w:rPr>
              <w:t>01.01.2015</w:t>
            </w:r>
          </w:p>
        </w:tc>
        <w:tc>
          <w:tcPr>
            <w:tcW w:w="626" w:type="dxa"/>
            <w:vMerge w:val="restart"/>
          </w:tcPr>
          <w:p w:rsidR="00223771" w:rsidRPr="00651044" w:rsidRDefault="00223771" w:rsidP="00361B4F">
            <w:pPr>
              <w:spacing w:line="276" w:lineRule="auto"/>
              <w:jc w:val="center"/>
              <w:rPr>
                <w:b/>
                <w:i/>
                <w:iCs/>
                <w:sz w:val="20"/>
                <w:szCs w:val="20"/>
              </w:rPr>
            </w:pPr>
            <w:r w:rsidRPr="00651044">
              <w:rPr>
                <w:b/>
                <w:i/>
                <w:iCs/>
                <w:sz w:val="20"/>
                <w:szCs w:val="20"/>
              </w:rPr>
              <w:t>Nr.</w:t>
            </w:r>
          </w:p>
          <w:p w:rsidR="008A2B6D" w:rsidRPr="00651044" w:rsidRDefault="008A2B6D" w:rsidP="00361B4F">
            <w:pPr>
              <w:spacing w:line="276" w:lineRule="auto"/>
              <w:jc w:val="center"/>
              <w:rPr>
                <w:b/>
                <w:i/>
                <w:iCs/>
                <w:sz w:val="20"/>
                <w:szCs w:val="20"/>
              </w:rPr>
            </w:pPr>
            <w:r w:rsidRPr="00651044">
              <w:rPr>
                <w:b/>
                <w:i/>
                <w:iCs/>
                <w:sz w:val="20"/>
                <w:szCs w:val="20"/>
              </w:rPr>
              <w:t>d/o</w:t>
            </w:r>
          </w:p>
        </w:tc>
        <w:tc>
          <w:tcPr>
            <w:tcW w:w="3877" w:type="dxa"/>
            <w:gridSpan w:val="2"/>
          </w:tcPr>
          <w:p w:rsidR="00223771" w:rsidRPr="00651044" w:rsidRDefault="00223771" w:rsidP="00361B4F">
            <w:pPr>
              <w:jc w:val="center"/>
              <w:rPr>
                <w:b/>
                <w:i/>
                <w:iCs/>
                <w:sz w:val="20"/>
                <w:szCs w:val="20"/>
              </w:rPr>
            </w:pPr>
            <w:r w:rsidRPr="00651044">
              <w:rPr>
                <w:b/>
                <w:i/>
                <w:iCs/>
                <w:sz w:val="20"/>
                <w:szCs w:val="20"/>
              </w:rPr>
              <w:t>Diminuări ale activelor</w:t>
            </w:r>
          </w:p>
          <w:p w:rsidR="00223771" w:rsidRPr="00651044" w:rsidRDefault="009B4AC6" w:rsidP="00361B4F">
            <w:pPr>
              <w:jc w:val="center"/>
              <w:rPr>
                <w:b/>
                <w:i/>
                <w:iCs/>
                <w:sz w:val="20"/>
                <w:szCs w:val="20"/>
              </w:rPr>
            </w:pPr>
            <w:r w:rsidRPr="00651044">
              <w:rPr>
                <w:b/>
                <w:i/>
                <w:iCs/>
                <w:sz w:val="20"/>
                <w:szCs w:val="20"/>
              </w:rPr>
              <w:t xml:space="preserve">comparativ cu </w:t>
            </w:r>
            <w:r w:rsidR="007F3CD0" w:rsidRPr="00651044">
              <w:rPr>
                <w:b/>
                <w:i/>
                <w:iCs/>
                <w:sz w:val="20"/>
                <w:szCs w:val="20"/>
              </w:rPr>
              <w:t>01.01.2015</w:t>
            </w:r>
          </w:p>
        </w:tc>
      </w:tr>
      <w:tr w:rsidR="00223771" w:rsidRPr="00651044" w:rsidTr="00361B4F">
        <w:trPr>
          <w:jc w:val="center"/>
        </w:trPr>
        <w:tc>
          <w:tcPr>
            <w:tcW w:w="510" w:type="dxa"/>
            <w:vMerge/>
          </w:tcPr>
          <w:p w:rsidR="00223771" w:rsidRPr="00651044" w:rsidRDefault="00223771" w:rsidP="00361B4F">
            <w:pPr>
              <w:spacing w:line="276" w:lineRule="auto"/>
              <w:jc w:val="center"/>
              <w:rPr>
                <w:sz w:val="20"/>
                <w:szCs w:val="20"/>
              </w:rPr>
            </w:pPr>
          </w:p>
        </w:tc>
        <w:tc>
          <w:tcPr>
            <w:tcW w:w="3036" w:type="dxa"/>
          </w:tcPr>
          <w:p w:rsidR="00223771" w:rsidRPr="00651044" w:rsidRDefault="00223771" w:rsidP="00361B4F">
            <w:pPr>
              <w:jc w:val="center"/>
              <w:rPr>
                <w:b/>
                <w:sz w:val="20"/>
                <w:szCs w:val="20"/>
              </w:rPr>
            </w:pPr>
            <w:r w:rsidRPr="00651044">
              <w:rPr>
                <w:b/>
                <w:sz w:val="20"/>
                <w:szCs w:val="20"/>
              </w:rPr>
              <w:t>Fondator</w:t>
            </w:r>
          </w:p>
        </w:tc>
        <w:tc>
          <w:tcPr>
            <w:tcW w:w="1409" w:type="dxa"/>
          </w:tcPr>
          <w:p w:rsidR="00223771" w:rsidRPr="00651044" w:rsidRDefault="00223771" w:rsidP="00361B4F">
            <w:pPr>
              <w:jc w:val="center"/>
              <w:rPr>
                <w:b/>
                <w:sz w:val="20"/>
                <w:szCs w:val="20"/>
              </w:rPr>
            </w:pPr>
            <w:r w:rsidRPr="00651044">
              <w:rPr>
                <w:b/>
                <w:sz w:val="20"/>
                <w:szCs w:val="20"/>
              </w:rPr>
              <w:t>Valoarea</w:t>
            </w:r>
          </w:p>
          <w:p w:rsidR="00223771" w:rsidRPr="00651044" w:rsidRDefault="00223771" w:rsidP="00361B4F">
            <w:pPr>
              <w:jc w:val="center"/>
              <w:rPr>
                <w:b/>
                <w:sz w:val="20"/>
                <w:szCs w:val="20"/>
              </w:rPr>
            </w:pPr>
            <w:r w:rsidRPr="00651044">
              <w:rPr>
                <w:b/>
                <w:sz w:val="20"/>
                <w:szCs w:val="20"/>
              </w:rPr>
              <w:t xml:space="preserve">majorării </w:t>
            </w:r>
          </w:p>
        </w:tc>
        <w:tc>
          <w:tcPr>
            <w:tcW w:w="626" w:type="dxa"/>
            <w:vMerge/>
          </w:tcPr>
          <w:p w:rsidR="00223771" w:rsidRPr="00651044" w:rsidRDefault="00223771" w:rsidP="00361B4F">
            <w:pPr>
              <w:jc w:val="center"/>
              <w:rPr>
                <w:b/>
                <w:sz w:val="20"/>
                <w:szCs w:val="20"/>
              </w:rPr>
            </w:pPr>
          </w:p>
        </w:tc>
        <w:tc>
          <w:tcPr>
            <w:tcW w:w="2482" w:type="dxa"/>
          </w:tcPr>
          <w:p w:rsidR="00223771" w:rsidRPr="00651044" w:rsidRDefault="00223771" w:rsidP="00361B4F">
            <w:pPr>
              <w:jc w:val="center"/>
              <w:rPr>
                <w:b/>
                <w:sz w:val="20"/>
                <w:szCs w:val="20"/>
              </w:rPr>
            </w:pPr>
            <w:r w:rsidRPr="00651044">
              <w:rPr>
                <w:b/>
                <w:sz w:val="20"/>
                <w:szCs w:val="20"/>
              </w:rPr>
              <w:t>Fondator</w:t>
            </w:r>
          </w:p>
        </w:tc>
        <w:tc>
          <w:tcPr>
            <w:tcW w:w="1395" w:type="dxa"/>
          </w:tcPr>
          <w:p w:rsidR="00223771" w:rsidRPr="00651044" w:rsidRDefault="00223771" w:rsidP="00361B4F">
            <w:pPr>
              <w:jc w:val="center"/>
              <w:rPr>
                <w:b/>
                <w:sz w:val="20"/>
                <w:szCs w:val="20"/>
              </w:rPr>
            </w:pPr>
            <w:r w:rsidRPr="00651044">
              <w:rPr>
                <w:b/>
                <w:sz w:val="20"/>
                <w:szCs w:val="20"/>
              </w:rPr>
              <w:t xml:space="preserve">Valoarea diminuării </w:t>
            </w:r>
          </w:p>
        </w:tc>
      </w:tr>
      <w:tr w:rsidR="00223771" w:rsidRPr="00651044" w:rsidTr="00361B4F">
        <w:trPr>
          <w:jc w:val="center"/>
        </w:trPr>
        <w:tc>
          <w:tcPr>
            <w:tcW w:w="510" w:type="dxa"/>
          </w:tcPr>
          <w:p w:rsidR="00223771" w:rsidRPr="00651044" w:rsidRDefault="00223771" w:rsidP="00361B4F">
            <w:pPr>
              <w:spacing w:line="276" w:lineRule="auto"/>
              <w:rPr>
                <w:b/>
                <w:sz w:val="20"/>
                <w:szCs w:val="20"/>
              </w:rPr>
            </w:pPr>
            <w:r w:rsidRPr="00651044">
              <w:rPr>
                <w:b/>
                <w:sz w:val="20"/>
                <w:szCs w:val="20"/>
              </w:rPr>
              <w:t>1</w:t>
            </w:r>
            <w:r w:rsidR="008A2B6D" w:rsidRPr="00651044">
              <w:rPr>
                <w:b/>
                <w:sz w:val="20"/>
                <w:szCs w:val="20"/>
              </w:rPr>
              <w:t>.</w:t>
            </w:r>
          </w:p>
        </w:tc>
        <w:tc>
          <w:tcPr>
            <w:tcW w:w="3036" w:type="dxa"/>
          </w:tcPr>
          <w:p w:rsidR="00223771" w:rsidRPr="00651044" w:rsidRDefault="00223771" w:rsidP="00223771">
            <w:pPr>
              <w:rPr>
                <w:sz w:val="20"/>
                <w:szCs w:val="20"/>
              </w:rPr>
            </w:pPr>
            <w:r w:rsidRPr="00651044">
              <w:rPr>
                <w:sz w:val="20"/>
                <w:szCs w:val="20"/>
              </w:rPr>
              <w:t>Ministerul Transporturilor şi Infrastructurii Drumurilor</w:t>
            </w:r>
          </w:p>
        </w:tc>
        <w:tc>
          <w:tcPr>
            <w:tcW w:w="1409" w:type="dxa"/>
          </w:tcPr>
          <w:p w:rsidR="00223771" w:rsidRPr="00651044" w:rsidRDefault="007F3CD0" w:rsidP="00361B4F">
            <w:pPr>
              <w:jc w:val="center"/>
              <w:rPr>
                <w:sz w:val="20"/>
                <w:szCs w:val="20"/>
              </w:rPr>
            </w:pPr>
            <w:r w:rsidRPr="00651044">
              <w:rPr>
                <w:sz w:val="20"/>
                <w:szCs w:val="20"/>
              </w:rPr>
              <w:t>2 205,1</w:t>
            </w:r>
          </w:p>
        </w:tc>
        <w:tc>
          <w:tcPr>
            <w:tcW w:w="626" w:type="dxa"/>
          </w:tcPr>
          <w:p w:rsidR="00223771" w:rsidRPr="00651044" w:rsidRDefault="00223771" w:rsidP="00361B4F">
            <w:pPr>
              <w:jc w:val="center"/>
              <w:rPr>
                <w:b/>
                <w:sz w:val="20"/>
                <w:szCs w:val="20"/>
              </w:rPr>
            </w:pPr>
            <w:r w:rsidRPr="00651044">
              <w:rPr>
                <w:b/>
                <w:sz w:val="20"/>
                <w:szCs w:val="20"/>
              </w:rPr>
              <w:t>1</w:t>
            </w:r>
            <w:r w:rsidR="008A2B6D" w:rsidRPr="00651044">
              <w:rPr>
                <w:b/>
                <w:sz w:val="20"/>
                <w:szCs w:val="20"/>
              </w:rPr>
              <w:t>.</w:t>
            </w:r>
          </w:p>
        </w:tc>
        <w:tc>
          <w:tcPr>
            <w:tcW w:w="2482" w:type="dxa"/>
          </w:tcPr>
          <w:p w:rsidR="00223771" w:rsidRPr="00651044" w:rsidRDefault="00223771" w:rsidP="00223771">
            <w:pPr>
              <w:rPr>
                <w:sz w:val="20"/>
                <w:szCs w:val="20"/>
              </w:rPr>
            </w:pPr>
            <w:r w:rsidRPr="00651044">
              <w:rPr>
                <w:sz w:val="20"/>
                <w:szCs w:val="20"/>
              </w:rPr>
              <w:t>Ministerul Economiei</w:t>
            </w:r>
          </w:p>
        </w:tc>
        <w:tc>
          <w:tcPr>
            <w:tcW w:w="1395" w:type="dxa"/>
          </w:tcPr>
          <w:p w:rsidR="00223771" w:rsidRPr="00651044" w:rsidRDefault="007F3CD0" w:rsidP="00361B4F">
            <w:pPr>
              <w:jc w:val="center"/>
              <w:rPr>
                <w:sz w:val="20"/>
                <w:szCs w:val="20"/>
              </w:rPr>
            </w:pPr>
            <w:r w:rsidRPr="00651044">
              <w:rPr>
                <w:sz w:val="20"/>
                <w:szCs w:val="20"/>
              </w:rPr>
              <w:t>297,1</w:t>
            </w:r>
          </w:p>
        </w:tc>
      </w:tr>
      <w:tr w:rsidR="00223771" w:rsidRPr="00651044" w:rsidTr="00361B4F">
        <w:trPr>
          <w:trHeight w:val="405"/>
          <w:jc w:val="center"/>
        </w:trPr>
        <w:tc>
          <w:tcPr>
            <w:tcW w:w="510" w:type="dxa"/>
          </w:tcPr>
          <w:p w:rsidR="00223771" w:rsidRPr="00651044" w:rsidRDefault="00223771" w:rsidP="00361B4F">
            <w:pPr>
              <w:spacing w:line="276" w:lineRule="auto"/>
              <w:rPr>
                <w:b/>
                <w:sz w:val="20"/>
                <w:szCs w:val="20"/>
              </w:rPr>
            </w:pPr>
            <w:r w:rsidRPr="00651044">
              <w:rPr>
                <w:b/>
                <w:sz w:val="20"/>
                <w:szCs w:val="20"/>
              </w:rPr>
              <w:t>2</w:t>
            </w:r>
            <w:r w:rsidR="008A2B6D" w:rsidRPr="00651044">
              <w:rPr>
                <w:b/>
                <w:sz w:val="20"/>
                <w:szCs w:val="20"/>
              </w:rPr>
              <w:t>.</w:t>
            </w:r>
          </w:p>
          <w:p w:rsidR="0014603D" w:rsidRPr="00651044" w:rsidRDefault="0014603D" w:rsidP="00361B4F">
            <w:pPr>
              <w:spacing w:line="276" w:lineRule="auto"/>
              <w:rPr>
                <w:b/>
                <w:sz w:val="20"/>
                <w:szCs w:val="20"/>
              </w:rPr>
            </w:pPr>
          </w:p>
        </w:tc>
        <w:tc>
          <w:tcPr>
            <w:tcW w:w="3036" w:type="dxa"/>
          </w:tcPr>
          <w:p w:rsidR="00F54795" w:rsidRPr="00651044" w:rsidRDefault="00F54795" w:rsidP="00F54795">
            <w:pPr>
              <w:rPr>
                <w:sz w:val="20"/>
                <w:szCs w:val="20"/>
              </w:rPr>
            </w:pPr>
            <w:r w:rsidRPr="00651044">
              <w:rPr>
                <w:sz w:val="20"/>
                <w:szCs w:val="20"/>
              </w:rPr>
              <w:t xml:space="preserve">Ministerul Tehnologiei </w:t>
            </w:r>
          </w:p>
          <w:p w:rsidR="006A5A34" w:rsidRPr="00651044" w:rsidRDefault="00F54795" w:rsidP="00F54795">
            <w:pPr>
              <w:rPr>
                <w:sz w:val="20"/>
                <w:szCs w:val="20"/>
              </w:rPr>
            </w:pPr>
            <w:r w:rsidRPr="00651044">
              <w:rPr>
                <w:sz w:val="20"/>
                <w:szCs w:val="20"/>
              </w:rPr>
              <w:t xml:space="preserve">Informaţiei şi Comunicaţiilor </w:t>
            </w:r>
          </w:p>
        </w:tc>
        <w:tc>
          <w:tcPr>
            <w:tcW w:w="1409" w:type="dxa"/>
          </w:tcPr>
          <w:p w:rsidR="006A5A34" w:rsidRPr="00651044" w:rsidRDefault="00F54795" w:rsidP="00361B4F">
            <w:pPr>
              <w:jc w:val="center"/>
              <w:rPr>
                <w:sz w:val="20"/>
                <w:szCs w:val="20"/>
              </w:rPr>
            </w:pPr>
            <w:r w:rsidRPr="00651044">
              <w:rPr>
                <w:sz w:val="20"/>
                <w:szCs w:val="20"/>
              </w:rPr>
              <w:t>167,0</w:t>
            </w:r>
          </w:p>
        </w:tc>
        <w:tc>
          <w:tcPr>
            <w:tcW w:w="626" w:type="dxa"/>
          </w:tcPr>
          <w:p w:rsidR="00223771" w:rsidRPr="00651044" w:rsidRDefault="00223771" w:rsidP="00361B4F">
            <w:pPr>
              <w:jc w:val="center"/>
              <w:rPr>
                <w:b/>
                <w:sz w:val="20"/>
                <w:szCs w:val="20"/>
              </w:rPr>
            </w:pPr>
            <w:r w:rsidRPr="00651044">
              <w:rPr>
                <w:b/>
                <w:sz w:val="20"/>
                <w:szCs w:val="20"/>
              </w:rPr>
              <w:t>2</w:t>
            </w:r>
            <w:r w:rsidR="008A2B6D" w:rsidRPr="00651044">
              <w:rPr>
                <w:b/>
                <w:sz w:val="20"/>
                <w:szCs w:val="20"/>
              </w:rPr>
              <w:t>.</w:t>
            </w:r>
          </w:p>
        </w:tc>
        <w:tc>
          <w:tcPr>
            <w:tcW w:w="2482" w:type="dxa"/>
          </w:tcPr>
          <w:p w:rsidR="00223771" w:rsidRPr="00651044" w:rsidRDefault="007F3CD0" w:rsidP="00223771">
            <w:pPr>
              <w:rPr>
                <w:sz w:val="20"/>
                <w:szCs w:val="20"/>
              </w:rPr>
            </w:pPr>
            <w:r w:rsidRPr="00651044">
              <w:rPr>
                <w:sz w:val="20"/>
                <w:szCs w:val="20"/>
              </w:rPr>
              <w:t>Ministerul Dezvoltării Regionale şi Construcţiilor</w:t>
            </w:r>
          </w:p>
        </w:tc>
        <w:tc>
          <w:tcPr>
            <w:tcW w:w="1395" w:type="dxa"/>
          </w:tcPr>
          <w:p w:rsidR="00223771" w:rsidRPr="00651044" w:rsidRDefault="007F3CD0" w:rsidP="00361B4F">
            <w:pPr>
              <w:jc w:val="center"/>
              <w:rPr>
                <w:sz w:val="20"/>
                <w:szCs w:val="20"/>
              </w:rPr>
            </w:pPr>
            <w:r w:rsidRPr="00651044">
              <w:rPr>
                <w:sz w:val="20"/>
                <w:szCs w:val="20"/>
              </w:rPr>
              <w:t>96,1</w:t>
            </w:r>
          </w:p>
        </w:tc>
      </w:tr>
      <w:tr w:rsidR="0014603D" w:rsidRPr="00651044" w:rsidTr="00A23F03">
        <w:trPr>
          <w:trHeight w:val="173"/>
          <w:jc w:val="center"/>
        </w:trPr>
        <w:tc>
          <w:tcPr>
            <w:tcW w:w="510" w:type="dxa"/>
          </w:tcPr>
          <w:p w:rsidR="0014603D" w:rsidRPr="00651044" w:rsidRDefault="0014603D" w:rsidP="00361B4F">
            <w:pPr>
              <w:spacing w:line="276" w:lineRule="auto"/>
              <w:rPr>
                <w:b/>
                <w:sz w:val="20"/>
                <w:szCs w:val="20"/>
              </w:rPr>
            </w:pPr>
            <w:r w:rsidRPr="00651044">
              <w:rPr>
                <w:b/>
                <w:sz w:val="20"/>
                <w:szCs w:val="20"/>
              </w:rPr>
              <w:t>3.</w:t>
            </w:r>
          </w:p>
        </w:tc>
        <w:tc>
          <w:tcPr>
            <w:tcW w:w="3036" w:type="dxa"/>
          </w:tcPr>
          <w:p w:rsidR="0014603D" w:rsidRPr="00651044" w:rsidRDefault="00F54795" w:rsidP="00F54795">
            <w:pPr>
              <w:rPr>
                <w:sz w:val="20"/>
                <w:szCs w:val="20"/>
              </w:rPr>
            </w:pPr>
            <w:r w:rsidRPr="00651044">
              <w:rPr>
                <w:sz w:val="20"/>
                <w:szCs w:val="20"/>
              </w:rPr>
              <w:t>Ministerul Culturii</w:t>
            </w:r>
          </w:p>
        </w:tc>
        <w:tc>
          <w:tcPr>
            <w:tcW w:w="1409" w:type="dxa"/>
          </w:tcPr>
          <w:p w:rsidR="0014603D" w:rsidRPr="00651044" w:rsidRDefault="00F54795" w:rsidP="00A23F03">
            <w:pPr>
              <w:jc w:val="center"/>
              <w:rPr>
                <w:sz w:val="20"/>
                <w:szCs w:val="20"/>
              </w:rPr>
            </w:pPr>
            <w:r w:rsidRPr="00651044">
              <w:rPr>
                <w:sz w:val="20"/>
                <w:szCs w:val="20"/>
              </w:rPr>
              <w:t>50,5</w:t>
            </w:r>
          </w:p>
        </w:tc>
        <w:tc>
          <w:tcPr>
            <w:tcW w:w="626" w:type="dxa"/>
          </w:tcPr>
          <w:p w:rsidR="0014603D" w:rsidRPr="00651044" w:rsidRDefault="0014603D" w:rsidP="00361B4F">
            <w:pPr>
              <w:jc w:val="center"/>
              <w:rPr>
                <w:b/>
                <w:sz w:val="20"/>
                <w:szCs w:val="20"/>
              </w:rPr>
            </w:pPr>
            <w:r w:rsidRPr="00651044">
              <w:rPr>
                <w:b/>
                <w:sz w:val="20"/>
                <w:szCs w:val="20"/>
              </w:rPr>
              <w:t>3.</w:t>
            </w:r>
          </w:p>
        </w:tc>
        <w:tc>
          <w:tcPr>
            <w:tcW w:w="2482" w:type="dxa"/>
          </w:tcPr>
          <w:p w:rsidR="0014603D" w:rsidRPr="00651044" w:rsidRDefault="007F3CD0" w:rsidP="001A5E00">
            <w:pPr>
              <w:rPr>
                <w:sz w:val="20"/>
                <w:szCs w:val="20"/>
              </w:rPr>
            </w:pPr>
            <w:r w:rsidRPr="00651044">
              <w:rPr>
                <w:sz w:val="20"/>
                <w:szCs w:val="20"/>
              </w:rPr>
              <w:t>Ministerul Apărării</w:t>
            </w:r>
            <w:r w:rsidR="0014603D" w:rsidRPr="00651044">
              <w:rPr>
                <w:sz w:val="20"/>
                <w:szCs w:val="20"/>
              </w:rPr>
              <w:t xml:space="preserve"> </w:t>
            </w:r>
          </w:p>
        </w:tc>
        <w:tc>
          <w:tcPr>
            <w:tcW w:w="1395" w:type="dxa"/>
          </w:tcPr>
          <w:p w:rsidR="0014603D" w:rsidRPr="00651044" w:rsidRDefault="007F3CD0" w:rsidP="00361B4F">
            <w:pPr>
              <w:jc w:val="center"/>
              <w:rPr>
                <w:sz w:val="20"/>
                <w:szCs w:val="20"/>
              </w:rPr>
            </w:pPr>
            <w:r w:rsidRPr="00651044">
              <w:rPr>
                <w:sz w:val="20"/>
                <w:szCs w:val="20"/>
              </w:rPr>
              <w:t>27,1</w:t>
            </w:r>
          </w:p>
        </w:tc>
      </w:tr>
      <w:tr w:rsidR="0014603D" w:rsidRPr="00651044" w:rsidTr="00361B4F">
        <w:trPr>
          <w:jc w:val="center"/>
        </w:trPr>
        <w:tc>
          <w:tcPr>
            <w:tcW w:w="510" w:type="dxa"/>
          </w:tcPr>
          <w:p w:rsidR="0014603D" w:rsidRPr="00651044" w:rsidRDefault="0014603D" w:rsidP="00361B4F">
            <w:pPr>
              <w:spacing w:line="276" w:lineRule="auto"/>
              <w:rPr>
                <w:b/>
                <w:sz w:val="20"/>
                <w:szCs w:val="20"/>
              </w:rPr>
            </w:pPr>
            <w:r w:rsidRPr="00651044">
              <w:rPr>
                <w:b/>
                <w:sz w:val="20"/>
                <w:szCs w:val="20"/>
              </w:rPr>
              <w:t>4.</w:t>
            </w:r>
          </w:p>
        </w:tc>
        <w:tc>
          <w:tcPr>
            <w:tcW w:w="3036" w:type="dxa"/>
          </w:tcPr>
          <w:p w:rsidR="0014603D" w:rsidRPr="00651044" w:rsidRDefault="00F54795" w:rsidP="001A5E00">
            <w:pPr>
              <w:rPr>
                <w:sz w:val="20"/>
                <w:szCs w:val="20"/>
              </w:rPr>
            </w:pPr>
            <w:r w:rsidRPr="00651044">
              <w:rPr>
                <w:sz w:val="20"/>
                <w:szCs w:val="20"/>
              </w:rPr>
              <w:t>Ministerul Tineretului şi Sportului</w:t>
            </w:r>
          </w:p>
        </w:tc>
        <w:tc>
          <w:tcPr>
            <w:tcW w:w="1409" w:type="dxa"/>
          </w:tcPr>
          <w:p w:rsidR="0014603D" w:rsidRPr="00651044" w:rsidRDefault="00F54795" w:rsidP="00361B4F">
            <w:pPr>
              <w:jc w:val="center"/>
              <w:rPr>
                <w:sz w:val="20"/>
                <w:szCs w:val="20"/>
              </w:rPr>
            </w:pPr>
            <w:r w:rsidRPr="00651044">
              <w:rPr>
                <w:sz w:val="20"/>
                <w:szCs w:val="20"/>
              </w:rPr>
              <w:t>45,2</w:t>
            </w:r>
          </w:p>
        </w:tc>
        <w:tc>
          <w:tcPr>
            <w:tcW w:w="626" w:type="dxa"/>
          </w:tcPr>
          <w:p w:rsidR="0014603D" w:rsidRPr="00651044" w:rsidRDefault="00546489" w:rsidP="0014603D">
            <w:pPr>
              <w:rPr>
                <w:b/>
                <w:sz w:val="20"/>
                <w:szCs w:val="20"/>
              </w:rPr>
            </w:pPr>
            <w:r w:rsidRPr="00651044">
              <w:rPr>
                <w:b/>
                <w:sz w:val="20"/>
                <w:szCs w:val="20"/>
              </w:rPr>
              <w:t xml:space="preserve">   </w:t>
            </w:r>
            <w:r w:rsidR="0014603D" w:rsidRPr="00651044">
              <w:rPr>
                <w:b/>
                <w:sz w:val="20"/>
                <w:szCs w:val="20"/>
              </w:rPr>
              <w:t>4.</w:t>
            </w:r>
          </w:p>
        </w:tc>
        <w:tc>
          <w:tcPr>
            <w:tcW w:w="2482" w:type="dxa"/>
          </w:tcPr>
          <w:p w:rsidR="0014603D" w:rsidRPr="00651044" w:rsidRDefault="007F3CD0" w:rsidP="001A5E00">
            <w:pPr>
              <w:rPr>
                <w:sz w:val="20"/>
                <w:szCs w:val="20"/>
              </w:rPr>
            </w:pPr>
            <w:r w:rsidRPr="00651044">
              <w:rPr>
                <w:sz w:val="20"/>
                <w:szCs w:val="20"/>
              </w:rPr>
              <w:t>Agenţia Relaţii Funciare şi Cadastru</w:t>
            </w:r>
          </w:p>
        </w:tc>
        <w:tc>
          <w:tcPr>
            <w:tcW w:w="1395" w:type="dxa"/>
          </w:tcPr>
          <w:p w:rsidR="0014603D" w:rsidRPr="00651044" w:rsidRDefault="007F3CD0" w:rsidP="00361B4F">
            <w:pPr>
              <w:jc w:val="center"/>
              <w:rPr>
                <w:sz w:val="20"/>
                <w:szCs w:val="20"/>
              </w:rPr>
            </w:pPr>
            <w:r w:rsidRPr="00651044">
              <w:rPr>
                <w:sz w:val="20"/>
                <w:szCs w:val="20"/>
              </w:rPr>
              <w:t>18,8</w:t>
            </w:r>
          </w:p>
        </w:tc>
      </w:tr>
      <w:tr w:rsidR="0014603D" w:rsidRPr="00651044" w:rsidTr="00361B4F">
        <w:trPr>
          <w:jc w:val="center"/>
        </w:trPr>
        <w:tc>
          <w:tcPr>
            <w:tcW w:w="510" w:type="dxa"/>
          </w:tcPr>
          <w:p w:rsidR="0014603D" w:rsidRPr="00651044" w:rsidRDefault="0014603D" w:rsidP="00361B4F">
            <w:pPr>
              <w:spacing w:line="276" w:lineRule="auto"/>
              <w:rPr>
                <w:b/>
                <w:sz w:val="20"/>
                <w:szCs w:val="20"/>
              </w:rPr>
            </w:pPr>
            <w:r w:rsidRPr="00651044">
              <w:rPr>
                <w:b/>
                <w:sz w:val="20"/>
                <w:szCs w:val="20"/>
              </w:rPr>
              <w:t>5.</w:t>
            </w:r>
          </w:p>
        </w:tc>
        <w:tc>
          <w:tcPr>
            <w:tcW w:w="3036" w:type="dxa"/>
          </w:tcPr>
          <w:p w:rsidR="0014603D" w:rsidRPr="00651044" w:rsidRDefault="00F54795" w:rsidP="001A5E00">
            <w:pPr>
              <w:rPr>
                <w:sz w:val="20"/>
                <w:szCs w:val="20"/>
              </w:rPr>
            </w:pPr>
            <w:r w:rsidRPr="00651044">
              <w:rPr>
                <w:sz w:val="20"/>
                <w:szCs w:val="20"/>
              </w:rPr>
              <w:t>Ministerul Agriculturii şi Industriei Alimentare</w:t>
            </w:r>
          </w:p>
        </w:tc>
        <w:tc>
          <w:tcPr>
            <w:tcW w:w="1409" w:type="dxa"/>
          </w:tcPr>
          <w:p w:rsidR="0014603D" w:rsidRPr="00651044" w:rsidRDefault="00F54795" w:rsidP="00361B4F">
            <w:pPr>
              <w:jc w:val="center"/>
              <w:rPr>
                <w:sz w:val="20"/>
                <w:szCs w:val="20"/>
              </w:rPr>
            </w:pPr>
            <w:r w:rsidRPr="00651044">
              <w:rPr>
                <w:sz w:val="20"/>
                <w:szCs w:val="20"/>
              </w:rPr>
              <w:t>29,5</w:t>
            </w:r>
          </w:p>
        </w:tc>
        <w:tc>
          <w:tcPr>
            <w:tcW w:w="626" w:type="dxa"/>
          </w:tcPr>
          <w:p w:rsidR="0014603D" w:rsidRPr="00651044" w:rsidRDefault="0014603D" w:rsidP="00361B4F">
            <w:pPr>
              <w:jc w:val="center"/>
              <w:rPr>
                <w:b/>
                <w:sz w:val="20"/>
                <w:szCs w:val="20"/>
              </w:rPr>
            </w:pPr>
            <w:r w:rsidRPr="00651044">
              <w:rPr>
                <w:b/>
                <w:sz w:val="20"/>
                <w:szCs w:val="20"/>
              </w:rPr>
              <w:t>5.</w:t>
            </w:r>
          </w:p>
        </w:tc>
        <w:tc>
          <w:tcPr>
            <w:tcW w:w="2482" w:type="dxa"/>
          </w:tcPr>
          <w:p w:rsidR="0014603D" w:rsidRPr="00651044" w:rsidRDefault="007F3CD0" w:rsidP="001A5E00">
            <w:pPr>
              <w:rPr>
                <w:sz w:val="20"/>
                <w:szCs w:val="20"/>
              </w:rPr>
            </w:pPr>
            <w:r w:rsidRPr="00651044">
              <w:rPr>
                <w:sz w:val="20"/>
                <w:szCs w:val="20"/>
              </w:rPr>
              <w:t>Cancelaria de Stat</w:t>
            </w:r>
          </w:p>
        </w:tc>
        <w:tc>
          <w:tcPr>
            <w:tcW w:w="1395" w:type="dxa"/>
          </w:tcPr>
          <w:p w:rsidR="0014603D" w:rsidRPr="00651044" w:rsidRDefault="007F3CD0" w:rsidP="00361B4F">
            <w:pPr>
              <w:jc w:val="center"/>
              <w:rPr>
                <w:sz w:val="20"/>
                <w:szCs w:val="20"/>
              </w:rPr>
            </w:pPr>
            <w:r w:rsidRPr="00651044">
              <w:rPr>
                <w:sz w:val="20"/>
                <w:szCs w:val="20"/>
              </w:rPr>
              <w:t>14,5</w:t>
            </w:r>
          </w:p>
        </w:tc>
      </w:tr>
    </w:tbl>
    <w:p w:rsidR="00F33AF7" w:rsidRPr="00651044" w:rsidRDefault="00F33AF7" w:rsidP="00C005B9">
      <w:pPr>
        <w:ind w:firstLine="539"/>
        <w:jc w:val="center"/>
        <w:rPr>
          <w:color w:val="FF0000"/>
        </w:rPr>
      </w:pPr>
    </w:p>
    <w:p w:rsidR="00F33AF7" w:rsidRPr="00651044" w:rsidRDefault="00F33AF7" w:rsidP="00F33AF7">
      <w:pPr>
        <w:spacing w:line="276" w:lineRule="auto"/>
        <w:ind w:firstLine="539"/>
        <w:jc w:val="both"/>
        <w:rPr>
          <w:sz w:val="28"/>
          <w:szCs w:val="28"/>
        </w:rPr>
      </w:pPr>
      <w:r w:rsidRPr="00651044">
        <w:rPr>
          <w:sz w:val="28"/>
          <w:szCs w:val="28"/>
        </w:rPr>
        <w:t>În</w:t>
      </w:r>
      <w:r w:rsidR="00F54795" w:rsidRPr="00651044">
        <w:rPr>
          <w:sz w:val="28"/>
          <w:szCs w:val="28"/>
        </w:rPr>
        <w:t xml:space="preserve"> partea ce ţine de</w:t>
      </w:r>
      <w:r w:rsidRPr="00651044">
        <w:rPr>
          <w:sz w:val="28"/>
          <w:szCs w:val="28"/>
        </w:rPr>
        <w:t xml:space="preserve"> diminuarea activelor</w:t>
      </w:r>
      <w:r w:rsidR="00FF050C" w:rsidRPr="00651044">
        <w:rPr>
          <w:sz w:val="28"/>
          <w:szCs w:val="28"/>
        </w:rPr>
        <w:t xml:space="preserve"> totale</w:t>
      </w:r>
      <w:r w:rsidRPr="00651044">
        <w:rPr>
          <w:sz w:val="28"/>
          <w:szCs w:val="28"/>
        </w:rPr>
        <w:t xml:space="preserve">, valorile cele mai semnificative </w:t>
      </w:r>
      <w:r w:rsidR="009470D3" w:rsidRPr="00651044">
        <w:rPr>
          <w:sz w:val="28"/>
          <w:szCs w:val="28"/>
        </w:rPr>
        <w:t xml:space="preserve">     </w:t>
      </w:r>
      <w:r w:rsidRPr="00651044">
        <w:rPr>
          <w:sz w:val="28"/>
          <w:szCs w:val="28"/>
        </w:rPr>
        <w:t xml:space="preserve">s-au evidenţiat la întreprinderile </w:t>
      </w:r>
      <w:r w:rsidR="00F54795" w:rsidRPr="00651044">
        <w:rPr>
          <w:sz w:val="28"/>
          <w:szCs w:val="28"/>
        </w:rPr>
        <w:t>administrate de Ministerul</w:t>
      </w:r>
      <w:r w:rsidR="00C67165" w:rsidRPr="00651044">
        <w:rPr>
          <w:sz w:val="28"/>
          <w:szCs w:val="28"/>
        </w:rPr>
        <w:t xml:space="preserve"> Economiei – </w:t>
      </w:r>
      <w:r w:rsidRPr="00651044">
        <w:rPr>
          <w:sz w:val="28"/>
          <w:szCs w:val="28"/>
        </w:rPr>
        <w:t xml:space="preserve">cu </w:t>
      </w:r>
      <w:r w:rsidR="00F54795" w:rsidRPr="00651044">
        <w:rPr>
          <w:sz w:val="28"/>
          <w:szCs w:val="28"/>
        </w:rPr>
        <w:t xml:space="preserve">297,1 mil. lei şi de Ministerul Dezvoltării Regionale şi Construcţiilor </w:t>
      </w:r>
      <w:r w:rsidRPr="00651044">
        <w:rPr>
          <w:sz w:val="28"/>
          <w:szCs w:val="28"/>
        </w:rPr>
        <w:t>–</w:t>
      </w:r>
      <w:r w:rsidR="00C67165" w:rsidRPr="00651044">
        <w:rPr>
          <w:sz w:val="28"/>
          <w:szCs w:val="28"/>
        </w:rPr>
        <w:t xml:space="preserve"> </w:t>
      </w:r>
      <w:r w:rsidRPr="00651044">
        <w:rPr>
          <w:sz w:val="28"/>
          <w:szCs w:val="28"/>
        </w:rPr>
        <w:t xml:space="preserve">cu </w:t>
      </w:r>
      <w:r w:rsidR="00F54795" w:rsidRPr="00651044">
        <w:rPr>
          <w:sz w:val="28"/>
          <w:szCs w:val="28"/>
        </w:rPr>
        <w:t xml:space="preserve">96,1 </w:t>
      </w:r>
      <w:r w:rsidRPr="00651044">
        <w:rPr>
          <w:sz w:val="28"/>
          <w:szCs w:val="28"/>
        </w:rPr>
        <w:t>mil. lei.</w:t>
      </w:r>
    </w:p>
    <w:p w:rsidR="00F33AF7" w:rsidRPr="00651044" w:rsidRDefault="00F16DD1" w:rsidP="00F33AF7">
      <w:pPr>
        <w:spacing w:line="276" w:lineRule="auto"/>
        <w:ind w:firstLine="539"/>
        <w:jc w:val="both"/>
        <w:rPr>
          <w:sz w:val="28"/>
          <w:szCs w:val="28"/>
        </w:rPr>
      </w:pPr>
      <w:r w:rsidRPr="00651044">
        <w:rPr>
          <w:sz w:val="28"/>
          <w:szCs w:val="28"/>
        </w:rPr>
        <w:t>Suplimentar, la situaţia din 31.12.2015</w:t>
      </w:r>
      <w:r w:rsidR="00F33AF7" w:rsidRPr="00651044">
        <w:rPr>
          <w:sz w:val="28"/>
          <w:szCs w:val="28"/>
        </w:rPr>
        <w:t xml:space="preserve">, </w:t>
      </w:r>
      <w:r w:rsidR="00F33AF7" w:rsidRPr="00651044">
        <w:rPr>
          <w:i/>
          <w:sz w:val="28"/>
          <w:szCs w:val="28"/>
        </w:rPr>
        <w:t>activele financiare</w:t>
      </w:r>
      <w:r w:rsidR="00F33AF7" w:rsidRPr="00651044">
        <w:rPr>
          <w:sz w:val="28"/>
          <w:szCs w:val="28"/>
        </w:rPr>
        <w:t xml:space="preserve"> </w:t>
      </w:r>
      <w:r w:rsidRPr="00651044">
        <w:rPr>
          <w:sz w:val="28"/>
          <w:szCs w:val="28"/>
        </w:rPr>
        <w:t xml:space="preserve">ale întreprinderilor de stat </w:t>
      </w:r>
      <w:r w:rsidR="00F33AF7" w:rsidRPr="00651044">
        <w:rPr>
          <w:sz w:val="28"/>
          <w:szCs w:val="28"/>
        </w:rPr>
        <w:t xml:space="preserve">se cuantifică la valoarea de </w:t>
      </w:r>
      <w:r w:rsidRPr="00651044">
        <w:rPr>
          <w:sz w:val="28"/>
          <w:szCs w:val="28"/>
        </w:rPr>
        <w:t>4 61</w:t>
      </w:r>
      <w:r w:rsidR="005E1C4C" w:rsidRPr="00651044">
        <w:rPr>
          <w:sz w:val="28"/>
          <w:szCs w:val="28"/>
        </w:rPr>
        <w:t>4</w:t>
      </w:r>
      <w:r w:rsidRPr="00651044">
        <w:rPr>
          <w:sz w:val="28"/>
          <w:szCs w:val="28"/>
        </w:rPr>
        <w:t>,</w:t>
      </w:r>
      <w:r w:rsidR="005E1C4C" w:rsidRPr="00651044">
        <w:rPr>
          <w:sz w:val="28"/>
          <w:szCs w:val="28"/>
        </w:rPr>
        <w:t>0</w:t>
      </w:r>
      <w:r w:rsidRPr="00651044">
        <w:rPr>
          <w:sz w:val="28"/>
          <w:szCs w:val="28"/>
        </w:rPr>
        <w:t xml:space="preserve"> mil. lei </w:t>
      </w:r>
      <w:r w:rsidR="00461ACA" w:rsidRPr="00651044">
        <w:rPr>
          <w:sz w:val="28"/>
          <w:szCs w:val="28"/>
        </w:rPr>
        <w:t>(</w:t>
      </w:r>
      <w:r w:rsidRPr="00651044">
        <w:rPr>
          <w:sz w:val="28"/>
          <w:szCs w:val="28"/>
        </w:rPr>
        <w:t>sau 20,3% din totalul activelor</w:t>
      </w:r>
      <w:r w:rsidR="005E1C4C" w:rsidRPr="00651044">
        <w:rPr>
          <w:sz w:val="28"/>
          <w:szCs w:val="28"/>
        </w:rPr>
        <w:t>), acestea fiind cu 601</w:t>
      </w:r>
      <w:r w:rsidR="00461ACA" w:rsidRPr="00651044">
        <w:rPr>
          <w:sz w:val="28"/>
          <w:szCs w:val="28"/>
        </w:rPr>
        <w:t>,</w:t>
      </w:r>
      <w:r w:rsidR="005E1C4C" w:rsidRPr="00651044">
        <w:rPr>
          <w:sz w:val="28"/>
          <w:szCs w:val="28"/>
        </w:rPr>
        <w:t>2</w:t>
      </w:r>
      <w:r w:rsidR="00461ACA" w:rsidRPr="00651044">
        <w:rPr>
          <w:sz w:val="28"/>
          <w:szCs w:val="28"/>
        </w:rPr>
        <w:t xml:space="preserve"> mil. lei mai mar</w:t>
      </w:r>
      <w:r w:rsidR="00CC6619" w:rsidRPr="00651044">
        <w:rPr>
          <w:sz w:val="28"/>
          <w:szCs w:val="28"/>
        </w:rPr>
        <w:t>i</w:t>
      </w:r>
      <w:r w:rsidR="00461ACA" w:rsidRPr="00651044">
        <w:rPr>
          <w:sz w:val="28"/>
          <w:szCs w:val="28"/>
        </w:rPr>
        <w:t xml:space="preserve"> în raport cu începutul perioadei analizate</w:t>
      </w:r>
      <w:r w:rsidR="00F33AF7" w:rsidRPr="00651044">
        <w:rPr>
          <w:sz w:val="28"/>
          <w:szCs w:val="28"/>
        </w:rPr>
        <w:t xml:space="preserve">. </w:t>
      </w:r>
    </w:p>
    <w:p w:rsidR="00F33AF7" w:rsidRPr="00651044" w:rsidRDefault="00763829" w:rsidP="00F16DD1">
      <w:pPr>
        <w:spacing w:line="26" w:lineRule="atLeast"/>
        <w:jc w:val="center"/>
        <w:rPr>
          <w:color w:val="FF0000"/>
          <w:sz w:val="28"/>
          <w:szCs w:val="28"/>
        </w:rPr>
      </w:pPr>
      <w:r>
        <w:rPr>
          <w:noProof/>
          <w:color w:val="FF0000"/>
          <w:sz w:val="28"/>
          <w:szCs w:val="28"/>
          <w:lang w:val="ru-RU"/>
        </w:rPr>
        <w:drawing>
          <wp:inline distT="0" distB="0" distL="0" distR="0">
            <wp:extent cx="2751455" cy="3268345"/>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F16DD1" w:rsidRPr="00651044">
        <w:rPr>
          <w:color w:val="FF0000"/>
          <w:sz w:val="28"/>
          <w:szCs w:val="28"/>
        </w:rPr>
        <w:t xml:space="preserve">    </w:t>
      </w:r>
      <w:r>
        <w:rPr>
          <w:noProof/>
          <w:color w:val="FF0000"/>
          <w:sz w:val="28"/>
          <w:szCs w:val="28"/>
          <w:lang w:val="ru-RU"/>
        </w:rPr>
        <w:drawing>
          <wp:inline distT="0" distB="0" distL="0" distR="0">
            <wp:extent cx="2751455" cy="3268345"/>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F16DD1" w:rsidRPr="00651044">
        <w:rPr>
          <w:color w:val="FF0000"/>
          <w:sz w:val="28"/>
          <w:szCs w:val="28"/>
        </w:rPr>
        <w:t xml:space="preserve">      </w:t>
      </w:r>
    </w:p>
    <w:p w:rsidR="00F33AF7" w:rsidRPr="00651044" w:rsidRDefault="00F16DD1" w:rsidP="00F33AF7">
      <w:pPr>
        <w:rPr>
          <w:b/>
          <w:i/>
          <w:sz w:val="20"/>
          <w:szCs w:val="20"/>
        </w:rPr>
      </w:pPr>
      <w:r w:rsidRPr="00651044">
        <w:rPr>
          <w:b/>
          <w:i/>
          <w:sz w:val="20"/>
          <w:szCs w:val="20"/>
        </w:rPr>
        <w:t xml:space="preserve">             </w:t>
      </w:r>
      <w:r w:rsidR="00F33AF7" w:rsidRPr="00651044">
        <w:rPr>
          <w:b/>
          <w:i/>
          <w:sz w:val="20"/>
          <w:szCs w:val="20"/>
        </w:rPr>
        <w:t xml:space="preserve">   Figura 2.1. Structura activelor fina</w:t>
      </w:r>
      <w:r w:rsidR="00F06C43" w:rsidRPr="00651044">
        <w:rPr>
          <w:b/>
          <w:i/>
          <w:sz w:val="20"/>
          <w:szCs w:val="20"/>
        </w:rPr>
        <w:t xml:space="preserve">nciare                        </w:t>
      </w:r>
      <w:r w:rsidR="00F33AF7" w:rsidRPr="00651044">
        <w:rPr>
          <w:b/>
          <w:i/>
          <w:sz w:val="20"/>
          <w:szCs w:val="20"/>
        </w:rPr>
        <w:t xml:space="preserve"> Figura 2.2. Structura activelor financiare</w:t>
      </w:r>
    </w:p>
    <w:p w:rsidR="00F33AF7" w:rsidRPr="00651044" w:rsidRDefault="00F16DD1" w:rsidP="00F33AF7">
      <w:pPr>
        <w:rPr>
          <w:b/>
          <w:i/>
          <w:sz w:val="20"/>
          <w:szCs w:val="20"/>
        </w:rPr>
      </w:pPr>
      <w:r w:rsidRPr="00651044">
        <w:rPr>
          <w:b/>
          <w:i/>
          <w:sz w:val="20"/>
          <w:szCs w:val="20"/>
        </w:rPr>
        <w:t xml:space="preserve">              </w:t>
      </w:r>
      <w:r w:rsidR="00F33AF7" w:rsidRPr="00651044">
        <w:rPr>
          <w:b/>
          <w:i/>
          <w:sz w:val="20"/>
          <w:szCs w:val="20"/>
        </w:rPr>
        <w:t xml:space="preserve">  ale între</w:t>
      </w:r>
      <w:r w:rsidRPr="00651044">
        <w:rPr>
          <w:b/>
          <w:i/>
          <w:sz w:val="20"/>
          <w:szCs w:val="20"/>
        </w:rPr>
        <w:t>prinderilor de stat la 01.01</w:t>
      </w:r>
      <w:r w:rsidR="00F33AF7" w:rsidRPr="00651044">
        <w:rPr>
          <w:b/>
          <w:i/>
          <w:sz w:val="20"/>
          <w:szCs w:val="20"/>
        </w:rPr>
        <w:t>.</w:t>
      </w:r>
      <w:r w:rsidRPr="00651044">
        <w:rPr>
          <w:b/>
          <w:i/>
          <w:sz w:val="20"/>
          <w:szCs w:val="20"/>
        </w:rPr>
        <w:t>2015</w:t>
      </w:r>
      <w:r w:rsidR="00F33AF7" w:rsidRPr="00651044">
        <w:rPr>
          <w:b/>
          <w:i/>
          <w:sz w:val="20"/>
          <w:szCs w:val="20"/>
        </w:rPr>
        <w:t xml:space="preserve">     </w:t>
      </w:r>
      <w:r w:rsidR="00F06C43" w:rsidRPr="00651044">
        <w:rPr>
          <w:b/>
          <w:i/>
          <w:sz w:val="20"/>
          <w:szCs w:val="20"/>
        </w:rPr>
        <w:t xml:space="preserve">                       </w:t>
      </w:r>
      <w:r w:rsidR="00F33AF7" w:rsidRPr="00651044">
        <w:rPr>
          <w:b/>
          <w:i/>
          <w:sz w:val="20"/>
          <w:szCs w:val="20"/>
        </w:rPr>
        <w:t>ale întreprinderilor de stat la 31.12.201</w:t>
      </w:r>
      <w:r w:rsidRPr="00651044">
        <w:rPr>
          <w:b/>
          <w:i/>
          <w:sz w:val="20"/>
          <w:szCs w:val="20"/>
        </w:rPr>
        <w:t>5</w:t>
      </w:r>
      <w:r w:rsidR="00F33AF7" w:rsidRPr="00651044">
        <w:rPr>
          <w:b/>
          <w:i/>
          <w:sz w:val="20"/>
          <w:szCs w:val="20"/>
        </w:rPr>
        <w:t xml:space="preserve">             </w:t>
      </w:r>
    </w:p>
    <w:p w:rsidR="006E6FE5" w:rsidRDefault="006E6FE5" w:rsidP="00F33AF7">
      <w:pPr>
        <w:spacing w:line="276" w:lineRule="auto"/>
        <w:ind w:firstLine="539"/>
        <w:jc w:val="both"/>
        <w:rPr>
          <w:sz w:val="28"/>
          <w:szCs w:val="28"/>
        </w:rPr>
      </w:pPr>
    </w:p>
    <w:p w:rsidR="00F33AF7" w:rsidRPr="00651044" w:rsidRDefault="00F33AF7" w:rsidP="00F33AF7">
      <w:pPr>
        <w:spacing w:line="276" w:lineRule="auto"/>
        <w:ind w:firstLine="539"/>
        <w:jc w:val="both"/>
        <w:rPr>
          <w:sz w:val="28"/>
          <w:szCs w:val="28"/>
        </w:rPr>
      </w:pPr>
      <w:r w:rsidRPr="00651044">
        <w:rPr>
          <w:sz w:val="28"/>
          <w:szCs w:val="28"/>
        </w:rPr>
        <w:t xml:space="preserve">Din datele diagramelor prezentate în figura 2.1 şi 2.2, se denotă că structura activelor financiare nu a suferit modificări esenţiale </w:t>
      </w:r>
      <w:r w:rsidR="002C0D98" w:rsidRPr="00651044">
        <w:rPr>
          <w:sz w:val="28"/>
          <w:szCs w:val="28"/>
        </w:rPr>
        <w:t>fa</w:t>
      </w:r>
      <w:r w:rsidR="00253020" w:rsidRPr="00651044">
        <w:rPr>
          <w:sz w:val="28"/>
          <w:szCs w:val="28"/>
        </w:rPr>
        <w:t>ţ</w:t>
      </w:r>
      <w:r w:rsidR="002C0D98" w:rsidRPr="00651044">
        <w:rPr>
          <w:sz w:val="28"/>
          <w:szCs w:val="28"/>
        </w:rPr>
        <w:t xml:space="preserve">ă de </w:t>
      </w:r>
      <w:r w:rsidR="00F06C43" w:rsidRPr="00651044">
        <w:rPr>
          <w:sz w:val="28"/>
          <w:szCs w:val="28"/>
        </w:rPr>
        <w:t>începutul</w:t>
      </w:r>
      <w:r w:rsidR="002C0D98" w:rsidRPr="00651044">
        <w:rPr>
          <w:sz w:val="28"/>
          <w:szCs w:val="28"/>
        </w:rPr>
        <w:t xml:space="preserve"> </w:t>
      </w:r>
      <w:r w:rsidR="00F06C43" w:rsidRPr="00651044">
        <w:rPr>
          <w:sz w:val="28"/>
          <w:szCs w:val="28"/>
        </w:rPr>
        <w:t>anului 2015</w:t>
      </w:r>
      <w:r w:rsidRPr="00651044">
        <w:rPr>
          <w:sz w:val="28"/>
          <w:szCs w:val="28"/>
        </w:rPr>
        <w:t xml:space="preserve">, ponderea majoritară revenind creanţelor </w:t>
      </w:r>
      <w:r w:rsidR="00621BB7" w:rsidRPr="00651044">
        <w:rPr>
          <w:sz w:val="28"/>
          <w:szCs w:val="28"/>
        </w:rPr>
        <w:t>c</w:t>
      </w:r>
      <w:r w:rsidR="00F06C43" w:rsidRPr="00651044">
        <w:rPr>
          <w:sz w:val="28"/>
          <w:szCs w:val="28"/>
        </w:rPr>
        <w:t>omerciale</w:t>
      </w:r>
      <w:r w:rsidR="00621BB7" w:rsidRPr="00651044">
        <w:rPr>
          <w:sz w:val="28"/>
          <w:szCs w:val="28"/>
        </w:rPr>
        <w:t xml:space="preserve"> – </w:t>
      </w:r>
      <w:r w:rsidR="00F06C43" w:rsidRPr="00651044">
        <w:rPr>
          <w:sz w:val="28"/>
          <w:szCs w:val="28"/>
        </w:rPr>
        <w:t>17,7%, cu 1,8</w:t>
      </w:r>
      <w:r w:rsidRPr="00651044">
        <w:rPr>
          <w:sz w:val="28"/>
          <w:szCs w:val="28"/>
        </w:rPr>
        <w:t xml:space="preserve"> p.p. mai </w:t>
      </w:r>
      <w:r w:rsidR="00F06C43" w:rsidRPr="00651044">
        <w:rPr>
          <w:sz w:val="28"/>
          <w:szCs w:val="28"/>
        </w:rPr>
        <w:t>mult dec</w:t>
      </w:r>
      <w:r w:rsidR="006E6FE5">
        <w:rPr>
          <w:sz w:val="28"/>
          <w:szCs w:val="28"/>
        </w:rPr>
        <w:t>î</w:t>
      </w:r>
      <w:r w:rsidRPr="00651044">
        <w:rPr>
          <w:sz w:val="28"/>
          <w:szCs w:val="28"/>
        </w:rPr>
        <w:t xml:space="preserve">t </w:t>
      </w:r>
      <w:r w:rsidR="00621BB7" w:rsidRPr="00651044">
        <w:rPr>
          <w:sz w:val="28"/>
          <w:szCs w:val="28"/>
        </w:rPr>
        <w:t xml:space="preserve">la </w:t>
      </w:r>
      <w:r w:rsidR="00F06C43" w:rsidRPr="00651044">
        <w:rPr>
          <w:sz w:val="28"/>
          <w:szCs w:val="28"/>
        </w:rPr>
        <w:t>începutul</w:t>
      </w:r>
      <w:r w:rsidR="00621BB7" w:rsidRPr="00651044">
        <w:rPr>
          <w:sz w:val="28"/>
          <w:szCs w:val="28"/>
        </w:rPr>
        <w:t xml:space="preserve"> </w:t>
      </w:r>
      <w:r w:rsidRPr="00651044">
        <w:rPr>
          <w:sz w:val="28"/>
          <w:szCs w:val="28"/>
        </w:rPr>
        <w:t>anul</w:t>
      </w:r>
      <w:r w:rsidR="00621BB7" w:rsidRPr="00651044">
        <w:rPr>
          <w:sz w:val="28"/>
          <w:szCs w:val="28"/>
        </w:rPr>
        <w:t>ui</w:t>
      </w:r>
      <w:r w:rsidRPr="00651044">
        <w:rPr>
          <w:sz w:val="28"/>
          <w:szCs w:val="28"/>
        </w:rPr>
        <w:t xml:space="preserve"> 201</w:t>
      </w:r>
      <w:r w:rsidR="00F06C43" w:rsidRPr="00651044">
        <w:rPr>
          <w:sz w:val="28"/>
          <w:szCs w:val="28"/>
        </w:rPr>
        <w:t>5</w:t>
      </w:r>
      <w:r w:rsidR="00621BB7" w:rsidRPr="00651044">
        <w:rPr>
          <w:sz w:val="28"/>
          <w:szCs w:val="28"/>
        </w:rPr>
        <w:t>. Totodată, o altă ponde</w:t>
      </w:r>
      <w:r w:rsidR="00F06C43" w:rsidRPr="00651044">
        <w:rPr>
          <w:sz w:val="28"/>
          <w:szCs w:val="28"/>
        </w:rPr>
        <w:t>re semnificativă (17,5</w:t>
      </w:r>
      <w:r w:rsidR="00621BB7" w:rsidRPr="00651044">
        <w:rPr>
          <w:sz w:val="28"/>
          <w:szCs w:val="28"/>
        </w:rPr>
        <w:t xml:space="preserve">%) s-a </w:t>
      </w:r>
      <w:r w:rsidR="00621BB7" w:rsidRPr="00651044">
        <w:rPr>
          <w:sz w:val="28"/>
          <w:szCs w:val="28"/>
        </w:rPr>
        <w:lastRenderedPageBreak/>
        <w:t xml:space="preserve">înregistrat la </w:t>
      </w:r>
      <w:r w:rsidR="00F06C43" w:rsidRPr="00651044">
        <w:rPr>
          <w:sz w:val="28"/>
          <w:szCs w:val="28"/>
        </w:rPr>
        <w:t>numerarul în casierie şi la conturi curente, ac</w:t>
      </w:r>
      <w:r w:rsidR="00AE562E" w:rsidRPr="00651044">
        <w:rPr>
          <w:sz w:val="28"/>
          <w:szCs w:val="28"/>
        </w:rPr>
        <w:t>easta fiind cu 0,8 p.p. mai mare</w:t>
      </w:r>
      <w:r w:rsidR="00F06C43" w:rsidRPr="00651044">
        <w:rPr>
          <w:sz w:val="28"/>
          <w:szCs w:val="28"/>
        </w:rPr>
        <w:t xml:space="preserve"> faţă de situaţia din 01.01.2015</w:t>
      </w:r>
      <w:r w:rsidR="00621BB7" w:rsidRPr="00651044">
        <w:rPr>
          <w:sz w:val="28"/>
          <w:szCs w:val="28"/>
        </w:rPr>
        <w:t xml:space="preserve">. De asemenea, </w:t>
      </w:r>
      <w:r w:rsidR="00F06C43" w:rsidRPr="00651044">
        <w:rPr>
          <w:sz w:val="28"/>
          <w:szCs w:val="28"/>
        </w:rPr>
        <w:t>creanţele pe termen lung constituie 15,5% din totalul activelor financiare, iar alte creanţe curente – 13,0 la sută</w:t>
      </w:r>
      <w:r w:rsidR="00621BB7" w:rsidRPr="00651044">
        <w:rPr>
          <w:sz w:val="28"/>
          <w:szCs w:val="28"/>
        </w:rPr>
        <w:t>.</w:t>
      </w:r>
      <w:r w:rsidRPr="00651044">
        <w:rPr>
          <w:sz w:val="28"/>
          <w:szCs w:val="28"/>
        </w:rPr>
        <w:t xml:space="preserve"> </w:t>
      </w:r>
    </w:p>
    <w:p w:rsidR="00F33AF7" w:rsidRPr="00651044" w:rsidRDefault="00F33AF7" w:rsidP="00F33AF7">
      <w:pPr>
        <w:spacing w:line="276" w:lineRule="auto"/>
        <w:ind w:firstLine="567"/>
        <w:jc w:val="both"/>
        <w:rPr>
          <w:sz w:val="28"/>
          <w:szCs w:val="28"/>
        </w:rPr>
      </w:pPr>
      <w:r w:rsidRPr="00651044">
        <w:rPr>
          <w:sz w:val="28"/>
          <w:szCs w:val="28"/>
        </w:rPr>
        <w:t xml:space="preserve">În partea ce ţine de </w:t>
      </w:r>
      <w:r w:rsidRPr="00651044">
        <w:rPr>
          <w:i/>
          <w:sz w:val="28"/>
          <w:szCs w:val="28"/>
        </w:rPr>
        <w:t>activele nefinanciare</w:t>
      </w:r>
      <w:r w:rsidRPr="00651044">
        <w:rPr>
          <w:sz w:val="28"/>
          <w:szCs w:val="28"/>
        </w:rPr>
        <w:t>, se menţionează că</w:t>
      </w:r>
      <w:r w:rsidR="00F06C43" w:rsidRPr="00651044">
        <w:rPr>
          <w:sz w:val="28"/>
          <w:szCs w:val="28"/>
        </w:rPr>
        <w:t xml:space="preserve"> acestea constituie 18 10</w:t>
      </w:r>
      <w:r w:rsidR="00D358AA" w:rsidRPr="00651044">
        <w:rPr>
          <w:sz w:val="28"/>
          <w:szCs w:val="28"/>
        </w:rPr>
        <w:t>0</w:t>
      </w:r>
      <w:r w:rsidR="00F06C43" w:rsidRPr="00651044">
        <w:rPr>
          <w:sz w:val="28"/>
          <w:szCs w:val="28"/>
        </w:rPr>
        <w:t>,</w:t>
      </w:r>
      <w:r w:rsidR="00D358AA" w:rsidRPr="00651044">
        <w:rPr>
          <w:sz w:val="28"/>
          <w:szCs w:val="28"/>
        </w:rPr>
        <w:t>7</w:t>
      </w:r>
      <w:r w:rsidR="00F06C43" w:rsidRPr="00651044">
        <w:rPr>
          <w:sz w:val="28"/>
          <w:szCs w:val="28"/>
        </w:rPr>
        <w:t xml:space="preserve"> mil. lei (sau</w:t>
      </w:r>
      <w:r w:rsidRPr="00651044">
        <w:rPr>
          <w:sz w:val="28"/>
          <w:szCs w:val="28"/>
        </w:rPr>
        <w:t xml:space="preserve"> </w:t>
      </w:r>
      <w:r w:rsidR="00461ACA" w:rsidRPr="00651044">
        <w:rPr>
          <w:sz w:val="28"/>
          <w:szCs w:val="28"/>
        </w:rPr>
        <w:t xml:space="preserve">79,7%), cu 1 484,6 mil. lei mai mult faţă de începutul anului 2015. </w:t>
      </w:r>
    </w:p>
    <w:p w:rsidR="0025077D" w:rsidRPr="00651044" w:rsidRDefault="00763829" w:rsidP="0025077D">
      <w:pPr>
        <w:spacing w:line="26" w:lineRule="atLeast"/>
        <w:jc w:val="center"/>
        <w:rPr>
          <w:color w:val="FF0000"/>
          <w:sz w:val="28"/>
          <w:szCs w:val="28"/>
        </w:rPr>
      </w:pPr>
      <w:r>
        <w:rPr>
          <w:noProof/>
          <w:color w:val="FF0000"/>
          <w:sz w:val="28"/>
          <w:szCs w:val="28"/>
          <w:lang w:val="ru-RU"/>
        </w:rPr>
        <w:drawing>
          <wp:inline distT="0" distB="0" distL="0" distR="0">
            <wp:extent cx="2760345" cy="2768600"/>
            <wp:effectExtent l="0" t="0" r="0"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25077D" w:rsidRPr="00651044">
        <w:rPr>
          <w:color w:val="FF0000"/>
          <w:sz w:val="28"/>
          <w:szCs w:val="28"/>
        </w:rPr>
        <w:t xml:space="preserve">     </w:t>
      </w:r>
      <w:r>
        <w:rPr>
          <w:noProof/>
          <w:color w:val="FF0000"/>
          <w:sz w:val="28"/>
          <w:szCs w:val="28"/>
          <w:lang w:val="ru-RU"/>
        </w:rPr>
        <w:drawing>
          <wp:inline distT="0" distB="0" distL="0" distR="0">
            <wp:extent cx="2760345" cy="2768600"/>
            <wp:effectExtent l="0" t="0" r="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25077D" w:rsidRPr="00651044">
        <w:rPr>
          <w:color w:val="FF0000"/>
          <w:sz w:val="28"/>
          <w:szCs w:val="28"/>
        </w:rPr>
        <w:t xml:space="preserve">              </w:t>
      </w:r>
    </w:p>
    <w:p w:rsidR="00F33AF7" w:rsidRPr="00651044" w:rsidRDefault="00F33AF7" w:rsidP="00F33AF7">
      <w:pPr>
        <w:rPr>
          <w:b/>
          <w:i/>
          <w:sz w:val="20"/>
          <w:szCs w:val="20"/>
        </w:rPr>
      </w:pPr>
      <w:r w:rsidRPr="00651044">
        <w:rPr>
          <w:b/>
          <w:color w:val="FF0000"/>
        </w:rPr>
        <w:t xml:space="preserve">              </w:t>
      </w:r>
      <w:r w:rsidRPr="00651044">
        <w:rPr>
          <w:b/>
          <w:i/>
          <w:sz w:val="20"/>
          <w:szCs w:val="20"/>
        </w:rPr>
        <w:t>Figura 2.3. Structura activelor nefinanciare                    Figura 2.4. Structura activelor nefinanciare</w:t>
      </w:r>
    </w:p>
    <w:p w:rsidR="00F33AF7" w:rsidRPr="00651044" w:rsidRDefault="00F33AF7" w:rsidP="00F33AF7">
      <w:pPr>
        <w:ind w:firstLine="540"/>
        <w:jc w:val="both"/>
        <w:rPr>
          <w:b/>
          <w:i/>
          <w:sz w:val="20"/>
          <w:szCs w:val="20"/>
        </w:rPr>
      </w:pPr>
      <w:r w:rsidRPr="00651044">
        <w:rPr>
          <w:b/>
          <w:i/>
          <w:sz w:val="20"/>
          <w:szCs w:val="20"/>
        </w:rPr>
        <w:t xml:space="preserve">        ale întreprinderilor de stat la </w:t>
      </w:r>
      <w:r w:rsidR="0025077D" w:rsidRPr="00651044">
        <w:rPr>
          <w:b/>
          <w:i/>
          <w:sz w:val="20"/>
          <w:szCs w:val="20"/>
        </w:rPr>
        <w:t>01.01.2015</w:t>
      </w:r>
      <w:r w:rsidRPr="00651044">
        <w:rPr>
          <w:b/>
          <w:i/>
          <w:sz w:val="20"/>
          <w:szCs w:val="20"/>
        </w:rPr>
        <w:t xml:space="preserve">                         ale întreprinderilor de stat la 31.12.201</w:t>
      </w:r>
      <w:r w:rsidR="0025077D" w:rsidRPr="00651044">
        <w:rPr>
          <w:b/>
          <w:i/>
          <w:sz w:val="20"/>
          <w:szCs w:val="20"/>
        </w:rPr>
        <w:t>5</w:t>
      </w:r>
    </w:p>
    <w:p w:rsidR="00F33AF7" w:rsidRPr="00651044" w:rsidRDefault="00F33AF7" w:rsidP="006E6FE5">
      <w:pPr>
        <w:pStyle w:val="BodyTextIndent"/>
        <w:ind w:firstLine="539"/>
        <w:jc w:val="both"/>
        <w:rPr>
          <w:b w:val="0"/>
          <w:i w:val="0"/>
          <w:color w:val="FF0000"/>
          <w:sz w:val="28"/>
          <w:szCs w:val="28"/>
        </w:rPr>
      </w:pPr>
    </w:p>
    <w:p w:rsidR="00F33AF7" w:rsidRPr="00651044" w:rsidRDefault="00F33AF7" w:rsidP="00F33AF7">
      <w:pPr>
        <w:spacing w:line="276" w:lineRule="auto"/>
        <w:ind w:firstLine="540"/>
        <w:jc w:val="both"/>
        <w:rPr>
          <w:sz w:val="28"/>
          <w:szCs w:val="28"/>
        </w:rPr>
      </w:pPr>
      <w:r w:rsidRPr="00651044">
        <w:rPr>
          <w:sz w:val="28"/>
          <w:szCs w:val="28"/>
        </w:rPr>
        <w:t>Ast</w:t>
      </w:r>
      <w:r w:rsidR="00461ACA" w:rsidRPr="00651044">
        <w:rPr>
          <w:sz w:val="28"/>
          <w:szCs w:val="28"/>
        </w:rPr>
        <w:t>fel, la finele anului 2015</w:t>
      </w:r>
      <w:r w:rsidRPr="00651044">
        <w:rPr>
          <w:sz w:val="28"/>
          <w:szCs w:val="28"/>
        </w:rPr>
        <w:t xml:space="preserve">, </w:t>
      </w:r>
      <w:r w:rsidR="00461ACA" w:rsidRPr="00651044">
        <w:rPr>
          <w:sz w:val="28"/>
          <w:szCs w:val="28"/>
        </w:rPr>
        <w:t>mijloacele fixe</w:t>
      </w:r>
      <w:r w:rsidRPr="00651044">
        <w:rPr>
          <w:sz w:val="28"/>
          <w:szCs w:val="28"/>
        </w:rPr>
        <w:t xml:space="preserve"> continuă să deţină ponderea majoritară în t</w:t>
      </w:r>
      <w:r w:rsidR="008F378D" w:rsidRPr="00651044">
        <w:rPr>
          <w:sz w:val="28"/>
          <w:szCs w:val="28"/>
        </w:rPr>
        <w:t>otal ac</w:t>
      </w:r>
      <w:r w:rsidR="00461ACA" w:rsidRPr="00651044">
        <w:rPr>
          <w:sz w:val="28"/>
          <w:szCs w:val="28"/>
        </w:rPr>
        <w:t>tive nefinanciare – 65,3</w:t>
      </w:r>
      <w:r w:rsidR="00DE7DED" w:rsidRPr="00651044">
        <w:rPr>
          <w:sz w:val="28"/>
          <w:szCs w:val="28"/>
        </w:rPr>
        <w:t xml:space="preserve"> la sută</w:t>
      </w:r>
      <w:r w:rsidRPr="00651044">
        <w:rPr>
          <w:sz w:val="28"/>
          <w:szCs w:val="28"/>
        </w:rPr>
        <w:t xml:space="preserve">. </w:t>
      </w:r>
      <w:r w:rsidR="00AE562E" w:rsidRPr="00651044">
        <w:rPr>
          <w:sz w:val="28"/>
          <w:szCs w:val="28"/>
        </w:rPr>
        <w:t xml:space="preserve">Totodată, imobilizările </w:t>
      </w:r>
      <w:r w:rsidR="00461ACA" w:rsidRPr="00651044">
        <w:rPr>
          <w:sz w:val="28"/>
          <w:szCs w:val="28"/>
        </w:rPr>
        <w:t>corporale în curs de execuţie reprezintă 20,4% din cuantumul total al activelor nefinanciare, cu 0,7 p.p. mai mult faţă de începutul anului 2015. În acelaşi timp, materialele şi terenurile reprezintă a c</w:t>
      </w:r>
      <w:r w:rsidR="006E6FE5">
        <w:rPr>
          <w:sz w:val="28"/>
          <w:szCs w:val="28"/>
        </w:rPr>
        <w:t>î</w:t>
      </w:r>
      <w:r w:rsidR="00461ACA" w:rsidRPr="00651044">
        <w:rPr>
          <w:sz w:val="28"/>
          <w:szCs w:val="28"/>
        </w:rPr>
        <w:t>te 3,7% din cuantumul total al activelor nefinanciare ale întreprinderilor de stat.</w:t>
      </w:r>
    </w:p>
    <w:p w:rsidR="008E5EFC" w:rsidRPr="00651044" w:rsidRDefault="008E5EFC" w:rsidP="008E5EFC">
      <w:pPr>
        <w:spacing w:line="276" w:lineRule="auto"/>
        <w:ind w:firstLine="567"/>
        <w:jc w:val="both"/>
        <w:rPr>
          <w:sz w:val="28"/>
          <w:szCs w:val="28"/>
        </w:rPr>
      </w:pPr>
      <w:r w:rsidRPr="00651044">
        <w:rPr>
          <w:sz w:val="28"/>
          <w:szCs w:val="28"/>
        </w:rPr>
        <w:t xml:space="preserve">De asemenea, menţionăm că </w:t>
      </w:r>
      <w:r w:rsidRPr="00651044">
        <w:rPr>
          <w:i/>
          <w:sz w:val="28"/>
          <w:szCs w:val="28"/>
        </w:rPr>
        <w:t xml:space="preserve">raportul dintre pierderea netă înregistrată de către întreprinderile de stat </w:t>
      </w:r>
      <w:r w:rsidR="00AE562E" w:rsidRPr="00651044">
        <w:rPr>
          <w:i/>
          <w:sz w:val="28"/>
          <w:szCs w:val="28"/>
        </w:rPr>
        <w:t>în anul</w:t>
      </w:r>
      <w:r w:rsidRPr="00651044">
        <w:rPr>
          <w:i/>
          <w:sz w:val="28"/>
          <w:szCs w:val="28"/>
        </w:rPr>
        <w:t xml:space="preserve"> 2015 şi valoarea </w:t>
      </w:r>
      <w:r w:rsidR="00AE562E" w:rsidRPr="00651044">
        <w:rPr>
          <w:i/>
          <w:sz w:val="28"/>
          <w:szCs w:val="28"/>
        </w:rPr>
        <w:t xml:space="preserve">medie a </w:t>
      </w:r>
      <w:r w:rsidRPr="00651044">
        <w:rPr>
          <w:i/>
          <w:sz w:val="28"/>
          <w:szCs w:val="28"/>
        </w:rPr>
        <w:t>activelor</w:t>
      </w:r>
      <w:r w:rsidRPr="00651044">
        <w:rPr>
          <w:sz w:val="28"/>
          <w:szCs w:val="28"/>
        </w:rPr>
        <w:t xml:space="preserve"> acestora a constituit per ansamblu </w:t>
      </w:r>
      <w:r w:rsidR="00AE562E" w:rsidRPr="00651044">
        <w:rPr>
          <w:sz w:val="28"/>
          <w:szCs w:val="28"/>
        </w:rPr>
        <w:t>(-3,3</w:t>
      </w:r>
      <w:r w:rsidRPr="00651044">
        <w:rPr>
          <w:sz w:val="28"/>
          <w:szCs w:val="28"/>
        </w:rPr>
        <w:t xml:space="preserve">)%, ceea ce semnifică faptul că la 1 leu active, </w:t>
      </w:r>
      <w:r w:rsidR="00AE562E" w:rsidRPr="00651044">
        <w:rPr>
          <w:sz w:val="28"/>
          <w:szCs w:val="28"/>
        </w:rPr>
        <w:t xml:space="preserve">în anul </w:t>
      </w:r>
      <w:r w:rsidRPr="00651044">
        <w:rPr>
          <w:sz w:val="28"/>
          <w:szCs w:val="28"/>
        </w:rPr>
        <w:t>2015, s-a</w:t>
      </w:r>
      <w:r w:rsidR="00CC6619" w:rsidRPr="00651044">
        <w:rPr>
          <w:sz w:val="28"/>
          <w:szCs w:val="28"/>
        </w:rPr>
        <w:t>u</w:t>
      </w:r>
      <w:r w:rsidRPr="00651044">
        <w:rPr>
          <w:sz w:val="28"/>
          <w:szCs w:val="28"/>
        </w:rPr>
        <w:t xml:space="preserve"> obţinut </w:t>
      </w:r>
      <w:r w:rsidR="00AE562E" w:rsidRPr="00651044">
        <w:rPr>
          <w:sz w:val="28"/>
          <w:szCs w:val="28"/>
        </w:rPr>
        <w:t>3,3</w:t>
      </w:r>
      <w:r w:rsidRPr="00651044">
        <w:rPr>
          <w:sz w:val="28"/>
          <w:szCs w:val="28"/>
        </w:rPr>
        <w:t xml:space="preserve"> bani pierdere netă. </w:t>
      </w:r>
    </w:p>
    <w:p w:rsidR="009C2FDD" w:rsidRPr="00651044" w:rsidRDefault="00F33AF7" w:rsidP="00DE7DED">
      <w:pPr>
        <w:pStyle w:val="BodyTextIndent"/>
        <w:spacing w:line="276" w:lineRule="auto"/>
        <w:ind w:firstLine="539"/>
        <w:jc w:val="both"/>
        <w:rPr>
          <w:b w:val="0"/>
          <w:i w:val="0"/>
          <w:sz w:val="28"/>
          <w:szCs w:val="28"/>
        </w:rPr>
      </w:pPr>
      <w:r w:rsidRPr="00651044">
        <w:rPr>
          <w:b w:val="0"/>
          <w:i w:val="0"/>
          <w:sz w:val="28"/>
          <w:szCs w:val="28"/>
        </w:rPr>
        <w:t>Patrimoniul net</w:t>
      </w:r>
      <w:r w:rsidR="00AE562E" w:rsidRPr="00651044">
        <w:rPr>
          <w:b w:val="0"/>
          <w:i w:val="0"/>
          <w:sz w:val="28"/>
          <w:szCs w:val="28"/>
        </w:rPr>
        <w:t xml:space="preserve"> (capitalul propriu)</w:t>
      </w:r>
      <w:r w:rsidRPr="00651044">
        <w:rPr>
          <w:b w:val="0"/>
          <w:i w:val="0"/>
          <w:sz w:val="28"/>
          <w:szCs w:val="28"/>
        </w:rPr>
        <w:t xml:space="preserve"> al întreprinderilor de stat, </w:t>
      </w:r>
      <w:r w:rsidR="008F378D" w:rsidRPr="00651044">
        <w:rPr>
          <w:b w:val="0"/>
          <w:i w:val="0"/>
          <w:sz w:val="28"/>
          <w:szCs w:val="28"/>
        </w:rPr>
        <w:t>înregistrat la finele anului 201</w:t>
      </w:r>
      <w:r w:rsidR="00EB0B0C" w:rsidRPr="00651044">
        <w:rPr>
          <w:b w:val="0"/>
          <w:i w:val="0"/>
          <w:sz w:val="28"/>
          <w:szCs w:val="28"/>
        </w:rPr>
        <w:t>5</w:t>
      </w:r>
      <w:r w:rsidRPr="00651044">
        <w:rPr>
          <w:b w:val="0"/>
          <w:i w:val="0"/>
          <w:sz w:val="28"/>
          <w:szCs w:val="28"/>
        </w:rPr>
        <w:t>,</w:t>
      </w:r>
      <w:r w:rsidR="008F378D" w:rsidRPr="00651044">
        <w:rPr>
          <w:b w:val="0"/>
          <w:i w:val="0"/>
          <w:sz w:val="28"/>
          <w:szCs w:val="28"/>
        </w:rPr>
        <w:t xml:space="preserve"> a constituit</w:t>
      </w:r>
      <w:r w:rsidRPr="00651044">
        <w:rPr>
          <w:b w:val="0"/>
          <w:i w:val="0"/>
          <w:sz w:val="28"/>
          <w:szCs w:val="28"/>
        </w:rPr>
        <w:t xml:space="preserve"> </w:t>
      </w:r>
      <w:r w:rsidR="00183466" w:rsidRPr="00651044">
        <w:rPr>
          <w:b w:val="0"/>
          <w:i w:val="0"/>
          <w:sz w:val="28"/>
          <w:szCs w:val="28"/>
        </w:rPr>
        <w:t>14 873,6</w:t>
      </w:r>
      <w:r w:rsidR="00A473C7" w:rsidRPr="00651044">
        <w:rPr>
          <w:b w:val="0"/>
          <w:i w:val="0"/>
          <w:sz w:val="28"/>
          <w:szCs w:val="28"/>
        </w:rPr>
        <w:t xml:space="preserve"> mil. lei</w:t>
      </w:r>
      <w:r w:rsidR="00EB0B0C" w:rsidRPr="00651044">
        <w:rPr>
          <w:b w:val="0"/>
          <w:i w:val="0"/>
          <w:sz w:val="28"/>
          <w:szCs w:val="28"/>
        </w:rPr>
        <w:t>,</w:t>
      </w:r>
      <w:r w:rsidRPr="00651044">
        <w:rPr>
          <w:b w:val="0"/>
          <w:i w:val="0"/>
          <w:sz w:val="28"/>
          <w:szCs w:val="28"/>
        </w:rPr>
        <w:t xml:space="preserve"> valoarea </w:t>
      </w:r>
      <w:r w:rsidR="00EB0B0C" w:rsidRPr="00651044">
        <w:rPr>
          <w:b w:val="0"/>
          <w:i w:val="0"/>
          <w:sz w:val="28"/>
          <w:szCs w:val="28"/>
        </w:rPr>
        <w:t>acestuia major</w:t>
      </w:r>
      <w:r w:rsidR="006E6FE5">
        <w:rPr>
          <w:b w:val="0"/>
          <w:i w:val="0"/>
          <w:sz w:val="28"/>
          <w:szCs w:val="28"/>
        </w:rPr>
        <w:t>î</w:t>
      </w:r>
      <w:r w:rsidR="00EB0B0C" w:rsidRPr="00651044">
        <w:rPr>
          <w:b w:val="0"/>
          <w:i w:val="0"/>
          <w:sz w:val="28"/>
          <w:szCs w:val="28"/>
        </w:rPr>
        <w:t>ndu-se</w:t>
      </w:r>
      <w:r w:rsidRPr="00651044">
        <w:rPr>
          <w:b w:val="0"/>
          <w:i w:val="0"/>
          <w:sz w:val="28"/>
          <w:szCs w:val="28"/>
        </w:rPr>
        <w:t xml:space="preserve"> cu</w:t>
      </w:r>
      <w:r w:rsidR="00DE46B9" w:rsidRPr="00651044">
        <w:rPr>
          <w:b w:val="0"/>
          <w:i w:val="0"/>
          <w:sz w:val="28"/>
          <w:szCs w:val="28"/>
        </w:rPr>
        <w:t xml:space="preserve">        </w:t>
      </w:r>
      <w:r w:rsidRPr="00651044">
        <w:rPr>
          <w:b w:val="0"/>
          <w:i w:val="0"/>
          <w:sz w:val="28"/>
          <w:szCs w:val="28"/>
        </w:rPr>
        <w:t xml:space="preserve"> </w:t>
      </w:r>
      <w:r w:rsidR="00EB0B0C" w:rsidRPr="00651044">
        <w:rPr>
          <w:b w:val="0"/>
          <w:i w:val="0"/>
          <w:sz w:val="28"/>
          <w:szCs w:val="28"/>
        </w:rPr>
        <w:t>54</w:t>
      </w:r>
      <w:r w:rsidR="00183466" w:rsidRPr="00651044">
        <w:rPr>
          <w:b w:val="0"/>
          <w:i w:val="0"/>
          <w:sz w:val="28"/>
          <w:szCs w:val="28"/>
        </w:rPr>
        <w:t>2</w:t>
      </w:r>
      <w:r w:rsidR="00EB0B0C" w:rsidRPr="00651044">
        <w:rPr>
          <w:b w:val="0"/>
          <w:i w:val="0"/>
          <w:sz w:val="28"/>
          <w:szCs w:val="28"/>
        </w:rPr>
        <w:t>,</w:t>
      </w:r>
      <w:r w:rsidR="00183466" w:rsidRPr="00651044">
        <w:rPr>
          <w:b w:val="0"/>
          <w:i w:val="0"/>
          <w:sz w:val="28"/>
          <w:szCs w:val="28"/>
        </w:rPr>
        <w:t>3</w:t>
      </w:r>
      <w:r w:rsidRPr="00651044">
        <w:rPr>
          <w:b w:val="0"/>
          <w:i w:val="0"/>
          <w:sz w:val="28"/>
          <w:szCs w:val="28"/>
        </w:rPr>
        <w:t xml:space="preserve"> mil. lei</w:t>
      </w:r>
      <w:r w:rsidR="00EB0B0C" w:rsidRPr="00651044">
        <w:rPr>
          <w:b w:val="0"/>
          <w:i w:val="0"/>
          <w:sz w:val="28"/>
          <w:szCs w:val="28"/>
        </w:rPr>
        <w:t xml:space="preserve"> faţă de situaţia de la începutul anului analizat</w:t>
      </w:r>
      <w:r w:rsidRPr="00651044">
        <w:rPr>
          <w:b w:val="0"/>
          <w:i w:val="0"/>
          <w:sz w:val="28"/>
          <w:szCs w:val="28"/>
        </w:rPr>
        <w:t xml:space="preserve">. </w:t>
      </w:r>
    </w:p>
    <w:p w:rsidR="00CC6619" w:rsidRPr="00651044" w:rsidRDefault="00353504" w:rsidP="00CC6619">
      <w:pPr>
        <w:pStyle w:val="BodyTextIndent"/>
        <w:spacing w:line="276" w:lineRule="auto"/>
        <w:ind w:firstLine="539"/>
        <w:jc w:val="both"/>
        <w:rPr>
          <w:b w:val="0"/>
          <w:i w:val="0"/>
          <w:sz w:val="28"/>
          <w:szCs w:val="28"/>
        </w:rPr>
      </w:pPr>
      <w:r w:rsidRPr="00651044">
        <w:rPr>
          <w:b w:val="0"/>
          <w:i w:val="0"/>
          <w:sz w:val="28"/>
          <w:szCs w:val="28"/>
        </w:rPr>
        <w:t>E de re</w:t>
      </w:r>
      <w:r w:rsidR="00674E12" w:rsidRPr="00651044">
        <w:rPr>
          <w:b w:val="0"/>
          <w:i w:val="0"/>
          <w:sz w:val="28"/>
          <w:szCs w:val="28"/>
        </w:rPr>
        <w:t>marcat că, la finele anului 2015</w:t>
      </w:r>
      <w:r w:rsidRPr="00651044">
        <w:rPr>
          <w:b w:val="0"/>
          <w:i w:val="0"/>
          <w:sz w:val="28"/>
          <w:szCs w:val="28"/>
        </w:rPr>
        <w:t xml:space="preserve">, capitalul social </w:t>
      </w:r>
      <w:r w:rsidR="00253020" w:rsidRPr="00651044">
        <w:rPr>
          <w:b w:val="0"/>
          <w:i w:val="0"/>
          <w:sz w:val="28"/>
          <w:szCs w:val="28"/>
        </w:rPr>
        <w:t>ş</w:t>
      </w:r>
      <w:r w:rsidRPr="00651044">
        <w:rPr>
          <w:b w:val="0"/>
          <w:i w:val="0"/>
          <w:sz w:val="28"/>
          <w:szCs w:val="28"/>
        </w:rPr>
        <w:t xml:space="preserve">i suplimentar al întreprinderilor de stat a constituit </w:t>
      </w:r>
      <w:r w:rsidR="00183466" w:rsidRPr="00651044">
        <w:rPr>
          <w:b w:val="0"/>
          <w:i w:val="0"/>
          <w:sz w:val="28"/>
          <w:szCs w:val="28"/>
        </w:rPr>
        <w:t>6 225</w:t>
      </w:r>
      <w:r w:rsidR="00674E12" w:rsidRPr="00651044">
        <w:rPr>
          <w:b w:val="0"/>
          <w:i w:val="0"/>
          <w:sz w:val="28"/>
          <w:szCs w:val="28"/>
        </w:rPr>
        <w:t>,</w:t>
      </w:r>
      <w:r w:rsidR="00183466" w:rsidRPr="00651044">
        <w:rPr>
          <w:b w:val="0"/>
          <w:i w:val="0"/>
          <w:sz w:val="28"/>
          <w:szCs w:val="28"/>
        </w:rPr>
        <w:t>9</w:t>
      </w:r>
      <w:r w:rsidRPr="00651044">
        <w:rPr>
          <w:b w:val="0"/>
          <w:i w:val="0"/>
          <w:sz w:val="28"/>
          <w:szCs w:val="28"/>
        </w:rPr>
        <w:t xml:space="preserve"> mil. lei, rezervele – </w:t>
      </w:r>
      <w:r w:rsidR="00183466" w:rsidRPr="00651044">
        <w:rPr>
          <w:b w:val="0"/>
          <w:i w:val="0"/>
          <w:sz w:val="28"/>
          <w:szCs w:val="28"/>
        </w:rPr>
        <w:t>6 929,2</w:t>
      </w:r>
      <w:r w:rsidRPr="00651044">
        <w:rPr>
          <w:b w:val="0"/>
          <w:i w:val="0"/>
          <w:sz w:val="28"/>
          <w:szCs w:val="28"/>
        </w:rPr>
        <w:t xml:space="preserve"> mil. lei, iar </w:t>
      </w:r>
      <w:r w:rsidR="00674E12" w:rsidRPr="00651044">
        <w:rPr>
          <w:b w:val="0"/>
          <w:i w:val="0"/>
          <w:sz w:val="28"/>
          <w:szCs w:val="28"/>
        </w:rPr>
        <w:t>valoarea altor elemente de capital propriu</w:t>
      </w:r>
      <w:r w:rsidRPr="00651044">
        <w:rPr>
          <w:b w:val="0"/>
          <w:i w:val="0"/>
          <w:sz w:val="28"/>
          <w:szCs w:val="28"/>
        </w:rPr>
        <w:t xml:space="preserve"> – </w:t>
      </w:r>
      <w:r w:rsidR="006770A1" w:rsidRPr="00651044">
        <w:rPr>
          <w:b w:val="0"/>
          <w:i w:val="0"/>
          <w:sz w:val="28"/>
          <w:szCs w:val="28"/>
        </w:rPr>
        <w:t>1 579,3</w:t>
      </w:r>
      <w:r w:rsidRPr="00651044">
        <w:rPr>
          <w:b w:val="0"/>
          <w:i w:val="0"/>
          <w:sz w:val="28"/>
          <w:szCs w:val="28"/>
        </w:rPr>
        <w:t xml:space="preserve"> mil. lei. Pe parcursul anului 201</w:t>
      </w:r>
      <w:r w:rsidR="00674E12" w:rsidRPr="00651044">
        <w:rPr>
          <w:b w:val="0"/>
          <w:i w:val="0"/>
          <w:sz w:val="28"/>
          <w:szCs w:val="28"/>
        </w:rPr>
        <w:t>5, au fost înregistrate</w:t>
      </w:r>
      <w:r w:rsidRPr="00651044">
        <w:rPr>
          <w:b w:val="0"/>
          <w:i w:val="0"/>
          <w:sz w:val="28"/>
          <w:szCs w:val="28"/>
        </w:rPr>
        <w:t xml:space="preserve"> corec</w:t>
      </w:r>
      <w:r w:rsidR="00253020" w:rsidRPr="00651044">
        <w:rPr>
          <w:b w:val="0"/>
          <w:i w:val="0"/>
          <w:sz w:val="28"/>
          <w:szCs w:val="28"/>
        </w:rPr>
        <w:t>ţ</w:t>
      </w:r>
      <w:r w:rsidRPr="00651044">
        <w:rPr>
          <w:b w:val="0"/>
          <w:i w:val="0"/>
          <w:sz w:val="28"/>
          <w:szCs w:val="28"/>
        </w:rPr>
        <w:t xml:space="preserve">ii </w:t>
      </w:r>
      <w:r w:rsidR="00AE562E" w:rsidRPr="00651044">
        <w:rPr>
          <w:b w:val="0"/>
          <w:i w:val="0"/>
          <w:sz w:val="28"/>
          <w:szCs w:val="28"/>
        </w:rPr>
        <w:t>nefavorabile</w:t>
      </w:r>
      <w:r w:rsidR="00674E12" w:rsidRPr="00651044">
        <w:rPr>
          <w:b w:val="0"/>
          <w:i w:val="0"/>
          <w:sz w:val="28"/>
          <w:szCs w:val="28"/>
        </w:rPr>
        <w:t xml:space="preserve"> </w:t>
      </w:r>
      <w:r w:rsidRPr="00651044">
        <w:rPr>
          <w:b w:val="0"/>
          <w:i w:val="0"/>
          <w:sz w:val="28"/>
          <w:szCs w:val="28"/>
        </w:rPr>
        <w:t>ale rezultatelor anilor preceden</w:t>
      </w:r>
      <w:r w:rsidR="00253020" w:rsidRPr="00651044">
        <w:rPr>
          <w:b w:val="0"/>
          <w:i w:val="0"/>
          <w:sz w:val="28"/>
          <w:szCs w:val="28"/>
        </w:rPr>
        <w:t>ţ</w:t>
      </w:r>
      <w:r w:rsidR="00674E12" w:rsidRPr="00651044">
        <w:rPr>
          <w:b w:val="0"/>
          <w:i w:val="0"/>
          <w:sz w:val="28"/>
          <w:szCs w:val="28"/>
        </w:rPr>
        <w:t>i în mărime de 13,4</w:t>
      </w:r>
      <w:r w:rsidRPr="00651044">
        <w:rPr>
          <w:b w:val="0"/>
          <w:i w:val="0"/>
          <w:sz w:val="28"/>
          <w:szCs w:val="28"/>
        </w:rPr>
        <w:t xml:space="preserve"> mil. lei,</w:t>
      </w:r>
      <w:r w:rsidR="00674E12" w:rsidRPr="00651044">
        <w:rPr>
          <w:b w:val="0"/>
          <w:i w:val="0"/>
          <w:sz w:val="28"/>
          <w:szCs w:val="28"/>
        </w:rPr>
        <w:t xml:space="preserve"> iar</w:t>
      </w:r>
      <w:r w:rsidRPr="00651044">
        <w:rPr>
          <w:b w:val="0"/>
          <w:i w:val="0"/>
          <w:sz w:val="28"/>
          <w:szCs w:val="28"/>
        </w:rPr>
        <w:t xml:space="preserve"> profitul nerepartizat al anilor preceden</w:t>
      </w:r>
      <w:r w:rsidR="00253020" w:rsidRPr="00651044">
        <w:rPr>
          <w:b w:val="0"/>
          <w:i w:val="0"/>
          <w:sz w:val="28"/>
          <w:szCs w:val="28"/>
        </w:rPr>
        <w:t>ţ</w:t>
      </w:r>
      <w:r w:rsidRPr="00651044">
        <w:rPr>
          <w:b w:val="0"/>
          <w:i w:val="0"/>
          <w:sz w:val="28"/>
          <w:szCs w:val="28"/>
        </w:rPr>
        <w:t xml:space="preserve">i a constituit </w:t>
      </w:r>
      <w:r w:rsidR="00183466" w:rsidRPr="00651044">
        <w:rPr>
          <w:b w:val="0"/>
          <w:i w:val="0"/>
          <w:sz w:val="28"/>
          <w:szCs w:val="28"/>
        </w:rPr>
        <w:t>873,4</w:t>
      </w:r>
      <w:r w:rsidR="00674E12" w:rsidRPr="00651044">
        <w:rPr>
          <w:b w:val="0"/>
          <w:i w:val="0"/>
          <w:sz w:val="28"/>
          <w:szCs w:val="28"/>
        </w:rPr>
        <w:t xml:space="preserve"> mil. lei.</w:t>
      </w:r>
    </w:p>
    <w:p w:rsidR="00353504" w:rsidRPr="00651044" w:rsidRDefault="00674E12" w:rsidP="00CC6619">
      <w:pPr>
        <w:pStyle w:val="BodyTextIndent"/>
        <w:spacing w:line="276" w:lineRule="auto"/>
        <w:ind w:firstLine="539"/>
        <w:jc w:val="both"/>
        <w:rPr>
          <w:b w:val="0"/>
          <w:i w:val="0"/>
          <w:sz w:val="28"/>
          <w:szCs w:val="28"/>
        </w:rPr>
      </w:pPr>
      <w:r w:rsidRPr="00651044">
        <w:rPr>
          <w:b w:val="0"/>
          <w:i w:val="0"/>
          <w:sz w:val="28"/>
          <w:szCs w:val="28"/>
        </w:rPr>
        <w:lastRenderedPageBreak/>
        <w:t xml:space="preserve">Totodată, </w:t>
      </w:r>
      <w:r w:rsidR="00353504" w:rsidRPr="00651044">
        <w:rPr>
          <w:b w:val="0"/>
          <w:i w:val="0"/>
          <w:sz w:val="28"/>
          <w:szCs w:val="28"/>
        </w:rPr>
        <w:t>pierdere</w:t>
      </w:r>
      <w:r w:rsidRPr="00651044">
        <w:rPr>
          <w:b w:val="0"/>
          <w:i w:val="0"/>
          <w:sz w:val="28"/>
          <w:szCs w:val="28"/>
        </w:rPr>
        <w:t>a netă a perioadei de gestiune a înregistrat</w:t>
      </w:r>
      <w:r w:rsidR="00353504" w:rsidRPr="00651044">
        <w:rPr>
          <w:b w:val="0"/>
          <w:i w:val="0"/>
          <w:sz w:val="28"/>
          <w:szCs w:val="28"/>
        </w:rPr>
        <w:t xml:space="preserve"> </w:t>
      </w:r>
      <w:r w:rsidR="00183466" w:rsidRPr="00651044">
        <w:rPr>
          <w:b w:val="0"/>
          <w:i w:val="0"/>
          <w:sz w:val="28"/>
          <w:szCs w:val="28"/>
        </w:rPr>
        <w:t>720</w:t>
      </w:r>
      <w:r w:rsidRPr="00651044">
        <w:rPr>
          <w:b w:val="0"/>
          <w:i w:val="0"/>
          <w:sz w:val="28"/>
          <w:szCs w:val="28"/>
        </w:rPr>
        <w:t>,</w:t>
      </w:r>
      <w:r w:rsidR="00183466" w:rsidRPr="00651044">
        <w:rPr>
          <w:b w:val="0"/>
          <w:i w:val="0"/>
          <w:sz w:val="28"/>
          <w:szCs w:val="28"/>
        </w:rPr>
        <w:t>3</w:t>
      </w:r>
      <w:r w:rsidR="00353504" w:rsidRPr="00651044">
        <w:rPr>
          <w:b w:val="0"/>
          <w:i w:val="0"/>
          <w:sz w:val="28"/>
          <w:szCs w:val="28"/>
        </w:rPr>
        <w:t xml:space="preserve"> mil. lei</w:t>
      </w:r>
      <w:r w:rsidRPr="00651044">
        <w:rPr>
          <w:b w:val="0"/>
          <w:i w:val="0"/>
          <w:sz w:val="28"/>
          <w:szCs w:val="28"/>
        </w:rPr>
        <w:t xml:space="preserve">, iar profitul utilizat al perioadei de gestiune – 0,5 mil. lei. </w:t>
      </w:r>
    </w:p>
    <w:p w:rsidR="00F33AF7" w:rsidRPr="00651044" w:rsidRDefault="00763829" w:rsidP="00C005B9">
      <w:pPr>
        <w:spacing w:line="276" w:lineRule="auto"/>
        <w:jc w:val="center"/>
        <w:rPr>
          <w:color w:val="FF0000"/>
          <w:sz w:val="28"/>
          <w:szCs w:val="28"/>
        </w:rPr>
      </w:pPr>
      <w:r>
        <w:rPr>
          <w:noProof/>
          <w:color w:val="FF0000"/>
          <w:sz w:val="28"/>
          <w:szCs w:val="28"/>
          <w:lang w:val="ru-RU"/>
        </w:rPr>
        <w:drawing>
          <wp:inline distT="0" distB="0" distL="0" distR="0">
            <wp:extent cx="5494655" cy="1456055"/>
            <wp:effectExtent l="0" t="0" r="0" b="0"/>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45B4D" w:rsidRPr="00651044" w:rsidRDefault="00F33AF7" w:rsidP="00C005B9">
      <w:pPr>
        <w:jc w:val="center"/>
        <w:rPr>
          <w:b/>
          <w:i/>
          <w:sz w:val="20"/>
          <w:szCs w:val="20"/>
        </w:rPr>
      </w:pPr>
      <w:r w:rsidRPr="00651044">
        <w:rPr>
          <w:b/>
          <w:i/>
          <w:sz w:val="20"/>
          <w:szCs w:val="20"/>
        </w:rPr>
        <w:t xml:space="preserve">Figura 2.5. Dinamica patrimoniului net </w:t>
      </w:r>
      <w:r w:rsidR="00145B4D" w:rsidRPr="00651044">
        <w:rPr>
          <w:b/>
          <w:i/>
          <w:sz w:val="20"/>
          <w:szCs w:val="20"/>
        </w:rPr>
        <w:t xml:space="preserve">(capitalului propriu) și a </w:t>
      </w:r>
      <w:r w:rsidRPr="00651044">
        <w:rPr>
          <w:b/>
          <w:i/>
          <w:sz w:val="20"/>
          <w:szCs w:val="20"/>
        </w:rPr>
        <w:t xml:space="preserve">capitalului social </w:t>
      </w:r>
      <w:r w:rsidR="00253020" w:rsidRPr="00651044">
        <w:rPr>
          <w:b/>
          <w:i/>
          <w:sz w:val="20"/>
          <w:szCs w:val="20"/>
        </w:rPr>
        <w:t>ş</w:t>
      </w:r>
      <w:r w:rsidR="00D50A14" w:rsidRPr="00651044">
        <w:rPr>
          <w:b/>
          <w:i/>
          <w:sz w:val="20"/>
          <w:szCs w:val="20"/>
        </w:rPr>
        <w:t xml:space="preserve">i suplimentar </w:t>
      </w:r>
    </w:p>
    <w:p w:rsidR="00F33AF7" w:rsidRPr="00651044" w:rsidRDefault="00F33AF7" w:rsidP="00C005B9">
      <w:pPr>
        <w:jc w:val="center"/>
        <w:rPr>
          <w:b/>
          <w:i/>
        </w:rPr>
      </w:pPr>
      <w:r w:rsidRPr="00651044">
        <w:rPr>
          <w:b/>
          <w:i/>
          <w:sz w:val="20"/>
          <w:szCs w:val="20"/>
        </w:rPr>
        <w:t>al întreprinderilor de stat, mil. lei</w:t>
      </w:r>
    </w:p>
    <w:p w:rsidR="005B0628" w:rsidRPr="00651044" w:rsidRDefault="005B0628" w:rsidP="006E6FE5">
      <w:pPr>
        <w:pStyle w:val="BodyTextIndent"/>
        <w:ind w:firstLine="539"/>
        <w:jc w:val="both"/>
        <w:rPr>
          <w:b w:val="0"/>
          <w:i w:val="0"/>
          <w:color w:val="FF0000"/>
          <w:sz w:val="28"/>
          <w:szCs w:val="28"/>
        </w:rPr>
      </w:pPr>
    </w:p>
    <w:p w:rsidR="00F33AF7" w:rsidRPr="00651044" w:rsidRDefault="00C63DC3" w:rsidP="00F33AF7">
      <w:pPr>
        <w:pStyle w:val="BodyTextIndent"/>
        <w:spacing w:line="276" w:lineRule="auto"/>
        <w:ind w:firstLine="539"/>
        <w:jc w:val="both"/>
        <w:rPr>
          <w:b w:val="0"/>
          <w:i w:val="0"/>
          <w:sz w:val="28"/>
          <w:szCs w:val="28"/>
        </w:rPr>
      </w:pPr>
      <w:r w:rsidRPr="00651044">
        <w:rPr>
          <w:b w:val="0"/>
          <w:i w:val="0"/>
          <w:sz w:val="28"/>
          <w:szCs w:val="28"/>
        </w:rPr>
        <w:t>La finele</w:t>
      </w:r>
      <w:r w:rsidR="00F33AF7" w:rsidRPr="00651044">
        <w:rPr>
          <w:b w:val="0"/>
          <w:i w:val="0"/>
          <w:sz w:val="28"/>
          <w:szCs w:val="28"/>
        </w:rPr>
        <w:t xml:space="preserve"> anul</w:t>
      </w:r>
      <w:r w:rsidRPr="00651044">
        <w:rPr>
          <w:b w:val="0"/>
          <w:i w:val="0"/>
          <w:sz w:val="28"/>
          <w:szCs w:val="28"/>
        </w:rPr>
        <w:t>ui</w:t>
      </w:r>
      <w:r w:rsidR="00F33AF7" w:rsidRPr="00651044">
        <w:rPr>
          <w:b w:val="0"/>
          <w:i w:val="0"/>
          <w:sz w:val="28"/>
          <w:szCs w:val="28"/>
        </w:rPr>
        <w:t xml:space="preserve"> 201</w:t>
      </w:r>
      <w:r w:rsidRPr="00651044">
        <w:rPr>
          <w:b w:val="0"/>
          <w:i w:val="0"/>
          <w:sz w:val="28"/>
          <w:szCs w:val="28"/>
        </w:rPr>
        <w:t>5</w:t>
      </w:r>
      <w:r w:rsidR="00F33AF7" w:rsidRPr="00651044">
        <w:rPr>
          <w:b w:val="0"/>
          <w:i w:val="0"/>
          <w:sz w:val="28"/>
          <w:szCs w:val="28"/>
        </w:rPr>
        <w:t xml:space="preserve">, comparativ cu </w:t>
      </w:r>
      <w:r w:rsidRPr="00651044">
        <w:rPr>
          <w:b w:val="0"/>
          <w:i w:val="0"/>
          <w:sz w:val="28"/>
          <w:szCs w:val="28"/>
        </w:rPr>
        <w:t xml:space="preserve">începutul acestuia, </w:t>
      </w:r>
      <w:r w:rsidR="00F33AF7" w:rsidRPr="00651044">
        <w:rPr>
          <w:b w:val="0"/>
          <w:i w:val="0"/>
          <w:sz w:val="28"/>
          <w:szCs w:val="28"/>
        </w:rPr>
        <w:t xml:space="preserve">a avut loc o diminuare </w:t>
      </w:r>
      <w:r w:rsidR="009B4AC6" w:rsidRPr="00651044">
        <w:rPr>
          <w:b w:val="0"/>
          <w:i w:val="0"/>
          <w:sz w:val="28"/>
          <w:szCs w:val="28"/>
        </w:rPr>
        <w:t xml:space="preserve">cu </w:t>
      </w:r>
      <w:r w:rsidR="00F410B1" w:rsidRPr="00651044">
        <w:rPr>
          <w:b w:val="0"/>
          <w:i w:val="0"/>
          <w:sz w:val="28"/>
          <w:szCs w:val="28"/>
        </w:rPr>
        <w:t>979,5</w:t>
      </w:r>
      <w:r w:rsidR="009B4AC6" w:rsidRPr="00651044">
        <w:rPr>
          <w:b w:val="0"/>
          <w:i w:val="0"/>
          <w:sz w:val="28"/>
          <w:szCs w:val="28"/>
        </w:rPr>
        <w:t xml:space="preserve"> mil. lei </w:t>
      </w:r>
      <w:r w:rsidR="00F33AF7" w:rsidRPr="00651044">
        <w:rPr>
          <w:b w:val="0"/>
          <w:i w:val="0"/>
          <w:sz w:val="28"/>
          <w:szCs w:val="28"/>
        </w:rPr>
        <w:t xml:space="preserve">a </w:t>
      </w:r>
      <w:r w:rsidR="00CC6619" w:rsidRPr="00651044">
        <w:rPr>
          <w:b w:val="0"/>
          <w:i w:val="0"/>
          <w:sz w:val="28"/>
          <w:szCs w:val="28"/>
        </w:rPr>
        <w:t>capitalului propriu</w:t>
      </w:r>
      <w:r w:rsidR="00F33AF7" w:rsidRPr="00651044">
        <w:rPr>
          <w:b w:val="0"/>
          <w:i w:val="0"/>
          <w:sz w:val="28"/>
          <w:szCs w:val="28"/>
        </w:rPr>
        <w:t xml:space="preserve"> </w:t>
      </w:r>
      <w:r w:rsidRPr="00651044">
        <w:rPr>
          <w:b w:val="0"/>
          <w:i w:val="0"/>
          <w:sz w:val="28"/>
          <w:szCs w:val="28"/>
        </w:rPr>
        <w:t>la 107</w:t>
      </w:r>
      <w:r w:rsidR="009B4AC6" w:rsidRPr="00651044">
        <w:rPr>
          <w:b w:val="0"/>
          <w:i w:val="0"/>
          <w:sz w:val="28"/>
          <w:szCs w:val="28"/>
        </w:rPr>
        <w:t xml:space="preserve"> întreprinderi de stat. </w:t>
      </w:r>
      <w:r w:rsidR="00F33AF7" w:rsidRPr="00651044">
        <w:rPr>
          <w:b w:val="0"/>
          <w:sz w:val="28"/>
          <w:szCs w:val="28"/>
        </w:rPr>
        <w:t>Cele mai mari diminuări</w:t>
      </w:r>
      <w:r w:rsidR="00F33AF7" w:rsidRPr="00651044">
        <w:rPr>
          <w:b w:val="0"/>
          <w:i w:val="0"/>
          <w:sz w:val="28"/>
          <w:szCs w:val="28"/>
        </w:rPr>
        <w:t xml:space="preserve"> s-au înregistrat la:</w:t>
      </w:r>
    </w:p>
    <w:p w:rsidR="00F33AF7" w:rsidRPr="00651044" w:rsidRDefault="00F33AF7" w:rsidP="00F33AF7">
      <w:pPr>
        <w:pStyle w:val="BodyTextIndent"/>
        <w:spacing w:line="276" w:lineRule="auto"/>
        <w:ind w:firstLine="539"/>
        <w:jc w:val="both"/>
        <w:rPr>
          <w:b w:val="0"/>
          <w:i w:val="0"/>
          <w:sz w:val="28"/>
          <w:szCs w:val="28"/>
        </w:rPr>
      </w:pPr>
      <w:r w:rsidRPr="00651044">
        <w:rPr>
          <w:b w:val="0"/>
          <w:i w:val="0"/>
          <w:sz w:val="28"/>
          <w:szCs w:val="28"/>
        </w:rPr>
        <w:t xml:space="preserve">- Î.S. „Moldelectrica” – cu </w:t>
      </w:r>
      <w:r w:rsidR="00D0099D" w:rsidRPr="00651044">
        <w:rPr>
          <w:b w:val="0"/>
          <w:i w:val="0"/>
          <w:sz w:val="28"/>
          <w:szCs w:val="28"/>
        </w:rPr>
        <w:t>495,8</w:t>
      </w:r>
      <w:r w:rsidRPr="00651044">
        <w:rPr>
          <w:b w:val="0"/>
          <w:i w:val="0"/>
          <w:sz w:val="28"/>
          <w:szCs w:val="28"/>
        </w:rPr>
        <w:t xml:space="preserve"> mil. lei;</w:t>
      </w:r>
    </w:p>
    <w:p w:rsidR="00F33AF7" w:rsidRPr="00651044" w:rsidRDefault="00F33AF7" w:rsidP="00F33AF7">
      <w:pPr>
        <w:pStyle w:val="BodyTextIndent"/>
        <w:spacing w:line="276" w:lineRule="auto"/>
        <w:ind w:firstLine="539"/>
        <w:jc w:val="both"/>
        <w:rPr>
          <w:b w:val="0"/>
          <w:i w:val="0"/>
          <w:sz w:val="28"/>
          <w:szCs w:val="28"/>
        </w:rPr>
      </w:pPr>
      <w:r w:rsidRPr="00651044">
        <w:rPr>
          <w:b w:val="0"/>
          <w:i w:val="0"/>
          <w:sz w:val="28"/>
          <w:szCs w:val="28"/>
        </w:rPr>
        <w:t xml:space="preserve">- Î.S. </w:t>
      </w:r>
      <w:r w:rsidR="00D0099D" w:rsidRPr="00651044">
        <w:rPr>
          <w:b w:val="0"/>
          <w:i w:val="0"/>
          <w:sz w:val="28"/>
          <w:szCs w:val="28"/>
        </w:rPr>
        <w:t xml:space="preserve">Compania Aeriană </w:t>
      </w:r>
      <w:r w:rsidRPr="00651044">
        <w:rPr>
          <w:b w:val="0"/>
          <w:i w:val="0"/>
          <w:sz w:val="28"/>
          <w:szCs w:val="28"/>
        </w:rPr>
        <w:t>„</w:t>
      </w:r>
      <w:r w:rsidR="00D0099D" w:rsidRPr="00651044">
        <w:rPr>
          <w:b w:val="0"/>
          <w:i w:val="0"/>
          <w:sz w:val="28"/>
          <w:szCs w:val="28"/>
        </w:rPr>
        <w:t>Air Moldova</w:t>
      </w:r>
      <w:r w:rsidRPr="00651044">
        <w:rPr>
          <w:b w:val="0"/>
          <w:i w:val="0"/>
          <w:sz w:val="28"/>
          <w:szCs w:val="28"/>
        </w:rPr>
        <w:t xml:space="preserve">” – cu </w:t>
      </w:r>
      <w:r w:rsidR="00D0099D" w:rsidRPr="00651044">
        <w:rPr>
          <w:b w:val="0"/>
          <w:i w:val="0"/>
          <w:sz w:val="28"/>
          <w:szCs w:val="28"/>
        </w:rPr>
        <w:t>227,2</w:t>
      </w:r>
      <w:r w:rsidR="00223B91" w:rsidRPr="00651044">
        <w:rPr>
          <w:b w:val="0"/>
          <w:i w:val="0"/>
          <w:sz w:val="28"/>
          <w:szCs w:val="28"/>
        </w:rPr>
        <w:t xml:space="preserve"> </w:t>
      </w:r>
      <w:r w:rsidRPr="00651044">
        <w:rPr>
          <w:b w:val="0"/>
          <w:i w:val="0"/>
          <w:sz w:val="28"/>
          <w:szCs w:val="28"/>
        </w:rPr>
        <w:t>mil. lei;</w:t>
      </w:r>
    </w:p>
    <w:p w:rsidR="003C3D23" w:rsidRPr="00651044" w:rsidRDefault="003C3D23" w:rsidP="00F33AF7">
      <w:pPr>
        <w:pStyle w:val="BodyTextIndent"/>
        <w:spacing w:line="276" w:lineRule="auto"/>
        <w:ind w:firstLine="539"/>
        <w:jc w:val="both"/>
        <w:rPr>
          <w:b w:val="0"/>
          <w:i w:val="0"/>
          <w:sz w:val="28"/>
          <w:szCs w:val="28"/>
        </w:rPr>
      </w:pPr>
      <w:r w:rsidRPr="00651044">
        <w:rPr>
          <w:b w:val="0"/>
          <w:i w:val="0"/>
          <w:sz w:val="28"/>
          <w:szCs w:val="28"/>
        </w:rPr>
        <w:t>- Î.S. „</w:t>
      </w:r>
      <w:r w:rsidR="00D0099D" w:rsidRPr="00651044">
        <w:rPr>
          <w:b w:val="0"/>
          <w:i w:val="0"/>
          <w:sz w:val="28"/>
          <w:szCs w:val="28"/>
        </w:rPr>
        <w:t>Calea Ferată din Moldova</w:t>
      </w:r>
      <w:r w:rsidRPr="00651044">
        <w:rPr>
          <w:b w:val="0"/>
          <w:i w:val="0"/>
          <w:sz w:val="28"/>
          <w:szCs w:val="28"/>
        </w:rPr>
        <w:t xml:space="preserve">” – cu </w:t>
      </w:r>
      <w:r w:rsidR="00D0099D" w:rsidRPr="00651044">
        <w:rPr>
          <w:b w:val="0"/>
          <w:i w:val="0"/>
          <w:sz w:val="28"/>
          <w:szCs w:val="28"/>
        </w:rPr>
        <w:t>121,4</w:t>
      </w:r>
      <w:r w:rsidRPr="00651044">
        <w:rPr>
          <w:b w:val="0"/>
          <w:i w:val="0"/>
          <w:sz w:val="28"/>
          <w:szCs w:val="28"/>
        </w:rPr>
        <w:t xml:space="preserve"> mil. lei;</w:t>
      </w:r>
    </w:p>
    <w:p w:rsidR="00F33AF7" w:rsidRPr="00651044" w:rsidRDefault="00D0099D" w:rsidP="003C3D23">
      <w:pPr>
        <w:pStyle w:val="BodyTextIndent"/>
        <w:spacing w:line="276" w:lineRule="auto"/>
        <w:ind w:firstLine="539"/>
        <w:jc w:val="both"/>
        <w:rPr>
          <w:b w:val="0"/>
          <w:i w:val="0"/>
          <w:sz w:val="28"/>
          <w:szCs w:val="28"/>
        </w:rPr>
      </w:pPr>
      <w:r w:rsidRPr="00651044">
        <w:rPr>
          <w:b w:val="0"/>
          <w:i w:val="0"/>
          <w:sz w:val="28"/>
          <w:szCs w:val="28"/>
        </w:rPr>
        <w:t xml:space="preserve">- Î.S. </w:t>
      </w:r>
      <w:r w:rsidR="00F33AF7" w:rsidRPr="00651044">
        <w:rPr>
          <w:b w:val="0"/>
          <w:i w:val="0"/>
          <w:sz w:val="28"/>
          <w:szCs w:val="28"/>
        </w:rPr>
        <w:t>„</w:t>
      </w:r>
      <w:r w:rsidRPr="00651044">
        <w:rPr>
          <w:b w:val="0"/>
          <w:i w:val="0"/>
          <w:sz w:val="28"/>
          <w:szCs w:val="28"/>
        </w:rPr>
        <w:t>Staţiunea pentru Irigare Chişinău</w:t>
      </w:r>
      <w:r w:rsidR="00F33AF7" w:rsidRPr="00651044">
        <w:rPr>
          <w:b w:val="0"/>
          <w:i w:val="0"/>
          <w:sz w:val="28"/>
          <w:szCs w:val="28"/>
        </w:rPr>
        <w:t xml:space="preserve">” – cu </w:t>
      </w:r>
      <w:r w:rsidRPr="00651044">
        <w:rPr>
          <w:b w:val="0"/>
          <w:i w:val="0"/>
          <w:sz w:val="28"/>
          <w:szCs w:val="28"/>
        </w:rPr>
        <w:t>43,3</w:t>
      </w:r>
      <w:r w:rsidR="00F33AF7" w:rsidRPr="00651044">
        <w:rPr>
          <w:b w:val="0"/>
          <w:i w:val="0"/>
          <w:sz w:val="28"/>
          <w:szCs w:val="28"/>
        </w:rPr>
        <w:t xml:space="preserve"> mil. lei;</w:t>
      </w:r>
    </w:p>
    <w:p w:rsidR="00F33AF7" w:rsidRPr="00651044" w:rsidRDefault="00F33AF7" w:rsidP="00F33AF7">
      <w:pPr>
        <w:pStyle w:val="BodyTextIndent"/>
        <w:spacing w:line="276" w:lineRule="auto"/>
        <w:ind w:firstLine="539"/>
        <w:jc w:val="both"/>
        <w:rPr>
          <w:b w:val="0"/>
          <w:i w:val="0"/>
          <w:sz w:val="28"/>
          <w:szCs w:val="28"/>
        </w:rPr>
      </w:pPr>
      <w:r w:rsidRPr="00651044">
        <w:rPr>
          <w:b w:val="0"/>
          <w:i w:val="0"/>
          <w:sz w:val="28"/>
          <w:szCs w:val="28"/>
        </w:rPr>
        <w:t xml:space="preserve">- Î.S. </w:t>
      </w:r>
      <w:r w:rsidR="003C3D23" w:rsidRPr="00651044">
        <w:rPr>
          <w:b w:val="0"/>
          <w:i w:val="0"/>
          <w:sz w:val="28"/>
          <w:szCs w:val="28"/>
        </w:rPr>
        <w:t>„</w:t>
      </w:r>
      <w:r w:rsidR="00D0099D" w:rsidRPr="00651044">
        <w:rPr>
          <w:b w:val="0"/>
          <w:i w:val="0"/>
          <w:sz w:val="28"/>
          <w:szCs w:val="28"/>
        </w:rPr>
        <w:t>Colegiul Naţional de Viticultură şi Vinificaţie din Stăuceni</w:t>
      </w:r>
      <w:r w:rsidRPr="00651044">
        <w:rPr>
          <w:b w:val="0"/>
          <w:i w:val="0"/>
          <w:sz w:val="28"/>
          <w:szCs w:val="28"/>
        </w:rPr>
        <w:t xml:space="preserve">” – cu </w:t>
      </w:r>
      <w:r w:rsidR="00D0099D" w:rsidRPr="00651044">
        <w:rPr>
          <w:b w:val="0"/>
          <w:i w:val="0"/>
          <w:sz w:val="28"/>
          <w:szCs w:val="28"/>
        </w:rPr>
        <w:t xml:space="preserve">10,3 </w:t>
      </w:r>
      <w:r w:rsidRPr="00651044">
        <w:rPr>
          <w:b w:val="0"/>
          <w:i w:val="0"/>
          <w:sz w:val="28"/>
          <w:szCs w:val="28"/>
        </w:rPr>
        <w:t>mil. lei.</w:t>
      </w:r>
    </w:p>
    <w:p w:rsidR="00F33AF7" w:rsidRPr="00651044" w:rsidRDefault="00F33AF7" w:rsidP="00F33AF7">
      <w:pPr>
        <w:pStyle w:val="BodyTextIndent"/>
        <w:spacing w:line="276" w:lineRule="auto"/>
        <w:ind w:firstLine="539"/>
        <w:jc w:val="both"/>
        <w:rPr>
          <w:b w:val="0"/>
          <w:i w:val="0"/>
          <w:sz w:val="28"/>
          <w:szCs w:val="28"/>
        </w:rPr>
      </w:pPr>
      <w:r w:rsidRPr="00651044">
        <w:rPr>
          <w:b w:val="0"/>
          <w:i w:val="0"/>
          <w:sz w:val="28"/>
          <w:szCs w:val="28"/>
        </w:rPr>
        <w:t>Totodată, 1</w:t>
      </w:r>
      <w:r w:rsidR="00D0099D" w:rsidRPr="00651044">
        <w:rPr>
          <w:b w:val="0"/>
          <w:i w:val="0"/>
          <w:sz w:val="28"/>
          <w:szCs w:val="28"/>
        </w:rPr>
        <w:t>3</w:t>
      </w:r>
      <w:r w:rsidRPr="00651044">
        <w:rPr>
          <w:b w:val="0"/>
          <w:i w:val="0"/>
          <w:sz w:val="28"/>
          <w:szCs w:val="28"/>
        </w:rPr>
        <w:t xml:space="preserve"> întreprinderi de stat înregistrează o </w:t>
      </w:r>
      <w:r w:rsidRPr="00651044">
        <w:rPr>
          <w:b w:val="0"/>
          <w:sz w:val="28"/>
          <w:szCs w:val="28"/>
        </w:rPr>
        <w:t xml:space="preserve">valoare negativă a </w:t>
      </w:r>
      <w:r w:rsidR="00CC6619" w:rsidRPr="00651044">
        <w:rPr>
          <w:b w:val="0"/>
          <w:sz w:val="28"/>
          <w:szCs w:val="28"/>
        </w:rPr>
        <w:t>capitalului propriu</w:t>
      </w:r>
      <w:r w:rsidR="005F5ABF" w:rsidRPr="00651044">
        <w:rPr>
          <w:b w:val="0"/>
          <w:i w:val="0"/>
          <w:sz w:val="28"/>
          <w:szCs w:val="28"/>
        </w:rPr>
        <w:t xml:space="preserve"> în mărime de </w:t>
      </w:r>
      <w:r w:rsidR="009F535E" w:rsidRPr="00651044">
        <w:rPr>
          <w:b w:val="0"/>
          <w:i w:val="0"/>
          <w:sz w:val="28"/>
          <w:szCs w:val="28"/>
        </w:rPr>
        <w:t>113,3</w:t>
      </w:r>
      <w:r w:rsidRPr="00651044">
        <w:rPr>
          <w:b w:val="0"/>
          <w:i w:val="0"/>
          <w:sz w:val="28"/>
          <w:szCs w:val="28"/>
        </w:rPr>
        <w:t xml:space="preserve"> mil. lei, dintre care:</w:t>
      </w:r>
    </w:p>
    <w:p w:rsidR="00F33AF7" w:rsidRPr="00651044" w:rsidRDefault="00F33AF7" w:rsidP="00F33AF7">
      <w:pPr>
        <w:pStyle w:val="BodyTextIndent"/>
        <w:spacing w:line="276" w:lineRule="auto"/>
        <w:ind w:firstLine="539"/>
        <w:jc w:val="both"/>
        <w:rPr>
          <w:b w:val="0"/>
          <w:i w:val="0"/>
          <w:sz w:val="28"/>
          <w:szCs w:val="28"/>
        </w:rPr>
      </w:pPr>
      <w:r w:rsidRPr="00651044">
        <w:rPr>
          <w:b w:val="0"/>
          <w:i w:val="0"/>
          <w:sz w:val="28"/>
          <w:szCs w:val="28"/>
        </w:rPr>
        <w:t xml:space="preserve">- </w:t>
      </w:r>
      <w:r w:rsidR="003C3D23" w:rsidRPr="00651044">
        <w:rPr>
          <w:b w:val="0"/>
          <w:i w:val="0"/>
          <w:sz w:val="28"/>
          <w:szCs w:val="28"/>
        </w:rPr>
        <w:t xml:space="preserve">Î.S. „Moldtranselectro” – </w:t>
      </w:r>
      <w:r w:rsidR="009F535E" w:rsidRPr="00651044">
        <w:rPr>
          <w:b w:val="0"/>
          <w:i w:val="0"/>
          <w:sz w:val="28"/>
          <w:szCs w:val="28"/>
        </w:rPr>
        <w:t>106,8</w:t>
      </w:r>
      <w:r w:rsidR="003C3D23" w:rsidRPr="00651044">
        <w:rPr>
          <w:b w:val="0"/>
          <w:i w:val="0"/>
          <w:sz w:val="28"/>
          <w:szCs w:val="28"/>
        </w:rPr>
        <w:t xml:space="preserve"> mil. lei; </w:t>
      </w:r>
    </w:p>
    <w:p w:rsidR="00F33AF7" w:rsidRPr="00651044" w:rsidRDefault="00F33AF7" w:rsidP="00F33AF7">
      <w:pPr>
        <w:pStyle w:val="BodyTextIndent"/>
        <w:spacing w:line="276" w:lineRule="auto"/>
        <w:ind w:firstLine="539"/>
        <w:jc w:val="both"/>
        <w:rPr>
          <w:b w:val="0"/>
          <w:i w:val="0"/>
          <w:sz w:val="28"/>
          <w:szCs w:val="28"/>
        </w:rPr>
      </w:pPr>
      <w:r w:rsidRPr="00651044">
        <w:rPr>
          <w:b w:val="0"/>
          <w:i w:val="0"/>
          <w:sz w:val="28"/>
          <w:szCs w:val="28"/>
        </w:rPr>
        <w:t xml:space="preserve">- </w:t>
      </w:r>
      <w:r w:rsidR="003C3D23" w:rsidRPr="00651044">
        <w:rPr>
          <w:b w:val="0"/>
          <w:i w:val="0"/>
          <w:sz w:val="28"/>
          <w:szCs w:val="28"/>
        </w:rPr>
        <w:t>Î.S. „</w:t>
      </w:r>
      <w:r w:rsidR="009F535E" w:rsidRPr="00651044">
        <w:rPr>
          <w:b w:val="0"/>
          <w:i w:val="0"/>
          <w:sz w:val="28"/>
          <w:szCs w:val="28"/>
        </w:rPr>
        <w:t>Sectorul de reparaţie a f</w:t>
      </w:r>
      <w:r w:rsidR="006E6FE5">
        <w:rPr>
          <w:b w:val="0"/>
          <w:i w:val="0"/>
          <w:sz w:val="28"/>
          <w:szCs w:val="28"/>
        </w:rPr>
        <w:t>î</w:t>
      </w:r>
      <w:r w:rsidR="009F535E" w:rsidRPr="00651044">
        <w:rPr>
          <w:b w:val="0"/>
          <w:i w:val="0"/>
          <w:sz w:val="28"/>
          <w:szCs w:val="28"/>
        </w:rPr>
        <w:t>nt</w:t>
      </w:r>
      <w:r w:rsidR="006E6FE5">
        <w:rPr>
          <w:b w:val="0"/>
          <w:i w:val="0"/>
          <w:sz w:val="28"/>
          <w:szCs w:val="28"/>
        </w:rPr>
        <w:t>î</w:t>
      </w:r>
      <w:r w:rsidR="009F535E" w:rsidRPr="00651044">
        <w:rPr>
          <w:b w:val="0"/>
          <w:i w:val="0"/>
          <w:sz w:val="28"/>
          <w:szCs w:val="28"/>
        </w:rPr>
        <w:t>nilor arteziene din Chişinău</w:t>
      </w:r>
      <w:r w:rsidR="003C3D23" w:rsidRPr="00651044">
        <w:rPr>
          <w:b w:val="0"/>
          <w:i w:val="0"/>
          <w:sz w:val="28"/>
          <w:szCs w:val="28"/>
        </w:rPr>
        <w:t>”</w:t>
      </w:r>
      <w:r w:rsidR="009F535E" w:rsidRPr="00651044">
        <w:rPr>
          <w:b w:val="0"/>
          <w:i w:val="0"/>
          <w:sz w:val="28"/>
          <w:szCs w:val="28"/>
        </w:rPr>
        <w:t xml:space="preserve"> – 1,8</w:t>
      </w:r>
      <w:r w:rsidR="003C3D23" w:rsidRPr="00651044">
        <w:rPr>
          <w:b w:val="0"/>
          <w:i w:val="0"/>
          <w:sz w:val="28"/>
          <w:szCs w:val="28"/>
        </w:rPr>
        <w:t xml:space="preserve"> mil. lei;</w:t>
      </w:r>
    </w:p>
    <w:p w:rsidR="009F535E" w:rsidRPr="00651044" w:rsidRDefault="009F535E" w:rsidP="00F33AF7">
      <w:pPr>
        <w:pStyle w:val="BodyTextIndent"/>
        <w:spacing w:line="276" w:lineRule="auto"/>
        <w:ind w:firstLine="539"/>
        <w:jc w:val="both"/>
        <w:rPr>
          <w:b w:val="0"/>
          <w:i w:val="0"/>
          <w:sz w:val="28"/>
          <w:szCs w:val="28"/>
        </w:rPr>
      </w:pPr>
      <w:r w:rsidRPr="00651044">
        <w:rPr>
          <w:b w:val="0"/>
          <w:i w:val="0"/>
          <w:sz w:val="28"/>
          <w:szCs w:val="28"/>
        </w:rPr>
        <w:t>- Î.S. Editura de Stat ,,Cartea Moldovei” – 1,7 mil. lei;</w:t>
      </w:r>
    </w:p>
    <w:p w:rsidR="00F33AF7" w:rsidRPr="00651044" w:rsidRDefault="00F33AF7" w:rsidP="00F33AF7">
      <w:pPr>
        <w:pStyle w:val="BodyTextIndent"/>
        <w:spacing w:line="276" w:lineRule="auto"/>
        <w:ind w:firstLine="539"/>
        <w:jc w:val="both"/>
        <w:rPr>
          <w:b w:val="0"/>
          <w:i w:val="0"/>
          <w:sz w:val="28"/>
          <w:szCs w:val="28"/>
        </w:rPr>
      </w:pPr>
      <w:r w:rsidRPr="00651044">
        <w:rPr>
          <w:b w:val="0"/>
          <w:i w:val="0"/>
          <w:sz w:val="28"/>
          <w:szCs w:val="28"/>
        </w:rPr>
        <w:t>- Î.S. „</w:t>
      </w:r>
      <w:r w:rsidR="003C3D23" w:rsidRPr="00651044">
        <w:rPr>
          <w:b w:val="0"/>
          <w:i w:val="0"/>
          <w:sz w:val="28"/>
          <w:szCs w:val="28"/>
        </w:rPr>
        <w:t>Rezervcom</w:t>
      </w:r>
      <w:r w:rsidRPr="00651044">
        <w:rPr>
          <w:b w:val="0"/>
          <w:i w:val="0"/>
          <w:sz w:val="28"/>
          <w:szCs w:val="28"/>
        </w:rPr>
        <w:t xml:space="preserve">” – </w:t>
      </w:r>
      <w:r w:rsidR="009F535E" w:rsidRPr="00651044">
        <w:rPr>
          <w:b w:val="0"/>
          <w:i w:val="0"/>
          <w:sz w:val="28"/>
          <w:szCs w:val="28"/>
        </w:rPr>
        <w:t>1,4</w:t>
      </w:r>
      <w:r w:rsidR="00C67165" w:rsidRPr="00651044">
        <w:rPr>
          <w:b w:val="0"/>
          <w:i w:val="0"/>
          <w:sz w:val="28"/>
          <w:szCs w:val="28"/>
        </w:rPr>
        <w:t xml:space="preserve"> mil. lei.</w:t>
      </w:r>
    </w:p>
    <w:p w:rsidR="00C67165" w:rsidRPr="00651044" w:rsidRDefault="00DB7658" w:rsidP="000F6073">
      <w:pPr>
        <w:spacing w:line="276" w:lineRule="auto"/>
        <w:ind w:firstLine="567"/>
        <w:jc w:val="both"/>
        <w:rPr>
          <w:sz w:val="28"/>
          <w:szCs w:val="28"/>
        </w:rPr>
      </w:pPr>
      <w:r w:rsidRPr="00651044">
        <w:rPr>
          <w:sz w:val="28"/>
          <w:szCs w:val="28"/>
        </w:rPr>
        <w:t>De asemenea, men</w:t>
      </w:r>
      <w:r w:rsidR="00253020" w:rsidRPr="00651044">
        <w:rPr>
          <w:sz w:val="28"/>
          <w:szCs w:val="28"/>
        </w:rPr>
        <w:t>ţ</w:t>
      </w:r>
      <w:r w:rsidR="00147877" w:rsidRPr="00651044">
        <w:rPr>
          <w:sz w:val="28"/>
          <w:szCs w:val="28"/>
        </w:rPr>
        <w:t>ionăm că</w:t>
      </w:r>
      <w:r w:rsidRPr="00651044">
        <w:rPr>
          <w:sz w:val="28"/>
          <w:szCs w:val="28"/>
        </w:rPr>
        <w:t xml:space="preserve"> </w:t>
      </w:r>
      <w:r w:rsidRPr="00651044">
        <w:rPr>
          <w:i/>
          <w:sz w:val="28"/>
          <w:szCs w:val="28"/>
        </w:rPr>
        <w:t xml:space="preserve">raportul dintre pierderea netă înregistrată de către întreprinderile de stat </w:t>
      </w:r>
      <w:r w:rsidR="00145B4D" w:rsidRPr="00651044">
        <w:rPr>
          <w:i/>
          <w:sz w:val="28"/>
          <w:szCs w:val="28"/>
        </w:rPr>
        <w:t>în anul</w:t>
      </w:r>
      <w:r w:rsidR="000F6073" w:rsidRPr="00651044">
        <w:rPr>
          <w:i/>
          <w:sz w:val="28"/>
          <w:szCs w:val="28"/>
        </w:rPr>
        <w:t xml:space="preserve"> 201</w:t>
      </w:r>
      <w:r w:rsidR="009F535E" w:rsidRPr="00651044">
        <w:rPr>
          <w:i/>
          <w:sz w:val="28"/>
          <w:szCs w:val="28"/>
        </w:rPr>
        <w:t>5</w:t>
      </w:r>
      <w:r w:rsidR="000F6073" w:rsidRPr="00651044">
        <w:rPr>
          <w:i/>
          <w:sz w:val="28"/>
          <w:szCs w:val="28"/>
        </w:rPr>
        <w:t xml:space="preserve"> </w:t>
      </w:r>
      <w:r w:rsidR="00253020" w:rsidRPr="00651044">
        <w:rPr>
          <w:i/>
          <w:sz w:val="28"/>
          <w:szCs w:val="28"/>
        </w:rPr>
        <w:t>ş</w:t>
      </w:r>
      <w:r w:rsidR="000F6073" w:rsidRPr="00651044">
        <w:rPr>
          <w:i/>
          <w:sz w:val="28"/>
          <w:szCs w:val="28"/>
        </w:rPr>
        <w:t xml:space="preserve">i </w:t>
      </w:r>
      <w:r w:rsidRPr="00651044">
        <w:rPr>
          <w:i/>
          <w:sz w:val="28"/>
          <w:szCs w:val="28"/>
        </w:rPr>
        <w:t>valoa</w:t>
      </w:r>
      <w:r w:rsidR="000F6073" w:rsidRPr="00651044">
        <w:rPr>
          <w:i/>
          <w:sz w:val="28"/>
          <w:szCs w:val="28"/>
        </w:rPr>
        <w:t>rea</w:t>
      </w:r>
      <w:r w:rsidR="00145B4D" w:rsidRPr="00651044">
        <w:rPr>
          <w:i/>
          <w:sz w:val="28"/>
          <w:szCs w:val="28"/>
        </w:rPr>
        <w:t xml:space="preserve"> medie a</w:t>
      </w:r>
      <w:r w:rsidR="000F6073" w:rsidRPr="00651044">
        <w:rPr>
          <w:i/>
          <w:sz w:val="28"/>
          <w:szCs w:val="28"/>
        </w:rPr>
        <w:t xml:space="preserve"> capitalului propriu</w:t>
      </w:r>
      <w:r w:rsidRPr="00651044">
        <w:rPr>
          <w:sz w:val="28"/>
          <w:szCs w:val="28"/>
        </w:rPr>
        <w:t xml:space="preserve"> a </w:t>
      </w:r>
      <w:r w:rsidR="000F6073" w:rsidRPr="00651044">
        <w:rPr>
          <w:sz w:val="28"/>
          <w:szCs w:val="28"/>
        </w:rPr>
        <w:t>acestora a</w:t>
      </w:r>
      <w:r w:rsidRPr="00651044">
        <w:rPr>
          <w:sz w:val="28"/>
          <w:szCs w:val="28"/>
        </w:rPr>
        <w:t xml:space="preserve"> constituit per ansamblu </w:t>
      </w:r>
      <w:r w:rsidR="008E5EFC" w:rsidRPr="00651044">
        <w:rPr>
          <w:sz w:val="28"/>
          <w:szCs w:val="28"/>
        </w:rPr>
        <w:t>(-</w:t>
      </w:r>
      <w:r w:rsidR="00145B4D" w:rsidRPr="00651044">
        <w:rPr>
          <w:sz w:val="28"/>
          <w:szCs w:val="28"/>
        </w:rPr>
        <w:t>4,9</w:t>
      </w:r>
      <w:r w:rsidR="008E5EFC" w:rsidRPr="00651044">
        <w:rPr>
          <w:sz w:val="28"/>
          <w:szCs w:val="28"/>
        </w:rPr>
        <w:t>)</w:t>
      </w:r>
      <w:r w:rsidRPr="00651044">
        <w:rPr>
          <w:sz w:val="28"/>
          <w:szCs w:val="28"/>
        </w:rPr>
        <w:t xml:space="preserve">%, ceea ce semnifică </w:t>
      </w:r>
      <w:r w:rsidR="009F535E" w:rsidRPr="00651044">
        <w:rPr>
          <w:sz w:val="28"/>
          <w:szCs w:val="28"/>
        </w:rPr>
        <w:t xml:space="preserve">faptul </w:t>
      </w:r>
      <w:r w:rsidRPr="00651044">
        <w:rPr>
          <w:sz w:val="28"/>
          <w:szCs w:val="28"/>
        </w:rPr>
        <w:t>că la 1 leu capita</w:t>
      </w:r>
      <w:r w:rsidR="000F6073" w:rsidRPr="00651044">
        <w:rPr>
          <w:sz w:val="28"/>
          <w:szCs w:val="28"/>
        </w:rPr>
        <w:t>l propriu</w:t>
      </w:r>
      <w:r w:rsidR="009F535E" w:rsidRPr="00651044">
        <w:rPr>
          <w:sz w:val="28"/>
          <w:szCs w:val="28"/>
        </w:rPr>
        <w:t xml:space="preserve">, </w:t>
      </w:r>
      <w:r w:rsidR="00145B4D" w:rsidRPr="00651044">
        <w:rPr>
          <w:sz w:val="28"/>
          <w:szCs w:val="28"/>
        </w:rPr>
        <w:t>în anul 2015,</w:t>
      </w:r>
      <w:r w:rsidR="009F535E" w:rsidRPr="00651044">
        <w:rPr>
          <w:sz w:val="28"/>
          <w:szCs w:val="28"/>
        </w:rPr>
        <w:t xml:space="preserve"> s-a</w:t>
      </w:r>
      <w:r w:rsidR="00CC6619" w:rsidRPr="00651044">
        <w:rPr>
          <w:sz w:val="28"/>
          <w:szCs w:val="28"/>
        </w:rPr>
        <w:t>u</w:t>
      </w:r>
      <w:r w:rsidR="000F6073" w:rsidRPr="00651044">
        <w:rPr>
          <w:sz w:val="28"/>
          <w:szCs w:val="28"/>
        </w:rPr>
        <w:t xml:space="preserve"> obţin</w:t>
      </w:r>
      <w:r w:rsidR="009F535E" w:rsidRPr="00651044">
        <w:rPr>
          <w:sz w:val="28"/>
          <w:szCs w:val="28"/>
        </w:rPr>
        <w:t>ut</w:t>
      </w:r>
      <w:r w:rsidRPr="00651044">
        <w:rPr>
          <w:sz w:val="28"/>
          <w:szCs w:val="28"/>
        </w:rPr>
        <w:t xml:space="preserve"> </w:t>
      </w:r>
      <w:r w:rsidR="009F535E" w:rsidRPr="00651044">
        <w:rPr>
          <w:sz w:val="28"/>
          <w:szCs w:val="28"/>
        </w:rPr>
        <w:t>4,</w:t>
      </w:r>
      <w:r w:rsidR="00145B4D" w:rsidRPr="00651044">
        <w:rPr>
          <w:sz w:val="28"/>
          <w:szCs w:val="28"/>
        </w:rPr>
        <w:t>9</w:t>
      </w:r>
      <w:r w:rsidRPr="00651044">
        <w:rPr>
          <w:sz w:val="28"/>
          <w:szCs w:val="28"/>
        </w:rPr>
        <w:t xml:space="preserve"> ban</w:t>
      </w:r>
      <w:r w:rsidR="000F6073" w:rsidRPr="00651044">
        <w:rPr>
          <w:sz w:val="28"/>
          <w:szCs w:val="28"/>
        </w:rPr>
        <w:t>i</w:t>
      </w:r>
      <w:r w:rsidRPr="00651044">
        <w:rPr>
          <w:sz w:val="28"/>
          <w:szCs w:val="28"/>
        </w:rPr>
        <w:t xml:space="preserve"> </w:t>
      </w:r>
      <w:r w:rsidR="009F535E" w:rsidRPr="00651044">
        <w:rPr>
          <w:sz w:val="28"/>
          <w:szCs w:val="28"/>
        </w:rPr>
        <w:t xml:space="preserve">pierdere </w:t>
      </w:r>
      <w:r w:rsidRPr="00651044">
        <w:rPr>
          <w:sz w:val="28"/>
          <w:szCs w:val="28"/>
        </w:rPr>
        <w:t>net</w:t>
      </w:r>
      <w:r w:rsidR="009F535E" w:rsidRPr="00651044">
        <w:rPr>
          <w:sz w:val="28"/>
          <w:szCs w:val="28"/>
        </w:rPr>
        <w:t>ă</w:t>
      </w:r>
      <w:r w:rsidRPr="00651044">
        <w:rPr>
          <w:sz w:val="28"/>
          <w:szCs w:val="28"/>
        </w:rPr>
        <w:t xml:space="preserve">. </w:t>
      </w:r>
    </w:p>
    <w:p w:rsidR="00F33AF7" w:rsidRPr="00651044" w:rsidRDefault="00F33AF7" w:rsidP="00F33AF7">
      <w:pPr>
        <w:spacing w:line="276" w:lineRule="auto"/>
        <w:ind w:firstLine="567"/>
        <w:jc w:val="both"/>
        <w:rPr>
          <w:sz w:val="28"/>
          <w:szCs w:val="28"/>
        </w:rPr>
      </w:pPr>
      <w:r w:rsidRPr="00651044">
        <w:rPr>
          <w:sz w:val="28"/>
          <w:szCs w:val="28"/>
        </w:rPr>
        <w:t xml:space="preserve">Potrivit </w:t>
      </w:r>
      <w:r w:rsidR="003C3D23" w:rsidRPr="00651044">
        <w:rPr>
          <w:sz w:val="28"/>
          <w:szCs w:val="28"/>
        </w:rPr>
        <w:t xml:space="preserve">situaţiei de </w:t>
      </w:r>
      <w:r w:rsidR="009F535E" w:rsidRPr="00651044">
        <w:rPr>
          <w:sz w:val="28"/>
          <w:szCs w:val="28"/>
        </w:rPr>
        <w:t>profit şi pierdere, în anul 2015</w:t>
      </w:r>
      <w:r w:rsidRPr="00651044">
        <w:rPr>
          <w:sz w:val="28"/>
          <w:szCs w:val="28"/>
        </w:rPr>
        <w:t xml:space="preserve"> întreprinderile de stat au încasat</w:t>
      </w:r>
      <w:r w:rsidR="00787927" w:rsidRPr="00651044">
        <w:rPr>
          <w:sz w:val="28"/>
          <w:szCs w:val="28"/>
        </w:rPr>
        <w:t xml:space="preserve"> venituri din v</w:t>
      </w:r>
      <w:r w:rsidR="006E6FE5">
        <w:rPr>
          <w:sz w:val="28"/>
          <w:szCs w:val="28"/>
        </w:rPr>
        <w:t>î</w:t>
      </w:r>
      <w:r w:rsidRPr="00651044">
        <w:rPr>
          <w:sz w:val="28"/>
          <w:szCs w:val="28"/>
        </w:rPr>
        <w:t xml:space="preserve">nzări în mărime de </w:t>
      </w:r>
      <w:r w:rsidR="001D2E39" w:rsidRPr="00651044">
        <w:rPr>
          <w:sz w:val="28"/>
          <w:szCs w:val="28"/>
        </w:rPr>
        <w:t>7 292</w:t>
      </w:r>
      <w:r w:rsidR="00787927" w:rsidRPr="00651044">
        <w:rPr>
          <w:sz w:val="28"/>
          <w:szCs w:val="28"/>
        </w:rPr>
        <w:t>,</w:t>
      </w:r>
      <w:r w:rsidR="001D2E39" w:rsidRPr="00651044">
        <w:rPr>
          <w:sz w:val="28"/>
          <w:szCs w:val="28"/>
        </w:rPr>
        <w:t>3</w:t>
      </w:r>
      <w:r w:rsidRPr="00651044">
        <w:rPr>
          <w:sz w:val="28"/>
          <w:szCs w:val="28"/>
        </w:rPr>
        <w:t xml:space="preserve"> mil. lei, acestea fiind cu </w:t>
      </w:r>
      <w:r w:rsidR="001D2E39" w:rsidRPr="00651044">
        <w:rPr>
          <w:sz w:val="28"/>
          <w:szCs w:val="28"/>
        </w:rPr>
        <w:t>537</w:t>
      </w:r>
      <w:r w:rsidR="00787927" w:rsidRPr="00651044">
        <w:rPr>
          <w:sz w:val="28"/>
          <w:szCs w:val="28"/>
        </w:rPr>
        <w:t>,0</w:t>
      </w:r>
      <w:r w:rsidRPr="00651044">
        <w:rPr>
          <w:sz w:val="28"/>
          <w:szCs w:val="28"/>
        </w:rPr>
        <w:t xml:space="preserve"> mil. lei mai mari comparativ cu anul precedent. Creşter</w:t>
      </w:r>
      <w:r w:rsidR="00787927" w:rsidRPr="00651044">
        <w:rPr>
          <w:sz w:val="28"/>
          <w:szCs w:val="28"/>
        </w:rPr>
        <w:t>ea valorică a veniturilor din v</w:t>
      </w:r>
      <w:r w:rsidR="006E6FE5">
        <w:rPr>
          <w:sz w:val="28"/>
          <w:szCs w:val="28"/>
        </w:rPr>
        <w:t>î</w:t>
      </w:r>
      <w:r w:rsidRPr="00651044">
        <w:rPr>
          <w:sz w:val="28"/>
          <w:szCs w:val="28"/>
        </w:rPr>
        <w:t xml:space="preserve">nzări a generat şi majorarea cu </w:t>
      </w:r>
      <w:r w:rsidR="009B567A" w:rsidRPr="00651044">
        <w:rPr>
          <w:sz w:val="28"/>
          <w:szCs w:val="28"/>
        </w:rPr>
        <w:t>612</w:t>
      </w:r>
      <w:r w:rsidR="00787927" w:rsidRPr="00651044">
        <w:rPr>
          <w:sz w:val="28"/>
          <w:szCs w:val="28"/>
        </w:rPr>
        <w:t>,</w:t>
      </w:r>
      <w:r w:rsidR="009B567A" w:rsidRPr="00651044">
        <w:rPr>
          <w:sz w:val="28"/>
          <w:szCs w:val="28"/>
        </w:rPr>
        <w:t>6</w:t>
      </w:r>
      <w:r w:rsidRPr="00651044">
        <w:rPr>
          <w:sz w:val="28"/>
          <w:szCs w:val="28"/>
        </w:rPr>
        <w:t xml:space="preserve"> mil. lei a</w:t>
      </w:r>
      <w:r w:rsidR="00787927" w:rsidRPr="00651044">
        <w:rPr>
          <w:sz w:val="28"/>
          <w:szCs w:val="28"/>
        </w:rPr>
        <w:t xml:space="preserve"> costului acestora, în anul 2015</w:t>
      </w:r>
      <w:r w:rsidRPr="00651044">
        <w:rPr>
          <w:sz w:val="28"/>
          <w:szCs w:val="28"/>
        </w:rPr>
        <w:t>, valoarea cos</w:t>
      </w:r>
      <w:r w:rsidR="00787927" w:rsidRPr="00651044">
        <w:rPr>
          <w:sz w:val="28"/>
          <w:szCs w:val="28"/>
        </w:rPr>
        <w:t>tului v</w:t>
      </w:r>
      <w:r w:rsidR="006E6FE5">
        <w:rPr>
          <w:sz w:val="28"/>
          <w:szCs w:val="28"/>
        </w:rPr>
        <w:t>î</w:t>
      </w:r>
      <w:r w:rsidRPr="00651044">
        <w:rPr>
          <w:sz w:val="28"/>
          <w:szCs w:val="28"/>
        </w:rPr>
        <w:t xml:space="preserve">nzărilor fiind de </w:t>
      </w:r>
      <w:r w:rsidR="009B567A" w:rsidRPr="00651044">
        <w:rPr>
          <w:sz w:val="28"/>
          <w:szCs w:val="28"/>
        </w:rPr>
        <w:t>6 416</w:t>
      </w:r>
      <w:r w:rsidR="00787927" w:rsidRPr="00651044">
        <w:rPr>
          <w:sz w:val="28"/>
          <w:szCs w:val="28"/>
        </w:rPr>
        <w:t>,</w:t>
      </w:r>
      <w:r w:rsidR="009B567A" w:rsidRPr="00651044">
        <w:rPr>
          <w:sz w:val="28"/>
          <w:szCs w:val="28"/>
        </w:rPr>
        <w:t>2</w:t>
      </w:r>
      <w:r w:rsidRPr="00651044">
        <w:rPr>
          <w:sz w:val="28"/>
          <w:szCs w:val="28"/>
        </w:rPr>
        <w:t xml:space="preserve"> mil. lei. </w:t>
      </w:r>
    </w:p>
    <w:p w:rsidR="00F33AF7" w:rsidRPr="00651044" w:rsidRDefault="00F33AF7" w:rsidP="00F33AF7">
      <w:pPr>
        <w:spacing w:line="276" w:lineRule="auto"/>
        <w:ind w:firstLine="567"/>
        <w:jc w:val="both"/>
        <w:rPr>
          <w:sz w:val="28"/>
          <w:szCs w:val="28"/>
        </w:rPr>
      </w:pPr>
      <w:r w:rsidRPr="00651044">
        <w:rPr>
          <w:sz w:val="28"/>
          <w:szCs w:val="28"/>
        </w:rPr>
        <w:t xml:space="preserve">Astfel, la finele anului analizat, întreprinderile de stat au înregistrat un profit brut în mărime de </w:t>
      </w:r>
      <w:r w:rsidR="009B567A" w:rsidRPr="00651044">
        <w:rPr>
          <w:sz w:val="28"/>
          <w:szCs w:val="28"/>
        </w:rPr>
        <w:t>876,1</w:t>
      </w:r>
      <w:r w:rsidRPr="00651044">
        <w:rPr>
          <w:sz w:val="28"/>
          <w:szCs w:val="28"/>
        </w:rPr>
        <w:t xml:space="preserve"> mil. lei şi este cu </w:t>
      </w:r>
      <w:r w:rsidR="009B567A" w:rsidRPr="00651044">
        <w:rPr>
          <w:sz w:val="28"/>
          <w:szCs w:val="28"/>
        </w:rPr>
        <w:t>75</w:t>
      </w:r>
      <w:r w:rsidR="00145B4D" w:rsidRPr="00651044">
        <w:rPr>
          <w:sz w:val="28"/>
          <w:szCs w:val="28"/>
        </w:rPr>
        <w:t>,</w:t>
      </w:r>
      <w:r w:rsidR="009B567A" w:rsidRPr="00651044">
        <w:rPr>
          <w:sz w:val="28"/>
          <w:szCs w:val="28"/>
        </w:rPr>
        <w:t>6</w:t>
      </w:r>
      <w:r w:rsidRPr="00651044">
        <w:rPr>
          <w:sz w:val="28"/>
          <w:szCs w:val="28"/>
        </w:rPr>
        <w:t xml:space="preserve"> mil. lei mai </w:t>
      </w:r>
      <w:r w:rsidR="00FA52EB" w:rsidRPr="00651044">
        <w:rPr>
          <w:sz w:val="28"/>
          <w:szCs w:val="28"/>
        </w:rPr>
        <w:t>mic</w:t>
      </w:r>
      <w:r w:rsidRPr="00651044">
        <w:rPr>
          <w:sz w:val="28"/>
          <w:szCs w:val="28"/>
        </w:rPr>
        <w:t xml:space="preserve"> comparativ cu</w:t>
      </w:r>
      <w:r w:rsidR="009B4AC6" w:rsidRPr="00651044">
        <w:rPr>
          <w:sz w:val="28"/>
          <w:szCs w:val="28"/>
        </w:rPr>
        <w:t xml:space="preserve"> valoarea aferentă anului 201</w:t>
      </w:r>
      <w:r w:rsidR="00787927" w:rsidRPr="00651044">
        <w:rPr>
          <w:sz w:val="28"/>
          <w:szCs w:val="28"/>
        </w:rPr>
        <w:t>4, întruc</w:t>
      </w:r>
      <w:r w:rsidR="006E6FE5">
        <w:rPr>
          <w:sz w:val="28"/>
          <w:szCs w:val="28"/>
        </w:rPr>
        <w:t>î</w:t>
      </w:r>
      <w:r w:rsidR="009B4AC6" w:rsidRPr="00651044">
        <w:rPr>
          <w:sz w:val="28"/>
          <w:szCs w:val="28"/>
        </w:rPr>
        <w:t xml:space="preserve">t ritmul de </w:t>
      </w:r>
      <w:r w:rsidR="00FA52EB" w:rsidRPr="00651044">
        <w:rPr>
          <w:sz w:val="28"/>
          <w:szCs w:val="28"/>
        </w:rPr>
        <w:t>majorare</w:t>
      </w:r>
      <w:r w:rsidR="009B4AC6" w:rsidRPr="00651044">
        <w:rPr>
          <w:sz w:val="28"/>
          <w:szCs w:val="28"/>
        </w:rPr>
        <w:t xml:space="preserve"> a </w:t>
      </w:r>
      <w:r w:rsidR="00787927" w:rsidRPr="00651044">
        <w:rPr>
          <w:sz w:val="28"/>
          <w:szCs w:val="28"/>
        </w:rPr>
        <w:t>costului v</w:t>
      </w:r>
      <w:r w:rsidR="006E6FE5">
        <w:rPr>
          <w:sz w:val="28"/>
          <w:szCs w:val="28"/>
        </w:rPr>
        <w:t>î</w:t>
      </w:r>
      <w:r w:rsidR="00FA52EB" w:rsidRPr="00651044">
        <w:rPr>
          <w:sz w:val="28"/>
          <w:szCs w:val="28"/>
        </w:rPr>
        <w:t>nzărilor</w:t>
      </w:r>
      <w:r w:rsidR="009B4AC6" w:rsidRPr="00651044">
        <w:rPr>
          <w:sz w:val="28"/>
          <w:szCs w:val="28"/>
        </w:rPr>
        <w:t xml:space="preserve"> depă</w:t>
      </w:r>
      <w:r w:rsidR="005F5ABF" w:rsidRPr="00651044">
        <w:rPr>
          <w:sz w:val="28"/>
          <w:szCs w:val="28"/>
        </w:rPr>
        <w:t>ş</w:t>
      </w:r>
      <w:r w:rsidR="009B4AC6" w:rsidRPr="00651044">
        <w:rPr>
          <w:sz w:val="28"/>
          <w:szCs w:val="28"/>
        </w:rPr>
        <w:t>e</w:t>
      </w:r>
      <w:r w:rsidR="005F5ABF" w:rsidRPr="00651044">
        <w:rPr>
          <w:sz w:val="28"/>
          <w:szCs w:val="28"/>
        </w:rPr>
        <w:t>ş</w:t>
      </w:r>
      <w:r w:rsidR="009B4AC6" w:rsidRPr="00651044">
        <w:rPr>
          <w:sz w:val="28"/>
          <w:szCs w:val="28"/>
        </w:rPr>
        <w:t>te ritmul de cre</w:t>
      </w:r>
      <w:r w:rsidR="005F5ABF" w:rsidRPr="00651044">
        <w:rPr>
          <w:sz w:val="28"/>
          <w:szCs w:val="28"/>
        </w:rPr>
        <w:t>ş</w:t>
      </w:r>
      <w:r w:rsidR="009B4AC6" w:rsidRPr="00651044">
        <w:rPr>
          <w:sz w:val="28"/>
          <w:szCs w:val="28"/>
        </w:rPr>
        <w:t xml:space="preserve">tere a </w:t>
      </w:r>
      <w:r w:rsidR="00787927" w:rsidRPr="00651044">
        <w:rPr>
          <w:sz w:val="28"/>
          <w:szCs w:val="28"/>
        </w:rPr>
        <w:t>veniturilor din v</w:t>
      </w:r>
      <w:r w:rsidR="006E6FE5">
        <w:rPr>
          <w:sz w:val="28"/>
          <w:szCs w:val="28"/>
        </w:rPr>
        <w:t>î</w:t>
      </w:r>
      <w:r w:rsidR="00FA52EB" w:rsidRPr="00651044">
        <w:rPr>
          <w:sz w:val="28"/>
          <w:szCs w:val="28"/>
        </w:rPr>
        <w:t>nzări</w:t>
      </w:r>
      <w:r w:rsidR="009B4AC6" w:rsidRPr="00651044">
        <w:rPr>
          <w:sz w:val="28"/>
          <w:szCs w:val="28"/>
        </w:rPr>
        <w:t>.</w:t>
      </w:r>
    </w:p>
    <w:p w:rsidR="00F33AF7" w:rsidRPr="00651044" w:rsidRDefault="00763829" w:rsidP="00C005B9">
      <w:pPr>
        <w:spacing w:line="312" w:lineRule="auto"/>
        <w:jc w:val="center"/>
        <w:rPr>
          <w:color w:val="FF0000"/>
          <w:sz w:val="28"/>
          <w:szCs w:val="28"/>
        </w:rPr>
      </w:pPr>
      <w:r>
        <w:rPr>
          <w:noProof/>
          <w:color w:val="FF0000"/>
          <w:sz w:val="28"/>
          <w:szCs w:val="28"/>
          <w:lang w:val="ru-RU"/>
        </w:rPr>
        <w:lastRenderedPageBreak/>
        <w:drawing>
          <wp:inline distT="0" distB="0" distL="0" distR="0">
            <wp:extent cx="5452745" cy="1456055"/>
            <wp:effectExtent l="0" t="0" r="0" b="0"/>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33AF7" w:rsidRPr="00651044" w:rsidRDefault="00F33AF7" w:rsidP="00C005B9">
      <w:pPr>
        <w:jc w:val="center"/>
        <w:rPr>
          <w:b/>
          <w:i/>
          <w:sz w:val="20"/>
          <w:szCs w:val="20"/>
        </w:rPr>
      </w:pPr>
      <w:r w:rsidRPr="00651044">
        <w:rPr>
          <w:b/>
          <w:i/>
          <w:sz w:val="20"/>
          <w:szCs w:val="20"/>
        </w:rPr>
        <w:t xml:space="preserve">Figura 2.6. Dinamica profitului brut al întreprinderilor de stat </w:t>
      </w:r>
    </w:p>
    <w:p w:rsidR="00F33AF7" w:rsidRPr="00651044" w:rsidRDefault="00F33AF7" w:rsidP="00C005B9">
      <w:pPr>
        <w:jc w:val="center"/>
        <w:rPr>
          <w:b/>
          <w:i/>
          <w:sz w:val="20"/>
          <w:szCs w:val="20"/>
        </w:rPr>
      </w:pPr>
      <w:r w:rsidRPr="00651044">
        <w:rPr>
          <w:b/>
          <w:i/>
          <w:sz w:val="20"/>
          <w:szCs w:val="20"/>
        </w:rPr>
        <w:t>şi a factorilor de i</w:t>
      </w:r>
      <w:r w:rsidR="00147877" w:rsidRPr="00651044">
        <w:rPr>
          <w:b/>
          <w:i/>
          <w:sz w:val="20"/>
          <w:szCs w:val="20"/>
        </w:rPr>
        <w:t>nfluenţă a acestuia, mil. lei</w:t>
      </w:r>
    </w:p>
    <w:p w:rsidR="00FA52EB" w:rsidRPr="00651044" w:rsidRDefault="00FA52EB" w:rsidP="0073353C">
      <w:pPr>
        <w:spacing w:line="120" w:lineRule="auto"/>
        <w:ind w:firstLine="567"/>
        <w:jc w:val="both"/>
        <w:rPr>
          <w:color w:val="FF0000"/>
          <w:sz w:val="28"/>
          <w:szCs w:val="28"/>
        </w:rPr>
      </w:pPr>
    </w:p>
    <w:p w:rsidR="00F33AF7" w:rsidRPr="00651044" w:rsidRDefault="00F33AF7" w:rsidP="00F33AF7">
      <w:pPr>
        <w:spacing w:line="276" w:lineRule="auto"/>
        <w:ind w:firstLine="567"/>
        <w:jc w:val="both"/>
        <w:rPr>
          <w:sz w:val="28"/>
          <w:szCs w:val="28"/>
        </w:rPr>
      </w:pPr>
      <w:r w:rsidRPr="00651044">
        <w:rPr>
          <w:sz w:val="28"/>
          <w:szCs w:val="28"/>
        </w:rPr>
        <w:t>Suplime</w:t>
      </w:r>
      <w:r w:rsidR="00F35CEB" w:rsidRPr="00651044">
        <w:rPr>
          <w:sz w:val="28"/>
          <w:szCs w:val="28"/>
        </w:rPr>
        <w:t>ntar, se enunţă că, în anul de gestiune</w:t>
      </w:r>
      <w:r w:rsidRPr="00651044">
        <w:rPr>
          <w:sz w:val="28"/>
          <w:szCs w:val="28"/>
        </w:rPr>
        <w:t xml:space="preserve">, </w:t>
      </w:r>
      <w:r w:rsidR="00264E2F" w:rsidRPr="00651044">
        <w:rPr>
          <w:sz w:val="28"/>
          <w:szCs w:val="28"/>
        </w:rPr>
        <w:t>73</w:t>
      </w:r>
      <w:r w:rsidRPr="00651044">
        <w:rPr>
          <w:sz w:val="28"/>
          <w:szCs w:val="28"/>
        </w:rPr>
        <w:t xml:space="preserve"> întreprinderi de stat au înregistrat o </w:t>
      </w:r>
      <w:r w:rsidRPr="00651044">
        <w:rPr>
          <w:i/>
          <w:sz w:val="28"/>
          <w:szCs w:val="28"/>
        </w:rPr>
        <w:t>micşorare</w:t>
      </w:r>
      <w:r w:rsidRPr="00651044">
        <w:rPr>
          <w:sz w:val="28"/>
          <w:szCs w:val="28"/>
        </w:rPr>
        <w:t xml:space="preserve"> cu</w:t>
      </w:r>
      <w:r w:rsidR="00241543" w:rsidRPr="00651044">
        <w:rPr>
          <w:sz w:val="28"/>
          <w:szCs w:val="28"/>
        </w:rPr>
        <w:t xml:space="preserve"> </w:t>
      </w:r>
      <w:r w:rsidR="00264E2F" w:rsidRPr="00651044">
        <w:rPr>
          <w:sz w:val="28"/>
          <w:szCs w:val="28"/>
        </w:rPr>
        <w:t>264,4</w:t>
      </w:r>
      <w:r w:rsidRPr="00651044">
        <w:rPr>
          <w:sz w:val="28"/>
          <w:szCs w:val="28"/>
        </w:rPr>
        <w:t xml:space="preserve"> mil. lei </w:t>
      </w:r>
      <w:r w:rsidRPr="00651044">
        <w:rPr>
          <w:i/>
          <w:sz w:val="28"/>
          <w:szCs w:val="28"/>
        </w:rPr>
        <w:t>a ve</w:t>
      </w:r>
      <w:r w:rsidR="00CC6619" w:rsidRPr="00651044">
        <w:rPr>
          <w:i/>
          <w:sz w:val="28"/>
          <w:szCs w:val="28"/>
        </w:rPr>
        <w:t>niturilor din vînzări</w:t>
      </w:r>
      <w:r w:rsidRPr="00651044">
        <w:rPr>
          <w:sz w:val="28"/>
          <w:szCs w:val="28"/>
        </w:rPr>
        <w:t>, din care:</w:t>
      </w:r>
    </w:p>
    <w:p w:rsidR="00F33AF7" w:rsidRPr="00651044" w:rsidRDefault="000F6073" w:rsidP="00136F34">
      <w:pPr>
        <w:numPr>
          <w:ilvl w:val="0"/>
          <w:numId w:val="7"/>
        </w:numPr>
        <w:spacing w:line="276" w:lineRule="auto"/>
        <w:jc w:val="both"/>
        <w:rPr>
          <w:sz w:val="28"/>
          <w:szCs w:val="28"/>
        </w:rPr>
      </w:pPr>
      <w:r w:rsidRPr="00651044">
        <w:rPr>
          <w:sz w:val="28"/>
          <w:szCs w:val="28"/>
        </w:rPr>
        <w:t>întreprinderi</w:t>
      </w:r>
      <w:r w:rsidR="00145B4D" w:rsidRPr="00651044">
        <w:rPr>
          <w:sz w:val="28"/>
          <w:szCs w:val="28"/>
        </w:rPr>
        <w:t>le</w:t>
      </w:r>
      <w:r w:rsidRPr="00651044">
        <w:rPr>
          <w:sz w:val="28"/>
          <w:szCs w:val="28"/>
        </w:rPr>
        <w:t xml:space="preserve"> din domeniul</w:t>
      </w:r>
      <w:r w:rsidR="00F33AF7" w:rsidRPr="00651044">
        <w:rPr>
          <w:sz w:val="28"/>
          <w:szCs w:val="28"/>
        </w:rPr>
        <w:t xml:space="preserve"> </w:t>
      </w:r>
      <w:r w:rsidR="00E61D79" w:rsidRPr="00651044">
        <w:rPr>
          <w:sz w:val="28"/>
          <w:szCs w:val="28"/>
        </w:rPr>
        <w:t>afacerilor interne</w:t>
      </w:r>
      <w:r w:rsidR="003F74F7" w:rsidRPr="00651044">
        <w:rPr>
          <w:sz w:val="28"/>
          <w:szCs w:val="28"/>
        </w:rPr>
        <w:t xml:space="preserve"> şi apărării naţionale</w:t>
      </w:r>
      <w:r w:rsidR="00166DB7" w:rsidRPr="00651044">
        <w:rPr>
          <w:sz w:val="28"/>
          <w:szCs w:val="28"/>
        </w:rPr>
        <w:t xml:space="preserve"> – </w:t>
      </w:r>
      <w:r w:rsidR="00CC6619" w:rsidRPr="00651044">
        <w:rPr>
          <w:sz w:val="28"/>
          <w:szCs w:val="28"/>
        </w:rPr>
        <w:t xml:space="preserve">cu </w:t>
      </w:r>
      <w:r w:rsidR="00E9364C" w:rsidRPr="00651044">
        <w:rPr>
          <w:sz w:val="28"/>
          <w:szCs w:val="28"/>
        </w:rPr>
        <w:t xml:space="preserve">        </w:t>
      </w:r>
      <w:r w:rsidR="00264E2F" w:rsidRPr="00651044">
        <w:rPr>
          <w:sz w:val="28"/>
          <w:szCs w:val="28"/>
        </w:rPr>
        <w:t>51,3</w:t>
      </w:r>
      <w:r w:rsidR="00F33AF7" w:rsidRPr="00651044">
        <w:rPr>
          <w:sz w:val="28"/>
          <w:szCs w:val="28"/>
        </w:rPr>
        <w:t xml:space="preserve"> mil. lei;</w:t>
      </w:r>
    </w:p>
    <w:p w:rsidR="00F33AF7" w:rsidRPr="00651044" w:rsidRDefault="00145B4D" w:rsidP="00136F34">
      <w:pPr>
        <w:numPr>
          <w:ilvl w:val="0"/>
          <w:numId w:val="7"/>
        </w:numPr>
        <w:spacing w:line="276" w:lineRule="auto"/>
        <w:jc w:val="both"/>
        <w:rPr>
          <w:sz w:val="28"/>
          <w:szCs w:val="28"/>
        </w:rPr>
      </w:pPr>
      <w:r w:rsidRPr="00651044">
        <w:rPr>
          <w:sz w:val="28"/>
          <w:szCs w:val="28"/>
        </w:rPr>
        <w:t xml:space="preserve">întreprinderile din domeniul </w:t>
      </w:r>
      <w:r w:rsidR="008E6F12" w:rsidRPr="00651044">
        <w:rPr>
          <w:sz w:val="28"/>
          <w:szCs w:val="28"/>
        </w:rPr>
        <w:t>relaţii</w:t>
      </w:r>
      <w:r w:rsidRPr="00651044">
        <w:rPr>
          <w:sz w:val="28"/>
          <w:szCs w:val="28"/>
        </w:rPr>
        <w:t>lor</w:t>
      </w:r>
      <w:r w:rsidR="008E6F12" w:rsidRPr="00651044">
        <w:rPr>
          <w:sz w:val="28"/>
          <w:szCs w:val="28"/>
        </w:rPr>
        <w:t xml:space="preserve"> funciare şi cadastru</w:t>
      </w:r>
      <w:r w:rsidR="00241543" w:rsidRPr="00651044">
        <w:rPr>
          <w:sz w:val="28"/>
          <w:szCs w:val="28"/>
        </w:rPr>
        <w:t xml:space="preserve"> – </w:t>
      </w:r>
      <w:r w:rsidR="00CC6619" w:rsidRPr="00651044">
        <w:rPr>
          <w:sz w:val="28"/>
          <w:szCs w:val="28"/>
        </w:rPr>
        <w:t xml:space="preserve">cu </w:t>
      </w:r>
      <w:r w:rsidR="008E6F12" w:rsidRPr="00651044">
        <w:rPr>
          <w:sz w:val="28"/>
          <w:szCs w:val="28"/>
        </w:rPr>
        <w:t>34,6</w:t>
      </w:r>
      <w:r w:rsidR="00F33AF7" w:rsidRPr="00651044">
        <w:rPr>
          <w:sz w:val="28"/>
          <w:szCs w:val="28"/>
        </w:rPr>
        <w:t xml:space="preserve"> mil. lei;</w:t>
      </w:r>
    </w:p>
    <w:p w:rsidR="00241543" w:rsidRPr="00651044" w:rsidRDefault="008E6F12" w:rsidP="00136F34">
      <w:pPr>
        <w:numPr>
          <w:ilvl w:val="0"/>
          <w:numId w:val="7"/>
        </w:numPr>
        <w:spacing w:line="276" w:lineRule="auto"/>
        <w:jc w:val="both"/>
        <w:rPr>
          <w:sz w:val="28"/>
          <w:szCs w:val="28"/>
        </w:rPr>
      </w:pPr>
      <w:r w:rsidRPr="00651044">
        <w:rPr>
          <w:sz w:val="28"/>
          <w:szCs w:val="28"/>
        </w:rPr>
        <w:t>întreprinderi</w:t>
      </w:r>
      <w:r w:rsidR="00145B4D" w:rsidRPr="00651044">
        <w:rPr>
          <w:sz w:val="28"/>
          <w:szCs w:val="28"/>
        </w:rPr>
        <w:t>le</w:t>
      </w:r>
      <w:r w:rsidRPr="00651044">
        <w:rPr>
          <w:sz w:val="28"/>
          <w:szCs w:val="28"/>
        </w:rPr>
        <w:t xml:space="preserve"> din administrarea Cancelariei de Stat</w:t>
      </w:r>
      <w:r w:rsidR="00241543" w:rsidRPr="00651044">
        <w:rPr>
          <w:sz w:val="28"/>
          <w:szCs w:val="28"/>
        </w:rPr>
        <w:t xml:space="preserve"> – </w:t>
      </w:r>
      <w:r w:rsidR="00CC6619" w:rsidRPr="00651044">
        <w:rPr>
          <w:sz w:val="28"/>
          <w:szCs w:val="28"/>
        </w:rPr>
        <w:t xml:space="preserve">cu </w:t>
      </w:r>
      <w:r w:rsidR="00145B4D" w:rsidRPr="00651044">
        <w:rPr>
          <w:sz w:val="28"/>
          <w:szCs w:val="28"/>
        </w:rPr>
        <w:t>20,9</w:t>
      </w:r>
      <w:r w:rsidRPr="00651044">
        <w:rPr>
          <w:sz w:val="28"/>
          <w:szCs w:val="28"/>
        </w:rPr>
        <w:t xml:space="preserve"> mil. lei.</w:t>
      </w:r>
    </w:p>
    <w:p w:rsidR="009C7860" w:rsidRPr="00651044" w:rsidRDefault="008E6F12" w:rsidP="009C7860">
      <w:pPr>
        <w:spacing w:line="276" w:lineRule="auto"/>
        <w:ind w:firstLine="567"/>
        <w:jc w:val="both"/>
        <w:rPr>
          <w:sz w:val="28"/>
          <w:szCs w:val="28"/>
        </w:rPr>
      </w:pPr>
      <w:r w:rsidRPr="00651044">
        <w:rPr>
          <w:sz w:val="28"/>
          <w:szCs w:val="28"/>
        </w:rPr>
        <w:t>Micşorarea veniturilor din v</w:t>
      </w:r>
      <w:r w:rsidR="006E6FE5">
        <w:rPr>
          <w:sz w:val="28"/>
          <w:szCs w:val="28"/>
        </w:rPr>
        <w:t>î</w:t>
      </w:r>
      <w:r w:rsidR="00CC4E4A" w:rsidRPr="00651044">
        <w:rPr>
          <w:sz w:val="28"/>
          <w:szCs w:val="28"/>
        </w:rPr>
        <w:t>nzări a întreprinderilor sus-menţionate atrage după sine</w:t>
      </w:r>
      <w:r w:rsidRPr="00651044">
        <w:rPr>
          <w:sz w:val="28"/>
          <w:szCs w:val="28"/>
        </w:rPr>
        <w:t xml:space="preserve"> o micşorare cu aproximativ 52,9</w:t>
      </w:r>
      <w:r w:rsidR="00CC4E4A" w:rsidRPr="00651044">
        <w:rPr>
          <w:sz w:val="28"/>
          <w:szCs w:val="28"/>
        </w:rPr>
        <w:t xml:space="preserve">  mil. lei a taxei pe valoarea adăug</w:t>
      </w:r>
      <w:r w:rsidR="00145B4D" w:rsidRPr="00651044">
        <w:rPr>
          <w:sz w:val="28"/>
          <w:szCs w:val="28"/>
        </w:rPr>
        <w:t>ată încasată în bugetul de stat, fapt ce reprezintă un risc fiscal pentru bugetul public național.</w:t>
      </w:r>
    </w:p>
    <w:p w:rsidR="009C7860" w:rsidRPr="00651044" w:rsidRDefault="008E6F12" w:rsidP="00635EC8">
      <w:pPr>
        <w:spacing w:line="276" w:lineRule="auto"/>
        <w:ind w:firstLine="567"/>
        <w:jc w:val="both"/>
        <w:rPr>
          <w:sz w:val="28"/>
          <w:szCs w:val="28"/>
        </w:rPr>
      </w:pPr>
      <w:r w:rsidRPr="00651044">
        <w:rPr>
          <w:sz w:val="28"/>
          <w:szCs w:val="28"/>
        </w:rPr>
        <w:t>Alte venituri din activitatea operaţională</w:t>
      </w:r>
      <w:r w:rsidR="009C7860" w:rsidRPr="00651044">
        <w:rPr>
          <w:sz w:val="28"/>
          <w:szCs w:val="28"/>
        </w:rPr>
        <w:t xml:space="preserve"> ob</w:t>
      </w:r>
      <w:r w:rsidR="00253020" w:rsidRPr="00651044">
        <w:rPr>
          <w:sz w:val="28"/>
          <w:szCs w:val="28"/>
        </w:rPr>
        <w:t>ţ</w:t>
      </w:r>
      <w:r w:rsidR="009C7860" w:rsidRPr="00651044">
        <w:rPr>
          <w:sz w:val="28"/>
          <w:szCs w:val="28"/>
        </w:rPr>
        <w:t>inute de întrepr</w:t>
      </w:r>
      <w:r w:rsidRPr="00651044">
        <w:rPr>
          <w:sz w:val="28"/>
          <w:szCs w:val="28"/>
        </w:rPr>
        <w:t>inderile de sta</w:t>
      </w:r>
      <w:r w:rsidR="00635EC8" w:rsidRPr="00651044">
        <w:rPr>
          <w:sz w:val="28"/>
          <w:szCs w:val="28"/>
        </w:rPr>
        <w:t>t în anul 2015 au constituit 279</w:t>
      </w:r>
      <w:r w:rsidRPr="00651044">
        <w:rPr>
          <w:sz w:val="28"/>
          <w:szCs w:val="28"/>
        </w:rPr>
        <w:t>,</w:t>
      </w:r>
      <w:r w:rsidR="00635EC8" w:rsidRPr="00651044">
        <w:rPr>
          <w:sz w:val="28"/>
          <w:szCs w:val="28"/>
        </w:rPr>
        <w:t>2</w:t>
      </w:r>
      <w:r w:rsidR="009C7860" w:rsidRPr="00651044">
        <w:rPr>
          <w:sz w:val="28"/>
          <w:szCs w:val="28"/>
        </w:rPr>
        <w:t xml:space="preserve"> mil. lei</w:t>
      </w:r>
      <w:r w:rsidR="00635EC8" w:rsidRPr="00651044">
        <w:rPr>
          <w:sz w:val="28"/>
          <w:szCs w:val="28"/>
        </w:rPr>
        <w:t>, acestea fiind cu 112</w:t>
      </w:r>
      <w:r w:rsidRPr="00651044">
        <w:rPr>
          <w:sz w:val="28"/>
          <w:szCs w:val="28"/>
        </w:rPr>
        <w:t>,</w:t>
      </w:r>
      <w:r w:rsidR="00635EC8" w:rsidRPr="00651044">
        <w:rPr>
          <w:sz w:val="28"/>
          <w:szCs w:val="28"/>
        </w:rPr>
        <w:t>1</w:t>
      </w:r>
      <w:r w:rsidRPr="00651044">
        <w:rPr>
          <w:sz w:val="28"/>
          <w:szCs w:val="28"/>
        </w:rPr>
        <w:t xml:space="preserve"> mil. lei mai mici în raport cu veniturile aferente anului 2014</w:t>
      </w:r>
      <w:r w:rsidR="009C7860" w:rsidRPr="00651044">
        <w:rPr>
          <w:sz w:val="28"/>
          <w:szCs w:val="28"/>
        </w:rPr>
        <w:t>.</w:t>
      </w:r>
    </w:p>
    <w:p w:rsidR="00F33AF7" w:rsidRPr="00651044" w:rsidRDefault="00F33AF7" w:rsidP="00145B4D">
      <w:pPr>
        <w:spacing w:line="276" w:lineRule="auto"/>
        <w:ind w:firstLine="539"/>
        <w:jc w:val="both"/>
        <w:rPr>
          <w:sz w:val="28"/>
          <w:szCs w:val="28"/>
        </w:rPr>
      </w:pPr>
      <w:r w:rsidRPr="00651044">
        <w:rPr>
          <w:sz w:val="28"/>
          <w:szCs w:val="28"/>
        </w:rPr>
        <w:t xml:space="preserve">În partea ce vizează </w:t>
      </w:r>
      <w:r w:rsidRPr="00651044">
        <w:rPr>
          <w:i/>
          <w:sz w:val="28"/>
          <w:szCs w:val="28"/>
        </w:rPr>
        <w:t>cheltuielile suportate</w:t>
      </w:r>
      <w:r w:rsidRPr="00651044">
        <w:rPr>
          <w:sz w:val="28"/>
          <w:szCs w:val="28"/>
        </w:rPr>
        <w:t xml:space="preserve"> de către întreprinderile de stat </w:t>
      </w:r>
      <w:r w:rsidR="00CC6619" w:rsidRPr="00651044">
        <w:rPr>
          <w:sz w:val="28"/>
          <w:szCs w:val="28"/>
        </w:rPr>
        <w:t>în anul 2015</w:t>
      </w:r>
      <w:r w:rsidRPr="00651044">
        <w:rPr>
          <w:sz w:val="28"/>
          <w:szCs w:val="28"/>
        </w:rPr>
        <w:t xml:space="preserve">, </w:t>
      </w:r>
      <w:r w:rsidR="00FA52EB" w:rsidRPr="00651044">
        <w:rPr>
          <w:sz w:val="28"/>
          <w:szCs w:val="28"/>
        </w:rPr>
        <w:t xml:space="preserve">valoarea acestora a constituit </w:t>
      </w:r>
      <w:r w:rsidR="00E030E4" w:rsidRPr="00651044">
        <w:rPr>
          <w:sz w:val="28"/>
          <w:szCs w:val="28"/>
        </w:rPr>
        <w:t>1 977,1</w:t>
      </w:r>
      <w:r w:rsidR="00FA52EB" w:rsidRPr="00651044">
        <w:rPr>
          <w:sz w:val="28"/>
          <w:szCs w:val="28"/>
        </w:rPr>
        <w:t xml:space="preserve"> mil.</w:t>
      </w:r>
      <w:r w:rsidR="008E6F12" w:rsidRPr="00651044">
        <w:rPr>
          <w:sz w:val="28"/>
          <w:szCs w:val="28"/>
        </w:rPr>
        <w:t xml:space="preserve"> </w:t>
      </w:r>
      <w:r w:rsidR="00FA52EB" w:rsidRPr="00651044">
        <w:rPr>
          <w:sz w:val="28"/>
          <w:szCs w:val="28"/>
        </w:rPr>
        <w:t xml:space="preserve">lei, cu </w:t>
      </w:r>
      <w:r w:rsidR="00E030E4" w:rsidRPr="00651044">
        <w:rPr>
          <w:sz w:val="28"/>
          <w:szCs w:val="28"/>
        </w:rPr>
        <w:t>148</w:t>
      </w:r>
      <w:r w:rsidR="008E6F12" w:rsidRPr="00651044">
        <w:rPr>
          <w:sz w:val="28"/>
          <w:szCs w:val="28"/>
        </w:rPr>
        <w:t>,</w:t>
      </w:r>
      <w:r w:rsidR="00E030E4" w:rsidRPr="00651044">
        <w:rPr>
          <w:sz w:val="28"/>
          <w:szCs w:val="28"/>
        </w:rPr>
        <w:t>5</w:t>
      </w:r>
      <w:r w:rsidR="00FA52EB" w:rsidRPr="00651044">
        <w:rPr>
          <w:sz w:val="28"/>
          <w:szCs w:val="28"/>
        </w:rPr>
        <w:t xml:space="preserve"> mil.</w:t>
      </w:r>
      <w:r w:rsidR="008E6F12" w:rsidRPr="00651044">
        <w:rPr>
          <w:sz w:val="28"/>
          <w:szCs w:val="28"/>
        </w:rPr>
        <w:t xml:space="preserve"> </w:t>
      </w:r>
      <w:r w:rsidR="00FA52EB" w:rsidRPr="00651044">
        <w:rPr>
          <w:sz w:val="28"/>
          <w:szCs w:val="28"/>
        </w:rPr>
        <w:t>lei mai mult comparativ cu perioada anului 201</w:t>
      </w:r>
      <w:r w:rsidR="008E6F12" w:rsidRPr="00651044">
        <w:rPr>
          <w:sz w:val="28"/>
          <w:szCs w:val="28"/>
        </w:rPr>
        <w:t>4</w:t>
      </w:r>
      <w:r w:rsidR="00FA52EB" w:rsidRPr="00651044">
        <w:rPr>
          <w:sz w:val="28"/>
          <w:szCs w:val="28"/>
        </w:rPr>
        <w:t xml:space="preserve">. </w:t>
      </w:r>
      <w:r w:rsidR="00716C4A" w:rsidRPr="00651044">
        <w:rPr>
          <w:sz w:val="28"/>
          <w:szCs w:val="28"/>
        </w:rPr>
        <w:t>Totodată, m</w:t>
      </w:r>
      <w:r w:rsidRPr="00651044">
        <w:rPr>
          <w:sz w:val="28"/>
          <w:szCs w:val="28"/>
        </w:rPr>
        <w:t xml:space="preserve">ajoritatea </w:t>
      </w:r>
      <w:r w:rsidR="00716C4A" w:rsidRPr="00651044">
        <w:rPr>
          <w:sz w:val="28"/>
          <w:szCs w:val="28"/>
        </w:rPr>
        <w:t>cheltuielilor</w:t>
      </w:r>
      <w:r w:rsidRPr="00651044">
        <w:rPr>
          <w:sz w:val="28"/>
          <w:szCs w:val="28"/>
        </w:rPr>
        <w:t xml:space="preserve"> este reprezentată de </w:t>
      </w:r>
      <w:r w:rsidR="00F35CEB" w:rsidRPr="00651044">
        <w:rPr>
          <w:sz w:val="28"/>
          <w:szCs w:val="28"/>
        </w:rPr>
        <w:t xml:space="preserve">cheltuielile </w:t>
      </w:r>
      <w:r w:rsidR="00716C4A" w:rsidRPr="00651044">
        <w:rPr>
          <w:sz w:val="28"/>
          <w:szCs w:val="28"/>
        </w:rPr>
        <w:t>administrat</w:t>
      </w:r>
      <w:r w:rsidRPr="00651044">
        <w:rPr>
          <w:sz w:val="28"/>
          <w:szCs w:val="28"/>
        </w:rPr>
        <w:t>i</w:t>
      </w:r>
      <w:r w:rsidR="00716C4A" w:rsidRPr="00651044">
        <w:rPr>
          <w:sz w:val="28"/>
          <w:szCs w:val="28"/>
        </w:rPr>
        <w:t>ve</w:t>
      </w:r>
      <w:r w:rsidRPr="00651044">
        <w:rPr>
          <w:sz w:val="28"/>
          <w:szCs w:val="28"/>
        </w:rPr>
        <w:t xml:space="preserve"> </w:t>
      </w:r>
      <w:r w:rsidR="00F35CEB" w:rsidRPr="00651044">
        <w:rPr>
          <w:sz w:val="28"/>
          <w:szCs w:val="28"/>
        </w:rPr>
        <w:t xml:space="preserve">– </w:t>
      </w:r>
      <w:r w:rsidR="00E030E4" w:rsidRPr="00651044">
        <w:rPr>
          <w:sz w:val="28"/>
          <w:szCs w:val="28"/>
        </w:rPr>
        <w:t>66,6</w:t>
      </w:r>
      <w:r w:rsidRPr="00651044">
        <w:rPr>
          <w:sz w:val="28"/>
          <w:szCs w:val="28"/>
        </w:rPr>
        <w:t xml:space="preserve">% </w:t>
      </w:r>
      <w:r w:rsidR="00716C4A" w:rsidRPr="00651044">
        <w:rPr>
          <w:sz w:val="28"/>
          <w:szCs w:val="28"/>
        </w:rPr>
        <w:t xml:space="preserve">(sau </w:t>
      </w:r>
      <w:r w:rsidR="00E030E4" w:rsidRPr="00651044">
        <w:rPr>
          <w:sz w:val="28"/>
          <w:szCs w:val="28"/>
        </w:rPr>
        <w:t>1 316,6</w:t>
      </w:r>
      <w:r w:rsidR="00145B4D" w:rsidRPr="00651044">
        <w:rPr>
          <w:sz w:val="28"/>
          <w:szCs w:val="28"/>
        </w:rPr>
        <w:t xml:space="preserve"> mil. lei)</w:t>
      </w:r>
      <w:r w:rsidR="00716C4A" w:rsidRPr="00651044">
        <w:rPr>
          <w:sz w:val="28"/>
          <w:szCs w:val="28"/>
        </w:rPr>
        <w:t xml:space="preserve"> care, co</w:t>
      </w:r>
      <w:r w:rsidR="008E6F12" w:rsidRPr="00651044">
        <w:rPr>
          <w:sz w:val="28"/>
          <w:szCs w:val="28"/>
        </w:rPr>
        <w:t>mparativ cu perioada anului 2014</w:t>
      </w:r>
      <w:r w:rsidR="00716C4A" w:rsidRPr="00651044">
        <w:rPr>
          <w:sz w:val="28"/>
          <w:szCs w:val="28"/>
        </w:rPr>
        <w:t xml:space="preserve">, s-au majorat cu </w:t>
      </w:r>
      <w:r w:rsidR="00E030E4" w:rsidRPr="00651044">
        <w:rPr>
          <w:sz w:val="28"/>
          <w:szCs w:val="28"/>
        </w:rPr>
        <w:t>120,0</w:t>
      </w:r>
      <w:r w:rsidR="00716C4A" w:rsidRPr="00651044">
        <w:rPr>
          <w:sz w:val="28"/>
          <w:szCs w:val="28"/>
        </w:rPr>
        <w:t xml:space="preserve"> mil. lei. </w:t>
      </w:r>
    </w:p>
    <w:p w:rsidR="00CC6619" w:rsidRPr="00651044" w:rsidRDefault="00CC6619" w:rsidP="00145B4D">
      <w:pPr>
        <w:spacing w:line="276" w:lineRule="auto"/>
        <w:ind w:firstLine="539"/>
        <w:jc w:val="both"/>
        <w:rPr>
          <w:sz w:val="28"/>
          <w:szCs w:val="28"/>
        </w:rPr>
      </w:pPr>
    </w:p>
    <w:p w:rsidR="00716C4A" w:rsidRPr="00651044" w:rsidRDefault="00763829" w:rsidP="00716C4A">
      <w:pPr>
        <w:rPr>
          <w:b/>
          <w:color w:val="FF0000"/>
        </w:rPr>
      </w:pPr>
      <w:r>
        <w:rPr>
          <w:b/>
          <w:noProof/>
          <w:color w:val="FF0000"/>
          <w:lang w:val="ru-RU"/>
        </w:rPr>
        <w:drawing>
          <wp:inline distT="0" distB="0" distL="0" distR="0">
            <wp:extent cx="2988945" cy="1515745"/>
            <wp:effectExtent l="0" t="0" r="0" b="0"/>
            <wp:docPr id="8"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b/>
          <w:noProof/>
          <w:color w:val="FF0000"/>
          <w:lang w:val="ru-RU"/>
        </w:rPr>
        <w:drawing>
          <wp:inline distT="0" distB="0" distL="0" distR="0">
            <wp:extent cx="2938145" cy="1490345"/>
            <wp:effectExtent l="0" t="0" r="0" b="0"/>
            <wp:docPr id="9" name="Objec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16C4A" w:rsidRPr="00651044" w:rsidRDefault="00716C4A" w:rsidP="00716C4A">
      <w:pPr>
        <w:rPr>
          <w:b/>
          <w:i/>
          <w:sz w:val="20"/>
          <w:szCs w:val="20"/>
        </w:rPr>
      </w:pPr>
      <w:r w:rsidRPr="00651044">
        <w:rPr>
          <w:b/>
        </w:rPr>
        <w:t xml:space="preserve">                 </w:t>
      </w:r>
      <w:r w:rsidRPr="00651044">
        <w:rPr>
          <w:b/>
          <w:i/>
          <w:sz w:val="20"/>
          <w:szCs w:val="20"/>
        </w:rPr>
        <w:t>Figura 2.</w:t>
      </w:r>
      <w:r w:rsidR="007F2EED" w:rsidRPr="00651044">
        <w:rPr>
          <w:b/>
          <w:i/>
          <w:sz w:val="20"/>
          <w:szCs w:val="20"/>
        </w:rPr>
        <w:t>7</w:t>
      </w:r>
      <w:r w:rsidRPr="00651044">
        <w:rPr>
          <w:b/>
          <w:i/>
          <w:sz w:val="20"/>
          <w:szCs w:val="20"/>
        </w:rPr>
        <w:t xml:space="preserve">. Structura cheltuielilor                        </w:t>
      </w:r>
      <w:r w:rsidR="006E6FE5">
        <w:rPr>
          <w:b/>
          <w:i/>
          <w:sz w:val="20"/>
          <w:szCs w:val="20"/>
        </w:rPr>
        <w:t xml:space="preserve">    </w:t>
      </w:r>
      <w:r w:rsidRPr="00651044">
        <w:rPr>
          <w:b/>
          <w:i/>
          <w:sz w:val="20"/>
          <w:szCs w:val="20"/>
        </w:rPr>
        <w:t>Figura 2.</w:t>
      </w:r>
      <w:r w:rsidR="007F2EED" w:rsidRPr="00651044">
        <w:rPr>
          <w:b/>
          <w:i/>
          <w:sz w:val="20"/>
          <w:szCs w:val="20"/>
        </w:rPr>
        <w:t>8</w:t>
      </w:r>
      <w:r w:rsidRPr="00651044">
        <w:rPr>
          <w:b/>
          <w:i/>
          <w:sz w:val="20"/>
          <w:szCs w:val="20"/>
        </w:rPr>
        <w:t>. Structura cheltuielilor</w:t>
      </w:r>
    </w:p>
    <w:p w:rsidR="00716C4A" w:rsidRPr="00651044" w:rsidRDefault="00716C4A" w:rsidP="00716C4A">
      <w:pPr>
        <w:ind w:firstLine="540"/>
        <w:jc w:val="both"/>
        <w:rPr>
          <w:b/>
          <w:i/>
          <w:sz w:val="20"/>
          <w:szCs w:val="20"/>
        </w:rPr>
      </w:pPr>
      <w:r w:rsidRPr="00651044">
        <w:rPr>
          <w:b/>
          <w:i/>
          <w:sz w:val="20"/>
          <w:szCs w:val="20"/>
        </w:rPr>
        <w:t xml:space="preserve">       întrep</w:t>
      </w:r>
      <w:r w:rsidR="00B25EB6" w:rsidRPr="00651044">
        <w:rPr>
          <w:b/>
          <w:i/>
          <w:sz w:val="20"/>
          <w:szCs w:val="20"/>
        </w:rPr>
        <w:t>rinderilor de stat</w:t>
      </w:r>
      <w:r w:rsidR="00145B4D" w:rsidRPr="00651044">
        <w:rPr>
          <w:b/>
          <w:i/>
          <w:sz w:val="20"/>
          <w:szCs w:val="20"/>
        </w:rPr>
        <w:t xml:space="preserve"> în anul </w:t>
      </w:r>
      <w:r w:rsidR="00B25EB6" w:rsidRPr="00651044">
        <w:rPr>
          <w:b/>
          <w:i/>
          <w:sz w:val="20"/>
          <w:szCs w:val="20"/>
        </w:rPr>
        <w:t>2014</w:t>
      </w:r>
      <w:r w:rsidRPr="00651044">
        <w:rPr>
          <w:b/>
          <w:i/>
          <w:sz w:val="20"/>
          <w:szCs w:val="20"/>
        </w:rPr>
        <w:t xml:space="preserve">                            întreprinderilor de stat </w:t>
      </w:r>
      <w:r w:rsidR="00145B4D" w:rsidRPr="00651044">
        <w:rPr>
          <w:b/>
          <w:i/>
          <w:sz w:val="20"/>
          <w:szCs w:val="20"/>
        </w:rPr>
        <w:t>în anul 2</w:t>
      </w:r>
      <w:r w:rsidR="00B25EB6" w:rsidRPr="00651044">
        <w:rPr>
          <w:b/>
          <w:i/>
          <w:sz w:val="20"/>
          <w:szCs w:val="20"/>
        </w:rPr>
        <w:t>015</w:t>
      </w:r>
    </w:p>
    <w:p w:rsidR="00716C4A" w:rsidRPr="00651044" w:rsidRDefault="00716C4A" w:rsidP="006E6FE5">
      <w:pPr>
        <w:ind w:firstLine="539"/>
        <w:jc w:val="both"/>
        <w:rPr>
          <w:color w:val="FF0000"/>
          <w:sz w:val="28"/>
          <w:szCs w:val="28"/>
        </w:rPr>
      </w:pPr>
    </w:p>
    <w:p w:rsidR="00F33AF7" w:rsidRPr="00651044" w:rsidRDefault="00716C4A" w:rsidP="00F33AF7">
      <w:pPr>
        <w:spacing w:line="276" w:lineRule="auto"/>
        <w:ind w:firstLine="567"/>
        <w:jc w:val="both"/>
        <w:rPr>
          <w:sz w:val="28"/>
          <w:szCs w:val="28"/>
        </w:rPr>
      </w:pPr>
      <w:r w:rsidRPr="00651044">
        <w:rPr>
          <w:sz w:val="28"/>
          <w:szCs w:val="28"/>
        </w:rPr>
        <w:t>De asemenea</w:t>
      </w:r>
      <w:r w:rsidR="00F33AF7" w:rsidRPr="00651044">
        <w:rPr>
          <w:sz w:val="28"/>
          <w:szCs w:val="28"/>
        </w:rPr>
        <w:t xml:space="preserve">, </w:t>
      </w:r>
      <w:r w:rsidRPr="00651044">
        <w:rPr>
          <w:sz w:val="28"/>
          <w:szCs w:val="28"/>
        </w:rPr>
        <w:t>valoarea altor cheltuieli din activitate</w:t>
      </w:r>
      <w:r w:rsidR="001C7E68" w:rsidRPr="00651044">
        <w:rPr>
          <w:sz w:val="28"/>
          <w:szCs w:val="28"/>
        </w:rPr>
        <w:t>a operaţională a constituit 22,0</w:t>
      </w:r>
      <w:r w:rsidRPr="00651044">
        <w:rPr>
          <w:sz w:val="28"/>
          <w:szCs w:val="28"/>
        </w:rPr>
        <w:t>% (sau</w:t>
      </w:r>
      <w:r w:rsidR="003C4F7F" w:rsidRPr="00651044">
        <w:rPr>
          <w:sz w:val="28"/>
          <w:szCs w:val="28"/>
        </w:rPr>
        <w:t xml:space="preserve"> </w:t>
      </w:r>
      <w:r w:rsidR="001C7E68" w:rsidRPr="00651044">
        <w:rPr>
          <w:sz w:val="28"/>
          <w:szCs w:val="28"/>
        </w:rPr>
        <w:t>435</w:t>
      </w:r>
      <w:r w:rsidR="00B25EB6" w:rsidRPr="00651044">
        <w:rPr>
          <w:sz w:val="28"/>
          <w:szCs w:val="28"/>
        </w:rPr>
        <w:t>,</w:t>
      </w:r>
      <w:r w:rsidR="001C7E68" w:rsidRPr="00651044">
        <w:rPr>
          <w:sz w:val="28"/>
          <w:szCs w:val="28"/>
        </w:rPr>
        <w:t>4</w:t>
      </w:r>
      <w:r w:rsidR="003C4F7F" w:rsidRPr="00651044">
        <w:rPr>
          <w:sz w:val="28"/>
          <w:szCs w:val="28"/>
        </w:rPr>
        <w:t xml:space="preserve"> mil. lei</w:t>
      </w:r>
      <w:r w:rsidRPr="00651044">
        <w:rPr>
          <w:sz w:val="28"/>
          <w:szCs w:val="28"/>
        </w:rPr>
        <w:t>)</w:t>
      </w:r>
      <w:r w:rsidR="003C4F7F" w:rsidRPr="00651044">
        <w:rPr>
          <w:sz w:val="28"/>
          <w:szCs w:val="28"/>
        </w:rPr>
        <w:t xml:space="preserve">, acestea fiind cu </w:t>
      </w:r>
      <w:r w:rsidR="001C7E68" w:rsidRPr="00651044">
        <w:rPr>
          <w:sz w:val="28"/>
          <w:szCs w:val="28"/>
        </w:rPr>
        <w:t>18</w:t>
      </w:r>
      <w:r w:rsidR="00B25EB6" w:rsidRPr="00651044">
        <w:rPr>
          <w:sz w:val="28"/>
          <w:szCs w:val="28"/>
        </w:rPr>
        <w:t>,</w:t>
      </w:r>
      <w:r w:rsidR="001C7E68" w:rsidRPr="00651044">
        <w:rPr>
          <w:sz w:val="28"/>
          <w:szCs w:val="28"/>
        </w:rPr>
        <w:t>0</w:t>
      </w:r>
      <w:r w:rsidR="003C4F7F" w:rsidRPr="00651044">
        <w:rPr>
          <w:sz w:val="28"/>
          <w:szCs w:val="28"/>
        </w:rPr>
        <w:t xml:space="preserve"> mil. lei mai </w:t>
      </w:r>
      <w:r w:rsidR="00145B4D" w:rsidRPr="00651044">
        <w:rPr>
          <w:sz w:val="28"/>
          <w:szCs w:val="28"/>
        </w:rPr>
        <w:t>mici</w:t>
      </w:r>
      <w:r w:rsidR="00B25EB6" w:rsidRPr="00651044">
        <w:rPr>
          <w:sz w:val="28"/>
          <w:szCs w:val="28"/>
        </w:rPr>
        <w:t xml:space="preserve"> </w:t>
      </w:r>
      <w:r w:rsidR="003C4F7F" w:rsidRPr="00651044">
        <w:rPr>
          <w:sz w:val="28"/>
          <w:szCs w:val="28"/>
        </w:rPr>
        <w:t>faţă de val</w:t>
      </w:r>
      <w:r w:rsidR="00CC4E4A" w:rsidRPr="00651044">
        <w:rPr>
          <w:sz w:val="28"/>
          <w:szCs w:val="28"/>
        </w:rPr>
        <w:t>o</w:t>
      </w:r>
      <w:r w:rsidR="003C4F7F" w:rsidRPr="00651044">
        <w:rPr>
          <w:sz w:val="28"/>
          <w:szCs w:val="28"/>
        </w:rPr>
        <w:t>area înreg</w:t>
      </w:r>
      <w:r w:rsidR="00B25EB6" w:rsidRPr="00651044">
        <w:rPr>
          <w:sz w:val="28"/>
          <w:szCs w:val="28"/>
        </w:rPr>
        <w:t>istrată pe parcursul anului 2014</w:t>
      </w:r>
      <w:r w:rsidR="003C4F7F" w:rsidRPr="00651044">
        <w:rPr>
          <w:sz w:val="28"/>
          <w:szCs w:val="28"/>
        </w:rPr>
        <w:t>.</w:t>
      </w:r>
      <w:r w:rsidR="00F33AF7" w:rsidRPr="00651044">
        <w:rPr>
          <w:sz w:val="28"/>
          <w:szCs w:val="28"/>
        </w:rPr>
        <w:t xml:space="preserve"> </w:t>
      </w:r>
      <w:r w:rsidR="003C4F7F" w:rsidRPr="00651044">
        <w:rPr>
          <w:sz w:val="28"/>
          <w:szCs w:val="28"/>
        </w:rPr>
        <w:t xml:space="preserve">Cheltuielile de distribuire au înregistrat ponderea minoritară în total cheltuieli – </w:t>
      </w:r>
      <w:r w:rsidR="00B25EB6" w:rsidRPr="00651044">
        <w:rPr>
          <w:sz w:val="28"/>
          <w:szCs w:val="28"/>
        </w:rPr>
        <w:t>11,4</w:t>
      </w:r>
      <w:r w:rsidR="003C4F7F" w:rsidRPr="00651044">
        <w:rPr>
          <w:sz w:val="28"/>
          <w:szCs w:val="28"/>
        </w:rPr>
        <w:t xml:space="preserve">% (sau </w:t>
      </w:r>
      <w:r w:rsidR="001C7E68" w:rsidRPr="00651044">
        <w:rPr>
          <w:sz w:val="28"/>
          <w:szCs w:val="28"/>
        </w:rPr>
        <w:t>225,1</w:t>
      </w:r>
      <w:r w:rsidR="003C4F7F" w:rsidRPr="00651044">
        <w:rPr>
          <w:sz w:val="28"/>
          <w:szCs w:val="28"/>
        </w:rPr>
        <w:t xml:space="preserve"> mil. lei) şi s-au majorat cu </w:t>
      </w:r>
      <w:r w:rsidR="00E9364C" w:rsidRPr="00651044">
        <w:rPr>
          <w:sz w:val="28"/>
          <w:szCs w:val="28"/>
        </w:rPr>
        <w:t xml:space="preserve">             </w:t>
      </w:r>
      <w:r w:rsidR="00B25EB6" w:rsidRPr="00651044">
        <w:rPr>
          <w:sz w:val="28"/>
          <w:szCs w:val="28"/>
        </w:rPr>
        <w:t>46,</w:t>
      </w:r>
      <w:r w:rsidR="001C7E68" w:rsidRPr="00651044">
        <w:rPr>
          <w:sz w:val="28"/>
          <w:szCs w:val="28"/>
        </w:rPr>
        <w:t>5</w:t>
      </w:r>
      <w:r w:rsidR="003C4F7F" w:rsidRPr="00651044">
        <w:rPr>
          <w:sz w:val="28"/>
          <w:szCs w:val="28"/>
        </w:rPr>
        <w:t xml:space="preserve"> mil. lei comparativ cu perioada anului precedent.</w:t>
      </w:r>
    </w:p>
    <w:p w:rsidR="00B25EB6" w:rsidRPr="00651044" w:rsidRDefault="00165D18" w:rsidP="00B25EB6">
      <w:pPr>
        <w:spacing w:line="276" w:lineRule="auto"/>
        <w:ind w:firstLine="567"/>
        <w:jc w:val="both"/>
        <w:rPr>
          <w:sz w:val="28"/>
          <w:szCs w:val="28"/>
        </w:rPr>
      </w:pPr>
      <w:r w:rsidRPr="00651044">
        <w:rPr>
          <w:sz w:val="28"/>
          <w:szCs w:val="28"/>
        </w:rPr>
        <w:lastRenderedPageBreak/>
        <w:t>Drept</w:t>
      </w:r>
      <w:r w:rsidR="00B25EB6" w:rsidRPr="00651044">
        <w:rPr>
          <w:sz w:val="28"/>
          <w:szCs w:val="28"/>
        </w:rPr>
        <w:t xml:space="preserve"> rezultat, în anul 2015</w:t>
      </w:r>
      <w:r w:rsidR="00F33AF7" w:rsidRPr="00651044">
        <w:rPr>
          <w:sz w:val="28"/>
          <w:szCs w:val="28"/>
        </w:rPr>
        <w:t>, întreprinderile de stat au înregistrat</w:t>
      </w:r>
      <w:r w:rsidRPr="00651044">
        <w:rPr>
          <w:sz w:val="28"/>
          <w:szCs w:val="28"/>
        </w:rPr>
        <w:t>, per ansamblu,</w:t>
      </w:r>
      <w:r w:rsidR="00F33AF7" w:rsidRPr="00651044">
        <w:rPr>
          <w:sz w:val="28"/>
          <w:szCs w:val="28"/>
        </w:rPr>
        <w:t xml:space="preserve"> </w:t>
      </w:r>
      <w:r w:rsidR="00F33AF7" w:rsidRPr="00651044">
        <w:rPr>
          <w:i/>
          <w:sz w:val="28"/>
          <w:szCs w:val="28"/>
        </w:rPr>
        <w:t>pierderi din activitatea operaţională</w:t>
      </w:r>
      <w:r w:rsidR="00F33AF7" w:rsidRPr="00651044">
        <w:rPr>
          <w:sz w:val="28"/>
          <w:szCs w:val="28"/>
        </w:rPr>
        <w:t xml:space="preserve"> în valoare de </w:t>
      </w:r>
      <w:r w:rsidR="000B0E9D" w:rsidRPr="00651044">
        <w:rPr>
          <w:sz w:val="28"/>
          <w:szCs w:val="28"/>
        </w:rPr>
        <w:t>821</w:t>
      </w:r>
      <w:r w:rsidR="00B25EB6" w:rsidRPr="00651044">
        <w:rPr>
          <w:sz w:val="28"/>
          <w:szCs w:val="28"/>
        </w:rPr>
        <w:t>,</w:t>
      </w:r>
      <w:r w:rsidR="000B0E9D" w:rsidRPr="00651044">
        <w:rPr>
          <w:sz w:val="28"/>
          <w:szCs w:val="28"/>
        </w:rPr>
        <w:t>8</w:t>
      </w:r>
      <w:r w:rsidR="00F33AF7" w:rsidRPr="00651044">
        <w:rPr>
          <w:sz w:val="28"/>
          <w:szCs w:val="28"/>
        </w:rPr>
        <w:t xml:space="preserve"> mil. lei, aceasta </w:t>
      </w:r>
      <w:r w:rsidR="003C4F7F" w:rsidRPr="00651044">
        <w:rPr>
          <w:sz w:val="28"/>
          <w:szCs w:val="28"/>
        </w:rPr>
        <w:t>major</w:t>
      </w:r>
      <w:r w:rsidR="006E6FE5">
        <w:rPr>
          <w:sz w:val="28"/>
          <w:szCs w:val="28"/>
        </w:rPr>
        <w:t>î</w:t>
      </w:r>
      <w:r w:rsidR="003C4F7F" w:rsidRPr="00651044">
        <w:rPr>
          <w:sz w:val="28"/>
          <w:szCs w:val="28"/>
        </w:rPr>
        <w:t>ndu</w:t>
      </w:r>
      <w:r w:rsidR="00F33AF7" w:rsidRPr="00651044">
        <w:rPr>
          <w:sz w:val="28"/>
          <w:szCs w:val="28"/>
        </w:rPr>
        <w:t xml:space="preserve">-se semnificativ, cu </w:t>
      </w:r>
      <w:r w:rsidR="000B0E9D" w:rsidRPr="00651044">
        <w:rPr>
          <w:sz w:val="28"/>
          <w:szCs w:val="28"/>
        </w:rPr>
        <w:t>336</w:t>
      </w:r>
      <w:r w:rsidR="00B25EB6" w:rsidRPr="00651044">
        <w:rPr>
          <w:sz w:val="28"/>
          <w:szCs w:val="28"/>
        </w:rPr>
        <w:t>,</w:t>
      </w:r>
      <w:r w:rsidR="000B0E9D" w:rsidRPr="00651044">
        <w:rPr>
          <w:sz w:val="28"/>
          <w:szCs w:val="28"/>
        </w:rPr>
        <w:t>2</w:t>
      </w:r>
      <w:r w:rsidR="00F33AF7" w:rsidRPr="00651044">
        <w:rPr>
          <w:sz w:val="28"/>
          <w:szCs w:val="28"/>
        </w:rPr>
        <w:t xml:space="preserve"> mil. lei comparativ c</w:t>
      </w:r>
      <w:r w:rsidR="00B25EB6" w:rsidRPr="00651044">
        <w:rPr>
          <w:sz w:val="28"/>
          <w:szCs w:val="28"/>
        </w:rPr>
        <w:t>u pierderea aferentă anului 2014</w:t>
      </w:r>
      <w:r w:rsidR="00F33AF7" w:rsidRPr="00651044">
        <w:rPr>
          <w:sz w:val="28"/>
          <w:szCs w:val="28"/>
        </w:rPr>
        <w:t>.</w:t>
      </w:r>
      <w:r w:rsidR="00B25EB6" w:rsidRPr="00651044">
        <w:rPr>
          <w:sz w:val="28"/>
          <w:szCs w:val="28"/>
        </w:rPr>
        <w:t xml:space="preserve"> </w:t>
      </w:r>
      <w:r w:rsidR="003C4F7F" w:rsidRPr="00651044">
        <w:rPr>
          <w:sz w:val="28"/>
          <w:szCs w:val="28"/>
        </w:rPr>
        <w:t>Totodată</w:t>
      </w:r>
      <w:r w:rsidR="00F33AF7" w:rsidRPr="00651044">
        <w:rPr>
          <w:sz w:val="28"/>
          <w:szCs w:val="28"/>
        </w:rPr>
        <w:t xml:space="preserve">, </w:t>
      </w:r>
      <w:r w:rsidR="00B25EB6" w:rsidRPr="00651044">
        <w:rPr>
          <w:sz w:val="28"/>
          <w:szCs w:val="28"/>
        </w:rPr>
        <w:t>în anul 2015</w:t>
      </w:r>
      <w:r w:rsidR="00F33AF7" w:rsidRPr="00651044">
        <w:rPr>
          <w:sz w:val="28"/>
          <w:szCs w:val="28"/>
        </w:rPr>
        <w:t xml:space="preserve">, întreprinderile </w:t>
      </w:r>
      <w:r w:rsidR="00B25EB6" w:rsidRPr="00651044">
        <w:rPr>
          <w:sz w:val="28"/>
          <w:szCs w:val="28"/>
        </w:rPr>
        <w:t>de stat au înregistrat profit din alt</w:t>
      </w:r>
      <w:r w:rsidR="000B0E9D" w:rsidRPr="00651044">
        <w:rPr>
          <w:sz w:val="28"/>
          <w:szCs w:val="28"/>
        </w:rPr>
        <w:t>e activităţi în cuantum de 134,5</w:t>
      </w:r>
      <w:r w:rsidR="00B25EB6" w:rsidRPr="00651044">
        <w:rPr>
          <w:sz w:val="28"/>
          <w:szCs w:val="28"/>
        </w:rPr>
        <w:t xml:space="preserve"> mil. le</w:t>
      </w:r>
      <w:r w:rsidR="00CC6619" w:rsidRPr="00651044">
        <w:rPr>
          <w:sz w:val="28"/>
          <w:szCs w:val="28"/>
        </w:rPr>
        <w:t>i, valoarea acestuia</w:t>
      </w:r>
      <w:r w:rsidR="000B0E9D" w:rsidRPr="00651044">
        <w:rPr>
          <w:sz w:val="28"/>
          <w:szCs w:val="28"/>
        </w:rPr>
        <w:t xml:space="preserve"> fiind cu 49</w:t>
      </w:r>
      <w:r w:rsidR="00B25EB6" w:rsidRPr="00651044">
        <w:rPr>
          <w:sz w:val="28"/>
          <w:szCs w:val="28"/>
        </w:rPr>
        <w:t xml:space="preserve">,5 mil. lei mai </w:t>
      </w:r>
      <w:r w:rsidR="00145B4D" w:rsidRPr="00651044">
        <w:rPr>
          <w:sz w:val="28"/>
          <w:szCs w:val="28"/>
        </w:rPr>
        <w:t>mică</w:t>
      </w:r>
      <w:r w:rsidR="00B25EB6" w:rsidRPr="00651044">
        <w:rPr>
          <w:sz w:val="28"/>
          <w:szCs w:val="28"/>
        </w:rPr>
        <w:t xml:space="preserve"> în raport cu anul 2014.</w:t>
      </w:r>
    </w:p>
    <w:p w:rsidR="00F33AF7" w:rsidRPr="00651044" w:rsidRDefault="00B25EB6" w:rsidP="00B25EB6">
      <w:pPr>
        <w:spacing w:line="276" w:lineRule="auto"/>
        <w:ind w:firstLine="539"/>
        <w:jc w:val="both"/>
        <w:rPr>
          <w:sz w:val="28"/>
          <w:szCs w:val="28"/>
        </w:rPr>
      </w:pPr>
      <w:r w:rsidRPr="00651044">
        <w:rPr>
          <w:sz w:val="28"/>
          <w:szCs w:val="28"/>
        </w:rPr>
        <w:t xml:space="preserve">Astfel, la data raportării, întreprinderile supuse analizei </w:t>
      </w:r>
      <w:r w:rsidR="00F33AF7" w:rsidRPr="00651044">
        <w:rPr>
          <w:sz w:val="28"/>
          <w:szCs w:val="28"/>
        </w:rPr>
        <w:t>au înregistrat o pie</w:t>
      </w:r>
      <w:r w:rsidRPr="00651044">
        <w:rPr>
          <w:sz w:val="28"/>
          <w:szCs w:val="28"/>
        </w:rPr>
        <w:t>rdere a perioadei de gestiune p</w:t>
      </w:r>
      <w:r w:rsidR="006E6FE5">
        <w:rPr>
          <w:sz w:val="28"/>
          <w:szCs w:val="28"/>
        </w:rPr>
        <w:t>î</w:t>
      </w:r>
      <w:r w:rsidR="00F33AF7" w:rsidRPr="00651044">
        <w:rPr>
          <w:sz w:val="28"/>
          <w:szCs w:val="28"/>
        </w:rPr>
        <w:t xml:space="preserve">nă la impozitare în valoare de </w:t>
      </w:r>
      <w:r w:rsidR="000B0E9D" w:rsidRPr="00651044">
        <w:rPr>
          <w:sz w:val="28"/>
          <w:szCs w:val="28"/>
        </w:rPr>
        <w:t>687</w:t>
      </w:r>
      <w:r w:rsidRPr="00651044">
        <w:rPr>
          <w:sz w:val="28"/>
          <w:szCs w:val="28"/>
        </w:rPr>
        <w:t>,</w:t>
      </w:r>
      <w:r w:rsidR="000B0E9D" w:rsidRPr="00651044">
        <w:rPr>
          <w:sz w:val="28"/>
          <w:szCs w:val="28"/>
        </w:rPr>
        <w:t>3</w:t>
      </w:r>
      <w:r w:rsidR="00F33AF7" w:rsidRPr="00651044">
        <w:rPr>
          <w:sz w:val="28"/>
          <w:szCs w:val="28"/>
        </w:rPr>
        <w:t xml:space="preserve"> mil. lei, </w:t>
      </w:r>
      <w:r w:rsidR="00333246" w:rsidRPr="00651044">
        <w:rPr>
          <w:sz w:val="28"/>
          <w:szCs w:val="28"/>
        </w:rPr>
        <w:t xml:space="preserve">aceasta fiind cu </w:t>
      </w:r>
      <w:r w:rsidR="002B0408" w:rsidRPr="00651044">
        <w:rPr>
          <w:sz w:val="28"/>
          <w:szCs w:val="28"/>
        </w:rPr>
        <w:t>385</w:t>
      </w:r>
      <w:r w:rsidRPr="00651044">
        <w:rPr>
          <w:sz w:val="28"/>
          <w:szCs w:val="28"/>
        </w:rPr>
        <w:t>,</w:t>
      </w:r>
      <w:r w:rsidR="002B0408" w:rsidRPr="00651044">
        <w:rPr>
          <w:sz w:val="28"/>
          <w:szCs w:val="28"/>
        </w:rPr>
        <w:t>7</w:t>
      </w:r>
      <w:r w:rsidR="003C4F7F" w:rsidRPr="00651044">
        <w:rPr>
          <w:sz w:val="28"/>
          <w:szCs w:val="28"/>
        </w:rPr>
        <w:t xml:space="preserve"> mil. lei mai mare faţă d</w:t>
      </w:r>
      <w:r w:rsidRPr="00651044">
        <w:rPr>
          <w:sz w:val="28"/>
          <w:szCs w:val="28"/>
        </w:rPr>
        <w:t>e pierderea aferentă anului 2014</w:t>
      </w:r>
      <w:r w:rsidR="003C4F7F" w:rsidRPr="00651044">
        <w:rPr>
          <w:sz w:val="28"/>
          <w:szCs w:val="28"/>
        </w:rPr>
        <w:t xml:space="preserve">. </w:t>
      </w:r>
      <w:r w:rsidRPr="00651044">
        <w:rPr>
          <w:sz w:val="28"/>
          <w:szCs w:val="28"/>
        </w:rPr>
        <w:t xml:space="preserve"> </w:t>
      </w:r>
      <w:r w:rsidR="00F33AF7" w:rsidRPr="00651044">
        <w:rPr>
          <w:sz w:val="28"/>
          <w:szCs w:val="28"/>
        </w:rPr>
        <w:t xml:space="preserve">Este de menţionat că, </w:t>
      </w:r>
      <w:r w:rsidR="003C4F7F" w:rsidRPr="00651044">
        <w:rPr>
          <w:sz w:val="28"/>
          <w:szCs w:val="28"/>
        </w:rPr>
        <w:t>majorarea</w:t>
      </w:r>
      <w:r w:rsidR="00F33AF7" w:rsidRPr="00651044">
        <w:rPr>
          <w:sz w:val="28"/>
          <w:szCs w:val="28"/>
        </w:rPr>
        <w:t xml:space="preserve"> </w:t>
      </w:r>
      <w:r w:rsidR="003C4F7F" w:rsidRPr="00651044">
        <w:rPr>
          <w:sz w:val="28"/>
          <w:szCs w:val="28"/>
        </w:rPr>
        <w:t xml:space="preserve">pierderilor </w:t>
      </w:r>
      <w:r w:rsidRPr="00651044">
        <w:rPr>
          <w:sz w:val="28"/>
          <w:szCs w:val="28"/>
        </w:rPr>
        <w:t>p</w:t>
      </w:r>
      <w:r w:rsidR="006E6FE5">
        <w:rPr>
          <w:sz w:val="28"/>
          <w:szCs w:val="28"/>
        </w:rPr>
        <w:t>î</w:t>
      </w:r>
      <w:r w:rsidR="00F33AF7" w:rsidRPr="00651044">
        <w:rPr>
          <w:sz w:val="28"/>
          <w:szCs w:val="28"/>
        </w:rPr>
        <w:t xml:space="preserve">nă la impozitare, </w:t>
      </w:r>
      <w:r w:rsidR="00A02BAD" w:rsidRPr="00651044">
        <w:rPr>
          <w:sz w:val="28"/>
          <w:szCs w:val="28"/>
        </w:rPr>
        <w:t>conform rezultatelor</w:t>
      </w:r>
      <w:r w:rsidR="00F33AF7" w:rsidRPr="00651044">
        <w:rPr>
          <w:sz w:val="28"/>
          <w:szCs w:val="28"/>
        </w:rPr>
        <w:t xml:space="preserve"> activităţii anului 201</w:t>
      </w:r>
      <w:r w:rsidRPr="00651044">
        <w:rPr>
          <w:sz w:val="28"/>
          <w:szCs w:val="28"/>
        </w:rPr>
        <w:t>5</w:t>
      </w:r>
      <w:r w:rsidR="00F33AF7" w:rsidRPr="00651044">
        <w:rPr>
          <w:sz w:val="28"/>
          <w:szCs w:val="28"/>
        </w:rPr>
        <w:t xml:space="preserve">, </w:t>
      </w:r>
      <w:r w:rsidR="00F33AF7" w:rsidRPr="00651044">
        <w:rPr>
          <w:i/>
          <w:sz w:val="28"/>
          <w:szCs w:val="28"/>
        </w:rPr>
        <w:t xml:space="preserve">influenţează negativ asupra încasărilor </w:t>
      </w:r>
      <w:r w:rsidRPr="00651044">
        <w:rPr>
          <w:i/>
          <w:sz w:val="28"/>
          <w:szCs w:val="28"/>
        </w:rPr>
        <w:t>la bugetul public naţional</w:t>
      </w:r>
      <w:r w:rsidRPr="00651044">
        <w:rPr>
          <w:sz w:val="28"/>
          <w:szCs w:val="28"/>
        </w:rPr>
        <w:t xml:space="preserve"> a </w:t>
      </w:r>
      <w:r w:rsidR="00F33AF7" w:rsidRPr="00651044">
        <w:rPr>
          <w:sz w:val="28"/>
          <w:szCs w:val="28"/>
        </w:rPr>
        <w:t xml:space="preserve">impozitului pe venit din activitatea de întreprinzător. </w:t>
      </w:r>
    </w:p>
    <w:p w:rsidR="00F33AF7" w:rsidRPr="00651044" w:rsidRDefault="009C7860" w:rsidP="00F33AF7">
      <w:pPr>
        <w:pStyle w:val="BodyTextIndent2"/>
        <w:spacing w:line="276" w:lineRule="auto"/>
        <w:ind w:firstLine="539"/>
        <w:rPr>
          <w:szCs w:val="28"/>
        </w:rPr>
      </w:pPr>
      <w:r w:rsidRPr="00651044">
        <w:rPr>
          <w:szCs w:val="28"/>
        </w:rPr>
        <w:t>Î</w:t>
      </w:r>
      <w:r w:rsidR="00F33AF7" w:rsidRPr="00651044">
        <w:rPr>
          <w:szCs w:val="28"/>
        </w:rPr>
        <w:t xml:space="preserve">n rezultatul activităţii economico-financiare, în ansamblu, întreprinderile de stat au înregistrat pierderi nete în mărime de </w:t>
      </w:r>
      <w:r w:rsidR="006D5D1C" w:rsidRPr="00651044">
        <w:rPr>
          <w:szCs w:val="28"/>
        </w:rPr>
        <w:t>720</w:t>
      </w:r>
      <w:r w:rsidR="00B25EB6" w:rsidRPr="00651044">
        <w:rPr>
          <w:szCs w:val="28"/>
        </w:rPr>
        <w:t>,</w:t>
      </w:r>
      <w:r w:rsidR="006D5D1C" w:rsidRPr="00651044">
        <w:rPr>
          <w:szCs w:val="28"/>
        </w:rPr>
        <w:t>3</w:t>
      </w:r>
      <w:r w:rsidR="00F33AF7" w:rsidRPr="00651044">
        <w:rPr>
          <w:szCs w:val="28"/>
        </w:rPr>
        <w:t xml:space="preserve"> mil. lei, </w:t>
      </w:r>
      <w:r w:rsidR="003C4F7F" w:rsidRPr="00651044">
        <w:rPr>
          <w:szCs w:val="28"/>
        </w:rPr>
        <w:t xml:space="preserve">aceasta fiind cu </w:t>
      </w:r>
      <w:r w:rsidR="006D5D1C" w:rsidRPr="00651044">
        <w:rPr>
          <w:szCs w:val="28"/>
        </w:rPr>
        <w:t>384</w:t>
      </w:r>
      <w:r w:rsidR="00B25EB6" w:rsidRPr="00651044">
        <w:rPr>
          <w:szCs w:val="28"/>
        </w:rPr>
        <w:t>,</w:t>
      </w:r>
      <w:r w:rsidR="006D5D1C" w:rsidRPr="00651044">
        <w:rPr>
          <w:szCs w:val="28"/>
        </w:rPr>
        <w:t>9</w:t>
      </w:r>
      <w:r w:rsidR="00165D18" w:rsidRPr="00651044">
        <w:rPr>
          <w:szCs w:val="28"/>
        </w:rPr>
        <w:t xml:space="preserve"> mil. lei mai mari</w:t>
      </w:r>
      <w:r w:rsidR="003C4F7F" w:rsidRPr="00651044">
        <w:rPr>
          <w:szCs w:val="28"/>
        </w:rPr>
        <w:t xml:space="preserve"> faţă de pierder</w:t>
      </w:r>
      <w:r w:rsidR="00165D18" w:rsidRPr="00651044">
        <w:rPr>
          <w:szCs w:val="28"/>
        </w:rPr>
        <w:t>ile înregistrate</w:t>
      </w:r>
      <w:r w:rsidR="00B25EB6" w:rsidRPr="00651044">
        <w:rPr>
          <w:szCs w:val="28"/>
        </w:rPr>
        <w:t xml:space="preserve"> în anul 2014</w:t>
      </w:r>
      <w:r w:rsidR="00F33AF7" w:rsidRPr="00651044">
        <w:rPr>
          <w:szCs w:val="28"/>
        </w:rPr>
        <w:t>.</w:t>
      </w:r>
    </w:p>
    <w:p w:rsidR="00914FE0" w:rsidRPr="00651044" w:rsidRDefault="00914FE0" w:rsidP="00914FE0">
      <w:pPr>
        <w:pStyle w:val="BodyTextIndent2"/>
        <w:spacing w:line="360" w:lineRule="auto"/>
        <w:ind w:firstLine="540"/>
        <w:jc w:val="right"/>
        <w:rPr>
          <w:sz w:val="20"/>
        </w:rPr>
      </w:pPr>
      <w:r w:rsidRPr="00651044">
        <w:rPr>
          <w:sz w:val="20"/>
        </w:rPr>
        <w:t xml:space="preserve">Tabelul 2.3 </w:t>
      </w:r>
    </w:p>
    <w:p w:rsidR="00914FE0" w:rsidRPr="00651044" w:rsidRDefault="00914FE0" w:rsidP="00914FE0">
      <w:pPr>
        <w:spacing w:line="360" w:lineRule="auto"/>
        <w:jc w:val="center"/>
        <w:rPr>
          <w:b/>
          <w:i/>
        </w:rPr>
      </w:pPr>
      <w:r w:rsidRPr="00651044">
        <w:rPr>
          <w:b/>
          <w:i/>
        </w:rPr>
        <w:t>Situaţia financiară a între</w:t>
      </w:r>
      <w:r w:rsidR="00B25EB6" w:rsidRPr="00651044">
        <w:rPr>
          <w:b/>
          <w:i/>
        </w:rPr>
        <w:t>prinderilor de stat în anul 2015</w:t>
      </w:r>
    </w:p>
    <w:tbl>
      <w:tblPr>
        <w:tblW w:w="9747" w:type="dxa"/>
        <w:jc w:val="center"/>
        <w:tblBorders>
          <w:top w:val="single" w:sz="12" w:space="0" w:color="000000"/>
          <w:bottom w:val="single" w:sz="12" w:space="0" w:color="000000"/>
          <w:insideH w:val="single" w:sz="6" w:space="0" w:color="000000"/>
        </w:tblBorders>
        <w:tblLayout w:type="fixed"/>
        <w:tblLook w:val="0000"/>
      </w:tblPr>
      <w:tblGrid>
        <w:gridCol w:w="1101"/>
        <w:gridCol w:w="1080"/>
        <w:gridCol w:w="904"/>
        <w:gridCol w:w="992"/>
        <w:gridCol w:w="900"/>
        <w:gridCol w:w="900"/>
        <w:gridCol w:w="1035"/>
        <w:gridCol w:w="900"/>
        <w:gridCol w:w="900"/>
        <w:gridCol w:w="1035"/>
      </w:tblGrid>
      <w:tr w:rsidR="00914FE0" w:rsidRPr="00651044" w:rsidTr="00914FE0">
        <w:trPr>
          <w:trHeight w:val="479"/>
          <w:jc w:val="center"/>
        </w:trPr>
        <w:tc>
          <w:tcPr>
            <w:tcW w:w="1101" w:type="dxa"/>
            <w:vMerge w:val="restart"/>
            <w:shd w:val="clear" w:color="auto" w:fill="auto"/>
            <w:vAlign w:val="center"/>
          </w:tcPr>
          <w:p w:rsidR="00914FE0" w:rsidRPr="00651044" w:rsidRDefault="00914FE0" w:rsidP="00914FE0">
            <w:pPr>
              <w:jc w:val="center"/>
              <w:rPr>
                <w:b/>
                <w:sz w:val="18"/>
                <w:szCs w:val="18"/>
              </w:rPr>
            </w:pPr>
            <w:r w:rsidRPr="00651044">
              <w:rPr>
                <w:b/>
                <w:sz w:val="18"/>
                <w:szCs w:val="18"/>
              </w:rPr>
              <w:t>Entită</w:t>
            </w:r>
            <w:r w:rsidR="005F5ABF" w:rsidRPr="00651044">
              <w:rPr>
                <w:b/>
                <w:sz w:val="18"/>
                <w:szCs w:val="18"/>
              </w:rPr>
              <w:t>ţ</w:t>
            </w:r>
            <w:r w:rsidRPr="00651044">
              <w:rPr>
                <w:b/>
                <w:sz w:val="18"/>
                <w:szCs w:val="18"/>
              </w:rPr>
              <w:t>i</w:t>
            </w:r>
          </w:p>
          <w:p w:rsidR="00914FE0" w:rsidRPr="00651044" w:rsidRDefault="00914FE0" w:rsidP="00914FE0">
            <w:pPr>
              <w:jc w:val="center"/>
              <w:rPr>
                <w:b/>
                <w:sz w:val="18"/>
                <w:szCs w:val="18"/>
              </w:rPr>
            </w:pPr>
            <w:r w:rsidRPr="00651044">
              <w:rPr>
                <w:b/>
                <w:sz w:val="18"/>
                <w:szCs w:val="18"/>
              </w:rPr>
              <w:t>economice</w:t>
            </w:r>
          </w:p>
        </w:tc>
        <w:tc>
          <w:tcPr>
            <w:tcW w:w="1080" w:type="dxa"/>
            <w:vMerge w:val="restart"/>
            <w:shd w:val="clear" w:color="auto" w:fill="auto"/>
          </w:tcPr>
          <w:p w:rsidR="00914FE0" w:rsidRPr="00651044" w:rsidRDefault="00914FE0" w:rsidP="00914FE0">
            <w:pPr>
              <w:pStyle w:val="BodyTextIndent2"/>
              <w:ind w:firstLine="0"/>
              <w:jc w:val="center"/>
              <w:rPr>
                <w:b/>
                <w:sz w:val="18"/>
                <w:szCs w:val="18"/>
              </w:rPr>
            </w:pPr>
            <w:r w:rsidRPr="00651044">
              <w:rPr>
                <w:b/>
                <w:sz w:val="18"/>
                <w:szCs w:val="18"/>
              </w:rPr>
              <w:t>Numărul entită</w:t>
            </w:r>
            <w:r w:rsidR="005F5ABF" w:rsidRPr="00651044">
              <w:rPr>
                <w:b/>
                <w:sz w:val="18"/>
                <w:szCs w:val="18"/>
              </w:rPr>
              <w:t>ţ</w:t>
            </w:r>
            <w:r w:rsidRPr="00651044">
              <w:rPr>
                <w:b/>
                <w:sz w:val="18"/>
                <w:szCs w:val="18"/>
              </w:rPr>
              <w:t>ilor economice supuse analizei</w:t>
            </w:r>
          </w:p>
        </w:tc>
        <w:tc>
          <w:tcPr>
            <w:tcW w:w="2796" w:type="dxa"/>
            <w:gridSpan w:val="3"/>
            <w:shd w:val="clear" w:color="auto" w:fill="auto"/>
            <w:vAlign w:val="center"/>
          </w:tcPr>
          <w:p w:rsidR="00914FE0" w:rsidRPr="00651044" w:rsidRDefault="00914FE0" w:rsidP="00914FE0">
            <w:pPr>
              <w:jc w:val="center"/>
              <w:rPr>
                <w:b/>
                <w:sz w:val="18"/>
                <w:szCs w:val="18"/>
              </w:rPr>
            </w:pPr>
            <w:r w:rsidRPr="00651044">
              <w:rPr>
                <w:b/>
                <w:sz w:val="18"/>
                <w:szCs w:val="18"/>
              </w:rPr>
              <w:t>Au activat cu pierderi</w:t>
            </w:r>
          </w:p>
        </w:tc>
        <w:tc>
          <w:tcPr>
            <w:tcW w:w="2835" w:type="dxa"/>
            <w:gridSpan w:val="3"/>
            <w:shd w:val="clear" w:color="auto" w:fill="auto"/>
            <w:vAlign w:val="center"/>
          </w:tcPr>
          <w:p w:rsidR="00914FE0" w:rsidRPr="00651044" w:rsidRDefault="00914FE0" w:rsidP="00914FE0">
            <w:pPr>
              <w:jc w:val="center"/>
              <w:rPr>
                <w:b/>
                <w:sz w:val="18"/>
                <w:szCs w:val="18"/>
              </w:rPr>
            </w:pPr>
            <w:r w:rsidRPr="00651044">
              <w:rPr>
                <w:b/>
                <w:sz w:val="18"/>
                <w:szCs w:val="18"/>
              </w:rPr>
              <w:t>Au activat cu profit</w:t>
            </w:r>
          </w:p>
        </w:tc>
        <w:tc>
          <w:tcPr>
            <w:tcW w:w="1935" w:type="dxa"/>
            <w:gridSpan w:val="2"/>
            <w:shd w:val="clear" w:color="auto" w:fill="auto"/>
            <w:vAlign w:val="center"/>
          </w:tcPr>
          <w:p w:rsidR="00914FE0" w:rsidRPr="00651044" w:rsidRDefault="00914FE0" w:rsidP="00914FE0">
            <w:pPr>
              <w:jc w:val="center"/>
              <w:rPr>
                <w:b/>
                <w:sz w:val="18"/>
                <w:szCs w:val="18"/>
              </w:rPr>
            </w:pPr>
            <w:r w:rsidRPr="00651044">
              <w:rPr>
                <w:b/>
                <w:sz w:val="18"/>
                <w:szCs w:val="18"/>
              </w:rPr>
              <w:t>Rezultat financiar nul</w:t>
            </w:r>
          </w:p>
        </w:tc>
      </w:tr>
      <w:tr w:rsidR="00914FE0" w:rsidRPr="00651044" w:rsidTr="00914FE0">
        <w:trPr>
          <w:trHeight w:val="63"/>
          <w:jc w:val="center"/>
        </w:trPr>
        <w:tc>
          <w:tcPr>
            <w:tcW w:w="1101" w:type="dxa"/>
            <w:vMerge/>
            <w:shd w:val="clear" w:color="auto" w:fill="auto"/>
          </w:tcPr>
          <w:p w:rsidR="00914FE0" w:rsidRPr="00651044" w:rsidRDefault="00914FE0" w:rsidP="00914FE0">
            <w:pPr>
              <w:jc w:val="center"/>
              <w:rPr>
                <w:b/>
                <w:sz w:val="18"/>
                <w:szCs w:val="18"/>
              </w:rPr>
            </w:pPr>
          </w:p>
        </w:tc>
        <w:tc>
          <w:tcPr>
            <w:tcW w:w="1080" w:type="dxa"/>
            <w:vMerge/>
            <w:shd w:val="clear" w:color="auto" w:fill="auto"/>
          </w:tcPr>
          <w:p w:rsidR="00914FE0" w:rsidRPr="00651044" w:rsidRDefault="00914FE0" w:rsidP="00914FE0">
            <w:pPr>
              <w:jc w:val="center"/>
              <w:rPr>
                <w:b/>
                <w:sz w:val="18"/>
                <w:szCs w:val="18"/>
              </w:rPr>
            </w:pPr>
          </w:p>
        </w:tc>
        <w:tc>
          <w:tcPr>
            <w:tcW w:w="904" w:type="dxa"/>
            <w:shd w:val="clear" w:color="auto" w:fill="auto"/>
            <w:vAlign w:val="center"/>
          </w:tcPr>
          <w:p w:rsidR="00914FE0" w:rsidRPr="00651044" w:rsidRDefault="00914FE0" w:rsidP="00914FE0">
            <w:pPr>
              <w:jc w:val="center"/>
              <w:rPr>
                <w:sz w:val="18"/>
                <w:szCs w:val="18"/>
              </w:rPr>
            </w:pPr>
            <w:r w:rsidRPr="00651044">
              <w:rPr>
                <w:sz w:val="18"/>
                <w:szCs w:val="18"/>
              </w:rPr>
              <w:t>numărul ent. ec.</w:t>
            </w:r>
          </w:p>
        </w:tc>
        <w:tc>
          <w:tcPr>
            <w:tcW w:w="992" w:type="dxa"/>
            <w:shd w:val="clear" w:color="auto" w:fill="auto"/>
            <w:vAlign w:val="center"/>
          </w:tcPr>
          <w:p w:rsidR="00914FE0" w:rsidRPr="00651044" w:rsidRDefault="00914FE0" w:rsidP="00914FE0">
            <w:pPr>
              <w:pStyle w:val="BodyTextIndent2"/>
              <w:ind w:firstLine="0"/>
              <w:jc w:val="center"/>
              <w:rPr>
                <w:sz w:val="18"/>
                <w:szCs w:val="18"/>
              </w:rPr>
            </w:pPr>
            <w:r w:rsidRPr="00651044">
              <w:rPr>
                <w:sz w:val="18"/>
                <w:szCs w:val="18"/>
              </w:rPr>
              <w:t>ponderea,</w:t>
            </w:r>
          </w:p>
          <w:p w:rsidR="00914FE0" w:rsidRPr="00651044" w:rsidRDefault="00914FE0" w:rsidP="00914FE0">
            <w:pPr>
              <w:jc w:val="center"/>
              <w:rPr>
                <w:sz w:val="18"/>
                <w:szCs w:val="18"/>
              </w:rPr>
            </w:pPr>
            <w:r w:rsidRPr="00651044">
              <w:rPr>
                <w:sz w:val="18"/>
                <w:szCs w:val="18"/>
              </w:rPr>
              <w:t>%</w:t>
            </w:r>
          </w:p>
        </w:tc>
        <w:tc>
          <w:tcPr>
            <w:tcW w:w="900" w:type="dxa"/>
            <w:shd w:val="clear" w:color="auto" w:fill="auto"/>
            <w:vAlign w:val="center"/>
          </w:tcPr>
          <w:p w:rsidR="00914FE0" w:rsidRPr="00651044" w:rsidRDefault="00914FE0" w:rsidP="00914FE0">
            <w:pPr>
              <w:jc w:val="center"/>
              <w:rPr>
                <w:sz w:val="18"/>
                <w:szCs w:val="18"/>
              </w:rPr>
            </w:pPr>
            <w:r w:rsidRPr="00651044">
              <w:rPr>
                <w:sz w:val="18"/>
                <w:szCs w:val="18"/>
              </w:rPr>
              <w:t>suma, mil. lei</w:t>
            </w:r>
          </w:p>
        </w:tc>
        <w:tc>
          <w:tcPr>
            <w:tcW w:w="900" w:type="dxa"/>
            <w:shd w:val="clear" w:color="auto" w:fill="auto"/>
            <w:vAlign w:val="center"/>
          </w:tcPr>
          <w:p w:rsidR="00914FE0" w:rsidRPr="00651044" w:rsidRDefault="00914FE0" w:rsidP="00914FE0">
            <w:pPr>
              <w:jc w:val="center"/>
              <w:rPr>
                <w:sz w:val="18"/>
                <w:szCs w:val="18"/>
              </w:rPr>
            </w:pPr>
            <w:r w:rsidRPr="00651044">
              <w:rPr>
                <w:sz w:val="18"/>
                <w:szCs w:val="18"/>
              </w:rPr>
              <w:t>numărul ent. ec.</w:t>
            </w:r>
          </w:p>
        </w:tc>
        <w:tc>
          <w:tcPr>
            <w:tcW w:w="1035" w:type="dxa"/>
            <w:shd w:val="clear" w:color="auto" w:fill="auto"/>
            <w:vAlign w:val="center"/>
          </w:tcPr>
          <w:p w:rsidR="00914FE0" w:rsidRPr="00651044" w:rsidRDefault="00914FE0" w:rsidP="00914FE0">
            <w:pPr>
              <w:pStyle w:val="BodyTextIndent2"/>
              <w:ind w:firstLine="0"/>
              <w:jc w:val="center"/>
              <w:rPr>
                <w:sz w:val="18"/>
                <w:szCs w:val="18"/>
              </w:rPr>
            </w:pPr>
            <w:r w:rsidRPr="00651044">
              <w:rPr>
                <w:sz w:val="18"/>
                <w:szCs w:val="18"/>
              </w:rPr>
              <w:t>ponderea,</w:t>
            </w:r>
          </w:p>
          <w:p w:rsidR="00914FE0" w:rsidRPr="00651044" w:rsidRDefault="00914FE0" w:rsidP="00914FE0">
            <w:pPr>
              <w:jc w:val="center"/>
              <w:rPr>
                <w:sz w:val="18"/>
                <w:szCs w:val="18"/>
              </w:rPr>
            </w:pPr>
            <w:r w:rsidRPr="00651044">
              <w:rPr>
                <w:sz w:val="18"/>
                <w:szCs w:val="18"/>
              </w:rPr>
              <w:t>%</w:t>
            </w:r>
          </w:p>
        </w:tc>
        <w:tc>
          <w:tcPr>
            <w:tcW w:w="900" w:type="dxa"/>
            <w:shd w:val="clear" w:color="auto" w:fill="auto"/>
            <w:vAlign w:val="center"/>
          </w:tcPr>
          <w:p w:rsidR="00914FE0" w:rsidRPr="00651044" w:rsidRDefault="00914FE0" w:rsidP="00914FE0">
            <w:pPr>
              <w:jc w:val="center"/>
              <w:rPr>
                <w:sz w:val="18"/>
                <w:szCs w:val="18"/>
              </w:rPr>
            </w:pPr>
            <w:r w:rsidRPr="00651044">
              <w:rPr>
                <w:sz w:val="18"/>
                <w:szCs w:val="18"/>
              </w:rPr>
              <w:t>suma, mil. lei</w:t>
            </w:r>
          </w:p>
        </w:tc>
        <w:tc>
          <w:tcPr>
            <w:tcW w:w="900" w:type="dxa"/>
            <w:shd w:val="clear" w:color="auto" w:fill="auto"/>
            <w:vAlign w:val="center"/>
          </w:tcPr>
          <w:p w:rsidR="00914FE0" w:rsidRPr="00651044" w:rsidRDefault="00914FE0" w:rsidP="00914FE0">
            <w:pPr>
              <w:jc w:val="center"/>
              <w:rPr>
                <w:sz w:val="18"/>
                <w:szCs w:val="18"/>
              </w:rPr>
            </w:pPr>
            <w:r w:rsidRPr="00651044">
              <w:rPr>
                <w:sz w:val="18"/>
                <w:szCs w:val="18"/>
              </w:rPr>
              <w:t>numărul ent. ec.</w:t>
            </w:r>
          </w:p>
        </w:tc>
        <w:tc>
          <w:tcPr>
            <w:tcW w:w="1035" w:type="dxa"/>
            <w:shd w:val="clear" w:color="auto" w:fill="auto"/>
            <w:vAlign w:val="center"/>
          </w:tcPr>
          <w:p w:rsidR="00914FE0" w:rsidRPr="00651044" w:rsidRDefault="00914FE0" w:rsidP="00914FE0">
            <w:pPr>
              <w:pStyle w:val="BodyTextIndent2"/>
              <w:ind w:firstLine="0"/>
              <w:jc w:val="center"/>
              <w:rPr>
                <w:sz w:val="18"/>
                <w:szCs w:val="18"/>
              </w:rPr>
            </w:pPr>
            <w:r w:rsidRPr="00651044">
              <w:rPr>
                <w:sz w:val="18"/>
                <w:szCs w:val="18"/>
              </w:rPr>
              <w:t>ponderea,</w:t>
            </w:r>
          </w:p>
          <w:p w:rsidR="00914FE0" w:rsidRPr="00651044" w:rsidRDefault="00914FE0" w:rsidP="00914FE0">
            <w:pPr>
              <w:jc w:val="center"/>
              <w:rPr>
                <w:sz w:val="18"/>
                <w:szCs w:val="18"/>
              </w:rPr>
            </w:pPr>
            <w:r w:rsidRPr="00651044">
              <w:rPr>
                <w:sz w:val="18"/>
                <w:szCs w:val="18"/>
              </w:rPr>
              <w:t>%</w:t>
            </w:r>
          </w:p>
        </w:tc>
      </w:tr>
      <w:tr w:rsidR="00914FE0" w:rsidRPr="00651044" w:rsidTr="00294516">
        <w:trPr>
          <w:trHeight w:val="99"/>
          <w:jc w:val="center"/>
        </w:trPr>
        <w:tc>
          <w:tcPr>
            <w:tcW w:w="1101" w:type="dxa"/>
            <w:shd w:val="clear" w:color="auto" w:fill="auto"/>
            <w:vAlign w:val="bottom"/>
          </w:tcPr>
          <w:p w:rsidR="00914FE0" w:rsidRPr="00651044" w:rsidRDefault="00914FE0" w:rsidP="00294516">
            <w:pPr>
              <w:pStyle w:val="BodyTextIndent2"/>
              <w:spacing w:line="360" w:lineRule="auto"/>
              <w:ind w:right="44" w:firstLine="0"/>
              <w:jc w:val="center"/>
              <w:rPr>
                <w:sz w:val="18"/>
                <w:szCs w:val="18"/>
              </w:rPr>
            </w:pPr>
            <w:r w:rsidRPr="00651044">
              <w:rPr>
                <w:sz w:val="18"/>
                <w:szCs w:val="18"/>
              </w:rPr>
              <w:t>1</w:t>
            </w:r>
          </w:p>
        </w:tc>
        <w:tc>
          <w:tcPr>
            <w:tcW w:w="1080" w:type="dxa"/>
            <w:shd w:val="clear" w:color="auto" w:fill="auto"/>
            <w:vAlign w:val="bottom"/>
          </w:tcPr>
          <w:p w:rsidR="00914FE0" w:rsidRPr="00651044" w:rsidRDefault="00914FE0" w:rsidP="00294516">
            <w:pPr>
              <w:pStyle w:val="BodyTextIndent2"/>
              <w:spacing w:line="360" w:lineRule="auto"/>
              <w:ind w:firstLine="0"/>
              <w:jc w:val="center"/>
              <w:rPr>
                <w:sz w:val="18"/>
                <w:szCs w:val="18"/>
              </w:rPr>
            </w:pPr>
            <w:r w:rsidRPr="00651044">
              <w:rPr>
                <w:sz w:val="18"/>
                <w:szCs w:val="18"/>
              </w:rPr>
              <w:t>2</w:t>
            </w:r>
          </w:p>
        </w:tc>
        <w:tc>
          <w:tcPr>
            <w:tcW w:w="904" w:type="dxa"/>
            <w:shd w:val="clear" w:color="auto" w:fill="auto"/>
            <w:vAlign w:val="bottom"/>
          </w:tcPr>
          <w:p w:rsidR="00914FE0" w:rsidRPr="00651044" w:rsidRDefault="00914FE0" w:rsidP="00294516">
            <w:pPr>
              <w:spacing w:line="360" w:lineRule="auto"/>
              <w:jc w:val="center"/>
              <w:rPr>
                <w:sz w:val="18"/>
                <w:szCs w:val="18"/>
              </w:rPr>
            </w:pPr>
            <w:r w:rsidRPr="00651044">
              <w:rPr>
                <w:sz w:val="18"/>
                <w:szCs w:val="18"/>
              </w:rPr>
              <w:t>3</w:t>
            </w:r>
          </w:p>
        </w:tc>
        <w:tc>
          <w:tcPr>
            <w:tcW w:w="992" w:type="dxa"/>
            <w:shd w:val="clear" w:color="auto" w:fill="auto"/>
            <w:vAlign w:val="bottom"/>
          </w:tcPr>
          <w:p w:rsidR="00914FE0" w:rsidRPr="00651044" w:rsidRDefault="00914FE0" w:rsidP="00294516">
            <w:pPr>
              <w:spacing w:line="360" w:lineRule="auto"/>
              <w:jc w:val="center"/>
              <w:rPr>
                <w:sz w:val="18"/>
                <w:szCs w:val="18"/>
              </w:rPr>
            </w:pPr>
            <w:r w:rsidRPr="00651044">
              <w:rPr>
                <w:sz w:val="18"/>
                <w:szCs w:val="18"/>
              </w:rPr>
              <w:t>4</w:t>
            </w:r>
            <w:r w:rsidR="00294516" w:rsidRPr="00651044">
              <w:rPr>
                <w:sz w:val="18"/>
                <w:szCs w:val="18"/>
              </w:rPr>
              <w:t>=3/2</w:t>
            </w:r>
          </w:p>
        </w:tc>
        <w:tc>
          <w:tcPr>
            <w:tcW w:w="900" w:type="dxa"/>
            <w:shd w:val="clear" w:color="auto" w:fill="auto"/>
            <w:vAlign w:val="bottom"/>
          </w:tcPr>
          <w:p w:rsidR="00914FE0" w:rsidRPr="00651044" w:rsidRDefault="00914FE0" w:rsidP="00294516">
            <w:pPr>
              <w:spacing w:line="360" w:lineRule="auto"/>
              <w:jc w:val="center"/>
              <w:rPr>
                <w:sz w:val="18"/>
                <w:szCs w:val="18"/>
              </w:rPr>
            </w:pPr>
            <w:r w:rsidRPr="00651044">
              <w:rPr>
                <w:sz w:val="18"/>
                <w:szCs w:val="18"/>
              </w:rPr>
              <w:t>5</w:t>
            </w:r>
          </w:p>
        </w:tc>
        <w:tc>
          <w:tcPr>
            <w:tcW w:w="900" w:type="dxa"/>
            <w:shd w:val="clear" w:color="auto" w:fill="auto"/>
            <w:vAlign w:val="bottom"/>
          </w:tcPr>
          <w:p w:rsidR="00914FE0" w:rsidRPr="00651044" w:rsidRDefault="00914FE0" w:rsidP="00294516">
            <w:pPr>
              <w:spacing w:line="360" w:lineRule="auto"/>
              <w:jc w:val="center"/>
              <w:rPr>
                <w:sz w:val="18"/>
                <w:szCs w:val="18"/>
              </w:rPr>
            </w:pPr>
            <w:r w:rsidRPr="00651044">
              <w:rPr>
                <w:sz w:val="18"/>
                <w:szCs w:val="18"/>
              </w:rPr>
              <w:t>6</w:t>
            </w:r>
          </w:p>
        </w:tc>
        <w:tc>
          <w:tcPr>
            <w:tcW w:w="1035" w:type="dxa"/>
            <w:shd w:val="clear" w:color="auto" w:fill="auto"/>
            <w:vAlign w:val="bottom"/>
          </w:tcPr>
          <w:p w:rsidR="00914FE0" w:rsidRPr="00651044" w:rsidRDefault="00914FE0" w:rsidP="00294516">
            <w:pPr>
              <w:spacing w:line="360" w:lineRule="auto"/>
              <w:jc w:val="center"/>
              <w:rPr>
                <w:sz w:val="18"/>
                <w:szCs w:val="18"/>
              </w:rPr>
            </w:pPr>
            <w:r w:rsidRPr="00651044">
              <w:rPr>
                <w:sz w:val="18"/>
                <w:szCs w:val="18"/>
              </w:rPr>
              <w:t>7</w:t>
            </w:r>
            <w:r w:rsidR="00294516" w:rsidRPr="00651044">
              <w:rPr>
                <w:sz w:val="18"/>
                <w:szCs w:val="18"/>
              </w:rPr>
              <w:t>=6/2</w:t>
            </w:r>
          </w:p>
        </w:tc>
        <w:tc>
          <w:tcPr>
            <w:tcW w:w="900" w:type="dxa"/>
            <w:shd w:val="clear" w:color="auto" w:fill="auto"/>
            <w:vAlign w:val="bottom"/>
          </w:tcPr>
          <w:p w:rsidR="00914FE0" w:rsidRPr="00651044" w:rsidRDefault="00914FE0" w:rsidP="00294516">
            <w:pPr>
              <w:spacing w:line="360" w:lineRule="auto"/>
              <w:jc w:val="center"/>
              <w:rPr>
                <w:sz w:val="18"/>
                <w:szCs w:val="18"/>
              </w:rPr>
            </w:pPr>
            <w:r w:rsidRPr="00651044">
              <w:rPr>
                <w:sz w:val="18"/>
                <w:szCs w:val="18"/>
              </w:rPr>
              <w:t>8</w:t>
            </w:r>
          </w:p>
        </w:tc>
        <w:tc>
          <w:tcPr>
            <w:tcW w:w="900" w:type="dxa"/>
            <w:shd w:val="clear" w:color="auto" w:fill="auto"/>
            <w:vAlign w:val="bottom"/>
          </w:tcPr>
          <w:p w:rsidR="00914FE0" w:rsidRPr="00651044" w:rsidRDefault="00914FE0" w:rsidP="00294516">
            <w:pPr>
              <w:spacing w:line="360" w:lineRule="auto"/>
              <w:jc w:val="center"/>
              <w:rPr>
                <w:sz w:val="18"/>
                <w:szCs w:val="18"/>
              </w:rPr>
            </w:pPr>
            <w:r w:rsidRPr="00651044">
              <w:rPr>
                <w:sz w:val="18"/>
                <w:szCs w:val="18"/>
              </w:rPr>
              <w:t>9</w:t>
            </w:r>
          </w:p>
        </w:tc>
        <w:tc>
          <w:tcPr>
            <w:tcW w:w="1035" w:type="dxa"/>
            <w:shd w:val="clear" w:color="auto" w:fill="auto"/>
            <w:vAlign w:val="bottom"/>
          </w:tcPr>
          <w:p w:rsidR="00914FE0" w:rsidRPr="00651044" w:rsidRDefault="00914FE0" w:rsidP="00294516">
            <w:pPr>
              <w:spacing w:line="360" w:lineRule="auto"/>
              <w:jc w:val="center"/>
              <w:rPr>
                <w:sz w:val="18"/>
                <w:szCs w:val="18"/>
              </w:rPr>
            </w:pPr>
            <w:r w:rsidRPr="00651044">
              <w:rPr>
                <w:sz w:val="18"/>
                <w:szCs w:val="18"/>
              </w:rPr>
              <w:t>10</w:t>
            </w:r>
            <w:r w:rsidR="00294516" w:rsidRPr="00651044">
              <w:rPr>
                <w:sz w:val="18"/>
                <w:szCs w:val="18"/>
              </w:rPr>
              <w:t>=9/2</w:t>
            </w:r>
          </w:p>
        </w:tc>
      </w:tr>
      <w:tr w:rsidR="00914FE0" w:rsidRPr="00651044" w:rsidTr="009C7860">
        <w:trPr>
          <w:trHeight w:val="332"/>
          <w:jc w:val="center"/>
        </w:trPr>
        <w:tc>
          <w:tcPr>
            <w:tcW w:w="1101" w:type="dxa"/>
            <w:shd w:val="clear" w:color="auto" w:fill="auto"/>
          </w:tcPr>
          <w:p w:rsidR="00914FE0" w:rsidRPr="00651044" w:rsidRDefault="00914FE0" w:rsidP="00914FE0">
            <w:pPr>
              <w:pStyle w:val="BodyTextIndent2"/>
              <w:ind w:firstLine="0"/>
              <w:jc w:val="center"/>
              <w:rPr>
                <w:sz w:val="16"/>
                <w:szCs w:val="16"/>
              </w:rPr>
            </w:pPr>
            <w:r w:rsidRPr="00651044">
              <w:rPr>
                <w:sz w:val="16"/>
                <w:szCs w:val="16"/>
              </w:rPr>
              <w:t>Întreprinderi de stat</w:t>
            </w:r>
          </w:p>
        </w:tc>
        <w:tc>
          <w:tcPr>
            <w:tcW w:w="1080" w:type="dxa"/>
            <w:shd w:val="clear" w:color="auto" w:fill="auto"/>
            <w:vAlign w:val="center"/>
          </w:tcPr>
          <w:p w:rsidR="00914FE0" w:rsidRPr="00651044" w:rsidRDefault="001D43D6" w:rsidP="00914FE0">
            <w:pPr>
              <w:pStyle w:val="BodyTextIndent2"/>
              <w:ind w:firstLine="0"/>
              <w:jc w:val="center"/>
              <w:rPr>
                <w:sz w:val="18"/>
                <w:szCs w:val="18"/>
              </w:rPr>
            </w:pPr>
            <w:r w:rsidRPr="00651044">
              <w:rPr>
                <w:sz w:val="18"/>
                <w:szCs w:val="18"/>
              </w:rPr>
              <w:t>189</w:t>
            </w:r>
          </w:p>
        </w:tc>
        <w:tc>
          <w:tcPr>
            <w:tcW w:w="904" w:type="dxa"/>
            <w:shd w:val="clear" w:color="auto" w:fill="auto"/>
            <w:vAlign w:val="center"/>
          </w:tcPr>
          <w:p w:rsidR="00914FE0" w:rsidRPr="00651044" w:rsidRDefault="000D4572" w:rsidP="00914FE0">
            <w:pPr>
              <w:jc w:val="center"/>
              <w:rPr>
                <w:sz w:val="18"/>
                <w:szCs w:val="18"/>
              </w:rPr>
            </w:pPr>
            <w:r w:rsidRPr="00651044">
              <w:rPr>
                <w:sz w:val="18"/>
                <w:szCs w:val="18"/>
              </w:rPr>
              <w:t>7</w:t>
            </w:r>
            <w:r w:rsidR="001D43D6" w:rsidRPr="00651044">
              <w:rPr>
                <w:sz w:val="18"/>
                <w:szCs w:val="18"/>
              </w:rPr>
              <w:t>5</w:t>
            </w:r>
          </w:p>
        </w:tc>
        <w:tc>
          <w:tcPr>
            <w:tcW w:w="992" w:type="dxa"/>
            <w:shd w:val="clear" w:color="auto" w:fill="auto"/>
            <w:vAlign w:val="center"/>
          </w:tcPr>
          <w:p w:rsidR="00914FE0" w:rsidRPr="00651044" w:rsidRDefault="001D43D6" w:rsidP="00914FE0">
            <w:pPr>
              <w:jc w:val="center"/>
              <w:rPr>
                <w:sz w:val="18"/>
                <w:szCs w:val="18"/>
              </w:rPr>
            </w:pPr>
            <w:r w:rsidRPr="00651044">
              <w:rPr>
                <w:sz w:val="18"/>
                <w:szCs w:val="18"/>
              </w:rPr>
              <w:t>39,7</w:t>
            </w:r>
          </w:p>
        </w:tc>
        <w:tc>
          <w:tcPr>
            <w:tcW w:w="900" w:type="dxa"/>
            <w:shd w:val="clear" w:color="auto" w:fill="auto"/>
            <w:vAlign w:val="center"/>
          </w:tcPr>
          <w:p w:rsidR="00914FE0" w:rsidRPr="00651044" w:rsidRDefault="001D43D6" w:rsidP="00CA25A3">
            <w:pPr>
              <w:jc w:val="center"/>
              <w:rPr>
                <w:sz w:val="18"/>
                <w:szCs w:val="18"/>
              </w:rPr>
            </w:pPr>
            <w:r w:rsidRPr="00651044">
              <w:rPr>
                <w:sz w:val="18"/>
                <w:szCs w:val="18"/>
              </w:rPr>
              <w:t>893,4</w:t>
            </w:r>
            <w:r w:rsidR="00A014BF" w:rsidRPr="00651044">
              <w:rPr>
                <w:sz w:val="18"/>
                <w:szCs w:val="18"/>
              </w:rPr>
              <w:t xml:space="preserve">      </w:t>
            </w:r>
          </w:p>
        </w:tc>
        <w:tc>
          <w:tcPr>
            <w:tcW w:w="900" w:type="dxa"/>
            <w:shd w:val="clear" w:color="auto" w:fill="auto"/>
            <w:vAlign w:val="center"/>
          </w:tcPr>
          <w:p w:rsidR="00914FE0" w:rsidRPr="00651044" w:rsidRDefault="000D4572" w:rsidP="00914FE0">
            <w:pPr>
              <w:jc w:val="center"/>
              <w:rPr>
                <w:sz w:val="18"/>
                <w:szCs w:val="18"/>
              </w:rPr>
            </w:pPr>
            <w:r w:rsidRPr="00651044">
              <w:rPr>
                <w:sz w:val="18"/>
                <w:szCs w:val="18"/>
              </w:rPr>
              <w:t>1</w:t>
            </w:r>
            <w:r w:rsidR="00AD6A54" w:rsidRPr="00651044">
              <w:rPr>
                <w:sz w:val="18"/>
                <w:szCs w:val="18"/>
              </w:rPr>
              <w:t>10</w:t>
            </w:r>
          </w:p>
        </w:tc>
        <w:tc>
          <w:tcPr>
            <w:tcW w:w="1035" w:type="dxa"/>
            <w:shd w:val="clear" w:color="auto" w:fill="auto"/>
            <w:vAlign w:val="center"/>
          </w:tcPr>
          <w:p w:rsidR="00914FE0" w:rsidRPr="00651044" w:rsidRDefault="001D43D6" w:rsidP="00914FE0">
            <w:pPr>
              <w:jc w:val="center"/>
              <w:rPr>
                <w:sz w:val="18"/>
                <w:szCs w:val="18"/>
              </w:rPr>
            </w:pPr>
            <w:r w:rsidRPr="00651044">
              <w:rPr>
                <w:sz w:val="18"/>
                <w:szCs w:val="18"/>
              </w:rPr>
              <w:t>5</w:t>
            </w:r>
            <w:r w:rsidR="00AD6A54" w:rsidRPr="00651044">
              <w:rPr>
                <w:sz w:val="18"/>
                <w:szCs w:val="18"/>
              </w:rPr>
              <w:t>8,2</w:t>
            </w:r>
          </w:p>
        </w:tc>
        <w:tc>
          <w:tcPr>
            <w:tcW w:w="900" w:type="dxa"/>
            <w:shd w:val="clear" w:color="auto" w:fill="auto"/>
            <w:vAlign w:val="center"/>
          </w:tcPr>
          <w:p w:rsidR="00CA25A3" w:rsidRPr="00651044" w:rsidRDefault="001D43D6" w:rsidP="00752D00">
            <w:pPr>
              <w:jc w:val="center"/>
              <w:rPr>
                <w:sz w:val="18"/>
                <w:szCs w:val="18"/>
              </w:rPr>
            </w:pPr>
            <w:r w:rsidRPr="00651044">
              <w:rPr>
                <w:sz w:val="18"/>
                <w:szCs w:val="18"/>
              </w:rPr>
              <w:t>17</w:t>
            </w:r>
            <w:r w:rsidR="00752D00" w:rsidRPr="00651044">
              <w:rPr>
                <w:sz w:val="18"/>
                <w:szCs w:val="18"/>
              </w:rPr>
              <w:t>3</w:t>
            </w:r>
            <w:r w:rsidR="001B67ED" w:rsidRPr="00651044">
              <w:rPr>
                <w:sz w:val="18"/>
                <w:szCs w:val="18"/>
              </w:rPr>
              <w:t>,</w:t>
            </w:r>
            <w:r w:rsidR="00752D00" w:rsidRPr="00651044">
              <w:rPr>
                <w:sz w:val="18"/>
                <w:szCs w:val="18"/>
              </w:rPr>
              <w:t>1</w:t>
            </w:r>
          </w:p>
        </w:tc>
        <w:tc>
          <w:tcPr>
            <w:tcW w:w="900" w:type="dxa"/>
            <w:shd w:val="clear" w:color="auto" w:fill="auto"/>
            <w:vAlign w:val="center"/>
          </w:tcPr>
          <w:p w:rsidR="00914FE0" w:rsidRPr="00651044" w:rsidRDefault="001D43D6" w:rsidP="00914FE0">
            <w:pPr>
              <w:jc w:val="center"/>
              <w:rPr>
                <w:sz w:val="18"/>
                <w:szCs w:val="18"/>
              </w:rPr>
            </w:pPr>
            <w:r w:rsidRPr="00651044">
              <w:rPr>
                <w:sz w:val="18"/>
                <w:szCs w:val="18"/>
              </w:rPr>
              <w:t>4</w:t>
            </w:r>
          </w:p>
        </w:tc>
        <w:tc>
          <w:tcPr>
            <w:tcW w:w="1035" w:type="dxa"/>
            <w:shd w:val="clear" w:color="auto" w:fill="auto"/>
            <w:vAlign w:val="center"/>
          </w:tcPr>
          <w:p w:rsidR="00914FE0" w:rsidRPr="00651044" w:rsidRDefault="001D43D6" w:rsidP="006F136F">
            <w:pPr>
              <w:jc w:val="center"/>
              <w:rPr>
                <w:sz w:val="18"/>
                <w:szCs w:val="18"/>
              </w:rPr>
            </w:pPr>
            <w:r w:rsidRPr="00651044">
              <w:rPr>
                <w:sz w:val="18"/>
                <w:szCs w:val="18"/>
              </w:rPr>
              <w:t>2,1</w:t>
            </w:r>
          </w:p>
        </w:tc>
      </w:tr>
    </w:tbl>
    <w:p w:rsidR="00914FE0" w:rsidRPr="00651044" w:rsidRDefault="00914FE0" w:rsidP="006E6FE5">
      <w:pPr>
        <w:ind w:firstLine="567"/>
        <w:jc w:val="both"/>
        <w:rPr>
          <w:color w:val="FF0000"/>
          <w:sz w:val="28"/>
          <w:szCs w:val="28"/>
        </w:rPr>
      </w:pPr>
    </w:p>
    <w:p w:rsidR="00F33AF7" w:rsidRPr="00651044" w:rsidRDefault="00F33AF7" w:rsidP="00F33AF7">
      <w:pPr>
        <w:spacing w:line="276" w:lineRule="auto"/>
        <w:ind w:firstLine="567"/>
        <w:jc w:val="both"/>
        <w:rPr>
          <w:sz w:val="28"/>
          <w:szCs w:val="28"/>
        </w:rPr>
      </w:pPr>
      <w:r w:rsidRPr="00651044">
        <w:rPr>
          <w:sz w:val="28"/>
          <w:szCs w:val="28"/>
        </w:rPr>
        <w:t>Din numărul total al întreprinderilor de stat ce au obţinut p</w:t>
      </w:r>
      <w:r w:rsidR="000D4572" w:rsidRPr="00651044">
        <w:rPr>
          <w:sz w:val="28"/>
          <w:szCs w:val="28"/>
        </w:rPr>
        <w:t xml:space="preserve">ierderi nete,                  </w:t>
      </w:r>
      <w:r w:rsidR="00145B4D" w:rsidRPr="00651044">
        <w:rPr>
          <w:sz w:val="28"/>
          <w:szCs w:val="28"/>
        </w:rPr>
        <w:t>21</w:t>
      </w:r>
      <w:r w:rsidRPr="00651044">
        <w:rPr>
          <w:sz w:val="28"/>
          <w:szCs w:val="28"/>
        </w:rPr>
        <w:t xml:space="preserve"> întreprinderi </w:t>
      </w:r>
      <w:r w:rsidR="00F35CEB" w:rsidRPr="00651044">
        <w:rPr>
          <w:sz w:val="28"/>
          <w:szCs w:val="28"/>
        </w:rPr>
        <w:t>(</w:t>
      </w:r>
      <w:r w:rsidR="001B67ED" w:rsidRPr="00651044">
        <w:rPr>
          <w:sz w:val="28"/>
          <w:szCs w:val="28"/>
        </w:rPr>
        <w:t xml:space="preserve">sau </w:t>
      </w:r>
      <w:r w:rsidR="006D0D8F" w:rsidRPr="00651044">
        <w:rPr>
          <w:sz w:val="28"/>
          <w:szCs w:val="28"/>
        </w:rPr>
        <w:t>28,0</w:t>
      </w:r>
      <w:r w:rsidRPr="00651044">
        <w:rPr>
          <w:sz w:val="28"/>
          <w:szCs w:val="28"/>
        </w:rPr>
        <w:t>% din numărul total al întreprinderilor</w:t>
      </w:r>
      <w:r w:rsidR="006D0D8F" w:rsidRPr="00651044">
        <w:rPr>
          <w:sz w:val="28"/>
          <w:szCs w:val="28"/>
        </w:rPr>
        <w:t xml:space="preserve"> cu pierderi</w:t>
      </w:r>
      <w:r w:rsidR="00F35CEB" w:rsidRPr="00651044">
        <w:rPr>
          <w:sz w:val="28"/>
          <w:szCs w:val="28"/>
        </w:rPr>
        <w:t>)</w:t>
      </w:r>
      <w:r w:rsidRPr="00651044">
        <w:rPr>
          <w:sz w:val="28"/>
          <w:szCs w:val="28"/>
        </w:rPr>
        <w:t xml:space="preserve"> au înregistrat </w:t>
      </w:r>
      <w:r w:rsidRPr="00651044">
        <w:rPr>
          <w:i/>
          <w:sz w:val="28"/>
          <w:szCs w:val="28"/>
        </w:rPr>
        <w:t>pierderi nete mai mari de 1 milion de lei</w:t>
      </w:r>
      <w:r w:rsidRPr="00651044">
        <w:rPr>
          <w:sz w:val="28"/>
          <w:szCs w:val="28"/>
        </w:rPr>
        <w:t xml:space="preserve">, cele mai mari pierderi fiind obţinute la: </w:t>
      </w:r>
    </w:p>
    <w:p w:rsidR="00F33AF7" w:rsidRPr="00651044" w:rsidRDefault="00F33AF7" w:rsidP="00136F34">
      <w:pPr>
        <w:numPr>
          <w:ilvl w:val="0"/>
          <w:numId w:val="3"/>
        </w:numPr>
        <w:spacing w:line="276" w:lineRule="auto"/>
        <w:jc w:val="both"/>
        <w:rPr>
          <w:sz w:val="28"/>
          <w:szCs w:val="28"/>
        </w:rPr>
      </w:pPr>
      <w:r w:rsidRPr="00651044">
        <w:rPr>
          <w:sz w:val="28"/>
          <w:szCs w:val="28"/>
        </w:rPr>
        <w:t>Î.S.</w:t>
      </w:r>
      <w:r w:rsidR="004E077E" w:rsidRPr="00651044">
        <w:rPr>
          <w:sz w:val="28"/>
          <w:szCs w:val="28"/>
        </w:rPr>
        <w:t xml:space="preserve"> „Moldelectrica” – </w:t>
      </w:r>
      <w:r w:rsidR="001B67ED" w:rsidRPr="00651044">
        <w:rPr>
          <w:sz w:val="28"/>
          <w:szCs w:val="28"/>
        </w:rPr>
        <w:t>496,1</w:t>
      </w:r>
      <w:r w:rsidRPr="00651044">
        <w:rPr>
          <w:sz w:val="28"/>
          <w:szCs w:val="28"/>
        </w:rPr>
        <w:t xml:space="preserve"> mil. lei; </w:t>
      </w:r>
    </w:p>
    <w:p w:rsidR="001B67ED" w:rsidRPr="00651044" w:rsidRDefault="001B67ED" w:rsidP="00136F34">
      <w:pPr>
        <w:numPr>
          <w:ilvl w:val="0"/>
          <w:numId w:val="3"/>
        </w:numPr>
        <w:spacing w:line="276" w:lineRule="auto"/>
        <w:jc w:val="both"/>
        <w:rPr>
          <w:sz w:val="28"/>
          <w:szCs w:val="28"/>
        </w:rPr>
      </w:pPr>
      <w:r w:rsidRPr="00651044">
        <w:rPr>
          <w:sz w:val="28"/>
          <w:szCs w:val="28"/>
        </w:rPr>
        <w:t>Î.S. Compania Aeriană „Air Moldova” – 226,9 mil. lei;</w:t>
      </w:r>
    </w:p>
    <w:p w:rsidR="004E077E" w:rsidRPr="00651044" w:rsidRDefault="004E077E" w:rsidP="00136F34">
      <w:pPr>
        <w:numPr>
          <w:ilvl w:val="0"/>
          <w:numId w:val="3"/>
        </w:numPr>
        <w:spacing w:line="276" w:lineRule="auto"/>
        <w:jc w:val="both"/>
        <w:rPr>
          <w:sz w:val="28"/>
          <w:szCs w:val="28"/>
        </w:rPr>
      </w:pPr>
      <w:r w:rsidRPr="00651044">
        <w:rPr>
          <w:sz w:val="28"/>
          <w:szCs w:val="28"/>
        </w:rPr>
        <w:t xml:space="preserve">Î.S. „Calea Ferată din Moldova” – </w:t>
      </w:r>
      <w:r w:rsidR="001B67ED" w:rsidRPr="00651044">
        <w:rPr>
          <w:sz w:val="28"/>
          <w:szCs w:val="28"/>
        </w:rPr>
        <w:t>105,2</w:t>
      </w:r>
      <w:r w:rsidRPr="00651044">
        <w:rPr>
          <w:sz w:val="28"/>
          <w:szCs w:val="28"/>
        </w:rPr>
        <w:t xml:space="preserve"> mil. lei;</w:t>
      </w:r>
    </w:p>
    <w:p w:rsidR="00F33AF7" w:rsidRPr="00651044" w:rsidRDefault="004E077E" w:rsidP="00136F34">
      <w:pPr>
        <w:numPr>
          <w:ilvl w:val="0"/>
          <w:numId w:val="3"/>
        </w:numPr>
        <w:spacing w:line="276" w:lineRule="auto"/>
        <w:jc w:val="both"/>
        <w:rPr>
          <w:sz w:val="28"/>
          <w:szCs w:val="28"/>
        </w:rPr>
      </w:pPr>
      <w:r w:rsidRPr="00651044">
        <w:rPr>
          <w:sz w:val="28"/>
          <w:szCs w:val="28"/>
        </w:rPr>
        <w:t>Î.S. „</w:t>
      </w:r>
      <w:r w:rsidR="001B67ED" w:rsidRPr="00651044">
        <w:rPr>
          <w:sz w:val="28"/>
          <w:szCs w:val="28"/>
        </w:rPr>
        <w:t>Fabrica de Sticlă din Chişinău</w:t>
      </w:r>
      <w:r w:rsidRPr="00651044">
        <w:rPr>
          <w:sz w:val="28"/>
          <w:szCs w:val="28"/>
        </w:rPr>
        <w:t xml:space="preserve">” – </w:t>
      </w:r>
      <w:r w:rsidR="001B67ED" w:rsidRPr="00651044">
        <w:rPr>
          <w:sz w:val="28"/>
          <w:szCs w:val="28"/>
        </w:rPr>
        <w:t>10,3</w:t>
      </w:r>
      <w:r w:rsidR="00F33AF7" w:rsidRPr="00651044">
        <w:rPr>
          <w:sz w:val="28"/>
          <w:szCs w:val="28"/>
        </w:rPr>
        <w:t xml:space="preserve"> mil. lei;</w:t>
      </w:r>
    </w:p>
    <w:p w:rsidR="00F33AF7" w:rsidRPr="00651044" w:rsidRDefault="00F33AF7" w:rsidP="00136F34">
      <w:pPr>
        <w:numPr>
          <w:ilvl w:val="0"/>
          <w:numId w:val="3"/>
        </w:numPr>
        <w:spacing w:line="276" w:lineRule="auto"/>
        <w:jc w:val="both"/>
        <w:rPr>
          <w:sz w:val="28"/>
          <w:szCs w:val="28"/>
        </w:rPr>
      </w:pPr>
      <w:r w:rsidRPr="00651044">
        <w:rPr>
          <w:sz w:val="28"/>
          <w:szCs w:val="28"/>
        </w:rPr>
        <w:t>Î.S. „Aeroportu</w:t>
      </w:r>
      <w:r w:rsidR="001B67ED" w:rsidRPr="00651044">
        <w:rPr>
          <w:sz w:val="28"/>
          <w:szCs w:val="28"/>
        </w:rPr>
        <w:t>l Internaţional Mărculeşti” – 8,0</w:t>
      </w:r>
      <w:r w:rsidRPr="00651044">
        <w:rPr>
          <w:sz w:val="28"/>
          <w:szCs w:val="28"/>
        </w:rPr>
        <w:t xml:space="preserve"> mil. lei;</w:t>
      </w:r>
    </w:p>
    <w:p w:rsidR="00F33AF7" w:rsidRPr="00651044" w:rsidRDefault="00F33AF7" w:rsidP="00136F34">
      <w:pPr>
        <w:numPr>
          <w:ilvl w:val="0"/>
          <w:numId w:val="3"/>
        </w:numPr>
        <w:spacing w:line="276" w:lineRule="auto"/>
        <w:jc w:val="both"/>
        <w:rPr>
          <w:sz w:val="28"/>
          <w:szCs w:val="28"/>
        </w:rPr>
      </w:pPr>
      <w:r w:rsidRPr="00651044">
        <w:rPr>
          <w:sz w:val="28"/>
          <w:szCs w:val="28"/>
        </w:rPr>
        <w:t xml:space="preserve">Î.S. </w:t>
      </w:r>
      <w:r w:rsidR="001B67ED" w:rsidRPr="00651044">
        <w:rPr>
          <w:sz w:val="28"/>
          <w:szCs w:val="28"/>
        </w:rPr>
        <w:t xml:space="preserve">pentru cercetarea în selecţie şi hibridarea suinelor </w:t>
      </w:r>
      <w:r w:rsidRPr="00651044">
        <w:rPr>
          <w:sz w:val="28"/>
          <w:szCs w:val="28"/>
        </w:rPr>
        <w:t>„</w:t>
      </w:r>
      <w:r w:rsidR="001B67ED" w:rsidRPr="00651044">
        <w:rPr>
          <w:sz w:val="28"/>
          <w:szCs w:val="28"/>
        </w:rPr>
        <w:t>Moldsuinhibrid”</w:t>
      </w:r>
      <w:r w:rsidRPr="00651044">
        <w:rPr>
          <w:sz w:val="28"/>
          <w:szCs w:val="28"/>
        </w:rPr>
        <w:t xml:space="preserve"> – </w:t>
      </w:r>
      <w:r w:rsidR="008465A8" w:rsidRPr="00651044">
        <w:rPr>
          <w:sz w:val="28"/>
          <w:szCs w:val="28"/>
        </w:rPr>
        <w:t xml:space="preserve">      </w:t>
      </w:r>
      <w:r w:rsidR="001B67ED" w:rsidRPr="00651044">
        <w:rPr>
          <w:sz w:val="28"/>
          <w:szCs w:val="28"/>
        </w:rPr>
        <w:t>3,9 mil. lei;</w:t>
      </w:r>
    </w:p>
    <w:p w:rsidR="001B67ED" w:rsidRPr="00651044" w:rsidRDefault="001B67ED" w:rsidP="00136F34">
      <w:pPr>
        <w:numPr>
          <w:ilvl w:val="0"/>
          <w:numId w:val="3"/>
        </w:numPr>
        <w:spacing w:line="276" w:lineRule="auto"/>
        <w:jc w:val="both"/>
        <w:rPr>
          <w:sz w:val="28"/>
          <w:szCs w:val="28"/>
        </w:rPr>
      </w:pPr>
      <w:r w:rsidRPr="00651044">
        <w:rPr>
          <w:sz w:val="28"/>
          <w:szCs w:val="28"/>
        </w:rPr>
        <w:t>Î.S. „VestMoldTransGaz” – 2,9 mil. lei;</w:t>
      </w:r>
    </w:p>
    <w:p w:rsidR="001B67ED" w:rsidRPr="00651044" w:rsidRDefault="001B67ED" w:rsidP="00136F34">
      <w:pPr>
        <w:numPr>
          <w:ilvl w:val="0"/>
          <w:numId w:val="3"/>
        </w:numPr>
        <w:spacing w:line="276" w:lineRule="auto"/>
        <w:jc w:val="both"/>
        <w:rPr>
          <w:sz w:val="28"/>
          <w:szCs w:val="28"/>
        </w:rPr>
      </w:pPr>
      <w:r w:rsidRPr="00651044">
        <w:rPr>
          <w:sz w:val="28"/>
          <w:szCs w:val="28"/>
        </w:rPr>
        <w:t xml:space="preserve">Î.S. „Colegiul Naţional de Viticultură şi Vinificaţie din Stăuceni” </w:t>
      </w:r>
      <w:r w:rsidR="00056FF7" w:rsidRPr="00651044">
        <w:rPr>
          <w:sz w:val="28"/>
          <w:szCs w:val="28"/>
        </w:rPr>
        <w:t>–</w:t>
      </w:r>
      <w:r w:rsidRPr="00651044">
        <w:rPr>
          <w:sz w:val="28"/>
          <w:szCs w:val="28"/>
        </w:rPr>
        <w:t xml:space="preserve"> </w:t>
      </w:r>
      <w:r w:rsidR="00056FF7" w:rsidRPr="00651044">
        <w:rPr>
          <w:sz w:val="28"/>
          <w:szCs w:val="28"/>
        </w:rPr>
        <w:t>2,9 mil lei;</w:t>
      </w:r>
    </w:p>
    <w:p w:rsidR="00056FF7" w:rsidRPr="00651044" w:rsidRDefault="00056FF7" w:rsidP="00136F34">
      <w:pPr>
        <w:numPr>
          <w:ilvl w:val="0"/>
          <w:numId w:val="3"/>
        </w:numPr>
        <w:spacing w:line="276" w:lineRule="auto"/>
        <w:jc w:val="both"/>
        <w:rPr>
          <w:sz w:val="28"/>
          <w:szCs w:val="28"/>
        </w:rPr>
      </w:pPr>
      <w:r w:rsidRPr="00651044">
        <w:rPr>
          <w:sz w:val="28"/>
          <w:szCs w:val="28"/>
        </w:rPr>
        <w:t xml:space="preserve">Î.S. </w:t>
      </w:r>
      <w:r w:rsidR="00145B4D" w:rsidRPr="00651044">
        <w:rPr>
          <w:sz w:val="28"/>
          <w:szCs w:val="28"/>
        </w:rPr>
        <w:t>Mina de piatră</w:t>
      </w:r>
      <w:r w:rsidRPr="00651044">
        <w:rPr>
          <w:sz w:val="28"/>
          <w:szCs w:val="28"/>
        </w:rPr>
        <w:t xml:space="preserve"> „</w:t>
      </w:r>
      <w:r w:rsidR="00145B4D" w:rsidRPr="00651044">
        <w:rPr>
          <w:sz w:val="28"/>
          <w:szCs w:val="28"/>
        </w:rPr>
        <w:t>Mileștii Mici</w:t>
      </w:r>
      <w:r w:rsidRPr="00651044">
        <w:rPr>
          <w:sz w:val="28"/>
          <w:szCs w:val="28"/>
        </w:rPr>
        <w:t>” – 2,2 mil. lei.</w:t>
      </w:r>
    </w:p>
    <w:p w:rsidR="00914FE0" w:rsidRPr="00651044" w:rsidRDefault="00E5507B" w:rsidP="00914FE0">
      <w:pPr>
        <w:spacing w:line="276" w:lineRule="auto"/>
        <w:ind w:firstLine="567"/>
        <w:jc w:val="both"/>
        <w:rPr>
          <w:sz w:val="28"/>
          <w:szCs w:val="28"/>
        </w:rPr>
      </w:pPr>
      <w:r w:rsidRPr="00651044">
        <w:rPr>
          <w:sz w:val="28"/>
          <w:szCs w:val="28"/>
        </w:rPr>
        <w:t>Totodată, s-a constatat că</w:t>
      </w:r>
      <w:r w:rsidR="00056FF7" w:rsidRPr="00651044">
        <w:rPr>
          <w:sz w:val="28"/>
          <w:szCs w:val="28"/>
        </w:rPr>
        <w:t xml:space="preserve"> 27</w:t>
      </w:r>
      <w:r w:rsidR="00914FE0" w:rsidRPr="00651044">
        <w:rPr>
          <w:sz w:val="28"/>
          <w:szCs w:val="28"/>
        </w:rPr>
        <w:t xml:space="preserve"> întreprinderi de stat, care în anul 201</w:t>
      </w:r>
      <w:r w:rsidR="00056FF7" w:rsidRPr="00651044">
        <w:rPr>
          <w:sz w:val="28"/>
          <w:szCs w:val="28"/>
        </w:rPr>
        <w:t>4</w:t>
      </w:r>
      <w:r w:rsidR="00914FE0" w:rsidRPr="00651044">
        <w:rPr>
          <w:sz w:val="28"/>
          <w:szCs w:val="28"/>
        </w:rPr>
        <w:t xml:space="preserve"> au înr</w:t>
      </w:r>
      <w:r w:rsidRPr="00651044">
        <w:rPr>
          <w:sz w:val="28"/>
          <w:szCs w:val="28"/>
        </w:rPr>
        <w:t xml:space="preserve">egistrat profit în mărime de </w:t>
      </w:r>
      <w:r w:rsidR="00015F72" w:rsidRPr="00651044">
        <w:rPr>
          <w:sz w:val="28"/>
          <w:szCs w:val="28"/>
        </w:rPr>
        <w:t>17,9</w:t>
      </w:r>
      <w:r w:rsidR="00914FE0" w:rsidRPr="00651044">
        <w:rPr>
          <w:sz w:val="28"/>
          <w:szCs w:val="28"/>
        </w:rPr>
        <w:t xml:space="preserve"> mil. lei, în anul 201</w:t>
      </w:r>
      <w:r w:rsidR="00056FF7" w:rsidRPr="00651044">
        <w:rPr>
          <w:sz w:val="28"/>
          <w:szCs w:val="28"/>
        </w:rPr>
        <w:t>5</w:t>
      </w:r>
      <w:r w:rsidR="00914FE0" w:rsidRPr="00651044">
        <w:rPr>
          <w:sz w:val="28"/>
          <w:szCs w:val="28"/>
        </w:rPr>
        <w:t xml:space="preserve"> au obţinu</w:t>
      </w:r>
      <w:r w:rsidR="008B2DD1" w:rsidRPr="00651044">
        <w:rPr>
          <w:sz w:val="28"/>
          <w:szCs w:val="28"/>
        </w:rPr>
        <w:t xml:space="preserve">t pierderi nete în mărime de </w:t>
      </w:r>
      <w:r w:rsidR="00015F72" w:rsidRPr="00651044">
        <w:rPr>
          <w:sz w:val="28"/>
          <w:szCs w:val="28"/>
        </w:rPr>
        <w:t>255,0</w:t>
      </w:r>
      <w:r w:rsidR="00914FE0" w:rsidRPr="00651044">
        <w:rPr>
          <w:sz w:val="28"/>
          <w:szCs w:val="28"/>
        </w:rPr>
        <w:t xml:space="preserve"> mil. lei, cele mai mari decalaje fiind reflectate în tabelul 2.4.</w:t>
      </w:r>
    </w:p>
    <w:p w:rsidR="00015F72" w:rsidRPr="00651044" w:rsidRDefault="00015F72" w:rsidP="00914FE0">
      <w:pPr>
        <w:spacing w:line="360" w:lineRule="auto"/>
        <w:ind w:firstLine="567"/>
        <w:jc w:val="right"/>
        <w:rPr>
          <w:color w:val="FF0000"/>
          <w:sz w:val="20"/>
          <w:szCs w:val="20"/>
        </w:rPr>
      </w:pPr>
    </w:p>
    <w:p w:rsidR="00914FE0" w:rsidRPr="00651044" w:rsidRDefault="00914FE0" w:rsidP="00914FE0">
      <w:pPr>
        <w:spacing w:line="360" w:lineRule="auto"/>
        <w:ind w:firstLine="567"/>
        <w:jc w:val="right"/>
        <w:rPr>
          <w:sz w:val="20"/>
          <w:szCs w:val="20"/>
        </w:rPr>
      </w:pPr>
      <w:r w:rsidRPr="00651044">
        <w:rPr>
          <w:sz w:val="20"/>
          <w:szCs w:val="20"/>
        </w:rPr>
        <w:lastRenderedPageBreak/>
        <w:t xml:space="preserve"> Tabelul 2.4</w:t>
      </w:r>
    </w:p>
    <w:p w:rsidR="00914FE0" w:rsidRPr="00651044" w:rsidRDefault="00914FE0" w:rsidP="00165D18">
      <w:pPr>
        <w:ind w:firstLine="567"/>
        <w:jc w:val="center"/>
        <w:rPr>
          <w:b/>
          <w:i/>
        </w:rPr>
      </w:pPr>
      <w:r w:rsidRPr="00651044">
        <w:rPr>
          <w:b/>
          <w:i/>
        </w:rPr>
        <w:t>Întreprinderile de stat cu cel mai mare decalaj între profitul net înregistrat în anul 201</w:t>
      </w:r>
      <w:r w:rsidR="00015F72" w:rsidRPr="00651044">
        <w:rPr>
          <w:b/>
          <w:i/>
        </w:rPr>
        <w:t>4</w:t>
      </w:r>
      <w:r w:rsidRPr="00651044">
        <w:rPr>
          <w:b/>
          <w:i/>
        </w:rPr>
        <w:t xml:space="preserve"> </w:t>
      </w:r>
    </w:p>
    <w:p w:rsidR="00914FE0" w:rsidRPr="00651044" w:rsidRDefault="00914FE0" w:rsidP="00165D18">
      <w:pPr>
        <w:ind w:firstLine="567"/>
        <w:jc w:val="center"/>
        <w:rPr>
          <w:b/>
          <w:i/>
        </w:rPr>
      </w:pPr>
      <w:r w:rsidRPr="00651044">
        <w:rPr>
          <w:b/>
          <w:i/>
        </w:rPr>
        <w:t>şi pierderea netă aferentă anului 201</w:t>
      </w:r>
      <w:r w:rsidR="00015F72" w:rsidRPr="00651044">
        <w:rPr>
          <w:b/>
          <w:i/>
        </w:rPr>
        <w:t>5</w:t>
      </w:r>
    </w:p>
    <w:p w:rsidR="00914FE0" w:rsidRPr="00651044" w:rsidRDefault="00015F72" w:rsidP="00914FE0">
      <w:pPr>
        <w:spacing w:line="276" w:lineRule="auto"/>
        <w:ind w:firstLine="567"/>
        <w:jc w:val="right"/>
        <w:rPr>
          <w:sz w:val="20"/>
          <w:szCs w:val="20"/>
        </w:rPr>
      </w:pPr>
      <w:r w:rsidRPr="00651044">
        <w:rPr>
          <w:sz w:val="20"/>
          <w:szCs w:val="20"/>
        </w:rPr>
        <w:t>mil. lei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253"/>
        <w:gridCol w:w="1134"/>
        <w:gridCol w:w="1701"/>
        <w:gridCol w:w="2000"/>
      </w:tblGrid>
      <w:tr w:rsidR="00914FE0" w:rsidRPr="004629DE" w:rsidTr="004629DE">
        <w:trPr>
          <w:jc w:val="center"/>
        </w:trPr>
        <w:tc>
          <w:tcPr>
            <w:tcW w:w="675" w:type="dxa"/>
          </w:tcPr>
          <w:p w:rsidR="00914FE0" w:rsidRPr="004629DE" w:rsidRDefault="00914FE0" w:rsidP="004629DE">
            <w:pPr>
              <w:spacing w:line="276" w:lineRule="auto"/>
              <w:jc w:val="center"/>
              <w:rPr>
                <w:b/>
                <w:i/>
                <w:iCs/>
                <w:sz w:val="20"/>
                <w:szCs w:val="20"/>
              </w:rPr>
            </w:pPr>
            <w:r w:rsidRPr="004629DE">
              <w:rPr>
                <w:b/>
                <w:i/>
                <w:iCs/>
                <w:sz w:val="20"/>
                <w:szCs w:val="20"/>
              </w:rPr>
              <w:t>Nr.</w:t>
            </w:r>
            <w:r w:rsidR="008A2B6D" w:rsidRPr="004629DE">
              <w:rPr>
                <w:b/>
                <w:i/>
                <w:iCs/>
                <w:sz w:val="20"/>
                <w:szCs w:val="20"/>
              </w:rPr>
              <w:t xml:space="preserve"> </w:t>
            </w:r>
          </w:p>
        </w:tc>
        <w:tc>
          <w:tcPr>
            <w:tcW w:w="4253" w:type="dxa"/>
          </w:tcPr>
          <w:p w:rsidR="00914FE0" w:rsidRPr="004629DE" w:rsidRDefault="00914FE0" w:rsidP="004629DE">
            <w:pPr>
              <w:spacing w:line="276" w:lineRule="auto"/>
              <w:jc w:val="center"/>
              <w:rPr>
                <w:b/>
                <w:i/>
                <w:iCs/>
                <w:sz w:val="20"/>
                <w:szCs w:val="20"/>
              </w:rPr>
            </w:pPr>
            <w:r w:rsidRPr="004629DE">
              <w:rPr>
                <w:b/>
                <w:i/>
                <w:iCs/>
                <w:sz w:val="20"/>
                <w:szCs w:val="20"/>
              </w:rPr>
              <w:t>Denumirea întreprinderii</w:t>
            </w:r>
          </w:p>
        </w:tc>
        <w:tc>
          <w:tcPr>
            <w:tcW w:w="1134" w:type="dxa"/>
          </w:tcPr>
          <w:p w:rsidR="00914FE0" w:rsidRPr="004629DE" w:rsidRDefault="00914FE0" w:rsidP="004629DE">
            <w:pPr>
              <w:spacing w:line="276" w:lineRule="auto"/>
              <w:jc w:val="center"/>
              <w:rPr>
                <w:b/>
                <w:i/>
                <w:iCs/>
                <w:sz w:val="20"/>
                <w:szCs w:val="20"/>
              </w:rPr>
            </w:pPr>
            <w:r w:rsidRPr="004629DE">
              <w:rPr>
                <w:b/>
                <w:i/>
                <w:iCs/>
                <w:sz w:val="20"/>
                <w:szCs w:val="20"/>
              </w:rPr>
              <w:t xml:space="preserve">Profit net, </w:t>
            </w:r>
          </w:p>
          <w:p w:rsidR="00914FE0" w:rsidRPr="004629DE" w:rsidRDefault="00914FE0" w:rsidP="004629DE">
            <w:pPr>
              <w:spacing w:line="276" w:lineRule="auto"/>
              <w:jc w:val="center"/>
              <w:rPr>
                <w:b/>
                <w:i/>
                <w:iCs/>
                <w:sz w:val="20"/>
                <w:szCs w:val="20"/>
              </w:rPr>
            </w:pPr>
            <w:r w:rsidRPr="004629DE">
              <w:rPr>
                <w:b/>
                <w:i/>
                <w:iCs/>
                <w:sz w:val="20"/>
                <w:szCs w:val="20"/>
              </w:rPr>
              <w:t>anul 201</w:t>
            </w:r>
            <w:r w:rsidR="00015F72" w:rsidRPr="004629DE">
              <w:rPr>
                <w:b/>
                <w:i/>
                <w:iCs/>
                <w:sz w:val="20"/>
                <w:szCs w:val="20"/>
              </w:rPr>
              <w:t>4</w:t>
            </w:r>
          </w:p>
        </w:tc>
        <w:tc>
          <w:tcPr>
            <w:tcW w:w="1701" w:type="dxa"/>
          </w:tcPr>
          <w:p w:rsidR="00914FE0" w:rsidRPr="004629DE" w:rsidRDefault="00914FE0" w:rsidP="004629DE">
            <w:pPr>
              <w:spacing w:line="276" w:lineRule="auto"/>
              <w:jc w:val="center"/>
              <w:rPr>
                <w:b/>
                <w:i/>
                <w:iCs/>
                <w:sz w:val="20"/>
                <w:szCs w:val="20"/>
              </w:rPr>
            </w:pPr>
            <w:r w:rsidRPr="004629DE">
              <w:rPr>
                <w:b/>
                <w:i/>
                <w:iCs/>
                <w:sz w:val="20"/>
                <w:szCs w:val="20"/>
              </w:rPr>
              <w:t xml:space="preserve">Pierdere netă, </w:t>
            </w:r>
          </w:p>
          <w:p w:rsidR="00914FE0" w:rsidRPr="004629DE" w:rsidRDefault="00914FE0" w:rsidP="004629DE">
            <w:pPr>
              <w:spacing w:line="276" w:lineRule="auto"/>
              <w:jc w:val="center"/>
              <w:rPr>
                <w:b/>
                <w:i/>
                <w:iCs/>
                <w:sz w:val="20"/>
                <w:szCs w:val="20"/>
              </w:rPr>
            </w:pPr>
            <w:r w:rsidRPr="004629DE">
              <w:rPr>
                <w:b/>
                <w:i/>
                <w:iCs/>
                <w:sz w:val="20"/>
                <w:szCs w:val="20"/>
              </w:rPr>
              <w:t>anul 201</w:t>
            </w:r>
            <w:r w:rsidR="00015F72" w:rsidRPr="004629DE">
              <w:rPr>
                <w:b/>
                <w:i/>
                <w:iCs/>
                <w:sz w:val="20"/>
                <w:szCs w:val="20"/>
              </w:rPr>
              <w:t>5</w:t>
            </w:r>
          </w:p>
        </w:tc>
        <w:tc>
          <w:tcPr>
            <w:tcW w:w="2000" w:type="dxa"/>
          </w:tcPr>
          <w:p w:rsidR="00914FE0" w:rsidRPr="004629DE" w:rsidRDefault="00914FE0" w:rsidP="004629DE">
            <w:pPr>
              <w:spacing w:line="276" w:lineRule="auto"/>
              <w:jc w:val="center"/>
              <w:rPr>
                <w:b/>
                <w:i/>
                <w:iCs/>
                <w:sz w:val="20"/>
                <w:szCs w:val="20"/>
              </w:rPr>
            </w:pPr>
            <w:r w:rsidRPr="004629DE">
              <w:rPr>
                <w:b/>
                <w:i/>
                <w:iCs/>
                <w:sz w:val="20"/>
                <w:szCs w:val="20"/>
              </w:rPr>
              <w:t>Diferenţa</w:t>
            </w:r>
          </w:p>
        </w:tc>
      </w:tr>
      <w:tr w:rsidR="00914FE0" w:rsidRPr="004629DE" w:rsidTr="004629DE">
        <w:trPr>
          <w:jc w:val="center"/>
        </w:trPr>
        <w:tc>
          <w:tcPr>
            <w:tcW w:w="675" w:type="dxa"/>
          </w:tcPr>
          <w:p w:rsidR="00914FE0" w:rsidRPr="004629DE" w:rsidRDefault="00914FE0" w:rsidP="004629DE">
            <w:pPr>
              <w:spacing w:line="276" w:lineRule="auto"/>
              <w:jc w:val="center"/>
              <w:rPr>
                <w:b/>
                <w:sz w:val="20"/>
                <w:szCs w:val="20"/>
              </w:rPr>
            </w:pPr>
            <w:r w:rsidRPr="004629DE">
              <w:rPr>
                <w:b/>
                <w:sz w:val="20"/>
                <w:szCs w:val="20"/>
              </w:rPr>
              <w:t>1.</w:t>
            </w:r>
          </w:p>
        </w:tc>
        <w:tc>
          <w:tcPr>
            <w:tcW w:w="4253" w:type="dxa"/>
          </w:tcPr>
          <w:p w:rsidR="00914FE0" w:rsidRPr="004629DE" w:rsidRDefault="00914FE0" w:rsidP="004629DE">
            <w:pPr>
              <w:spacing w:line="276" w:lineRule="auto"/>
              <w:rPr>
                <w:sz w:val="20"/>
                <w:szCs w:val="20"/>
              </w:rPr>
            </w:pPr>
            <w:r w:rsidRPr="004629DE">
              <w:rPr>
                <w:sz w:val="20"/>
                <w:szCs w:val="20"/>
              </w:rPr>
              <w:t xml:space="preserve">Î.S. </w:t>
            </w:r>
            <w:r w:rsidR="00015F72" w:rsidRPr="004629DE">
              <w:rPr>
                <w:sz w:val="20"/>
                <w:szCs w:val="20"/>
              </w:rPr>
              <w:t>Compania Aeriană</w:t>
            </w:r>
            <w:r w:rsidR="0058065A" w:rsidRPr="004629DE">
              <w:rPr>
                <w:sz w:val="20"/>
                <w:szCs w:val="20"/>
              </w:rPr>
              <w:t xml:space="preserve"> „</w:t>
            </w:r>
            <w:r w:rsidR="00015F72" w:rsidRPr="004629DE">
              <w:rPr>
                <w:sz w:val="20"/>
                <w:szCs w:val="20"/>
              </w:rPr>
              <w:t>Air Moldova</w:t>
            </w:r>
            <w:r w:rsidR="0058065A" w:rsidRPr="004629DE">
              <w:rPr>
                <w:sz w:val="20"/>
                <w:szCs w:val="20"/>
              </w:rPr>
              <w:t>”</w:t>
            </w:r>
          </w:p>
        </w:tc>
        <w:tc>
          <w:tcPr>
            <w:tcW w:w="1134" w:type="dxa"/>
          </w:tcPr>
          <w:p w:rsidR="00914FE0" w:rsidRPr="004629DE" w:rsidRDefault="00015F72" w:rsidP="004629DE">
            <w:pPr>
              <w:spacing w:line="276" w:lineRule="auto"/>
              <w:jc w:val="center"/>
              <w:rPr>
                <w:sz w:val="20"/>
                <w:szCs w:val="20"/>
              </w:rPr>
            </w:pPr>
            <w:r w:rsidRPr="004629DE">
              <w:rPr>
                <w:sz w:val="20"/>
                <w:szCs w:val="20"/>
              </w:rPr>
              <w:t>1,2</w:t>
            </w:r>
          </w:p>
        </w:tc>
        <w:tc>
          <w:tcPr>
            <w:tcW w:w="1701" w:type="dxa"/>
          </w:tcPr>
          <w:p w:rsidR="00914FE0" w:rsidRPr="004629DE" w:rsidRDefault="0058065A" w:rsidP="004629DE">
            <w:pPr>
              <w:spacing w:line="276" w:lineRule="auto"/>
              <w:jc w:val="center"/>
              <w:rPr>
                <w:sz w:val="20"/>
                <w:szCs w:val="20"/>
              </w:rPr>
            </w:pPr>
            <w:r w:rsidRPr="004629DE">
              <w:rPr>
                <w:sz w:val="20"/>
                <w:szCs w:val="20"/>
              </w:rPr>
              <w:t>-</w:t>
            </w:r>
            <w:r w:rsidR="00015F72" w:rsidRPr="004629DE">
              <w:rPr>
                <w:sz w:val="20"/>
                <w:szCs w:val="20"/>
              </w:rPr>
              <w:t>226,9</w:t>
            </w:r>
          </w:p>
        </w:tc>
        <w:tc>
          <w:tcPr>
            <w:tcW w:w="2000" w:type="dxa"/>
          </w:tcPr>
          <w:p w:rsidR="00914FE0" w:rsidRPr="004629DE" w:rsidRDefault="0058065A" w:rsidP="004629DE">
            <w:pPr>
              <w:spacing w:line="276" w:lineRule="auto"/>
              <w:jc w:val="center"/>
              <w:rPr>
                <w:sz w:val="20"/>
                <w:szCs w:val="20"/>
              </w:rPr>
            </w:pPr>
            <w:r w:rsidRPr="004629DE">
              <w:rPr>
                <w:sz w:val="20"/>
                <w:szCs w:val="20"/>
              </w:rPr>
              <w:t>-</w:t>
            </w:r>
            <w:r w:rsidR="00AC39D2" w:rsidRPr="004629DE">
              <w:rPr>
                <w:sz w:val="20"/>
                <w:szCs w:val="20"/>
              </w:rPr>
              <w:t>228,1</w:t>
            </w:r>
          </w:p>
        </w:tc>
      </w:tr>
      <w:tr w:rsidR="00914FE0" w:rsidRPr="004629DE" w:rsidTr="004629DE">
        <w:trPr>
          <w:jc w:val="center"/>
        </w:trPr>
        <w:tc>
          <w:tcPr>
            <w:tcW w:w="675" w:type="dxa"/>
          </w:tcPr>
          <w:p w:rsidR="00914FE0" w:rsidRPr="004629DE" w:rsidRDefault="00914FE0" w:rsidP="004629DE">
            <w:pPr>
              <w:spacing w:line="276" w:lineRule="auto"/>
              <w:jc w:val="center"/>
              <w:rPr>
                <w:b/>
                <w:sz w:val="20"/>
                <w:szCs w:val="20"/>
              </w:rPr>
            </w:pPr>
            <w:r w:rsidRPr="004629DE">
              <w:rPr>
                <w:b/>
                <w:sz w:val="20"/>
                <w:szCs w:val="20"/>
              </w:rPr>
              <w:t>2.</w:t>
            </w:r>
          </w:p>
        </w:tc>
        <w:tc>
          <w:tcPr>
            <w:tcW w:w="4253" w:type="dxa"/>
          </w:tcPr>
          <w:p w:rsidR="00914FE0" w:rsidRPr="004629DE" w:rsidRDefault="00914FE0" w:rsidP="004629DE">
            <w:pPr>
              <w:spacing w:line="276" w:lineRule="auto"/>
              <w:rPr>
                <w:sz w:val="20"/>
                <w:szCs w:val="20"/>
              </w:rPr>
            </w:pPr>
            <w:r w:rsidRPr="004629DE">
              <w:rPr>
                <w:sz w:val="20"/>
                <w:szCs w:val="20"/>
              </w:rPr>
              <w:t xml:space="preserve">Î.S. </w:t>
            </w:r>
            <w:r w:rsidR="00535B8A" w:rsidRPr="004629DE">
              <w:rPr>
                <w:sz w:val="20"/>
                <w:szCs w:val="20"/>
              </w:rPr>
              <w:t>„</w:t>
            </w:r>
            <w:r w:rsidR="00AC39D2" w:rsidRPr="004629DE">
              <w:rPr>
                <w:sz w:val="20"/>
                <w:szCs w:val="20"/>
              </w:rPr>
              <w:t>Fabrica de Sticlă din Chişinău</w:t>
            </w:r>
            <w:r w:rsidRPr="004629DE">
              <w:rPr>
                <w:sz w:val="20"/>
                <w:szCs w:val="20"/>
              </w:rPr>
              <w:t>”</w:t>
            </w:r>
          </w:p>
        </w:tc>
        <w:tc>
          <w:tcPr>
            <w:tcW w:w="1134" w:type="dxa"/>
          </w:tcPr>
          <w:p w:rsidR="00914FE0" w:rsidRPr="004629DE" w:rsidRDefault="00AC39D2" w:rsidP="004629DE">
            <w:pPr>
              <w:spacing w:line="276" w:lineRule="auto"/>
              <w:jc w:val="center"/>
              <w:rPr>
                <w:sz w:val="20"/>
                <w:szCs w:val="20"/>
              </w:rPr>
            </w:pPr>
            <w:r w:rsidRPr="004629DE">
              <w:rPr>
                <w:sz w:val="20"/>
                <w:szCs w:val="20"/>
              </w:rPr>
              <w:t>10,1</w:t>
            </w:r>
          </w:p>
        </w:tc>
        <w:tc>
          <w:tcPr>
            <w:tcW w:w="1701" w:type="dxa"/>
          </w:tcPr>
          <w:p w:rsidR="00914FE0" w:rsidRPr="004629DE" w:rsidRDefault="0058065A" w:rsidP="004629DE">
            <w:pPr>
              <w:spacing w:line="276" w:lineRule="auto"/>
              <w:jc w:val="center"/>
              <w:rPr>
                <w:sz w:val="20"/>
                <w:szCs w:val="20"/>
              </w:rPr>
            </w:pPr>
            <w:r w:rsidRPr="004629DE">
              <w:rPr>
                <w:sz w:val="20"/>
                <w:szCs w:val="20"/>
              </w:rPr>
              <w:t>-</w:t>
            </w:r>
            <w:r w:rsidR="00AC39D2" w:rsidRPr="004629DE">
              <w:rPr>
                <w:sz w:val="20"/>
                <w:szCs w:val="20"/>
              </w:rPr>
              <w:t>10,3</w:t>
            </w:r>
          </w:p>
        </w:tc>
        <w:tc>
          <w:tcPr>
            <w:tcW w:w="2000" w:type="dxa"/>
          </w:tcPr>
          <w:p w:rsidR="00914FE0" w:rsidRPr="004629DE" w:rsidRDefault="0058065A" w:rsidP="004629DE">
            <w:pPr>
              <w:spacing w:line="276" w:lineRule="auto"/>
              <w:jc w:val="center"/>
              <w:rPr>
                <w:sz w:val="20"/>
                <w:szCs w:val="20"/>
              </w:rPr>
            </w:pPr>
            <w:r w:rsidRPr="004629DE">
              <w:rPr>
                <w:sz w:val="20"/>
                <w:szCs w:val="20"/>
              </w:rPr>
              <w:t>-</w:t>
            </w:r>
            <w:r w:rsidR="00AC39D2" w:rsidRPr="004629DE">
              <w:rPr>
                <w:sz w:val="20"/>
                <w:szCs w:val="20"/>
              </w:rPr>
              <w:t>20,4</w:t>
            </w:r>
          </w:p>
        </w:tc>
      </w:tr>
      <w:tr w:rsidR="00AC39D2" w:rsidRPr="004629DE" w:rsidTr="004629DE">
        <w:trPr>
          <w:jc w:val="center"/>
        </w:trPr>
        <w:tc>
          <w:tcPr>
            <w:tcW w:w="675" w:type="dxa"/>
          </w:tcPr>
          <w:p w:rsidR="00AC39D2" w:rsidRPr="004629DE" w:rsidRDefault="00AC39D2" w:rsidP="004629DE">
            <w:pPr>
              <w:spacing w:line="276" w:lineRule="auto"/>
              <w:jc w:val="center"/>
              <w:rPr>
                <w:b/>
                <w:sz w:val="20"/>
                <w:szCs w:val="20"/>
              </w:rPr>
            </w:pPr>
            <w:r w:rsidRPr="004629DE">
              <w:rPr>
                <w:b/>
                <w:sz w:val="20"/>
                <w:szCs w:val="20"/>
              </w:rPr>
              <w:t>3.</w:t>
            </w:r>
          </w:p>
        </w:tc>
        <w:tc>
          <w:tcPr>
            <w:tcW w:w="4253" w:type="dxa"/>
          </w:tcPr>
          <w:p w:rsidR="00AC39D2" w:rsidRPr="004629DE" w:rsidRDefault="00AC39D2" w:rsidP="004629DE">
            <w:pPr>
              <w:spacing w:line="276" w:lineRule="auto"/>
              <w:rPr>
                <w:sz w:val="20"/>
                <w:szCs w:val="20"/>
              </w:rPr>
            </w:pPr>
            <w:r w:rsidRPr="004629DE">
              <w:rPr>
                <w:sz w:val="20"/>
                <w:szCs w:val="20"/>
              </w:rPr>
              <w:t>Î.S. pentru cercetare în selecţie şi hibridarea suinelor „Moldsuinhibrid”</w:t>
            </w:r>
          </w:p>
        </w:tc>
        <w:tc>
          <w:tcPr>
            <w:tcW w:w="1134" w:type="dxa"/>
          </w:tcPr>
          <w:p w:rsidR="00AC39D2" w:rsidRPr="004629DE" w:rsidRDefault="00AC39D2" w:rsidP="004629DE">
            <w:pPr>
              <w:spacing w:line="276" w:lineRule="auto"/>
              <w:jc w:val="center"/>
              <w:rPr>
                <w:sz w:val="20"/>
                <w:szCs w:val="20"/>
              </w:rPr>
            </w:pPr>
            <w:r w:rsidRPr="004629DE">
              <w:rPr>
                <w:sz w:val="20"/>
                <w:szCs w:val="20"/>
              </w:rPr>
              <w:t>0,2</w:t>
            </w:r>
          </w:p>
        </w:tc>
        <w:tc>
          <w:tcPr>
            <w:tcW w:w="1701" w:type="dxa"/>
          </w:tcPr>
          <w:p w:rsidR="00AC39D2" w:rsidRPr="004629DE" w:rsidRDefault="00AC39D2" w:rsidP="004629DE">
            <w:pPr>
              <w:spacing w:line="276" w:lineRule="auto"/>
              <w:jc w:val="center"/>
              <w:rPr>
                <w:sz w:val="20"/>
                <w:szCs w:val="20"/>
              </w:rPr>
            </w:pPr>
            <w:r w:rsidRPr="004629DE">
              <w:rPr>
                <w:sz w:val="20"/>
                <w:szCs w:val="20"/>
              </w:rPr>
              <w:t>-3,9</w:t>
            </w:r>
          </w:p>
        </w:tc>
        <w:tc>
          <w:tcPr>
            <w:tcW w:w="2000" w:type="dxa"/>
          </w:tcPr>
          <w:p w:rsidR="00AC39D2" w:rsidRPr="004629DE" w:rsidRDefault="00AC39D2" w:rsidP="004629DE">
            <w:pPr>
              <w:spacing w:line="276" w:lineRule="auto"/>
              <w:jc w:val="center"/>
              <w:rPr>
                <w:sz w:val="20"/>
                <w:szCs w:val="20"/>
              </w:rPr>
            </w:pPr>
            <w:r w:rsidRPr="004629DE">
              <w:rPr>
                <w:sz w:val="20"/>
                <w:szCs w:val="20"/>
              </w:rPr>
              <w:t>-4,1</w:t>
            </w:r>
          </w:p>
        </w:tc>
      </w:tr>
      <w:tr w:rsidR="00AC39D2" w:rsidRPr="004629DE" w:rsidTr="004629DE">
        <w:trPr>
          <w:jc w:val="center"/>
        </w:trPr>
        <w:tc>
          <w:tcPr>
            <w:tcW w:w="675" w:type="dxa"/>
          </w:tcPr>
          <w:p w:rsidR="00AC39D2" w:rsidRPr="004629DE" w:rsidRDefault="00AC39D2" w:rsidP="004629DE">
            <w:pPr>
              <w:spacing w:line="276" w:lineRule="auto"/>
              <w:jc w:val="center"/>
              <w:rPr>
                <w:b/>
                <w:sz w:val="20"/>
                <w:szCs w:val="20"/>
              </w:rPr>
            </w:pPr>
            <w:r w:rsidRPr="004629DE">
              <w:rPr>
                <w:b/>
                <w:sz w:val="20"/>
                <w:szCs w:val="20"/>
              </w:rPr>
              <w:t>4.</w:t>
            </w:r>
          </w:p>
        </w:tc>
        <w:tc>
          <w:tcPr>
            <w:tcW w:w="4253" w:type="dxa"/>
          </w:tcPr>
          <w:p w:rsidR="00AC39D2" w:rsidRPr="004629DE" w:rsidRDefault="00AC39D2" w:rsidP="004629DE">
            <w:pPr>
              <w:spacing w:line="276" w:lineRule="auto"/>
              <w:rPr>
                <w:sz w:val="20"/>
                <w:szCs w:val="20"/>
              </w:rPr>
            </w:pPr>
            <w:r w:rsidRPr="004629DE">
              <w:rPr>
                <w:sz w:val="20"/>
                <w:szCs w:val="20"/>
              </w:rPr>
              <w:t>Î.S. „Protecţia Solurilor şi Îmbunătăţirii Funciare”</w:t>
            </w:r>
          </w:p>
        </w:tc>
        <w:tc>
          <w:tcPr>
            <w:tcW w:w="1134" w:type="dxa"/>
          </w:tcPr>
          <w:p w:rsidR="00AC39D2" w:rsidRPr="004629DE" w:rsidRDefault="00AC39D2" w:rsidP="004629DE">
            <w:pPr>
              <w:spacing w:line="276" w:lineRule="auto"/>
              <w:jc w:val="center"/>
              <w:rPr>
                <w:sz w:val="20"/>
                <w:szCs w:val="20"/>
              </w:rPr>
            </w:pPr>
            <w:r w:rsidRPr="004629DE">
              <w:rPr>
                <w:sz w:val="20"/>
                <w:szCs w:val="20"/>
              </w:rPr>
              <w:t>2,0</w:t>
            </w:r>
          </w:p>
        </w:tc>
        <w:tc>
          <w:tcPr>
            <w:tcW w:w="1701" w:type="dxa"/>
          </w:tcPr>
          <w:p w:rsidR="00AC39D2" w:rsidRPr="004629DE" w:rsidRDefault="00AC39D2" w:rsidP="004629DE">
            <w:pPr>
              <w:spacing w:line="276" w:lineRule="auto"/>
              <w:jc w:val="center"/>
              <w:rPr>
                <w:sz w:val="20"/>
                <w:szCs w:val="20"/>
              </w:rPr>
            </w:pPr>
            <w:r w:rsidRPr="004629DE">
              <w:rPr>
                <w:sz w:val="20"/>
                <w:szCs w:val="20"/>
              </w:rPr>
              <w:t>-2,0</w:t>
            </w:r>
          </w:p>
        </w:tc>
        <w:tc>
          <w:tcPr>
            <w:tcW w:w="2000" w:type="dxa"/>
          </w:tcPr>
          <w:p w:rsidR="00AC39D2" w:rsidRPr="004629DE" w:rsidRDefault="00AC39D2" w:rsidP="004629DE">
            <w:pPr>
              <w:spacing w:line="276" w:lineRule="auto"/>
              <w:jc w:val="center"/>
              <w:rPr>
                <w:sz w:val="20"/>
                <w:szCs w:val="20"/>
              </w:rPr>
            </w:pPr>
            <w:r w:rsidRPr="004629DE">
              <w:rPr>
                <w:sz w:val="20"/>
                <w:szCs w:val="20"/>
              </w:rPr>
              <w:t>-4,0</w:t>
            </w:r>
          </w:p>
        </w:tc>
      </w:tr>
    </w:tbl>
    <w:p w:rsidR="006A39A0" w:rsidRPr="00651044" w:rsidRDefault="006A39A0" w:rsidP="0073353C">
      <w:pPr>
        <w:ind w:firstLine="567"/>
        <w:jc w:val="both"/>
        <w:rPr>
          <w:color w:val="FF0000"/>
          <w:sz w:val="28"/>
          <w:szCs w:val="28"/>
        </w:rPr>
      </w:pPr>
    </w:p>
    <w:p w:rsidR="001F18F9" w:rsidRPr="00651044" w:rsidRDefault="00914FE0" w:rsidP="001F18F9">
      <w:pPr>
        <w:spacing w:line="276" w:lineRule="auto"/>
        <w:ind w:firstLine="567"/>
        <w:jc w:val="both"/>
        <w:rPr>
          <w:sz w:val="28"/>
          <w:szCs w:val="28"/>
        </w:rPr>
      </w:pPr>
      <w:r w:rsidRPr="00651044">
        <w:rPr>
          <w:sz w:val="28"/>
          <w:szCs w:val="28"/>
        </w:rPr>
        <w:t>A</w:t>
      </w:r>
      <w:r w:rsidR="00F33AF7" w:rsidRPr="00651044">
        <w:rPr>
          <w:sz w:val="28"/>
          <w:szCs w:val="28"/>
        </w:rPr>
        <w:t>stfel, raportul dintre pierderea netă înregistrată la întreprinderi</w:t>
      </w:r>
      <w:r w:rsidR="00165D18" w:rsidRPr="00651044">
        <w:rPr>
          <w:sz w:val="28"/>
          <w:szCs w:val="28"/>
        </w:rPr>
        <w:t>le de stat</w:t>
      </w:r>
      <w:r w:rsidR="00AC39D2" w:rsidRPr="00651044">
        <w:rPr>
          <w:sz w:val="28"/>
          <w:szCs w:val="28"/>
        </w:rPr>
        <w:t xml:space="preserve"> cu pierderi nete în 2015 şi veniturile din v</w:t>
      </w:r>
      <w:r w:rsidR="006E6FE5">
        <w:rPr>
          <w:sz w:val="28"/>
          <w:szCs w:val="28"/>
        </w:rPr>
        <w:t>î</w:t>
      </w:r>
      <w:r w:rsidR="00F33AF7" w:rsidRPr="00651044">
        <w:rPr>
          <w:sz w:val="28"/>
          <w:szCs w:val="28"/>
        </w:rPr>
        <w:t>nzări gen</w:t>
      </w:r>
      <w:r w:rsidR="00C62D98" w:rsidRPr="00651044">
        <w:rPr>
          <w:sz w:val="28"/>
          <w:szCs w:val="28"/>
        </w:rPr>
        <w:t>erate de acestea consti</w:t>
      </w:r>
      <w:r w:rsidR="0003668E" w:rsidRPr="00651044">
        <w:rPr>
          <w:sz w:val="28"/>
          <w:szCs w:val="28"/>
        </w:rPr>
        <w:t>tuie 19,9</w:t>
      </w:r>
      <w:r w:rsidR="00F35CEB" w:rsidRPr="00651044">
        <w:rPr>
          <w:sz w:val="28"/>
          <w:szCs w:val="28"/>
        </w:rPr>
        <w:t>%, întreprinderile respective ob</w:t>
      </w:r>
      <w:r w:rsidR="005F5ABF" w:rsidRPr="00651044">
        <w:rPr>
          <w:sz w:val="28"/>
          <w:szCs w:val="28"/>
        </w:rPr>
        <w:t>ţ</w:t>
      </w:r>
      <w:r w:rsidR="0003668E" w:rsidRPr="00651044">
        <w:rPr>
          <w:sz w:val="28"/>
          <w:szCs w:val="28"/>
        </w:rPr>
        <w:t>in</w:t>
      </w:r>
      <w:r w:rsidR="006E6FE5">
        <w:rPr>
          <w:sz w:val="28"/>
          <w:szCs w:val="28"/>
        </w:rPr>
        <w:t>î</w:t>
      </w:r>
      <w:r w:rsidR="00F35CEB" w:rsidRPr="00651044">
        <w:rPr>
          <w:sz w:val="28"/>
          <w:szCs w:val="28"/>
        </w:rPr>
        <w:t>nd</w:t>
      </w:r>
      <w:r w:rsidR="00F33AF7" w:rsidRPr="00651044">
        <w:rPr>
          <w:sz w:val="28"/>
          <w:szCs w:val="28"/>
        </w:rPr>
        <w:t xml:space="preserve"> </w:t>
      </w:r>
      <w:r w:rsidR="0003668E" w:rsidRPr="00651044">
        <w:rPr>
          <w:sz w:val="28"/>
          <w:szCs w:val="28"/>
        </w:rPr>
        <w:t>19,9</w:t>
      </w:r>
      <w:r w:rsidR="00F33AF7" w:rsidRPr="00651044">
        <w:rPr>
          <w:sz w:val="28"/>
          <w:szCs w:val="28"/>
        </w:rPr>
        <w:t xml:space="preserve"> bani pierdere netă la 1 leu </w:t>
      </w:r>
      <w:r w:rsidR="00165D18" w:rsidRPr="00651044">
        <w:rPr>
          <w:sz w:val="28"/>
          <w:szCs w:val="28"/>
        </w:rPr>
        <w:t xml:space="preserve">venituri din </w:t>
      </w:r>
      <w:r w:rsidR="0003668E" w:rsidRPr="00651044">
        <w:rPr>
          <w:sz w:val="28"/>
          <w:szCs w:val="28"/>
        </w:rPr>
        <w:t>v</w:t>
      </w:r>
      <w:r w:rsidR="006E6FE5">
        <w:rPr>
          <w:sz w:val="28"/>
          <w:szCs w:val="28"/>
        </w:rPr>
        <w:t>î</w:t>
      </w:r>
      <w:r w:rsidR="00F33AF7" w:rsidRPr="00651044">
        <w:rPr>
          <w:sz w:val="28"/>
          <w:szCs w:val="28"/>
        </w:rPr>
        <w:t>nzări.</w:t>
      </w:r>
    </w:p>
    <w:p w:rsidR="00AD4031" w:rsidRPr="00651044" w:rsidRDefault="00F33AF7" w:rsidP="00AD4031">
      <w:pPr>
        <w:spacing w:line="276" w:lineRule="auto"/>
        <w:ind w:firstLine="567"/>
        <w:jc w:val="both"/>
        <w:rPr>
          <w:sz w:val="28"/>
          <w:szCs w:val="28"/>
        </w:rPr>
      </w:pPr>
      <w:r w:rsidRPr="00651044">
        <w:rPr>
          <w:sz w:val="28"/>
          <w:szCs w:val="28"/>
        </w:rPr>
        <w:t>Din totalul întreprinderilo</w:t>
      </w:r>
      <w:r w:rsidR="00145B4D" w:rsidRPr="00651044">
        <w:rPr>
          <w:sz w:val="28"/>
          <w:szCs w:val="28"/>
        </w:rPr>
        <w:t>r de stat supuse analizei, la 3</w:t>
      </w:r>
      <w:r w:rsidR="00AD4031" w:rsidRPr="00651044">
        <w:rPr>
          <w:sz w:val="28"/>
          <w:szCs w:val="28"/>
        </w:rPr>
        <w:t>6</w:t>
      </w:r>
      <w:r w:rsidRPr="00651044">
        <w:rPr>
          <w:sz w:val="28"/>
          <w:szCs w:val="28"/>
        </w:rPr>
        <w:t xml:space="preserve"> întreprind</w:t>
      </w:r>
      <w:r w:rsidR="00AD4031" w:rsidRPr="00651044">
        <w:rPr>
          <w:sz w:val="28"/>
          <w:szCs w:val="28"/>
        </w:rPr>
        <w:t xml:space="preserve">eri se observă o diminuare cu </w:t>
      </w:r>
      <w:r w:rsidR="00145B4D" w:rsidRPr="00651044">
        <w:rPr>
          <w:sz w:val="28"/>
          <w:szCs w:val="28"/>
        </w:rPr>
        <w:t>25,0</w:t>
      </w:r>
      <w:r w:rsidRPr="00651044">
        <w:rPr>
          <w:sz w:val="28"/>
          <w:szCs w:val="28"/>
        </w:rPr>
        <w:t xml:space="preserve"> mil. lei </w:t>
      </w:r>
      <w:r w:rsidR="00F35CEB" w:rsidRPr="00651044">
        <w:rPr>
          <w:sz w:val="28"/>
          <w:szCs w:val="28"/>
        </w:rPr>
        <w:t xml:space="preserve">a profitului net </w:t>
      </w:r>
      <w:r w:rsidRPr="00651044">
        <w:rPr>
          <w:sz w:val="28"/>
          <w:szCs w:val="28"/>
        </w:rPr>
        <w:t>comparativ cu anul 201</w:t>
      </w:r>
      <w:r w:rsidR="0003668E" w:rsidRPr="00651044">
        <w:rPr>
          <w:sz w:val="28"/>
          <w:szCs w:val="28"/>
        </w:rPr>
        <w:t>4</w:t>
      </w:r>
      <w:r w:rsidRPr="00651044">
        <w:rPr>
          <w:sz w:val="28"/>
          <w:szCs w:val="28"/>
        </w:rPr>
        <w:t>, cele mai semnificative micşorări fiind înregistrate la:</w:t>
      </w:r>
    </w:p>
    <w:p w:rsidR="00145B4D" w:rsidRPr="00651044" w:rsidRDefault="00145B4D" w:rsidP="00136F34">
      <w:pPr>
        <w:pStyle w:val="BodyText2"/>
        <w:numPr>
          <w:ilvl w:val="0"/>
          <w:numId w:val="2"/>
        </w:numPr>
        <w:tabs>
          <w:tab w:val="clear" w:pos="800"/>
          <w:tab w:val="clear" w:pos="2311"/>
          <w:tab w:val="num" w:pos="0"/>
          <w:tab w:val="left" w:pos="600"/>
        </w:tabs>
        <w:spacing w:line="276" w:lineRule="auto"/>
        <w:ind w:left="0" w:firstLine="440"/>
        <w:rPr>
          <w:sz w:val="28"/>
          <w:szCs w:val="28"/>
        </w:rPr>
      </w:pPr>
      <w:r w:rsidRPr="00651044">
        <w:rPr>
          <w:sz w:val="28"/>
          <w:szCs w:val="28"/>
        </w:rPr>
        <w:t>4 întreprinderi din administrarea Ministerului Agriculturii şi Industriei Alimentare – cu 6,1 mil. lei;</w:t>
      </w:r>
    </w:p>
    <w:p w:rsidR="00145B4D" w:rsidRPr="00651044" w:rsidRDefault="00145B4D" w:rsidP="00136F34">
      <w:pPr>
        <w:pStyle w:val="BodyText2"/>
        <w:numPr>
          <w:ilvl w:val="0"/>
          <w:numId w:val="2"/>
        </w:numPr>
        <w:tabs>
          <w:tab w:val="clear" w:pos="800"/>
          <w:tab w:val="clear" w:pos="2311"/>
          <w:tab w:val="num" w:pos="0"/>
          <w:tab w:val="left" w:pos="567"/>
        </w:tabs>
        <w:spacing w:line="276" w:lineRule="auto"/>
        <w:ind w:left="0" w:firstLine="440"/>
        <w:rPr>
          <w:sz w:val="28"/>
          <w:szCs w:val="28"/>
        </w:rPr>
      </w:pPr>
      <w:r w:rsidRPr="00651044">
        <w:rPr>
          <w:sz w:val="28"/>
          <w:szCs w:val="28"/>
        </w:rPr>
        <w:t>2 întreprinderi  administrate de Ministerul Dezvoltării Regionale și Construcțiilor – cu 3,6 mil. lei;</w:t>
      </w:r>
    </w:p>
    <w:p w:rsidR="00303E8A" w:rsidRPr="00651044" w:rsidRDefault="00E44864" w:rsidP="00136F34">
      <w:pPr>
        <w:pStyle w:val="BodyText2"/>
        <w:numPr>
          <w:ilvl w:val="0"/>
          <w:numId w:val="2"/>
        </w:numPr>
        <w:tabs>
          <w:tab w:val="clear" w:pos="2311"/>
          <w:tab w:val="left" w:pos="600"/>
        </w:tabs>
        <w:spacing w:line="276" w:lineRule="auto"/>
        <w:ind w:left="0" w:firstLine="440"/>
        <w:rPr>
          <w:sz w:val="28"/>
          <w:szCs w:val="28"/>
        </w:rPr>
      </w:pPr>
      <w:r w:rsidRPr="00651044">
        <w:rPr>
          <w:sz w:val="28"/>
          <w:szCs w:val="28"/>
        </w:rPr>
        <w:t>3</w:t>
      </w:r>
      <w:r w:rsidR="00303E8A" w:rsidRPr="00651044">
        <w:rPr>
          <w:sz w:val="28"/>
          <w:szCs w:val="28"/>
        </w:rPr>
        <w:t xml:space="preserve"> întreprinderi din </w:t>
      </w:r>
      <w:r w:rsidR="00E208D9" w:rsidRPr="00651044">
        <w:rPr>
          <w:sz w:val="28"/>
          <w:szCs w:val="28"/>
        </w:rPr>
        <w:t>administrar</w:t>
      </w:r>
      <w:r w:rsidR="00303E8A" w:rsidRPr="00651044">
        <w:rPr>
          <w:sz w:val="28"/>
          <w:szCs w:val="28"/>
        </w:rPr>
        <w:t xml:space="preserve">ea </w:t>
      </w:r>
      <w:r w:rsidR="00E208D9" w:rsidRPr="00651044">
        <w:rPr>
          <w:sz w:val="28"/>
          <w:szCs w:val="28"/>
        </w:rPr>
        <w:t xml:space="preserve">Ministerului </w:t>
      </w:r>
      <w:r w:rsidRPr="00651044">
        <w:rPr>
          <w:sz w:val="28"/>
          <w:szCs w:val="28"/>
        </w:rPr>
        <w:t>Tehnologiei Informației și Comunicațiilor</w:t>
      </w:r>
      <w:r w:rsidR="00303E8A" w:rsidRPr="00651044">
        <w:rPr>
          <w:sz w:val="28"/>
          <w:szCs w:val="28"/>
        </w:rPr>
        <w:t xml:space="preserve"> – </w:t>
      </w:r>
      <w:r w:rsidR="00165D18" w:rsidRPr="00651044">
        <w:rPr>
          <w:sz w:val="28"/>
          <w:szCs w:val="28"/>
        </w:rPr>
        <w:t xml:space="preserve">cu </w:t>
      </w:r>
      <w:r w:rsidRPr="00651044">
        <w:rPr>
          <w:sz w:val="28"/>
          <w:szCs w:val="28"/>
        </w:rPr>
        <w:t>1,8</w:t>
      </w:r>
      <w:r w:rsidR="00303E8A" w:rsidRPr="00651044">
        <w:rPr>
          <w:sz w:val="28"/>
          <w:szCs w:val="28"/>
        </w:rPr>
        <w:t xml:space="preserve"> mil. lei;</w:t>
      </w:r>
    </w:p>
    <w:p w:rsidR="00F33AF7" w:rsidRPr="00651044" w:rsidRDefault="00E44864" w:rsidP="00136F34">
      <w:pPr>
        <w:pStyle w:val="BodyText2"/>
        <w:numPr>
          <w:ilvl w:val="0"/>
          <w:numId w:val="2"/>
        </w:numPr>
        <w:tabs>
          <w:tab w:val="clear" w:pos="800"/>
          <w:tab w:val="clear" w:pos="2311"/>
          <w:tab w:val="num" w:pos="0"/>
          <w:tab w:val="left" w:pos="600"/>
        </w:tabs>
        <w:spacing w:line="276" w:lineRule="auto"/>
        <w:ind w:left="0" w:firstLine="440"/>
        <w:rPr>
          <w:sz w:val="28"/>
          <w:szCs w:val="28"/>
        </w:rPr>
      </w:pPr>
      <w:r w:rsidRPr="00651044">
        <w:rPr>
          <w:sz w:val="28"/>
          <w:szCs w:val="28"/>
        </w:rPr>
        <w:t>2</w:t>
      </w:r>
      <w:r w:rsidR="00066652" w:rsidRPr="00651044">
        <w:rPr>
          <w:sz w:val="28"/>
          <w:szCs w:val="28"/>
        </w:rPr>
        <w:t xml:space="preserve"> </w:t>
      </w:r>
      <w:r w:rsidR="00F33AF7" w:rsidRPr="00651044">
        <w:rPr>
          <w:sz w:val="28"/>
          <w:szCs w:val="28"/>
        </w:rPr>
        <w:t>întreprinder</w:t>
      </w:r>
      <w:r w:rsidR="008005C9" w:rsidRPr="00651044">
        <w:rPr>
          <w:sz w:val="28"/>
          <w:szCs w:val="28"/>
        </w:rPr>
        <w:t>i</w:t>
      </w:r>
      <w:r w:rsidR="00F33AF7" w:rsidRPr="00651044">
        <w:rPr>
          <w:sz w:val="28"/>
          <w:szCs w:val="28"/>
        </w:rPr>
        <w:t xml:space="preserve"> din </w:t>
      </w:r>
      <w:r w:rsidR="00E208D9" w:rsidRPr="00651044">
        <w:rPr>
          <w:sz w:val="28"/>
          <w:szCs w:val="28"/>
        </w:rPr>
        <w:t>administrarea Agenţiei Relaţii Funciare şi Cadastru</w:t>
      </w:r>
      <w:r w:rsidR="008005C9" w:rsidRPr="00651044">
        <w:rPr>
          <w:sz w:val="28"/>
          <w:szCs w:val="28"/>
        </w:rPr>
        <w:t xml:space="preserve"> – </w:t>
      </w:r>
      <w:r w:rsidR="00165D18" w:rsidRPr="00651044">
        <w:rPr>
          <w:sz w:val="28"/>
          <w:szCs w:val="28"/>
        </w:rPr>
        <w:t xml:space="preserve">cu </w:t>
      </w:r>
      <w:r w:rsidR="008465A8" w:rsidRPr="00651044">
        <w:rPr>
          <w:sz w:val="28"/>
          <w:szCs w:val="28"/>
        </w:rPr>
        <w:t xml:space="preserve">       </w:t>
      </w:r>
      <w:r w:rsidRPr="00651044">
        <w:rPr>
          <w:sz w:val="28"/>
          <w:szCs w:val="28"/>
        </w:rPr>
        <w:t>1</w:t>
      </w:r>
      <w:r w:rsidR="00E208D9" w:rsidRPr="00651044">
        <w:rPr>
          <w:sz w:val="28"/>
          <w:szCs w:val="28"/>
        </w:rPr>
        <w:t>,0 mil. lei.</w:t>
      </w:r>
    </w:p>
    <w:p w:rsidR="00F33AF7" w:rsidRPr="00651044" w:rsidRDefault="001F18F9" w:rsidP="00F33AF7">
      <w:pPr>
        <w:spacing w:line="276" w:lineRule="auto"/>
        <w:ind w:firstLine="540"/>
        <w:jc w:val="both"/>
        <w:rPr>
          <w:sz w:val="28"/>
          <w:szCs w:val="28"/>
        </w:rPr>
      </w:pPr>
      <w:r w:rsidRPr="00651044">
        <w:rPr>
          <w:sz w:val="28"/>
          <w:szCs w:val="28"/>
        </w:rPr>
        <w:t xml:space="preserve">Totodată, în </w:t>
      </w:r>
      <w:r w:rsidR="00E208D9" w:rsidRPr="00651044">
        <w:rPr>
          <w:sz w:val="28"/>
          <w:szCs w:val="28"/>
        </w:rPr>
        <w:t>perioada</w:t>
      </w:r>
      <w:r w:rsidRPr="00651044">
        <w:rPr>
          <w:sz w:val="28"/>
          <w:szCs w:val="28"/>
        </w:rPr>
        <w:t xml:space="preserve"> de gestiune</w:t>
      </w:r>
      <w:r w:rsidR="00F33AF7" w:rsidRPr="00651044">
        <w:rPr>
          <w:sz w:val="28"/>
          <w:szCs w:val="28"/>
        </w:rPr>
        <w:t xml:space="preserve">, </w:t>
      </w:r>
      <w:r w:rsidR="006142FF" w:rsidRPr="00651044">
        <w:rPr>
          <w:sz w:val="28"/>
          <w:szCs w:val="28"/>
        </w:rPr>
        <w:t>29</w:t>
      </w:r>
      <w:r w:rsidR="00F33AF7" w:rsidRPr="00651044">
        <w:rPr>
          <w:sz w:val="28"/>
          <w:szCs w:val="28"/>
        </w:rPr>
        <w:t xml:space="preserve"> întreprinderi de stat au obţinut </w:t>
      </w:r>
      <w:r w:rsidR="00F33AF7" w:rsidRPr="00651044">
        <w:rPr>
          <w:i/>
          <w:sz w:val="28"/>
          <w:szCs w:val="28"/>
        </w:rPr>
        <w:t>profit net mai mare de 1 milion de lei</w:t>
      </w:r>
      <w:r w:rsidR="00F33AF7" w:rsidRPr="00651044">
        <w:rPr>
          <w:sz w:val="28"/>
          <w:szCs w:val="28"/>
        </w:rPr>
        <w:t>, cele mai mari profituri fiind înregistrate de către:</w:t>
      </w:r>
    </w:p>
    <w:p w:rsidR="00347C68" w:rsidRPr="00651044" w:rsidRDefault="00347C68" w:rsidP="00136F34">
      <w:pPr>
        <w:numPr>
          <w:ilvl w:val="0"/>
          <w:numId w:val="3"/>
        </w:numPr>
        <w:spacing w:line="276" w:lineRule="auto"/>
        <w:jc w:val="both"/>
        <w:rPr>
          <w:sz w:val="28"/>
          <w:szCs w:val="28"/>
        </w:rPr>
      </w:pPr>
      <w:r w:rsidRPr="00651044">
        <w:rPr>
          <w:sz w:val="28"/>
          <w:szCs w:val="28"/>
        </w:rPr>
        <w:t>Î.S. „</w:t>
      </w:r>
      <w:r w:rsidR="006142FF" w:rsidRPr="00651044">
        <w:rPr>
          <w:sz w:val="28"/>
          <w:szCs w:val="28"/>
        </w:rPr>
        <w:t>Moldtranselectro</w:t>
      </w:r>
      <w:r w:rsidRPr="00651044">
        <w:rPr>
          <w:sz w:val="28"/>
          <w:szCs w:val="28"/>
        </w:rPr>
        <w:t xml:space="preserve">” – </w:t>
      </w:r>
      <w:r w:rsidR="006142FF" w:rsidRPr="00651044">
        <w:rPr>
          <w:sz w:val="28"/>
          <w:szCs w:val="28"/>
        </w:rPr>
        <w:t xml:space="preserve">30,3 </w:t>
      </w:r>
      <w:r w:rsidRPr="00651044">
        <w:rPr>
          <w:sz w:val="28"/>
          <w:szCs w:val="28"/>
        </w:rPr>
        <w:t>mil. lei;</w:t>
      </w:r>
    </w:p>
    <w:p w:rsidR="008945B4" w:rsidRPr="00651044" w:rsidRDefault="008945B4" w:rsidP="00136F34">
      <w:pPr>
        <w:numPr>
          <w:ilvl w:val="0"/>
          <w:numId w:val="3"/>
        </w:numPr>
        <w:spacing w:line="276" w:lineRule="auto"/>
        <w:jc w:val="both"/>
        <w:rPr>
          <w:sz w:val="28"/>
          <w:szCs w:val="28"/>
        </w:rPr>
      </w:pPr>
      <w:r w:rsidRPr="00651044">
        <w:rPr>
          <w:sz w:val="28"/>
          <w:szCs w:val="28"/>
        </w:rPr>
        <w:t>Î.S. „</w:t>
      </w:r>
      <w:r w:rsidR="006142FF" w:rsidRPr="00651044">
        <w:rPr>
          <w:sz w:val="28"/>
          <w:szCs w:val="28"/>
        </w:rPr>
        <w:t>Centrul Naţional pentru Frecvenţe Radio</w:t>
      </w:r>
      <w:r w:rsidRPr="00651044">
        <w:rPr>
          <w:sz w:val="28"/>
          <w:szCs w:val="28"/>
        </w:rPr>
        <w:t xml:space="preserve">” – </w:t>
      </w:r>
      <w:r w:rsidR="006142FF" w:rsidRPr="00651044">
        <w:rPr>
          <w:sz w:val="28"/>
          <w:szCs w:val="28"/>
        </w:rPr>
        <w:t>27,0</w:t>
      </w:r>
      <w:r w:rsidRPr="00651044">
        <w:rPr>
          <w:sz w:val="28"/>
          <w:szCs w:val="28"/>
        </w:rPr>
        <w:t xml:space="preserve"> mil. lei;</w:t>
      </w:r>
    </w:p>
    <w:p w:rsidR="008945B4" w:rsidRPr="00651044" w:rsidRDefault="008945B4" w:rsidP="00136F34">
      <w:pPr>
        <w:numPr>
          <w:ilvl w:val="0"/>
          <w:numId w:val="3"/>
        </w:numPr>
        <w:spacing w:line="276" w:lineRule="auto"/>
        <w:jc w:val="both"/>
        <w:rPr>
          <w:sz w:val="28"/>
          <w:szCs w:val="28"/>
        </w:rPr>
      </w:pPr>
      <w:r w:rsidRPr="00651044">
        <w:rPr>
          <w:sz w:val="28"/>
          <w:szCs w:val="28"/>
        </w:rPr>
        <w:t>Î.S. „</w:t>
      </w:r>
      <w:r w:rsidR="006142FF" w:rsidRPr="00651044">
        <w:rPr>
          <w:sz w:val="28"/>
          <w:szCs w:val="28"/>
        </w:rPr>
        <w:t>Aeroportul Internaţional Chişinău” – 20,3</w:t>
      </w:r>
      <w:r w:rsidRPr="00651044">
        <w:rPr>
          <w:sz w:val="28"/>
          <w:szCs w:val="28"/>
        </w:rPr>
        <w:t xml:space="preserve"> mil. lei;</w:t>
      </w:r>
    </w:p>
    <w:p w:rsidR="008945B4" w:rsidRPr="00651044" w:rsidRDefault="008945B4" w:rsidP="008945B4">
      <w:pPr>
        <w:spacing w:line="276" w:lineRule="auto"/>
        <w:jc w:val="both"/>
        <w:rPr>
          <w:color w:val="FF0000"/>
          <w:sz w:val="28"/>
          <w:szCs w:val="28"/>
        </w:rPr>
      </w:pPr>
      <w:r w:rsidRPr="00651044">
        <w:rPr>
          <w:sz w:val="28"/>
          <w:szCs w:val="28"/>
        </w:rPr>
        <w:t xml:space="preserve">      -</w:t>
      </w:r>
      <w:r w:rsidRPr="00651044">
        <w:rPr>
          <w:color w:val="FF0000"/>
          <w:sz w:val="28"/>
          <w:szCs w:val="28"/>
        </w:rPr>
        <w:t xml:space="preserve">    </w:t>
      </w:r>
      <w:r w:rsidRPr="00651044">
        <w:rPr>
          <w:sz w:val="28"/>
          <w:szCs w:val="28"/>
        </w:rPr>
        <w:t>Î.S. „Centrul Resurselor Infor</w:t>
      </w:r>
      <w:r w:rsidR="006142FF" w:rsidRPr="00651044">
        <w:rPr>
          <w:sz w:val="28"/>
          <w:szCs w:val="28"/>
        </w:rPr>
        <w:t>maţionale de Stat „Registru” – 10</w:t>
      </w:r>
      <w:r w:rsidRPr="00651044">
        <w:rPr>
          <w:sz w:val="28"/>
          <w:szCs w:val="28"/>
        </w:rPr>
        <w:t>,5 mil. lei;</w:t>
      </w:r>
    </w:p>
    <w:p w:rsidR="008945B4" w:rsidRPr="00651044" w:rsidRDefault="008945B4" w:rsidP="00136F34">
      <w:pPr>
        <w:numPr>
          <w:ilvl w:val="0"/>
          <w:numId w:val="3"/>
        </w:numPr>
        <w:spacing w:line="276" w:lineRule="auto"/>
        <w:jc w:val="both"/>
        <w:rPr>
          <w:sz w:val="28"/>
          <w:szCs w:val="28"/>
        </w:rPr>
      </w:pPr>
      <w:r w:rsidRPr="00651044">
        <w:rPr>
          <w:sz w:val="28"/>
          <w:szCs w:val="28"/>
        </w:rPr>
        <w:t xml:space="preserve">Î.S. </w:t>
      </w:r>
      <w:r w:rsidR="006142FF" w:rsidRPr="00651044">
        <w:rPr>
          <w:sz w:val="28"/>
          <w:szCs w:val="28"/>
        </w:rPr>
        <w:t xml:space="preserve">pentru utilizarea spaţiului aerian şi deservirea traficului aerian </w:t>
      </w:r>
      <w:r w:rsidRPr="00651044">
        <w:rPr>
          <w:sz w:val="28"/>
          <w:szCs w:val="28"/>
        </w:rPr>
        <w:t>„</w:t>
      </w:r>
      <w:r w:rsidR="006142FF" w:rsidRPr="00651044">
        <w:rPr>
          <w:sz w:val="28"/>
          <w:szCs w:val="28"/>
        </w:rPr>
        <w:t>Moldatsa” – 7,8</w:t>
      </w:r>
      <w:r w:rsidRPr="00651044">
        <w:rPr>
          <w:sz w:val="28"/>
          <w:szCs w:val="28"/>
        </w:rPr>
        <w:t xml:space="preserve"> mil. lei;</w:t>
      </w:r>
    </w:p>
    <w:p w:rsidR="008945B4" w:rsidRPr="00651044" w:rsidRDefault="008945B4" w:rsidP="00136F34">
      <w:pPr>
        <w:numPr>
          <w:ilvl w:val="0"/>
          <w:numId w:val="3"/>
        </w:numPr>
        <w:spacing w:line="276" w:lineRule="auto"/>
        <w:jc w:val="both"/>
        <w:rPr>
          <w:sz w:val="28"/>
          <w:szCs w:val="28"/>
        </w:rPr>
      </w:pPr>
      <w:r w:rsidRPr="00651044">
        <w:rPr>
          <w:sz w:val="28"/>
          <w:szCs w:val="28"/>
        </w:rPr>
        <w:t>Î.S. „</w:t>
      </w:r>
      <w:r w:rsidR="006142FF" w:rsidRPr="00651044">
        <w:rPr>
          <w:sz w:val="28"/>
          <w:szCs w:val="28"/>
        </w:rPr>
        <w:t>Serviciul Asistenţă Beneficiari la Obiectele Sociale</w:t>
      </w:r>
      <w:r w:rsidRPr="00651044">
        <w:rPr>
          <w:sz w:val="28"/>
          <w:szCs w:val="28"/>
        </w:rPr>
        <w:t xml:space="preserve">” – </w:t>
      </w:r>
      <w:r w:rsidR="006142FF" w:rsidRPr="00651044">
        <w:rPr>
          <w:sz w:val="28"/>
          <w:szCs w:val="28"/>
        </w:rPr>
        <w:t>5,3</w:t>
      </w:r>
      <w:r w:rsidRPr="00651044">
        <w:rPr>
          <w:sz w:val="28"/>
          <w:szCs w:val="28"/>
        </w:rPr>
        <w:t xml:space="preserve"> mil. lei;</w:t>
      </w:r>
    </w:p>
    <w:p w:rsidR="00347C68" w:rsidRPr="00651044" w:rsidRDefault="006142FF" w:rsidP="00136F34">
      <w:pPr>
        <w:numPr>
          <w:ilvl w:val="0"/>
          <w:numId w:val="3"/>
        </w:numPr>
        <w:spacing w:line="276" w:lineRule="auto"/>
        <w:jc w:val="both"/>
        <w:rPr>
          <w:sz w:val="28"/>
          <w:szCs w:val="28"/>
        </w:rPr>
      </w:pPr>
      <w:r w:rsidRPr="00651044">
        <w:rPr>
          <w:sz w:val="28"/>
          <w:szCs w:val="28"/>
        </w:rPr>
        <w:t xml:space="preserve">Î.S. „Poşta Moldovei” </w:t>
      </w:r>
      <w:r w:rsidR="00347C68" w:rsidRPr="00651044">
        <w:rPr>
          <w:sz w:val="28"/>
          <w:szCs w:val="28"/>
        </w:rPr>
        <w:t xml:space="preserve">– </w:t>
      </w:r>
      <w:r w:rsidR="00910692" w:rsidRPr="00651044">
        <w:rPr>
          <w:sz w:val="28"/>
          <w:szCs w:val="28"/>
        </w:rPr>
        <w:t>4,6</w:t>
      </w:r>
      <w:r w:rsidR="00347C68" w:rsidRPr="00651044">
        <w:rPr>
          <w:sz w:val="28"/>
          <w:szCs w:val="28"/>
        </w:rPr>
        <w:t xml:space="preserve"> mil. lei;</w:t>
      </w:r>
    </w:p>
    <w:p w:rsidR="008945B4" w:rsidRPr="00651044" w:rsidRDefault="006142FF" w:rsidP="00136F34">
      <w:pPr>
        <w:numPr>
          <w:ilvl w:val="0"/>
          <w:numId w:val="3"/>
        </w:numPr>
        <w:spacing w:line="276" w:lineRule="auto"/>
        <w:jc w:val="both"/>
        <w:rPr>
          <w:sz w:val="28"/>
          <w:szCs w:val="28"/>
        </w:rPr>
      </w:pPr>
      <w:r w:rsidRPr="00651044">
        <w:rPr>
          <w:sz w:val="28"/>
          <w:szCs w:val="28"/>
        </w:rPr>
        <w:t>Î.S. „Gările şi Staţiile Auto”</w:t>
      </w:r>
      <w:r w:rsidR="00910692" w:rsidRPr="00651044">
        <w:rPr>
          <w:sz w:val="28"/>
          <w:szCs w:val="28"/>
        </w:rPr>
        <w:t xml:space="preserve"> </w:t>
      </w:r>
      <w:r w:rsidRPr="00651044">
        <w:rPr>
          <w:sz w:val="28"/>
          <w:szCs w:val="28"/>
        </w:rPr>
        <w:t xml:space="preserve">– </w:t>
      </w:r>
      <w:r w:rsidR="00910692" w:rsidRPr="00651044">
        <w:rPr>
          <w:sz w:val="28"/>
          <w:szCs w:val="28"/>
        </w:rPr>
        <w:t>4,5</w:t>
      </w:r>
      <w:r w:rsidR="008945B4" w:rsidRPr="00651044">
        <w:rPr>
          <w:sz w:val="28"/>
          <w:szCs w:val="28"/>
        </w:rPr>
        <w:t xml:space="preserve"> mil. lei;</w:t>
      </w:r>
    </w:p>
    <w:p w:rsidR="00F33AF7" w:rsidRPr="00651044" w:rsidRDefault="00F33AF7" w:rsidP="00136F34">
      <w:pPr>
        <w:numPr>
          <w:ilvl w:val="0"/>
          <w:numId w:val="3"/>
        </w:numPr>
        <w:spacing w:line="276" w:lineRule="auto"/>
        <w:jc w:val="both"/>
        <w:rPr>
          <w:sz w:val="28"/>
          <w:szCs w:val="28"/>
        </w:rPr>
      </w:pPr>
      <w:r w:rsidRPr="00651044">
        <w:rPr>
          <w:sz w:val="28"/>
          <w:szCs w:val="28"/>
        </w:rPr>
        <w:t>Î.S. „</w:t>
      </w:r>
      <w:r w:rsidR="00910692" w:rsidRPr="00651044">
        <w:rPr>
          <w:sz w:val="28"/>
          <w:szCs w:val="28"/>
        </w:rPr>
        <w:t>Combinatul de vinuri de calitate  Mileştii Mici</w:t>
      </w:r>
      <w:r w:rsidR="006823FD" w:rsidRPr="00651044">
        <w:rPr>
          <w:sz w:val="28"/>
          <w:szCs w:val="28"/>
        </w:rPr>
        <w:t>” –</w:t>
      </w:r>
      <w:r w:rsidR="00910692" w:rsidRPr="00651044">
        <w:rPr>
          <w:sz w:val="28"/>
          <w:szCs w:val="28"/>
        </w:rPr>
        <w:t xml:space="preserve"> 4,3</w:t>
      </w:r>
      <w:r w:rsidR="008945B4" w:rsidRPr="00651044">
        <w:rPr>
          <w:sz w:val="28"/>
          <w:szCs w:val="28"/>
        </w:rPr>
        <w:t xml:space="preserve"> mil. lei.</w:t>
      </w:r>
    </w:p>
    <w:p w:rsidR="00F33AF7" w:rsidRPr="00651044" w:rsidRDefault="00F33AF7" w:rsidP="00F33AF7">
      <w:pPr>
        <w:spacing w:line="276" w:lineRule="auto"/>
        <w:ind w:firstLine="540"/>
        <w:jc w:val="both"/>
        <w:rPr>
          <w:sz w:val="28"/>
          <w:szCs w:val="28"/>
        </w:rPr>
      </w:pPr>
      <w:r w:rsidRPr="00651044">
        <w:rPr>
          <w:sz w:val="28"/>
          <w:szCs w:val="28"/>
        </w:rPr>
        <w:t>Rentabilit</w:t>
      </w:r>
      <w:r w:rsidR="00910692" w:rsidRPr="00651044">
        <w:rPr>
          <w:sz w:val="28"/>
          <w:szCs w:val="28"/>
        </w:rPr>
        <w:t>atea v</w:t>
      </w:r>
      <w:r w:rsidR="006E6FE5">
        <w:rPr>
          <w:sz w:val="28"/>
          <w:szCs w:val="28"/>
        </w:rPr>
        <w:t>î</w:t>
      </w:r>
      <w:r w:rsidRPr="00651044">
        <w:rPr>
          <w:sz w:val="28"/>
          <w:szCs w:val="28"/>
        </w:rPr>
        <w:t>nzărilor (profitul</w:t>
      </w:r>
      <w:r w:rsidR="008F1057" w:rsidRPr="00651044">
        <w:rPr>
          <w:sz w:val="28"/>
          <w:szCs w:val="28"/>
        </w:rPr>
        <w:t xml:space="preserve"> net/veniturile</w:t>
      </w:r>
      <w:r w:rsidR="00910692" w:rsidRPr="00651044">
        <w:rPr>
          <w:sz w:val="28"/>
          <w:szCs w:val="28"/>
        </w:rPr>
        <w:t xml:space="preserve"> din v</w:t>
      </w:r>
      <w:r w:rsidR="006E6FE5">
        <w:rPr>
          <w:sz w:val="28"/>
          <w:szCs w:val="28"/>
        </w:rPr>
        <w:t>î</w:t>
      </w:r>
      <w:r w:rsidRPr="00651044">
        <w:rPr>
          <w:sz w:val="28"/>
          <w:szCs w:val="28"/>
        </w:rPr>
        <w:t xml:space="preserve">nzări) </w:t>
      </w:r>
      <w:r w:rsidR="009C7860" w:rsidRPr="00651044">
        <w:rPr>
          <w:sz w:val="28"/>
          <w:szCs w:val="28"/>
        </w:rPr>
        <w:t xml:space="preserve">a </w:t>
      </w:r>
      <w:r w:rsidRPr="00651044">
        <w:rPr>
          <w:sz w:val="28"/>
          <w:szCs w:val="28"/>
        </w:rPr>
        <w:t xml:space="preserve">întreprinderilor de stat care au înregistrat profit net în anul </w:t>
      </w:r>
      <w:r w:rsidR="000D4572" w:rsidRPr="00651044">
        <w:rPr>
          <w:sz w:val="28"/>
          <w:szCs w:val="28"/>
        </w:rPr>
        <w:t>201</w:t>
      </w:r>
      <w:r w:rsidR="00910692" w:rsidRPr="00651044">
        <w:rPr>
          <w:sz w:val="28"/>
          <w:szCs w:val="28"/>
        </w:rPr>
        <w:t>5 constituie 6,2</w:t>
      </w:r>
      <w:r w:rsidRPr="00651044">
        <w:rPr>
          <w:sz w:val="28"/>
          <w:szCs w:val="28"/>
        </w:rPr>
        <w:t>%</w:t>
      </w:r>
      <w:r w:rsidR="00F35CEB" w:rsidRPr="00651044">
        <w:rPr>
          <w:sz w:val="28"/>
          <w:szCs w:val="28"/>
        </w:rPr>
        <w:t>,</w:t>
      </w:r>
      <w:r w:rsidR="00910692" w:rsidRPr="00651044">
        <w:rPr>
          <w:sz w:val="28"/>
          <w:szCs w:val="28"/>
        </w:rPr>
        <w:t xml:space="preserve"> aceasta comunic</w:t>
      </w:r>
      <w:r w:rsidR="006E6FE5">
        <w:rPr>
          <w:sz w:val="28"/>
          <w:szCs w:val="28"/>
        </w:rPr>
        <w:t>î</w:t>
      </w:r>
      <w:r w:rsidRPr="00651044">
        <w:rPr>
          <w:sz w:val="28"/>
          <w:szCs w:val="28"/>
        </w:rPr>
        <w:t>nd despre faptul că în perioada analizată, întrepr</w:t>
      </w:r>
      <w:r w:rsidR="006823FD" w:rsidRPr="00651044">
        <w:rPr>
          <w:sz w:val="28"/>
          <w:szCs w:val="28"/>
        </w:rPr>
        <w:t xml:space="preserve">inderile respective au obţinut </w:t>
      </w:r>
      <w:r w:rsidR="00910692" w:rsidRPr="00651044">
        <w:rPr>
          <w:sz w:val="28"/>
          <w:szCs w:val="28"/>
        </w:rPr>
        <w:t>6,2</w:t>
      </w:r>
      <w:r w:rsidRPr="00651044">
        <w:rPr>
          <w:sz w:val="28"/>
          <w:szCs w:val="28"/>
        </w:rPr>
        <w:t xml:space="preserve"> bani profit </w:t>
      </w:r>
      <w:r w:rsidR="00F35CEB" w:rsidRPr="00651044">
        <w:rPr>
          <w:sz w:val="28"/>
          <w:szCs w:val="28"/>
        </w:rPr>
        <w:t xml:space="preserve">net </w:t>
      </w:r>
      <w:r w:rsidRPr="00651044">
        <w:rPr>
          <w:sz w:val="28"/>
          <w:szCs w:val="28"/>
        </w:rPr>
        <w:t xml:space="preserve">la 1 leu </w:t>
      </w:r>
      <w:r w:rsidR="00165D18" w:rsidRPr="00651044">
        <w:rPr>
          <w:sz w:val="28"/>
          <w:szCs w:val="28"/>
        </w:rPr>
        <w:t xml:space="preserve">venituri din </w:t>
      </w:r>
      <w:r w:rsidR="00910692" w:rsidRPr="00651044">
        <w:rPr>
          <w:sz w:val="28"/>
          <w:szCs w:val="28"/>
        </w:rPr>
        <w:t>v</w:t>
      </w:r>
      <w:r w:rsidR="006E6FE5">
        <w:rPr>
          <w:sz w:val="28"/>
          <w:szCs w:val="28"/>
        </w:rPr>
        <w:t>î</w:t>
      </w:r>
      <w:r w:rsidRPr="00651044">
        <w:rPr>
          <w:sz w:val="28"/>
          <w:szCs w:val="28"/>
        </w:rPr>
        <w:t>nzări.</w:t>
      </w:r>
    </w:p>
    <w:p w:rsidR="00F33AF7" w:rsidRPr="00651044" w:rsidRDefault="00CC6619" w:rsidP="00F33AF7">
      <w:pPr>
        <w:pStyle w:val="BodyTextIndent2"/>
        <w:spacing w:line="276" w:lineRule="auto"/>
        <w:ind w:firstLine="539"/>
        <w:rPr>
          <w:szCs w:val="28"/>
        </w:rPr>
      </w:pPr>
      <w:r w:rsidRPr="00651044">
        <w:rPr>
          <w:szCs w:val="28"/>
        </w:rPr>
        <w:lastRenderedPageBreak/>
        <w:t>Totodată, constatăm că l</w:t>
      </w:r>
      <w:r w:rsidR="001F4E5F" w:rsidRPr="00651044">
        <w:rPr>
          <w:szCs w:val="28"/>
        </w:rPr>
        <w:t>a finele anului 2015</w:t>
      </w:r>
      <w:r w:rsidR="00F33AF7" w:rsidRPr="00651044">
        <w:rPr>
          <w:szCs w:val="28"/>
        </w:rPr>
        <w:t xml:space="preserve"> întreprinderile de stat au înregistrat creanţe în valoare de </w:t>
      </w:r>
      <w:r w:rsidR="00901BBF" w:rsidRPr="00651044">
        <w:rPr>
          <w:szCs w:val="28"/>
        </w:rPr>
        <w:t>3 182,1</w:t>
      </w:r>
      <w:r w:rsidR="00F33AF7" w:rsidRPr="00651044">
        <w:rPr>
          <w:szCs w:val="28"/>
        </w:rPr>
        <w:t xml:space="preserve"> mil. lei, acestea fiind cu </w:t>
      </w:r>
      <w:r w:rsidR="00E44864" w:rsidRPr="00651044">
        <w:rPr>
          <w:szCs w:val="28"/>
        </w:rPr>
        <w:t>59</w:t>
      </w:r>
      <w:r w:rsidR="00901BBF" w:rsidRPr="00651044">
        <w:rPr>
          <w:szCs w:val="28"/>
        </w:rPr>
        <w:t>7</w:t>
      </w:r>
      <w:r w:rsidR="00E44864" w:rsidRPr="00651044">
        <w:rPr>
          <w:szCs w:val="28"/>
        </w:rPr>
        <w:t>,</w:t>
      </w:r>
      <w:r w:rsidR="00901BBF" w:rsidRPr="00651044">
        <w:rPr>
          <w:szCs w:val="28"/>
        </w:rPr>
        <w:t>7</w:t>
      </w:r>
      <w:r w:rsidR="00F33AF7" w:rsidRPr="00651044">
        <w:rPr>
          <w:szCs w:val="28"/>
        </w:rPr>
        <w:t xml:space="preserve"> mil. lei mai mari comparativ cu val</w:t>
      </w:r>
      <w:r w:rsidR="001F4E5F" w:rsidRPr="00651044">
        <w:rPr>
          <w:szCs w:val="28"/>
        </w:rPr>
        <w:t>oarea înregistrată la începutul anului analizat</w:t>
      </w:r>
      <w:r w:rsidR="00F33AF7" w:rsidRPr="00651044">
        <w:rPr>
          <w:szCs w:val="28"/>
        </w:rPr>
        <w:t xml:space="preserve">. </w:t>
      </w:r>
    </w:p>
    <w:p w:rsidR="00F33AF7" w:rsidRPr="00651044" w:rsidRDefault="00763829" w:rsidP="00EC1AEA">
      <w:pPr>
        <w:pStyle w:val="BodyTextIndent2"/>
        <w:ind w:firstLine="0"/>
        <w:jc w:val="center"/>
        <w:rPr>
          <w:szCs w:val="28"/>
        </w:rPr>
      </w:pPr>
      <w:r>
        <w:rPr>
          <w:noProof/>
          <w:szCs w:val="28"/>
          <w:lang w:val="ru-RU"/>
        </w:rPr>
        <w:drawing>
          <wp:inline distT="0" distB="0" distL="0" distR="0">
            <wp:extent cx="5029200" cy="1566545"/>
            <wp:effectExtent l="0" t="0" r="0" b="0"/>
            <wp:docPr id="10"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33AF7" w:rsidRPr="00651044" w:rsidRDefault="007F2EED" w:rsidP="00EC1AEA">
      <w:pPr>
        <w:pStyle w:val="BodyTextIndent2"/>
        <w:ind w:firstLine="0"/>
        <w:jc w:val="center"/>
        <w:rPr>
          <w:b/>
          <w:i/>
          <w:sz w:val="20"/>
        </w:rPr>
      </w:pPr>
      <w:r w:rsidRPr="00651044">
        <w:rPr>
          <w:b/>
          <w:i/>
          <w:sz w:val="20"/>
        </w:rPr>
        <w:t>Figura 2.9</w:t>
      </w:r>
      <w:r w:rsidR="00F33AF7" w:rsidRPr="00651044">
        <w:rPr>
          <w:b/>
          <w:i/>
          <w:sz w:val="20"/>
        </w:rPr>
        <w:t>. Evoluţia creanţelor întreprin</w:t>
      </w:r>
      <w:r w:rsidR="001F4E5F" w:rsidRPr="00651044">
        <w:rPr>
          <w:b/>
          <w:i/>
          <w:sz w:val="20"/>
        </w:rPr>
        <w:t>derilor de stat în perioada anului 2015, mil. lei</w:t>
      </w:r>
    </w:p>
    <w:p w:rsidR="000D4572" w:rsidRPr="00651044" w:rsidRDefault="000D4572" w:rsidP="00EC1AEA">
      <w:pPr>
        <w:pStyle w:val="BodyTextIndent2"/>
        <w:ind w:firstLine="0"/>
        <w:jc w:val="center"/>
        <w:rPr>
          <w:b/>
          <w:i/>
          <w:color w:val="FF0000"/>
          <w:sz w:val="20"/>
        </w:rPr>
      </w:pPr>
    </w:p>
    <w:p w:rsidR="00F33AF7" w:rsidRPr="00651044" w:rsidRDefault="00F33AF7" w:rsidP="00F33AF7">
      <w:pPr>
        <w:pStyle w:val="BodyTextIndent2"/>
        <w:spacing w:line="276" w:lineRule="auto"/>
        <w:ind w:firstLine="539"/>
        <w:rPr>
          <w:szCs w:val="28"/>
        </w:rPr>
      </w:pPr>
      <w:r w:rsidRPr="00651044">
        <w:rPr>
          <w:szCs w:val="28"/>
        </w:rPr>
        <w:t xml:space="preserve">Majoritatea creanţelor întreprinderilor </w:t>
      </w:r>
      <w:r w:rsidR="00F35CEB" w:rsidRPr="00651044">
        <w:rPr>
          <w:szCs w:val="28"/>
        </w:rPr>
        <w:t>este constituită din creanţe</w:t>
      </w:r>
      <w:r w:rsidRPr="00651044">
        <w:rPr>
          <w:szCs w:val="28"/>
        </w:rPr>
        <w:t xml:space="preserve"> </w:t>
      </w:r>
      <w:r w:rsidR="000D4572" w:rsidRPr="00651044">
        <w:rPr>
          <w:szCs w:val="28"/>
        </w:rPr>
        <w:t>curente</w:t>
      </w:r>
      <w:r w:rsidR="00F35CEB" w:rsidRPr="00651044">
        <w:rPr>
          <w:szCs w:val="28"/>
        </w:rPr>
        <w:t>,</w:t>
      </w:r>
      <w:r w:rsidR="001F4E5F" w:rsidRPr="00651044">
        <w:rPr>
          <w:szCs w:val="28"/>
        </w:rPr>
        <w:t xml:space="preserve"> acestea reprezent</w:t>
      </w:r>
      <w:r w:rsidR="006E6FE5">
        <w:rPr>
          <w:szCs w:val="28"/>
        </w:rPr>
        <w:t>î</w:t>
      </w:r>
      <w:r w:rsidRPr="00651044">
        <w:rPr>
          <w:szCs w:val="28"/>
        </w:rPr>
        <w:t xml:space="preserve">nd  </w:t>
      </w:r>
      <w:r w:rsidR="00E44864" w:rsidRPr="00651044">
        <w:rPr>
          <w:szCs w:val="28"/>
        </w:rPr>
        <w:t>1927,</w:t>
      </w:r>
      <w:r w:rsidR="00B43EAA" w:rsidRPr="00651044">
        <w:rPr>
          <w:szCs w:val="28"/>
        </w:rPr>
        <w:t>3</w:t>
      </w:r>
      <w:r w:rsidR="00E44864" w:rsidRPr="00651044">
        <w:rPr>
          <w:szCs w:val="28"/>
        </w:rPr>
        <w:t xml:space="preserve"> </w:t>
      </w:r>
      <w:r w:rsidRPr="00651044">
        <w:rPr>
          <w:szCs w:val="28"/>
        </w:rPr>
        <w:t>mil. lei (</w:t>
      </w:r>
      <w:r w:rsidR="00F35CEB" w:rsidRPr="00651044">
        <w:rPr>
          <w:szCs w:val="28"/>
        </w:rPr>
        <w:t xml:space="preserve">sau </w:t>
      </w:r>
      <w:r w:rsidR="001F4E5F" w:rsidRPr="00651044">
        <w:rPr>
          <w:szCs w:val="28"/>
        </w:rPr>
        <w:t>60,6</w:t>
      </w:r>
      <w:r w:rsidRPr="00651044">
        <w:rPr>
          <w:szCs w:val="28"/>
        </w:rPr>
        <w:t xml:space="preserve">%). </w:t>
      </w:r>
      <w:r w:rsidR="0073353C" w:rsidRPr="00651044">
        <w:rPr>
          <w:szCs w:val="28"/>
        </w:rPr>
        <w:t>C</w:t>
      </w:r>
      <w:r w:rsidRPr="00651044">
        <w:rPr>
          <w:szCs w:val="28"/>
        </w:rPr>
        <w:t xml:space="preserve">reanţele pe termen lung au înregistrat </w:t>
      </w:r>
      <w:r w:rsidR="001F4E5F" w:rsidRPr="00651044">
        <w:rPr>
          <w:szCs w:val="28"/>
        </w:rPr>
        <w:t>1 254,8</w:t>
      </w:r>
      <w:r w:rsidRPr="00651044">
        <w:rPr>
          <w:szCs w:val="28"/>
        </w:rPr>
        <w:t xml:space="preserve"> mil. lei (</w:t>
      </w:r>
      <w:r w:rsidR="00F35CEB" w:rsidRPr="00651044">
        <w:rPr>
          <w:szCs w:val="28"/>
        </w:rPr>
        <w:t xml:space="preserve">sau </w:t>
      </w:r>
      <w:r w:rsidR="001F4E5F" w:rsidRPr="00651044">
        <w:rPr>
          <w:szCs w:val="28"/>
        </w:rPr>
        <w:t>39,4</w:t>
      </w:r>
      <w:r w:rsidRPr="00651044">
        <w:rPr>
          <w:szCs w:val="28"/>
        </w:rPr>
        <w:t>%).</w:t>
      </w:r>
    </w:p>
    <w:p w:rsidR="00DA37BB" w:rsidRPr="00651044" w:rsidRDefault="00F33AF7" w:rsidP="00F33AF7">
      <w:pPr>
        <w:pStyle w:val="BodyTextIndent2"/>
        <w:spacing w:line="276" w:lineRule="auto"/>
        <w:ind w:firstLine="539"/>
        <w:rPr>
          <w:color w:val="FF0000"/>
          <w:szCs w:val="28"/>
        </w:rPr>
      </w:pPr>
      <w:r w:rsidRPr="00651044">
        <w:rPr>
          <w:szCs w:val="28"/>
        </w:rPr>
        <w:t>După</w:t>
      </w:r>
      <w:r w:rsidR="009C7860" w:rsidRPr="00651044">
        <w:rPr>
          <w:szCs w:val="28"/>
        </w:rPr>
        <w:t xml:space="preserve"> cum se observă din figura 2.9</w:t>
      </w:r>
      <w:r w:rsidRPr="00651044">
        <w:rPr>
          <w:szCs w:val="28"/>
        </w:rPr>
        <w:t xml:space="preserve">, majorarea creanţelor întreprinderilor a fost generată </w:t>
      </w:r>
      <w:r w:rsidR="000D4572" w:rsidRPr="00651044">
        <w:rPr>
          <w:szCs w:val="28"/>
        </w:rPr>
        <w:t>at</w:t>
      </w:r>
      <w:r w:rsidR="006E6FE5">
        <w:rPr>
          <w:szCs w:val="28"/>
        </w:rPr>
        <w:t>î</w:t>
      </w:r>
      <w:r w:rsidR="000D4572" w:rsidRPr="00651044">
        <w:rPr>
          <w:szCs w:val="28"/>
        </w:rPr>
        <w:t xml:space="preserve">t de </w:t>
      </w:r>
      <w:r w:rsidR="001F4E5F" w:rsidRPr="00651044">
        <w:rPr>
          <w:szCs w:val="28"/>
        </w:rPr>
        <w:t>creşterea creanţelor curente, c</w:t>
      </w:r>
      <w:r w:rsidR="006E6FE5">
        <w:rPr>
          <w:szCs w:val="28"/>
        </w:rPr>
        <w:t>î</w:t>
      </w:r>
      <w:r w:rsidR="000D4572" w:rsidRPr="00651044">
        <w:rPr>
          <w:szCs w:val="28"/>
        </w:rPr>
        <w:t>t şi a celor pe termen lung. Astfel, creanţe</w:t>
      </w:r>
      <w:r w:rsidR="001F4E5F" w:rsidRPr="00651044">
        <w:rPr>
          <w:szCs w:val="28"/>
        </w:rPr>
        <w:t>le curente s-au majorat cu 334,</w:t>
      </w:r>
      <w:r w:rsidR="00B43EAA" w:rsidRPr="00651044">
        <w:rPr>
          <w:szCs w:val="28"/>
        </w:rPr>
        <w:t>6</w:t>
      </w:r>
      <w:r w:rsidR="000D4572" w:rsidRPr="00651044">
        <w:rPr>
          <w:szCs w:val="28"/>
        </w:rPr>
        <w:t xml:space="preserve"> mil. lei faţă de </w:t>
      </w:r>
      <w:r w:rsidR="001F4E5F" w:rsidRPr="00651044">
        <w:rPr>
          <w:szCs w:val="28"/>
        </w:rPr>
        <w:t xml:space="preserve">începutul anului 2015, fapt condiţionat în special de creşterea creanţelor comerciale, </w:t>
      </w:r>
      <w:r w:rsidR="00E44864" w:rsidRPr="00651044">
        <w:rPr>
          <w:szCs w:val="28"/>
        </w:rPr>
        <w:t xml:space="preserve">a </w:t>
      </w:r>
      <w:r w:rsidR="001F4E5F" w:rsidRPr="00651044">
        <w:rPr>
          <w:szCs w:val="28"/>
        </w:rPr>
        <w:t>avansurilor acordate curente,</w:t>
      </w:r>
      <w:r w:rsidR="00E44864" w:rsidRPr="00651044">
        <w:rPr>
          <w:szCs w:val="28"/>
        </w:rPr>
        <w:t xml:space="preserve"> a</w:t>
      </w:r>
      <w:r w:rsidR="001F4E5F" w:rsidRPr="00651044">
        <w:rPr>
          <w:szCs w:val="28"/>
        </w:rPr>
        <w:t xml:space="preserve"> creanţelor părţilor afiliate şi altor creanţe curente</w:t>
      </w:r>
      <w:r w:rsidR="000D4572" w:rsidRPr="00651044">
        <w:rPr>
          <w:szCs w:val="28"/>
        </w:rPr>
        <w:t xml:space="preserve">, iar creanţele pe termen lung </w:t>
      </w:r>
      <w:r w:rsidR="00DA37BB" w:rsidRPr="00651044">
        <w:rPr>
          <w:szCs w:val="28"/>
        </w:rPr>
        <w:t>–</w:t>
      </w:r>
      <w:r w:rsidR="000D4572" w:rsidRPr="00651044">
        <w:rPr>
          <w:szCs w:val="28"/>
        </w:rPr>
        <w:t xml:space="preserve"> </w:t>
      </w:r>
      <w:r w:rsidR="0073353C" w:rsidRPr="00651044">
        <w:rPr>
          <w:szCs w:val="28"/>
        </w:rPr>
        <w:t xml:space="preserve">cu </w:t>
      </w:r>
      <w:r w:rsidR="001F4E5F" w:rsidRPr="00651044">
        <w:rPr>
          <w:szCs w:val="28"/>
        </w:rPr>
        <w:t>263,1</w:t>
      </w:r>
      <w:r w:rsidR="00DA37BB" w:rsidRPr="00651044">
        <w:rPr>
          <w:szCs w:val="28"/>
        </w:rPr>
        <w:t xml:space="preserve"> mil. lei</w:t>
      </w:r>
      <w:r w:rsidR="001F4E5F" w:rsidRPr="00651044">
        <w:rPr>
          <w:szCs w:val="28"/>
        </w:rPr>
        <w:t>, fapt ce se explică în mare parte prin majorarea considerabilă a avansurilor acordate pe termen lung</w:t>
      </w:r>
      <w:r w:rsidR="00DA37BB" w:rsidRPr="00651044">
        <w:rPr>
          <w:szCs w:val="28"/>
        </w:rPr>
        <w:t>.</w:t>
      </w:r>
      <w:r w:rsidR="00DA37BB" w:rsidRPr="00651044">
        <w:rPr>
          <w:color w:val="FF0000"/>
          <w:szCs w:val="28"/>
        </w:rPr>
        <w:t xml:space="preserve"> </w:t>
      </w:r>
    </w:p>
    <w:p w:rsidR="00F33AF7" w:rsidRPr="00651044" w:rsidRDefault="00F33AF7" w:rsidP="00F33AF7">
      <w:pPr>
        <w:pStyle w:val="NoSpacing"/>
        <w:spacing w:line="276" w:lineRule="auto"/>
        <w:ind w:firstLine="567"/>
        <w:jc w:val="both"/>
        <w:rPr>
          <w:sz w:val="28"/>
          <w:szCs w:val="28"/>
        </w:rPr>
      </w:pPr>
      <w:r w:rsidRPr="00651044">
        <w:rPr>
          <w:sz w:val="28"/>
          <w:szCs w:val="28"/>
        </w:rPr>
        <w:t>În partea ce ţine de datoriile întreprinderilor de stat, se menţione</w:t>
      </w:r>
      <w:r w:rsidR="0062449A" w:rsidRPr="00651044">
        <w:rPr>
          <w:sz w:val="28"/>
          <w:szCs w:val="28"/>
        </w:rPr>
        <w:t>ază că la situaţia din 31.12.2015</w:t>
      </w:r>
      <w:r w:rsidRPr="00651044">
        <w:rPr>
          <w:sz w:val="28"/>
          <w:szCs w:val="28"/>
        </w:rPr>
        <w:t xml:space="preserve">, valoarea acestora s-a majorat cu </w:t>
      </w:r>
      <w:r w:rsidR="0062449A" w:rsidRPr="00651044">
        <w:rPr>
          <w:sz w:val="28"/>
          <w:szCs w:val="28"/>
        </w:rPr>
        <w:t>1 </w:t>
      </w:r>
      <w:r w:rsidR="00316756" w:rsidRPr="00651044">
        <w:rPr>
          <w:sz w:val="28"/>
          <w:szCs w:val="28"/>
        </w:rPr>
        <w:t>543,5</w:t>
      </w:r>
      <w:r w:rsidR="00EE086D" w:rsidRPr="00651044">
        <w:rPr>
          <w:sz w:val="28"/>
          <w:szCs w:val="28"/>
        </w:rPr>
        <w:t xml:space="preserve"> mil. lei</w:t>
      </w:r>
      <w:r w:rsidRPr="00651044">
        <w:rPr>
          <w:sz w:val="28"/>
          <w:szCs w:val="28"/>
        </w:rPr>
        <w:t xml:space="preserve">. Astfel, datoriile întreprinderilor </w:t>
      </w:r>
      <w:r w:rsidR="00F35CEB" w:rsidRPr="00651044">
        <w:rPr>
          <w:sz w:val="28"/>
          <w:szCs w:val="28"/>
        </w:rPr>
        <w:t xml:space="preserve">de stat, în sumă totală de </w:t>
      </w:r>
      <w:r w:rsidR="00B1700F" w:rsidRPr="00651044">
        <w:rPr>
          <w:sz w:val="28"/>
          <w:szCs w:val="28"/>
        </w:rPr>
        <w:t>7 841</w:t>
      </w:r>
      <w:r w:rsidR="0062449A" w:rsidRPr="00651044">
        <w:rPr>
          <w:sz w:val="28"/>
          <w:szCs w:val="28"/>
        </w:rPr>
        <w:t>,</w:t>
      </w:r>
      <w:r w:rsidR="00B1700F" w:rsidRPr="00651044">
        <w:rPr>
          <w:sz w:val="28"/>
          <w:szCs w:val="28"/>
        </w:rPr>
        <w:t>1</w:t>
      </w:r>
      <w:r w:rsidR="00F35CEB" w:rsidRPr="00651044">
        <w:rPr>
          <w:sz w:val="28"/>
          <w:szCs w:val="28"/>
        </w:rPr>
        <w:t xml:space="preserve"> mil. lei</w:t>
      </w:r>
      <w:r w:rsidR="0062449A" w:rsidRPr="00651044">
        <w:rPr>
          <w:sz w:val="28"/>
          <w:szCs w:val="28"/>
        </w:rPr>
        <w:t xml:space="preserve"> la finele anului 2015</w:t>
      </w:r>
      <w:r w:rsidR="00F35CEB" w:rsidRPr="00651044">
        <w:rPr>
          <w:sz w:val="28"/>
          <w:szCs w:val="28"/>
        </w:rPr>
        <w:t xml:space="preserve">, </w:t>
      </w:r>
      <w:r w:rsidRPr="00651044">
        <w:rPr>
          <w:sz w:val="28"/>
          <w:szCs w:val="28"/>
        </w:rPr>
        <w:t xml:space="preserve">au fost constituite din datorii pe termen lung – </w:t>
      </w:r>
      <w:r w:rsidR="0062449A" w:rsidRPr="00651044">
        <w:rPr>
          <w:sz w:val="28"/>
          <w:szCs w:val="28"/>
        </w:rPr>
        <w:t>52,7</w:t>
      </w:r>
      <w:r w:rsidRPr="00651044">
        <w:rPr>
          <w:sz w:val="28"/>
          <w:szCs w:val="28"/>
        </w:rPr>
        <w:t xml:space="preserve">% sau </w:t>
      </w:r>
      <w:r w:rsidR="0062449A" w:rsidRPr="00651044">
        <w:rPr>
          <w:sz w:val="28"/>
          <w:szCs w:val="28"/>
        </w:rPr>
        <w:t>4 130,0</w:t>
      </w:r>
      <w:r w:rsidRPr="00651044">
        <w:rPr>
          <w:sz w:val="28"/>
          <w:szCs w:val="28"/>
        </w:rPr>
        <w:t xml:space="preserve"> mil. lei şi datorii </w:t>
      </w:r>
      <w:r w:rsidR="0062449A" w:rsidRPr="00651044">
        <w:rPr>
          <w:sz w:val="28"/>
          <w:szCs w:val="28"/>
        </w:rPr>
        <w:t>curente – 47,3</w:t>
      </w:r>
      <w:r w:rsidRPr="00651044">
        <w:rPr>
          <w:sz w:val="28"/>
          <w:szCs w:val="28"/>
        </w:rPr>
        <w:t xml:space="preserve">% sau </w:t>
      </w:r>
      <w:r w:rsidR="00B1700F" w:rsidRPr="00651044">
        <w:rPr>
          <w:sz w:val="28"/>
          <w:szCs w:val="28"/>
        </w:rPr>
        <w:t>3 711</w:t>
      </w:r>
      <w:r w:rsidR="0062449A" w:rsidRPr="00651044">
        <w:rPr>
          <w:sz w:val="28"/>
          <w:szCs w:val="28"/>
        </w:rPr>
        <w:t>,</w:t>
      </w:r>
      <w:r w:rsidR="00B1700F" w:rsidRPr="00651044">
        <w:rPr>
          <w:sz w:val="28"/>
          <w:szCs w:val="28"/>
        </w:rPr>
        <w:t>1</w:t>
      </w:r>
      <w:r w:rsidRPr="00651044">
        <w:rPr>
          <w:sz w:val="28"/>
          <w:szCs w:val="28"/>
        </w:rPr>
        <w:t xml:space="preserve"> mil. lei.</w:t>
      </w:r>
    </w:p>
    <w:p w:rsidR="00F33AF7" w:rsidRPr="00651044" w:rsidRDefault="00763829" w:rsidP="003E3369">
      <w:pPr>
        <w:jc w:val="center"/>
        <w:rPr>
          <w:color w:val="FF0000"/>
        </w:rPr>
      </w:pPr>
      <w:r>
        <w:rPr>
          <w:noProof/>
          <w:color w:val="FF0000"/>
          <w:lang w:val="ru-RU"/>
        </w:rPr>
        <w:drawing>
          <wp:inline distT="0" distB="0" distL="0" distR="0">
            <wp:extent cx="4919345" cy="1701800"/>
            <wp:effectExtent l="0" t="0" r="0" b="0"/>
            <wp:docPr id="11" name="Objec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E3369" w:rsidRPr="00651044" w:rsidRDefault="007F2EED" w:rsidP="003E3369">
      <w:pPr>
        <w:pStyle w:val="NoSpacing"/>
        <w:spacing w:line="276" w:lineRule="auto"/>
        <w:ind w:firstLine="567"/>
        <w:jc w:val="center"/>
        <w:rPr>
          <w:sz w:val="28"/>
          <w:szCs w:val="28"/>
        </w:rPr>
      </w:pPr>
      <w:r w:rsidRPr="00651044">
        <w:rPr>
          <w:b/>
          <w:i/>
          <w:sz w:val="20"/>
        </w:rPr>
        <w:t>Figura 2.10</w:t>
      </w:r>
      <w:r w:rsidR="00F33AF7" w:rsidRPr="00651044">
        <w:rPr>
          <w:b/>
          <w:i/>
          <w:sz w:val="20"/>
        </w:rPr>
        <w:t>. Evoluţia datoriilor întreprinderi</w:t>
      </w:r>
      <w:r w:rsidR="00DA37BB" w:rsidRPr="00651044">
        <w:rPr>
          <w:b/>
          <w:i/>
          <w:sz w:val="20"/>
        </w:rPr>
        <w:t xml:space="preserve">lor de stat </w:t>
      </w:r>
      <w:r w:rsidR="00E44864" w:rsidRPr="00651044">
        <w:rPr>
          <w:b/>
          <w:i/>
          <w:sz w:val="20"/>
        </w:rPr>
        <w:t>în</w:t>
      </w:r>
      <w:r w:rsidR="00DA37BB" w:rsidRPr="00651044">
        <w:rPr>
          <w:b/>
          <w:i/>
          <w:sz w:val="20"/>
        </w:rPr>
        <w:t xml:space="preserve"> perioada </w:t>
      </w:r>
      <w:r w:rsidR="00E44864" w:rsidRPr="00651044">
        <w:rPr>
          <w:b/>
          <w:i/>
          <w:sz w:val="20"/>
        </w:rPr>
        <w:t>anului 2015</w:t>
      </w:r>
      <w:r w:rsidR="00F33AF7" w:rsidRPr="00651044">
        <w:rPr>
          <w:b/>
          <w:i/>
          <w:sz w:val="20"/>
        </w:rPr>
        <w:t>, mil. lei</w:t>
      </w:r>
    </w:p>
    <w:p w:rsidR="003E3369" w:rsidRPr="00651044" w:rsidRDefault="003E3369" w:rsidP="003E3369">
      <w:pPr>
        <w:pStyle w:val="NoSpacing"/>
        <w:spacing w:line="276" w:lineRule="auto"/>
        <w:ind w:firstLine="567"/>
        <w:jc w:val="both"/>
        <w:rPr>
          <w:color w:val="FF0000"/>
          <w:sz w:val="20"/>
          <w:szCs w:val="20"/>
        </w:rPr>
      </w:pPr>
    </w:p>
    <w:p w:rsidR="00F33AF7" w:rsidRPr="00651044" w:rsidRDefault="003E3369" w:rsidP="003E3369">
      <w:pPr>
        <w:pStyle w:val="NoSpacing"/>
        <w:spacing w:line="276" w:lineRule="auto"/>
        <w:ind w:firstLine="567"/>
        <w:jc w:val="both"/>
        <w:rPr>
          <w:sz w:val="28"/>
          <w:szCs w:val="28"/>
        </w:rPr>
      </w:pPr>
      <w:r w:rsidRPr="00651044">
        <w:rPr>
          <w:sz w:val="28"/>
          <w:szCs w:val="28"/>
        </w:rPr>
        <w:t>În anul 2015, at</w:t>
      </w:r>
      <w:r w:rsidR="006E6FE5">
        <w:rPr>
          <w:sz w:val="28"/>
          <w:szCs w:val="28"/>
        </w:rPr>
        <w:t>î</w:t>
      </w:r>
      <w:r w:rsidRPr="00651044">
        <w:rPr>
          <w:sz w:val="28"/>
          <w:szCs w:val="28"/>
        </w:rPr>
        <w:t>t datoriile pe termen lung, c</w:t>
      </w:r>
      <w:r w:rsidR="006E6FE5">
        <w:rPr>
          <w:sz w:val="28"/>
          <w:szCs w:val="28"/>
        </w:rPr>
        <w:t>î</w:t>
      </w:r>
      <w:r w:rsidRPr="00651044">
        <w:rPr>
          <w:sz w:val="28"/>
          <w:szCs w:val="28"/>
        </w:rPr>
        <w:t xml:space="preserve">t şi cele curente au înregistrat o majorare valorică în raport cu începutul anului 2015. Prin urmare, majorarea cu </w:t>
      </w:r>
      <w:r w:rsidR="008465A8" w:rsidRPr="00651044">
        <w:rPr>
          <w:sz w:val="28"/>
          <w:szCs w:val="28"/>
        </w:rPr>
        <w:t xml:space="preserve">    </w:t>
      </w:r>
      <w:r w:rsidRPr="00651044">
        <w:rPr>
          <w:sz w:val="28"/>
          <w:szCs w:val="28"/>
        </w:rPr>
        <w:t>788,</w:t>
      </w:r>
      <w:r w:rsidR="00E44864" w:rsidRPr="00651044">
        <w:rPr>
          <w:sz w:val="28"/>
          <w:szCs w:val="28"/>
        </w:rPr>
        <w:t>4</w:t>
      </w:r>
      <w:r w:rsidRPr="00651044">
        <w:rPr>
          <w:sz w:val="28"/>
          <w:szCs w:val="28"/>
        </w:rPr>
        <w:t xml:space="preserve"> mil. lei a datoriilor pe termen lung a fost condiţionată, în mare parte de creşterea valorică a altor datoriilor pe termen lung care de altfel deţin ponderea majoritară în totalul datoriilor pe termen lung – 80,7% sau </w:t>
      </w:r>
      <w:r w:rsidR="00E44864" w:rsidRPr="00651044">
        <w:rPr>
          <w:sz w:val="28"/>
          <w:szCs w:val="28"/>
        </w:rPr>
        <w:t>3332,3</w:t>
      </w:r>
      <w:r w:rsidRPr="00651044">
        <w:rPr>
          <w:sz w:val="28"/>
          <w:szCs w:val="28"/>
        </w:rPr>
        <w:t xml:space="preserve"> mil. lei.</w:t>
      </w:r>
    </w:p>
    <w:p w:rsidR="00F33AF7" w:rsidRPr="00651044" w:rsidRDefault="00F33AF7" w:rsidP="00F33AF7">
      <w:pPr>
        <w:pStyle w:val="NoSpacing"/>
        <w:spacing w:line="276" w:lineRule="auto"/>
        <w:ind w:firstLine="567"/>
        <w:jc w:val="both"/>
        <w:rPr>
          <w:sz w:val="28"/>
          <w:szCs w:val="28"/>
        </w:rPr>
      </w:pPr>
      <w:r w:rsidRPr="00651044">
        <w:rPr>
          <w:sz w:val="28"/>
          <w:szCs w:val="28"/>
        </w:rPr>
        <w:lastRenderedPageBreak/>
        <w:t xml:space="preserve">Majorarea cu </w:t>
      </w:r>
      <w:r w:rsidR="008C70B4" w:rsidRPr="00651044">
        <w:rPr>
          <w:sz w:val="28"/>
          <w:szCs w:val="28"/>
        </w:rPr>
        <w:t>755,1</w:t>
      </w:r>
      <w:r w:rsidRPr="00651044">
        <w:rPr>
          <w:sz w:val="28"/>
          <w:szCs w:val="28"/>
        </w:rPr>
        <w:t xml:space="preserve"> mil. lei a datoriilor </w:t>
      </w:r>
      <w:r w:rsidR="00DA37BB" w:rsidRPr="00651044">
        <w:rPr>
          <w:sz w:val="28"/>
          <w:szCs w:val="28"/>
        </w:rPr>
        <w:t>curente</w:t>
      </w:r>
      <w:r w:rsidRPr="00651044">
        <w:rPr>
          <w:sz w:val="28"/>
          <w:szCs w:val="28"/>
        </w:rPr>
        <w:t xml:space="preserve"> a întreprinderilor de stat a fost generată de creşterea valorică a </w:t>
      </w:r>
      <w:r w:rsidR="003E3369" w:rsidRPr="00651044">
        <w:rPr>
          <w:sz w:val="28"/>
          <w:szCs w:val="28"/>
        </w:rPr>
        <w:t>creditelor bancare pe termen scurt</w:t>
      </w:r>
      <w:r w:rsidRPr="00651044">
        <w:rPr>
          <w:sz w:val="28"/>
          <w:szCs w:val="28"/>
        </w:rPr>
        <w:t xml:space="preserve"> cu </w:t>
      </w:r>
      <w:r w:rsidR="003E3369" w:rsidRPr="00651044">
        <w:rPr>
          <w:sz w:val="28"/>
          <w:szCs w:val="28"/>
        </w:rPr>
        <w:t>119,5</w:t>
      </w:r>
      <w:r w:rsidRPr="00651044">
        <w:rPr>
          <w:sz w:val="28"/>
          <w:szCs w:val="28"/>
        </w:rPr>
        <w:t xml:space="preserve"> mil. lei, a </w:t>
      </w:r>
      <w:r w:rsidR="003E3369" w:rsidRPr="00651044">
        <w:rPr>
          <w:sz w:val="28"/>
          <w:szCs w:val="28"/>
        </w:rPr>
        <w:t xml:space="preserve">împrumuturilor pe termen scurt – cu 36,4 mil. lei, a </w:t>
      </w:r>
      <w:r w:rsidRPr="00651044">
        <w:rPr>
          <w:sz w:val="28"/>
          <w:szCs w:val="28"/>
        </w:rPr>
        <w:t>datoriilor comerciale</w:t>
      </w:r>
      <w:r w:rsidR="00D237A0" w:rsidRPr="00651044">
        <w:rPr>
          <w:sz w:val="28"/>
          <w:szCs w:val="28"/>
        </w:rPr>
        <w:t xml:space="preserve"> </w:t>
      </w:r>
      <w:r w:rsidRPr="00651044">
        <w:rPr>
          <w:sz w:val="28"/>
          <w:szCs w:val="28"/>
        </w:rPr>
        <w:t>– cu</w:t>
      </w:r>
      <w:r w:rsidR="00EE086D" w:rsidRPr="00651044">
        <w:rPr>
          <w:sz w:val="28"/>
          <w:szCs w:val="28"/>
        </w:rPr>
        <w:t xml:space="preserve">       </w:t>
      </w:r>
      <w:r w:rsidRPr="00651044">
        <w:rPr>
          <w:sz w:val="28"/>
          <w:szCs w:val="28"/>
        </w:rPr>
        <w:t xml:space="preserve"> </w:t>
      </w:r>
      <w:r w:rsidR="008C70B4" w:rsidRPr="00651044">
        <w:rPr>
          <w:sz w:val="28"/>
          <w:szCs w:val="28"/>
        </w:rPr>
        <w:t>566,1</w:t>
      </w:r>
      <w:r w:rsidR="003E3369" w:rsidRPr="00651044">
        <w:rPr>
          <w:sz w:val="28"/>
          <w:szCs w:val="28"/>
        </w:rPr>
        <w:t xml:space="preserve"> mil. lei, a avansurilor primite curente – cu 81,7 mil. lei</w:t>
      </w:r>
      <w:r w:rsidRPr="00651044">
        <w:rPr>
          <w:sz w:val="28"/>
          <w:szCs w:val="28"/>
        </w:rPr>
        <w:t xml:space="preserve"> şi a datoriilor </w:t>
      </w:r>
      <w:r w:rsidR="003E3369" w:rsidRPr="00651044">
        <w:rPr>
          <w:sz w:val="28"/>
          <w:szCs w:val="28"/>
        </w:rPr>
        <w:t>faţă de personal – cu 73,</w:t>
      </w:r>
      <w:r w:rsidR="008C70B4" w:rsidRPr="00651044">
        <w:rPr>
          <w:sz w:val="28"/>
          <w:szCs w:val="28"/>
        </w:rPr>
        <w:t>2</w:t>
      </w:r>
      <w:r w:rsidR="003E3369" w:rsidRPr="00651044">
        <w:rPr>
          <w:sz w:val="28"/>
          <w:szCs w:val="28"/>
        </w:rPr>
        <w:t xml:space="preserve"> mil.</w:t>
      </w:r>
      <w:r w:rsidR="00E44864" w:rsidRPr="00651044">
        <w:rPr>
          <w:sz w:val="28"/>
          <w:szCs w:val="28"/>
        </w:rPr>
        <w:t xml:space="preserve"> </w:t>
      </w:r>
      <w:r w:rsidR="003E3369" w:rsidRPr="00651044">
        <w:rPr>
          <w:sz w:val="28"/>
          <w:szCs w:val="28"/>
        </w:rPr>
        <w:t>lei. Totodată, ponderile majoritare</w:t>
      </w:r>
      <w:r w:rsidRPr="00651044">
        <w:rPr>
          <w:sz w:val="28"/>
          <w:szCs w:val="28"/>
        </w:rPr>
        <w:t xml:space="preserve"> în totalul datoriilor </w:t>
      </w:r>
      <w:r w:rsidR="00E44864" w:rsidRPr="00651044">
        <w:rPr>
          <w:sz w:val="28"/>
          <w:szCs w:val="28"/>
        </w:rPr>
        <w:t>curente revin</w:t>
      </w:r>
      <w:r w:rsidRPr="00651044">
        <w:rPr>
          <w:sz w:val="28"/>
          <w:szCs w:val="28"/>
        </w:rPr>
        <w:t xml:space="preserve"> datoriilor comerciale</w:t>
      </w:r>
      <w:r w:rsidR="0073353C" w:rsidRPr="00651044">
        <w:rPr>
          <w:sz w:val="28"/>
          <w:szCs w:val="28"/>
        </w:rPr>
        <w:t xml:space="preserve"> </w:t>
      </w:r>
      <w:r w:rsidRPr="00651044">
        <w:rPr>
          <w:sz w:val="28"/>
          <w:szCs w:val="28"/>
        </w:rPr>
        <w:t xml:space="preserve">– </w:t>
      </w:r>
      <w:r w:rsidR="003E3369" w:rsidRPr="00651044">
        <w:rPr>
          <w:sz w:val="28"/>
          <w:szCs w:val="28"/>
        </w:rPr>
        <w:t>52,5</w:t>
      </w:r>
      <w:r w:rsidRPr="00651044">
        <w:rPr>
          <w:sz w:val="28"/>
          <w:szCs w:val="28"/>
        </w:rPr>
        <w:t xml:space="preserve">% sau </w:t>
      </w:r>
      <w:r w:rsidR="003E3369" w:rsidRPr="00651044">
        <w:rPr>
          <w:sz w:val="28"/>
          <w:szCs w:val="28"/>
        </w:rPr>
        <w:t>1 947,</w:t>
      </w:r>
      <w:r w:rsidR="008C70B4" w:rsidRPr="00651044">
        <w:rPr>
          <w:sz w:val="28"/>
          <w:szCs w:val="28"/>
        </w:rPr>
        <w:t>7</w:t>
      </w:r>
      <w:r w:rsidR="003E3369" w:rsidRPr="00651044">
        <w:rPr>
          <w:sz w:val="28"/>
          <w:szCs w:val="28"/>
        </w:rPr>
        <w:t xml:space="preserve"> mil. lei şi avansurilor primite curente – 14,9% sau 552,7 mil. lei.</w:t>
      </w:r>
    </w:p>
    <w:p w:rsidR="0073353C" w:rsidRPr="00651044" w:rsidRDefault="008C0676" w:rsidP="003E3369">
      <w:pPr>
        <w:pStyle w:val="NoSpacing"/>
        <w:spacing w:line="276" w:lineRule="auto"/>
        <w:ind w:firstLine="567"/>
        <w:jc w:val="both"/>
        <w:rPr>
          <w:sz w:val="28"/>
          <w:szCs w:val="28"/>
        </w:rPr>
      </w:pPr>
      <w:r w:rsidRPr="00651044">
        <w:rPr>
          <w:sz w:val="28"/>
          <w:szCs w:val="28"/>
        </w:rPr>
        <w:t>Suplimentar, se enunţă că</w:t>
      </w:r>
      <w:r w:rsidR="00F33AF7" w:rsidRPr="00651044">
        <w:rPr>
          <w:sz w:val="28"/>
          <w:szCs w:val="28"/>
        </w:rPr>
        <w:t xml:space="preserve"> </w:t>
      </w:r>
      <w:r w:rsidR="00F33AF7" w:rsidRPr="00651044">
        <w:rPr>
          <w:i/>
          <w:sz w:val="28"/>
          <w:szCs w:val="28"/>
        </w:rPr>
        <w:t>cele mai mari majorări a datoriilor</w:t>
      </w:r>
      <w:r w:rsidR="00F33AF7" w:rsidRPr="00651044">
        <w:rPr>
          <w:sz w:val="28"/>
          <w:szCs w:val="28"/>
        </w:rPr>
        <w:t xml:space="preserve"> se evid</w:t>
      </w:r>
      <w:r w:rsidR="005B0750" w:rsidRPr="00651044">
        <w:rPr>
          <w:sz w:val="28"/>
          <w:szCs w:val="28"/>
        </w:rPr>
        <w:t xml:space="preserve">enţiază la întreprinderile din administrarea </w:t>
      </w:r>
      <w:r w:rsidR="00F33AF7" w:rsidRPr="00651044">
        <w:rPr>
          <w:sz w:val="28"/>
          <w:szCs w:val="28"/>
        </w:rPr>
        <w:t xml:space="preserve">Ministerului Transporturilor şi Infrastructurii Drumurilor – cu </w:t>
      </w:r>
      <w:r w:rsidR="005B0750" w:rsidRPr="00651044">
        <w:rPr>
          <w:sz w:val="28"/>
          <w:szCs w:val="28"/>
        </w:rPr>
        <w:t>1 363,8</w:t>
      </w:r>
      <w:r w:rsidR="00F33AF7" w:rsidRPr="00651044">
        <w:rPr>
          <w:sz w:val="28"/>
          <w:szCs w:val="28"/>
        </w:rPr>
        <w:t xml:space="preserve"> mil. lei şi </w:t>
      </w:r>
      <w:r w:rsidR="006C55B5" w:rsidRPr="00651044">
        <w:rPr>
          <w:sz w:val="28"/>
          <w:szCs w:val="28"/>
        </w:rPr>
        <w:t>Ministerul</w:t>
      </w:r>
      <w:r w:rsidR="005B0750" w:rsidRPr="00651044">
        <w:rPr>
          <w:sz w:val="28"/>
          <w:szCs w:val="28"/>
        </w:rPr>
        <w:t>ui</w:t>
      </w:r>
      <w:r w:rsidR="006C55B5" w:rsidRPr="00651044">
        <w:rPr>
          <w:sz w:val="28"/>
          <w:szCs w:val="28"/>
        </w:rPr>
        <w:t xml:space="preserve"> </w:t>
      </w:r>
      <w:r w:rsidR="005B0750" w:rsidRPr="00651044">
        <w:rPr>
          <w:sz w:val="28"/>
          <w:szCs w:val="28"/>
        </w:rPr>
        <w:t>Economiei</w:t>
      </w:r>
      <w:r w:rsidR="006C55B5" w:rsidRPr="00651044">
        <w:rPr>
          <w:sz w:val="28"/>
          <w:szCs w:val="28"/>
        </w:rPr>
        <w:t xml:space="preserve"> – cu </w:t>
      </w:r>
      <w:r w:rsidR="005B0750" w:rsidRPr="00651044">
        <w:rPr>
          <w:sz w:val="28"/>
          <w:szCs w:val="28"/>
        </w:rPr>
        <w:t>140,1</w:t>
      </w:r>
      <w:r w:rsidR="00F33AF7" w:rsidRPr="00651044">
        <w:rPr>
          <w:sz w:val="28"/>
          <w:szCs w:val="28"/>
        </w:rPr>
        <w:t xml:space="preserve"> mil. lei. </w:t>
      </w:r>
    </w:p>
    <w:p w:rsidR="00895280" w:rsidRPr="00651044" w:rsidRDefault="00895280" w:rsidP="003E3369">
      <w:pPr>
        <w:pStyle w:val="NoSpacing"/>
        <w:spacing w:line="276" w:lineRule="auto"/>
        <w:ind w:firstLine="567"/>
        <w:jc w:val="both"/>
        <w:rPr>
          <w:sz w:val="28"/>
          <w:szCs w:val="28"/>
        </w:rPr>
      </w:pPr>
    </w:p>
    <w:p w:rsidR="00F33AF7" w:rsidRPr="00651044" w:rsidRDefault="00F33AF7" w:rsidP="00F33AF7">
      <w:pPr>
        <w:spacing w:line="360" w:lineRule="auto"/>
        <w:ind w:firstLine="539"/>
        <w:jc w:val="right"/>
        <w:rPr>
          <w:sz w:val="20"/>
          <w:szCs w:val="20"/>
        </w:rPr>
      </w:pPr>
      <w:r w:rsidRPr="00651044">
        <w:rPr>
          <w:sz w:val="20"/>
          <w:szCs w:val="20"/>
        </w:rPr>
        <w:t>Tabelul 2.5</w:t>
      </w:r>
    </w:p>
    <w:p w:rsidR="00090FA3" w:rsidRPr="00651044" w:rsidRDefault="00037D37" w:rsidP="004D6168">
      <w:pPr>
        <w:ind w:firstLine="539"/>
        <w:jc w:val="center"/>
        <w:rPr>
          <w:b/>
          <w:i/>
        </w:rPr>
      </w:pPr>
      <w:r w:rsidRPr="00651044">
        <w:rPr>
          <w:b/>
          <w:i/>
        </w:rPr>
        <w:t>Cele mai considerabile</w:t>
      </w:r>
      <w:r w:rsidR="00F33AF7" w:rsidRPr="00651044">
        <w:rPr>
          <w:b/>
          <w:i/>
        </w:rPr>
        <w:t xml:space="preserve"> majorări şi diminuări a</w:t>
      </w:r>
      <w:r w:rsidR="00090FA3" w:rsidRPr="00651044">
        <w:rPr>
          <w:b/>
          <w:i/>
        </w:rPr>
        <w:t>le</w:t>
      </w:r>
      <w:r w:rsidR="00F33AF7" w:rsidRPr="00651044">
        <w:rPr>
          <w:b/>
          <w:i/>
        </w:rPr>
        <w:t xml:space="preserve"> datoriilor</w:t>
      </w:r>
      <w:r w:rsidR="00090FA3" w:rsidRPr="00651044">
        <w:rPr>
          <w:b/>
          <w:i/>
        </w:rPr>
        <w:t xml:space="preserve"> </w:t>
      </w:r>
      <w:r w:rsidR="004D6168" w:rsidRPr="00651044">
        <w:rPr>
          <w:b/>
          <w:i/>
        </w:rPr>
        <w:t>la situa</w:t>
      </w:r>
      <w:r w:rsidR="005F5ABF" w:rsidRPr="00651044">
        <w:rPr>
          <w:b/>
          <w:i/>
        </w:rPr>
        <w:t>ţ</w:t>
      </w:r>
      <w:r w:rsidR="004D6168" w:rsidRPr="00651044">
        <w:rPr>
          <w:b/>
          <w:i/>
        </w:rPr>
        <w:t xml:space="preserve">ia din </w:t>
      </w:r>
      <w:r w:rsidR="005B0750" w:rsidRPr="00651044">
        <w:rPr>
          <w:b/>
          <w:i/>
        </w:rPr>
        <w:t>31.12.2015</w:t>
      </w:r>
      <w:r w:rsidR="00090FA3" w:rsidRPr="00651044">
        <w:rPr>
          <w:b/>
          <w:i/>
        </w:rPr>
        <w:t>,</w:t>
      </w:r>
      <w:r w:rsidR="004D6168" w:rsidRPr="00651044">
        <w:rPr>
          <w:b/>
          <w:i/>
        </w:rPr>
        <w:t xml:space="preserve"> </w:t>
      </w:r>
      <w:r w:rsidR="00090FA3" w:rsidRPr="00651044">
        <w:rPr>
          <w:b/>
          <w:i/>
        </w:rPr>
        <w:t>clasificate pe autorită</w:t>
      </w:r>
      <w:r w:rsidR="005F5ABF" w:rsidRPr="00651044">
        <w:rPr>
          <w:b/>
          <w:i/>
        </w:rPr>
        <w:t>ţ</w:t>
      </w:r>
      <w:r w:rsidR="00090FA3" w:rsidRPr="00651044">
        <w:rPr>
          <w:b/>
          <w:i/>
        </w:rPr>
        <w:t xml:space="preserve">i </w:t>
      </w:r>
      <w:r w:rsidR="000437F2" w:rsidRPr="00651044">
        <w:rPr>
          <w:b/>
          <w:i/>
        </w:rPr>
        <w:t xml:space="preserve">ale </w:t>
      </w:r>
      <w:r w:rsidR="00090FA3" w:rsidRPr="00651044">
        <w:rPr>
          <w:b/>
          <w:i/>
        </w:rPr>
        <w:t>administra</w:t>
      </w:r>
      <w:r w:rsidR="005F5ABF" w:rsidRPr="00651044">
        <w:rPr>
          <w:b/>
          <w:i/>
        </w:rPr>
        <w:t>ţ</w:t>
      </w:r>
      <w:r w:rsidR="000437F2" w:rsidRPr="00651044">
        <w:rPr>
          <w:b/>
          <w:i/>
        </w:rPr>
        <w:t>iei publice</w:t>
      </w:r>
      <w:r w:rsidR="00090FA3" w:rsidRPr="00651044">
        <w:rPr>
          <w:b/>
          <w:i/>
        </w:rPr>
        <w:t xml:space="preserve"> centrale</w:t>
      </w:r>
    </w:p>
    <w:p w:rsidR="00F33AF7" w:rsidRPr="00651044" w:rsidRDefault="005B0750" w:rsidP="005B0750">
      <w:pPr>
        <w:ind w:firstLine="539"/>
        <w:jc w:val="right"/>
        <w:rPr>
          <w:sz w:val="20"/>
          <w:szCs w:val="20"/>
        </w:rPr>
      </w:pPr>
      <w:r w:rsidRPr="00651044">
        <w:rPr>
          <w:sz w:val="20"/>
          <w:szCs w:val="20"/>
        </w:rPr>
        <w:t>mil. lei</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
        <w:gridCol w:w="2911"/>
        <w:gridCol w:w="1289"/>
        <w:gridCol w:w="607"/>
        <w:gridCol w:w="3046"/>
        <w:gridCol w:w="1267"/>
      </w:tblGrid>
      <w:tr w:rsidR="00090FA3" w:rsidRPr="00651044" w:rsidTr="00613394">
        <w:trPr>
          <w:jc w:val="center"/>
        </w:trPr>
        <w:tc>
          <w:tcPr>
            <w:tcW w:w="511" w:type="dxa"/>
            <w:vMerge w:val="restart"/>
          </w:tcPr>
          <w:p w:rsidR="00090FA3" w:rsidRPr="00651044" w:rsidRDefault="00090FA3" w:rsidP="00613394">
            <w:pPr>
              <w:jc w:val="center"/>
              <w:rPr>
                <w:b/>
                <w:i/>
                <w:iCs/>
                <w:sz w:val="20"/>
                <w:szCs w:val="20"/>
              </w:rPr>
            </w:pPr>
          </w:p>
          <w:p w:rsidR="00090FA3" w:rsidRPr="00651044" w:rsidRDefault="00090FA3" w:rsidP="00613394">
            <w:pPr>
              <w:jc w:val="center"/>
              <w:rPr>
                <w:b/>
                <w:i/>
                <w:iCs/>
                <w:sz w:val="20"/>
                <w:szCs w:val="20"/>
              </w:rPr>
            </w:pPr>
            <w:r w:rsidRPr="00651044">
              <w:rPr>
                <w:b/>
                <w:i/>
                <w:iCs/>
                <w:sz w:val="20"/>
                <w:szCs w:val="20"/>
              </w:rPr>
              <w:t>Nr.</w:t>
            </w:r>
          </w:p>
          <w:p w:rsidR="000437F2" w:rsidRPr="00651044" w:rsidRDefault="000437F2" w:rsidP="00613394">
            <w:pPr>
              <w:jc w:val="center"/>
              <w:rPr>
                <w:b/>
                <w:i/>
                <w:iCs/>
                <w:sz w:val="20"/>
                <w:szCs w:val="20"/>
              </w:rPr>
            </w:pPr>
          </w:p>
        </w:tc>
        <w:tc>
          <w:tcPr>
            <w:tcW w:w="4200" w:type="dxa"/>
            <w:gridSpan w:val="2"/>
          </w:tcPr>
          <w:p w:rsidR="00090FA3" w:rsidRPr="00651044" w:rsidRDefault="00090FA3" w:rsidP="00613394">
            <w:pPr>
              <w:jc w:val="center"/>
              <w:rPr>
                <w:b/>
                <w:i/>
                <w:iCs/>
                <w:sz w:val="20"/>
                <w:szCs w:val="20"/>
              </w:rPr>
            </w:pPr>
            <w:r w:rsidRPr="00651044">
              <w:rPr>
                <w:b/>
                <w:i/>
                <w:iCs/>
                <w:sz w:val="20"/>
                <w:szCs w:val="20"/>
              </w:rPr>
              <w:t>Majorări a datoriilor</w:t>
            </w:r>
          </w:p>
          <w:p w:rsidR="00090FA3" w:rsidRPr="00651044" w:rsidRDefault="00F119F8" w:rsidP="00613394">
            <w:pPr>
              <w:jc w:val="center"/>
              <w:rPr>
                <w:b/>
                <w:i/>
                <w:iCs/>
                <w:sz w:val="20"/>
                <w:szCs w:val="20"/>
              </w:rPr>
            </w:pPr>
            <w:r w:rsidRPr="00651044">
              <w:rPr>
                <w:b/>
                <w:i/>
                <w:iCs/>
                <w:sz w:val="20"/>
                <w:szCs w:val="20"/>
              </w:rPr>
              <w:t xml:space="preserve">comparativ cu </w:t>
            </w:r>
            <w:r w:rsidR="005B0750" w:rsidRPr="00651044">
              <w:rPr>
                <w:b/>
                <w:i/>
                <w:iCs/>
                <w:sz w:val="20"/>
                <w:szCs w:val="20"/>
              </w:rPr>
              <w:t>01.01.2015</w:t>
            </w:r>
          </w:p>
        </w:tc>
        <w:tc>
          <w:tcPr>
            <w:tcW w:w="607" w:type="dxa"/>
            <w:vMerge w:val="restart"/>
          </w:tcPr>
          <w:p w:rsidR="00090FA3" w:rsidRPr="00651044" w:rsidRDefault="00090FA3" w:rsidP="00613394">
            <w:pPr>
              <w:jc w:val="center"/>
              <w:rPr>
                <w:b/>
                <w:i/>
                <w:iCs/>
                <w:sz w:val="20"/>
                <w:szCs w:val="20"/>
              </w:rPr>
            </w:pPr>
          </w:p>
          <w:p w:rsidR="00090FA3" w:rsidRPr="00651044" w:rsidRDefault="00090FA3" w:rsidP="00613394">
            <w:pPr>
              <w:jc w:val="center"/>
              <w:rPr>
                <w:b/>
                <w:i/>
                <w:iCs/>
                <w:sz w:val="20"/>
                <w:szCs w:val="20"/>
              </w:rPr>
            </w:pPr>
            <w:r w:rsidRPr="00651044">
              <w:rPr>
                <w:b/>
                <w:i/>
                <w:iCs/>
                <w:sz w:val="20"/>
                <w:szCs w:val="20"/>
              </w:rPr>
              <w:t>Nr.</w:t>
            </w:r>
          </w:p>
          <w:p w:rsidR="000437F2" w:rsidRPr="00651044" w:rsidRDefault="000437F2" w:rsidP="00613394">
            <w:pPr>
              <w:jc w:val="center"/>
              <w:rPr>
                <w:b/>
                <w:i/>
                <w:iCs/>
                <w:sz w:val="20"/>
                <w:szCs w:val="20"/>
              </w:rPr>
            </w:pPr>
          </w:p>
        </w:tc>
        <w:tc>
          <w:tcPr>
            <w:tcW w:w="4313" w:type="dxa"/>
            <w:gridSpan w:val="2"/>
          </w:tcPr>
          <w:p w:rsidR="00090FA3" w:rsidRPr="00651044" w:rsidRDefault="00090FA3" w:rsidP="00613394">
            <w:pPr>
              <w:jc w:val="center"/>
              <w:rPr>
                <w:b/>
                <w:i/>
                <w:iCs/>
                <w:sz w:val="20"/>
                <w:szCs w:val="20"/>
              </w:rPr>
            </w:pPr>
            <w:r w:rsidRPr="00651044">
              <w:rPr>
                <w:b/>
                <w:i/>
                <w:iCs/>
                <w:sz w:val="20"/>
                <w:szCs w:val="20"/>
              </w:rPr>
              <w:t>Diminuări a datoriilor</w:t>
            </w:r>
          </w:p>
          <w:p w:rsidR="00090FA3" w:rsidRPr="00651044" w:rsidRDefault="00F119F8" w:rsidP="00613394">
            <w:pPr>
              <w:jc w:val="center"/>
              <w:rPr>
                <w:b/>
                <w:i/>
                <w:iCs/>
                <w:sz w:val="20"/>
                <w:szCs w:val="20"/>
              </w:rPr>
            </w:pPr>
            <w:r w:rsidRPr="00651044">
              <w:rPr>
                <w:b/>
                <w:i/>
                <w:iCs/>
                <w:sz w:val="20"/>
                <w:szCs w:val="20"/>
              </w:rPr>
              <w:t>comparativ cu 31.12.201</w:t>
            </w:r>
            <w:r w:rsidR="005B0750" w:rsidRPr="00651044">
              <w:rPr>
                <w:b/>
                <w:i/>
                <w:iCs/>
                <w:sz w:val="20"/>
                <w:szCs w:val="20"/>
              </w:rPr>
              <w:t>5</w:t>
            </w:r>
          </w:p>
        </w:tc>
      </w:tr>
      <w:tr w:rsidR="00090FA3" w:rsidRPr="00651044" w:rsidTr="00613394">
        <w:trPr>
          <w:jc w:val="center"/>
        </w:trPr>
        <w:tc>
          <w:tcPr>
            <w:tcW w:w="511" w:type="dxa"/>
            <w:vMerge/>
          </w:tcPr>
          <w:p w:rsidR="00090FA3" w:rsidRPr="00651044" w:rsidRDefault="00090FA3" w:rsidP="00613394">
            <w:pPr>
              <w:jc w:val="center"/>
              <w:rPr>
                <w:sz w:val="20"/>
                <w:szCs w:val="20"/>
              </w:rPr>
            </w:pPr>
          </w:p>
        </w:tc>
        <w:tc>
          <w:tcPr>
            <w:tcW w:w="2911" w:type="dxa"/>
          </w:tcPr>
          <w:p w:rsidR="00090FA3" w:rsidRPr="00651044" w:rsidRDefault="00090FA3" w:rsidP="00613394">
            <w:pPr>
              <w:jc w:val="center"/>
              <w:rPr>
                <w:b/>
                <w:sz w:val="20"/>
                <w:szCs w:val="20"/>
              </w:rPr>
            </w:pPr>
            <w:r w:rsidRPr="00651044">
              <w:rPr>
                <w:b/>
                <w:sz w:val="20"/>
                <w:szCs w:val="20"/>
              </w:rPr>
              <w:t>Fondator</w:t>
            </w:r>
          </w:p>
        </w:tc>
        <w:tc>
          <w:tcPr>
            <w:tcW w:w="1289" w:type="dxa"/>
          </w:tcPr>
          <w:p w:rsidR="00090FA3" w:rsidRPr="00651044" w:rsidRDefault="00090FA3" w:rsidP="00613394">
            <w:pPr>
              <w:jc w:val="center"/>
              <w:rPr>
                <w:b/>
                <w:sz w:val="20"/>
                <w:szCs w:val="20"/>
              </w:rPr>
            </w:pPr>
            <w:r w:rsidRPr="00651044">
              <w:rPr>
                <w:b/>
                <w:sz w:val="20"/>
                <w:szCs w:val="20"/>
              </w:rPr>
              <w:t xml:space="preserve">Valoarea majorării </w:t>
            </w:r>
          </w:p>
        </w:tc>
        <w:tc>
          <w:tcPr>
            <w:tcW w:w="607" w:type="dxa"/>
            <w:vMerge/>
          </w:tcPr>
          <w:p w:rsidR="00090FA3" w:rsidRPr="00651044" w:rsidRDefault="00090FA3" w:rsidP="00613394">
            <w:pPr>
              <w:jc w:val="center"/>
              <w:rPr>
                <w:b/>
                <w:sz w:val="20"/>
                <w:szCs w:val="20"/>
              </w:rPr>
            </w:pPr>
          </w:p>
        </w:tc>
        <w:tc>
          <w:tcPr>
            <w:tcW w:w="3046" w:type="dxa"/>
          </w:tcPr>
          <w:p w:rsidR="00090FA3" w:rsidRPr="00651044" w:rsidRDefault="00090FA3" w:rsidP="00613394">
            <w:pPr>
              <w:jc w:val="center"/>
              <w:rPr>
                <w:b/>
                <w:sz w:val="20"/>
                <w:szCs w:val="20"/>
              </w:rPr>
            </w:pPr>
            <w:r w:rsidRPr="00651044">
              <w:rPr>
                <w:b/>
                <w:sz w:val="20"/>
                <w:szCs w:val="20"/>
              </w:rPr>
              <w:t>Fondator</w:t>
            </w:r>
          </w:p>
        </w:tc>
        <w:tc>
          <w:tcPr>
            <w:tcW w:w="1267" w:type="dxa"/>
          </w:tcPr>
          <w:p w:rsidR="00090FA3" w:rsidRPr="00651044" w:rsidRDefault="00090FA3" w:rsidP="00613394">
            <w:pPr>
              <w:jc w:val="center"/>
              <w:rPr>
                <w:b/>
                <w:sz w:val="20"/>
                <w:szCs w:val="20"/>
              </w:rPr>
            </w:pPr>
            <w:r w:rsidRPr="00651044">
              <w:rPr>
                <w:b/>
                <w:sz w:val="20"/>
                <w:szCs w:val="20"/>
              </w:rPr>
              <w:t xml:space="preserve">Valoarea diminuării </w:t>
            </w:r>
          </w:p>
        </w:tc>
      </w:tr>
      <w:tr w:rsidR="00090FA3" w:rsidRPr="00651044" w:rsidTr="00613394">
        <w:trPr>
          <w:jc w:val="center"/>
        </w:trPr>
        <w:tc>
          <w:tcPr>
            <w:tcW w:w="511" w:type="dxa"/>
          </w:tcPr>
          <w:p w:rsidR="00090FA3" w:rsidRPr="00651044" w:rsidRDefault="00090FA3" w:rsidP="00613394">
            <w:pPr>
              <w:jc w:val="center"/>
              <w:rPr>
                <w:b/>
                <w:sz w:val="20"/>
                <w:szCs w:val="20"/>
              </w:rPr>
            </w:pPr>
            <w:r w:rsidRPr="00651044">
              <w:rPr>
                <w:b/>
                <w:sz w:val="20"/>
                <w:szCs w:val="20"/>
              </w:rPr>
              <w:t>1.</w:t>
            </w:r>
          </w:p>
        </w:tc>
        <w:tc>
          <w:tcPr>
            <w:tcW w:w="2911" w:type="dxa"/>
          </w:tcPr>
          <w:p w:rsidR="00090FA3" w:rsidRPr="00651044" w:rsidRDefault="00090FA3" w:rsidP="00090FA3">
            <w:r w:rsidRPr="00651044">
              <w:rPr>
                <w:sz w:val="20"/>
                <w:szCs w:val="20"/>
              </w:rPr>
              <w:t>Ministerul Transporturilor şi Infrastructurii Drumurilor</w:t>
            </w:r>
          </w:p>
        </w:tc>
        <w:tc>
          <w:tcPr>
            <w:tcW w:w="1289" w:type="dxa"/>
          </w:tcPr>
          <w:p w:rsidR="00090FA3" w:rsidRPr="00651044" w:rsidRDefault="005B0750" w:rsidP="00613394">
            <w:pPr>
              <w:jc w:val="center"/>
              <w:rPr>
                <w:sz w:val="20"/>
                <w:szCs w:val="20"/>
              </w:rPr>
            </w:pPr>
            <w:r w:rsidRPr="00651044">
              <w:rPr>
                <w:sz w:val="20"/>
                <w:szCs w:val="20"/>
              </w:rPr>
              <w:t>1 363,8</w:t>
            </w:r>
          </w:p>
        </w:tc>
        <w:tc>
          <w:tcPr>
            <w:tcW w:w="607" w:type="dxa"/>
          </w:tcPr>
          <w:p w:rsidR="00090FA3" w:rsidRPr="00651044" w:rsidRDefault="00090FA3" w:rsidP="00613394">
            <w:pPr>
              <w:jc w:val="center"/>
              <w:rPr>
                <w:b/>
                <w:sz w:val="20"/>
                <w:szCs w:val="20"/>
              </w:rPr>
            </w:pPr>
            <w:r w:rsidRPr="00651044">
              <w:rPr>
                <w:b/>
                <w:sz w:val="20"/>
                <w:szCs w:val="20"/>
              </w:rPr>
              <w:t>1.</w:t>
            </w:r>
          </w:p>
        </w:tc>
        <w:tc>
          <w:tcPr>
            <w:tcW w:w="3046" w:type="dxa"/>
          </w:tcPr>
          <w:p w:rsidR="00090FA3" w:rsidRPr="00651044" w:rsidRDefault="005B0750" w:rsidP="00090FA3">
            <w:pPr>
              <w:rPr>
                <w:sz w:val="20"/>
                <w:szCs w:val="20"/>
              </w:rPr>
            </w:pPr>
            <w:r w:rsidRPr="00651044">
              <w:rPr>
                <w:sz w:val="20"/>
                <w:szCs w:val="20"/>
              </w:rPr>
              <w:t>Ministerul Dezvoltării Regionale şi Construcţiilor</w:t>
            </w:r>
            <w:r w:rsidR="00F119F8" w:rsidRPr="00651044">
              <w:rPr>
                <w:sz w:val="20"/>
                <w:szCs w:val="20"/>
              </w:rPr>
              <w:t xml:space="preserve"> </w:t>
            </w:r>
          </w:p>
        </w:tc>
        <w:tc>
          <w:tcPr>
            <w:tcW w:w="1267" w:type="dxa"/>
          </w:tcPr>
          <w:p w:rsidR="00090FA3" w:rsidRPr="00651044" w:rsidRDefault="005B0750" w:rsidP="00613394">
            <w:pPr>
              <w:jc w:val="center"/>
              <w:rPr>
                <w:sz w:val="20"/>
                <w:szCs w:val="20"/>
              </w:rPr>
            </w:pPr>
            <w:r w:rsidRPr="00651044">
              <w:rPr>
                <w:sz w:val="20"/>
                <w:szCs w:val="20"/>
              </w:rPr>
              <w:t>96,5</w:t>
            </w:r>
          </w:p>
        </w:tc>
      </w:tr>
      <w:tr w:rsidR="00090FA3" w:rsidRPr="00651044" w:rsidTr="00613394">
        <w:trPr>
          <w:jc w:val="center"/>
        </w:trPr>
        <w:tc>
          <w:tcPr>
            <w:tcW w:w="511" w:type="dxa"/>
          </w:tcPr>
          <w:p w:rsidR="00090FA3" w:rsidRPr="00651044" w:rsidRDefault="00090FA3" w:rsidP="00613394">
            <w:pPr>
              <w:jc w:val="center"/>
              <w:rPr>
                <w:b/>
                <w:sz w:val="20"/>
                <w:szCs w:val="20"/>
              </w:rPr>
            </w:pPr>
            <w:r w:rsidRPr="00651044">
              <w:rPr>
                <w:b/>
                <w:sz w:val="20"/>
                <w:szCs w:val="20"/>
              </w:rPr>
              <w:t>2.</w:t>
            </w:r>
          </w:p>
        </w:tc>
        <w:tc>
          <w:tcPr>
            <w:tcW w:w="2911" w:type="dxa"/>
          </w:tcPr>
          <w:p w:rsidR="00090FA3" w:rsidRPr="00651044" w:rsidRDefault="005B0750" w:rsidP="00090FA3">
            <w:pPr>
              <w:rPr>
                <w:sz w:val="20"/>
                <w:szCs w:val="20"/>
              </w:rPr>
            </w:pPr>
            <w:r w:rsidRPr="00651044">
              <w:rPr>
                <w:sz w:val="20"/>
                <w:szCs w:val="20"/>
              </w:rPr>
              <w:t>Ministerul Economiei</w:t>
            </w:r>
          </w:p>
        </w:tc>
        <w:tc>
          <w:tcPr>
            <w:tcW w:w="1289" w:type="dxa"/>
          </w:tcPr>
          <w:p w:rsidR="00090FA3" w:rsidRPr="00651044" w:rsidRDefault="005B0750" w:rsidP="00613394">
            <w:pPr>
              <w:jc w:val="center"/>
              <w:rPr>
                <w:sz w:val="20"/>
                <w:szCs w:val="20"/>
              </w:rPr>
            </w:pPr>
            <w:r w:rsidRPr="00651044">
              <w:rPr>
                <w:sz w:val="20"/>
                <w:szCs w:val="20"/>
              </w:rPr>
              <w:t>189,2</w:t>
            </w:r>
          </w:p>
        </w:tc>
        <w:tc>
          <w:tcPr>
            <w:tcW w:w="607" w:type="dxa"/>
          </w:tcPr>
          <w:p w:rsidR="00090FA3" w:rsidRPr="00651044" w:rsidRDefault="00090FA3" w:rsidP="00613394">
            <w:pPr>
              <w:jc w:val="center"/>
              <w:rPr>
                <w:b/>
                <w:sz w:val="20"/>
                <w:szCs w:val="20"/>
              </w:rPr>
            </w:pPr>
            <w:r w:rsidRPr="00651044">
              <w:rPr>
                <w:b/>
                <w:sz w:val="20"/>
                <w:szCs w:val="20"/>
              </w:rPr>
              <w:t>2.</w:t>
            </w:r>
          </w:p>
        </w:tc>
        <w:tc>
          <w:tcPr>
            <w:tcW w:w="3046" w:type="dxa"/>
          </w:tcPr>
          <w:p w:rsidR="00090FA3" w:rsidRPr="00651044" w:rsidRDefault="005B0750" w:rsidP="0073353C">
            <w:pPr>
              <w:rPr>
                <w:sz w:val="20"/>
                <w:szCs w:val="20"/>
              </w:rPr>
            </w:pPr>
            <w:r w:rsidRPr="00651044">
              <w:rPr>
                <w:sz w:val="20"/>
                <w:szCs w:val="20"/>
              </w:rPr>
              <w:t>Ministerul Apărării</w:t>
            </w:r>
            <w:r w:rsidR="00F119F8" w:rsidRPr="00651044">
              <w:rPr>
                <w:sz w:val="20"/>
                <w:szCs w:val="20"/>
              </w:rPr>
              <w:t xml:space="preserve"> </w:t>
            </w:r>
          </w:p>
        </w:tc>
        <w:tc>
          <w:tcPr>
            <w:tcW w:w="1267" w:type="dxa"/>
          </w:tcPr>
          <w:p w:rsidR="00090FA3" w:rsidRPr="00651044" w:rsidRDefault="005B0750" w:rsidP="00613394">
            <w:pPr>
              <w:jc w:val="center"/>
              <w:rPr>
                <w:sz w:val="20"/>
                <w:szCs w:val="20"/>
              </w:rPr>
            </w:pPr>
            <w:r w:rsidRPr="00651044">
              <w:rPr>
                <w:sz w:val="20"/>
                <w:szCs w:val="20"/>
              </w:rPr>
              <w:t>37,1</w:t>
            </w:r>
          </w:p>
        </w:tc>
      </w:tr>
      <w:tr w:rsidR="00090FA3" w:rsidRPr="00651044" w:rsidTr="00613394">
        <w:trPr>
          <w:jc w:val="center"/>
        </w:trPr>
        <w:tc>
          <w:tcPr>
            <w:tcW w:w="511" w:type="dxa"/>
          </w:tcPr>
          <w:p w:rsidR="00090FA3" w:rsidRPr="00651044" w:rsidRDefault="00090FA3" w:rsidP="00613394">
            <w:pPr>
              <w:jc w:val="center"/>
              <w:rPr>
                <w:b/>
                <w:sz w:val="20"/>
                <w:szCs w:val="20"/>
              </w:rPr>
            </w:pPr>
            <w:r w:rsidRPr="00651044">
              <w:rPr>
                <w:b/>
                <w:sz w:val="20"/>
                <w:szCs w:val="20"/>
              </w:rPr>
              <w:t>3.</w:t>
            </w:r>
          </w:p>
        </w:tc>
        <w:tc>
          <w:tcPr>
            <w:tcW w:w="2911" w:type="dxa"/>
          </w:tcPr>
          <w:p w:rsidR="00090FA3" w:rsidRPr="00651044" w:rsidRDefault="005B0750" w:rsidP="00090FA3">
            <w:pPr>
              <w:rPr>
                <w:sz w:val="20"/>
                <w:szCs w:val="20"/>
              </w:rPr>
            </w:pPr>
            <w:r w:rsidRPr="00651044">
              <w:rPr>
                <w:sz w:val="20"/>
                <w:szCs w:val="20"/>
              </w:rPr>
              <w:t>Ministerul Tehnologiei Informaţiei şi Comunicaţiilor</w:t>
            </w:r>
          </w:p>
        </w:tc>
        <w:tc>
          <w:tcPr>
            <w:tcW w:w="1289" w:type="dxa"/>
          </w:tcPr>
          <w:p w:rsidR="00090FA3" w:rsidRPr="00651044" w:rsidRDefault="005B0750" w:rsidP="00613394">
            <w:pPr>
              <w:jc w:val="center"/>
              <w:rPr>
                <w:sz w:val="20"/>
                <w:szCs w:val="20"/>
              </w:rPr>
            </w:pPr>
            <w:r w:rsidRPr="00651044">
              <w:rPr>
                <w:sz w:val="20"/>
                <w:szCs w:val="20"/>
              </w:rPr>
              <w:t>140,1</w:t>
            </w:r>
          </w:p>
        </w:tc>
        <w:tc>
          <w:tcPr>
            <w:tcW w:w="607" w:type="dxa"/>
          </w:tcPr>
          <w:p w:rsidR="00090FA3" w:rsidRPr="00651044" w:rsidRDefault="00090FA3" w:rsidP="00613394">
            <w:pPr>
              <w:jc w:val="center"/>
              <w:rPr>
                <w:b/>
                <w:sz w:val="20"/>
                <w:szCs w:val="20"/>
              </w:rPr>
            </w:pPr>
            <w:r w:rsidRPr="00651044">
              <w:rPr>
                <w:b/>
                <w:sz w:val="20"/>
                <w:szCs w:val="20"/>
              </w:rPr>
              <w:t>3.</w:t>
            </w:r>
          </w:p>
        </w:tc>
        <w:tc>
          <w:tcPr>
            <w:tcW w:w="3046" w:type="dxa"/>
          </w:tcPr>
          <w:p w:rsidR="00090FA3" w:rsidRPr="00651044" w:rsidRDefault="005B0750" w:rsidP="00F119F8">
            <w:pPr>
              <w:rPr>
                <w:sz w:val="20"/>
                <w:szCs w:val="20"/>
              </w:rPr>
            </w:pPr>
            <w:r w:rsidRPr="00651044">
              <w:rPr>
                <w:sz w:val="20"/>
                <w:szCs w:val="20"/>
              </w:rPr>
              <w:t>Cancelaria de Stat</w:t>
            </w:r>
          </w:p>
        </w:tc>
        <w:tc>
          <w:tcPr>
            <w:tcW w:w="1267" w:type="dxa"/>
          </w:tcPr>
          <w:p w:rsidR="00090FA3" w:rsidRPr="00651044" w:rsidRDefault="005B0750" w:rsidP="00613394">
            <w:pPr>
              <w:jc w:val="center"/>
              <w:rPr>
                <w:sz w:val="20"/>
                <w:szCs w:val="20"/>
              </w:rPr>
            </w:pPr>
            <w:r w:rsidRPr="00651044">
              <w:rPr>
                <w:sz w:val="20"/>
                <w:szCs w:val="20"/>
              </w:rPr>
              <w:t>25,6</w:t>
            </w:r>
          </w:p>
        </w:tc>
      </w:tr>
      <w:tr w:rsidR="00090FA3" w:rsidRPr="00651044" w:rsidTr="00613394">
        <w:trPr>
          <w:jc w:val="center"/>
        </w:trPr>
        <w:tc>
          <w:tcPr>
            <w:tcW w:w="511" w:type="dxa"/>
          </w:tcPr>
          <w:p w:rsidR="00090FA3" w:rsidRPr="00651044" w:rsidRDefault="00090FA3" w:rsidP="00613394">
            <w:pPr>
              <w:jc w:val="center"/>
              <w:rPr>
                <w:b/>
                <w:sz w:val="20"/>
                <w:szCs w:val="20"/>
              </w:rPr>
            </w:pPr>
            <w:r w:rsidRPr="00651044">
              <w:rPr>
                <w:b/>
                <w:sz w:val="20"/>
                <w:szCs w:val="20"/>
              </w:rPr>
              <w:t>4.</w:t>
            </w:r>
          </w:p>
        </w:tc>
        <w:tc>
          <w:tcPr>
            <w:tcW w:w="2911" w:type="dxa"/>
          </w:tcPr>
          <w:p w:rsidR="00090FA3" w:rsidRPr="00651044" w:rsidRDefault="00F119F8" w:rsidP="005B0750">
            <w:pPr>
              <w:rPr>
                <w:sz w:val="20"/>
                <w:szCs w:val="20"/>
              </w:rPr>
            </w:pPr>
            <w:r w:rsidRPr="00651044">
              <w:rPr>
                <w:sz w:val="20"/>
                <w:szCs w:val="20"/>
              </w:rPr>
              <w:t xml:space="preserve">Ministerul </w:t>
            </w:r>
            <w:r w:rsidR="005B0750" w:rsidRPr="00651044">
              <w:rPr>
                <w:sz w:val="20"/>
                <w:szCs w:val="20"/>
              </w:rPr>
              <w:t>Agriculturii şi Industriei Alimentare</w:t>
            </w:r>
          </w:p>
        </w:tc>
        <w:tc>
          <w:tcPr>
            <w:tcW w:w="1289" w:type="dxa"/>
          </w:tcPr>
          <w:p w:rsidR="00090FA3" w:rsidRPr="00651044" w:rsidRDefault="005B0750" w:rsidP="00613394">
            <w:pPr>
              <w:jc w:val="center"/>
              <w:rPr>
                <w:sz w:val="20"/>
                <w:szCs w:val="20"/>
              </w:rPr>
            </w:pPr>
            <w:r w:rsidRPr="00651044">
              <w:rPr>
                <w:sz w:val="20"/>
                <w:szCs w:val="20"/>
              </w:rPr>
              <w:t>36,1</w:t>
            </w:r>
          </w:p>
        </w:tc>
        <w:tc>
          <w:tcPr>
            <w:tcW w:w="607" w:type="dxa"/>
          </w:tcPr>
          <w:p w:rsidR="00090FA3" w:rsidRPr="00651044" w:rsidRDefault="00090FA3" w:rsidP="00613394">
            <w:pPr>
              <w:jc w:val="center"/>
              <w:rPr>
                <w:b/>
                <w:sz w:val="20"/>
                <w:szCs w:val="20"/>
              </w:rPr>
            </w:pPr>
            <w:r w:rsidRPr="00651044">
              <w:rPr>
                <w:b/>
                <w:sz w:val="20"/>
                <w:szCs w:val="20"/>
              </w:rPr>
              <w:t>4.</w:t>
            </w:r>
          </w:p>
        </w:tc>
        <w:tc>
          <w:tcPr>
            <w:tcW w:w="3046" w:type="dxa"/>
          </w:tcPr>
          <w:p w:rsidR="00090FA3" w:rsidRPr="00651044" w:rsidRDefault="005B0750" w:rsidP="00090FA3">
            <w:pPr>
              <w:rPr>
                <w:sz w:val="20"/>
                <w:szCs w:val="20"/>
              </w:rPr>
            </w:pPr>
            <w:r w:rsidRPr="00651044">
              <w:rPr>
                <w:sz w:val="20"/>
                <w:szCs w:val="20"/>
              </w:rPr>
              <w:t>Agenţia Relaţii Funciare şi Cadastru</w:t>
            </w:r>
          </w:p>
        </w:tc>
        <w:tc>
          <w:tcPr>
            <w:tcW w:w="1267" w:type="dxa"/>
          </w:tcPr>
          <w:p w:rsidR="00090FA3" w:rsidRPr="00651044" w:rsidRDefault="005B0750" w:rsidP="00613394">
            <w:pPr>
              <w:jc w:val="center"/>
              <w:rPr>
                <w:sz w:val="20"/>
                <w:szCs w:val="20"/>
              </w:rPr>
            </w:pPr>
            <w:r w:rsidRPr="00651044">
              <w:rPr>
                <w:sz w:val="20"/>
                <w:szCs w:val="20"/>
              </w:rPr>
              <w:t>17,3</w:t>
            </w:r>
          </w:p>
        </w:tc>
      </w:tr>
    </w:tbl>
    <w:p w:rsidR="00F33AF7" w:rsidRPr="00651044" w:rsidRDefault="00F33AF7" w:rsidP="00F33AF7">
      <w:pPr>
        <w:pStyle w:val="NoSpacing"/>
        <w:spacing w:line="276" w:lineRule="auto"/>
        <w:ind w:firstLine="567"/>
        <w:jc w:val="both"/>
        <w:rPr>
          <w:color w:val="FF0000"/>
          <w:sz w:val="28"/>
          <w:szCs w:val="28"/>
        </w:rPr>
      </w:pPr>
    </w:p>
    <w:p w:rsidR="00E44864" w:rsidRPr="00651044" w:rsidRDefault="00F33AF7" w:rsidP="00E44864">
      <w:pPr>
        <w:pStyle w:val="NoSpacing"/>
        <w:spacing w:line="276" w:lineRule="auto"/>
        <w:ind w:firstLine="567"/>
        <w:jc w:val="both"/>
        <w:rPr>
          <w:sz w:val="28"/>
          <w:szCs w:val="28"/>
        </w:rPr>
      </w:pPr>
      <w:r w:rsidRPr="00651044">
        <w:rPr>
          <w:sz w:val="28"/>
          <w:szCs w:val="28"/>
        </w:rPr>
        <w:t>Totodată, cele mai semnificative diminuări a</w:t>
      </w:r>
      <w:r w:rsidR="006C55B5" w:rsidRPr="00651044">
        <w:rPr>
          <w:sz w:val="28"/>
          <w:szCs w:val="28"/>
        </w:rPr>
        <w:t>le</w:t>
      </w:r>
      <w:r w:rsidRPr="00651044">
        <w:rPr>
          <w:sz w:val="28"/>
          <w:szCs w:val="28"/>
        </w:rPr>
        <w:t xml:space="preserve"> datoriilor s-au înregistrat la întreprinderile </w:t>
      </w:r>
      <w:r w:rsidR="005B0750" w:rsidRPr="00651044">
        <w:rPr>
          <w:sz w:val="28"/>
          <w:szCs w:val="28"/>
        </w:rPr>
        <w:t>administrate de</w:t>
      </w:r>
      <w:r w:rsidRPr="00651044">
        <w:rPr>
          <w:sz w:val="28"/>
          <w:szCs w:val="28"/>
        </w:rPr>
        <w:t xml:space="preserve"> </w:t>
      </w:r>
      <w:r w:rsidR="005B0750" w:rsidRPr="00651044">
        <w:rPr>
          <w:sz w:val="28"/>
          <w:szCs w:val="28"/>
        </w:rPr>
        <w:t>Ministerul Dezvoltării Regionale şi Construcţiilor – cu 96,5</w:t>
      </w:r>
      <w:r w:rsidR="006C55B5" w:rsidRPr="00651044">
        <w:rPr>
          <w:sz w:val="28"/>
          <w:szCs w:val="28"/>
        </w:rPr>
        <w:t xml:space="preserve"> mil. lei şi </w:t>
      </w:r>
      <w:r w:rsidR="00E44864" w:rsidRPr="00651044">
        <w:rPr>
          <w:sz w:val="28"/>
          <w:szCs w:val="28"/>
        </w:rPr>
        <w:t>Ministerul</w:t>
      </w:r>
      <w:r w:rsidR="005B0750" w:rsidRPr="00651044">
        <w:rPr>
          <w:sz w:val="28"/>
          <w:szCs w:val="28"/>
        </w:rPr>
        <w:t xml:space="preserve"> Apărării</w:t>
      </w:r>
      <w:r w:rsidRPr="00651044">
        <w:rPr>
          <w:sz w:val="28"/>
          <w:szCs w:val="28"/>
        </w:rPr>
        <w:t xml:space="preserve"> </w:t>
      </w:r>
      <w:r w:rsidR="0073353C" w:rsidRPr="00651044">
        <w:rPr>
          <w:sz w:val="28"/>
          <w:szCs w:val="28"/>
        </w:rPr>
        <w:t>–</w:t>
      </w:r>
      <w:r w:rsidRPr="00651044">
        <w:rPr>
          <w:sz w:val="28"/>
          <w:szCs w:val="28"/>
        </w:rPr>
        <w:t xml:space="preserve"> cu </w:t>
      </w:r>
      <w:r w:rsidR="005B0750" w:rsidRPr="00651044">
        <w:rPr>
          <w:sz w:val="28"/>
          <w:szCs w:val="28"/>
        </w:rPr>
        <w:t>37,1</w:t>
      </w:r>
      <w:r w:rsidRPr="00651044">
        <w:rPr>
          <w:sz w:val="28"/>
          <w:szCs w:val="28"/>
        </w:rPr>
        <w:t xml:space="preserve"> mil. lei.</w:t>
      </w:r>
    </w:p>
    <w:p w:rsidR="00CC6619" w:rsidRPr="00651044" w:rsidRDefault="00F33AF7" w:rsidP="006E6FE5">
      <w:pPr>
        <w:pStyle w:val="NoSpacing"/>
        <w:spacing w:line="276" w:lineRule="auto"/>
        <w:ind w:firstLine="567"/>
        <w:jc w:val="both"/>
        <w:rPr>
          <w:sz w:val="28"/>
          <w:szCs w:val="28"/>
        </w:rPr>
      </w:pPr>
      <w:r w:rsidRPr="00651044">
        <w:rPr>
          <w:sz w:val="28"/>
          <w:szCs w:val="28"/>
        </w:rPr>
        <w:t>Suplimentar aspectelor economice analizate anterior,</w:t>
      </w:r>
      <w:r w:rsidR="006E6FE5">
        <w:rPr>
          <w:sz w:val="28"/>
          <w:szCs w:val="28"/>
        </w:rPr>
        <w:t xml:space="preserve"> se enunţă</w:t>
      </w:r>
      <w:r w:rsidRPr="00651044">
        <w:rPr>
          <w:sz w:val="28"/>
          <w:szCs w:val="28"/>
        </w:rPr>
        <w:t xml:space="preserve"> că, în conformitate cu alineatul (5), art. </w:t>
      </w:r>
      <w:r w:rsidR="0073353C" w:rsidRPr="00651044">
        <w:rPr>
          <w:sz w:val="28"/>
          <w:szCs w:val="28"/>
        </w:rPr>
        <w:t>12</w:t>
      </w:r>
      <w:r w:rsidRPr="00651044">
        <w:rPr>
          <w:sz w:val="28"/>
          <w:szCs w:val="28"/>
        </w:rPr>
        <w:t xml:space="preserve"> din Legea nr. 419-XVI din 22 decembrie 2006 „Cu privire la datoria </w:t>
      </w:r>
      <w:r w:rsidR="00E44864" w:rsidRPr="00651044">
        <w:rPr>
          <w:sz w:val="28"/>
          <w:szCs w:val="28"/>
        </w:rPr>
        <w:t>sectorului public</w:t>
      </w:r>
      <w:r w:rsidRPr="00651044">
        <w:rPr>
          <w:sz w:val="28"/>
          <w:szCs w:val="28"/>
        </w:rPr>
        <w:t>, garanţiile de stat şi recreditarea de stat”, Ministerul Finanţelor generalizează datele statistice cu privire la datoria publică, garanţiile de stat şi recreditarea de stat.</w:t>
      </w:r>
      <w:r w:rsidR="006E6FE5">
        <w:rPr>
          <w:sz w:val="28"/>
          <w:szCs w:val="28"/>
        </w:rPr>
        <w:t xml:space="preserve"> </w:t>
      </w:r>
      <w:r w:rsidRPr="00651044">
        <w:rPr>
          <w:sz w:val="28"/>
          <w:szCs w:val="28"/>
        </w:rPr>
        <w:t>Astfel, în temeiul Regulamentului privind raportarea dator</w:t>
      </w:r>
      <w:r w:rsidR="00CC6619" w:rsidRPr="00651044">
        <w:rPr>
          <w:sz w:val="28"/>
          <w:szCs w:val="28"/>
        </w:rPr>
        <w:t>iei</w:t>
      </w:r>
      <w:r w:rsidR="006E6FE5">
        <w:rPr>
          <w:sz w:val="28"/>
          <w:szCs w:val="28"/>
        </w:rPr>
        <w:t xml:space="preserve"> sectorului public</w:t>
      </w:r>
      <w:r w:rsidR="00CC6619" w:rsidRPr="00651044">
        <w:rPr>
          <w:sz w:val="28"/>
          <w:szCs w:val="28"/>
        </w:rPr>
        <w:t>, aprobat prin Hotăr</w:t>
      </w:r>
      <w:r w:rsidR="006E6FE5">
        <w:rPr>
          <w:sz w:val="28"/>
          <w:szCs w:val="28"/>
        </w:rPr>
        <w:t>î</w:t>
      </w:r>
      <w:r w:rsidRPr="00651044">
        <w:rPr>
          <w:sz w:val="28"/>
          <w:szCs w:val="28"/>
        </w:rPr>
        <w:t>rea Guvernului nr. 1136 din 18 octombrie 2007 „Cu privire la unele măsuri de executare a Legii nr. 419-XVI din 22 decembrie 2006 cu privire la datoria</w:t>
      </w:r>
      <w:r w:rsidR="00E44864" w:rsidRPr="00651044">
        <w:rPr>
          <w:sz w:val="28"/>
          <w:szCs w:val="28"/>
        </w:rPr>
        <w:t xml:space="preserve"> sectorului  public</w:t>
      </w:r>
      <w:r w:rsidRPr="00651044">
        <w:rPr>
          <w:sz w:val="28"/>
          <w:szCs w:val="28"/>
        </w:rPr>
        <w:t>, garanţiile de stat şi recredi</w:t>
      </w:r>
      <w:r w:rsidR="000437F2" w:rsidRPr="00651044">
        <w:rPr>
          <w:sz w:val="28"/>
          <w:szCs w:val="28"/>
        </w:rPr>
        <w:t>tarea de stat”, a fost</w:t>
      </w:r>
      <w:r w:rsidRPr="00651044">
        <w:rPr>
          <w:sz w:val="28"/>
          <w:szCs w:val="28"/>
        </w:rPr>
        <w:t xml:space="preserve"> generaliza</w:t>
      </w:r>
      <w:r w:rsidR="000437F2" w:rsidRPr="00651044">
        <w:rPr>
          <w:sz w:val="28"/>
          <w:szCs w:val="28"/>
        </w:rPr>
        <w:t>tă informaţia</w:t>
      </w:r>
      <w:r w:rsidRPr="00651044">
        <w:rPr>
          <w:sz w:val="28"/>
          <w:szCs w:val="28"/>
        </w:rPr>
        <w:t xml:space="preserve"> privind împrumuturile interne şi externe ale agenţilor economici monitorizaţi, care sunt contractate pe un termen de un an şi mai mare.  </w:t>
      </w:r>
    </w:p>
    <w:p w:rsidR="00F33AF7" w:rsidRPr="00651044" w:rsidRDefault="00F35CEB" w:rsidP="00CC6619">
      <w:pPr>
        <w:pStyle w:val="NoSpacing"/>
        <w:spacing w:line="276" w:lineRule="auto"/>
        <w:ind w:firstLine="567"/>
        <w:jc w:val="both"/>
        <w:rPr>
          <w:sz w:val="28"/>
          <w:szCs w:val="28"/>
        </w:rPr>
      </w:pPr>
      <w:r w:rsidRPr="00651044">
        <w:rPr>
          <w:sz w:val="28"/>
          <w:szCs w:val="28"/>
        </w:rPr>
        <w:t>P</w:t>
      </w:r>
      <w:r w:rsidR="00F33AF7" w:rsidRPr="00651044">
        <w:rPr>
          <w:sz w:val="28"/>
          <w:szCs w:val="28"/>
        </w:rPr>
        <w:t xml:space="preserve">otrivit datelor privind </w:t>
      </w:r>
      <w:r w:rsidR="00F33AF7" w:rsidRPr="00651044">
        <w:rPr>
          <w:i/>
          <w:sz w:val="28"/>
          <w:szCs w:val="28"/>
        </w:rPr>
        <w:t xml:space="preserve">fluxul şi stocul împrumuturilor </w:t>
      </w:r>
      <w:r w:rsidR="00B82722" w:rsidRPr="00651044">
        <w:rPr>
          <w:i/>
          <w:sz w:val="28"/>
          <w:szCs w:val="28"/>
        </w:rPr>
        <w:t>interne</w:t>
      </w:r>
      <w:r w:rsidR="00B82722" w:rsidRPr="00651044">
        <w:rPr>
          <w:sz w:val="28"/>
          <w:szCs w:val="28"/>
        </w:rPr>
        <w:t xml:space="preserve">, </w:t>
      </w:r>
      <w:r w:rsidR="009F0430" w:rsidRPr="00651044">
        <w:rPr>
          <w:sz w:val="28"/>
          <w:szCs w:val="28"/>
        </w:rPr>
        <w:t>î</w:t>
      </w:r>
      <w:r w:rsidR="00F33AF7" w:rsidRPr="00651044">
        <w:rPr>
          <w:sz w:val="28"/>
          <w:szCs w:val="28"/>
        </w:rPr>
        <w:t>ntreprinderile de stat</w:t>
      </w:r>
      <w:r w:rsidR="00E44864" w:rsidRPr="00651044">
        <w:rPr>
          <w:sz w:val="28"/>
          <w:szCs w:val="28"/>
        </w:rPr>
        <w:t xml:space="preserve"> monitorizate</w:t>
      </w:r>
      <w:r w:rsidR="00F33AF7" w:rsidRPr="00651044">
        <w:rPr>
          <w:sz w:val="28"/>
          <w:szCs w:val="28"/>
        </w:rPr>
        <w:t>, care au contractat credite de la băncile comerciale pe o perioadă de un an şi mai mare, au înregistrat, l</w:t>
      </w:r>
      <w:r w:rsidR="00B82722" w:rsidRPr="00651044">
        <w:rPr>
          <w:sz w:val="28"/>
          <w:szCs w:val="28"/>
        </w:rPr>
        <w:t xml:space="preserve">a situaţia din </w:t>
      </w:r>
      <w:r w:rsidR="002F2582" w:rsidRPr="00651044">
        <w:rPr>
          <w:sz w:val="28"/>
          <w:szCs w:val="28"/>
        </w:rPr>
        <w:t>31.12.2015</w:t>
      </w:r>
      <w:r w:rsidR="00F33AF7" w:rsidRPr="00651044">
        <w:rPr>
          <w:sz w:val="28"/>
          <w:szCs w:val="28"/>
        </w:rPr>
        <w:t xml:space="preserve">, un stoc al împrumuturilor </w:t>
      </w:r>
      <w:r w:rsidR="00F33AF7" w:rsidRPr="00651044">
        <w:rPr>
          <w:sz w:val="28"/>
          <w:szCs w:val="28"/>
        </w:rPr>
        <w:lastRenderedPageBreak/>
        <w:t xml:space="preserve">în volum de </w:t>
      </w:r>
      <w:r w:rsidR="00572040">
        <w:rPr>
          <w:sz w:val="28"/>
          <w:szCs w:val="28"/>
        </w:rPr>
        <w:t>707,0</w:t>
      </w:r>
      <w:r w:rsidR="00F33AF7" w:rsidRPr="00651044">
        <w:rPr>
          <w:sz w:val="28"/>
          <w:szCs w:val="28"/>
        </w:rPr>
        <w:t xml:space="preserve"> mil. lei, dintre care </w:t>
      </w:r>
      <w:r w:rsidR="00572040">
        <w:rPr>
          <w:sz w:val="28"/>
          <w:szCs w:val="28"/>
        </w:rPr>
        <w:t>8,2</w:t>
      </w:r>
      <w:r w:rsidR="00F33AF7" w:rsidRPr="00651044">
        <w:rPr>
          <w:sz w:val="28"/>
          <w:szCs w:val="28"/>
        </w:rPr>
        <w:t xml:space="preserve"> mil. lei constituie stocul de arierate - suma restantă ce nu a fost achitată conform contractelor încheiate. </w:t>
      </w:r>
    </w:p>
    <w:p w:rsidR="00895280" w:rsidRPr="00651044" w:rsidRDefault="00895280" w:rsidP="00CC6619">
      <w:pPr>
        <w:pStyle w:val="NoSpacing"/>
        <w:spacing w:line="276" w:lineRule="auto"/>
        <w:ind w:firstLine="567"/>
        <w:jc w:val="both"/>
        <w:rPr>
          <w:sz w:val="28"/>
          <w:szCs w:val="28"/>
        </w:rPr>
      </w:pPr>
    </w:p>
    <w:p w:rsidR="00F33AF7" w:rsidRPr="00651044" w:rsidRDefault="00352B5B" w:rsidP="00F33AF7">
      <w:pPr>
        <w:spacing w:line="276" w:lineRule="auto"/>
        <w:ind w:firstLine="705"/>
        <w:jc w:val="right"/>
        <w:rPr>
          <w:sz w:val="20"/>
          <w:szCs w:val="20"/>
        </w:rPr>
      </w:pPr>
      <w:r w:rsidRPr="00651044">
        <w:rPr>
          <w:sz w:val="20"/>
          <w:szCs w:val="20"/>
        </w:rPr>
        <w:t>Tabelul 2.6</w:t>
      </w:r>
    </w:p>
    <w:p w:rsidR="00F33AF7" w:rsidRPr="00651044" w:rsidRDefault="00F33AF7" w:rsidP="00F33AF7">
      <w:pPr>
        <w:ind w:firstLine="705"/>
        <w:jc w:val="center"/>
        <w:rPr>
          <w:b/>
          <w:i/>
          <w:sz w:val="20"/>
          <w:szCs w:val="20"/>
        </w:rPr>
      </w:pPr>
      <w:r w:rsidRPr="00651044">
        <w:rPr>
          <w:b/>
          <w:i/>
          <w:sz w:val="20"/>
          <w:szCs w:val="20"/>
        </w:rPr>
        <w:t xml:space="preserve">Informaţia privind fluxul şi stocul împrumuturilor interne, </w:t>
      </w:r>
    </w:p>
    <w:p w:rsidR="00F33AF7" w:rsidRPr="00651044" w:rsidRDefault="002F2582" w:rsidP="00F33AF7">
      <w:pPr>
        <w:ind w:firstLine="705"/>
        <w:jc w:val="center"/>
        <w:rPr>
          <w:b/>
          <w:i/>
          <w:sz w:val="20"/>
          <w:szCs w:val="20"/>
        </w:rPr>
      </w:pPr>
      <w:r w:rsidRPr="00651044">
        <w:rPr>
          <w:b/>
          <w:i/>
          <w:sz w:val="20"/>
          <w:szCs w:val="20"/>
        </w:rPr>
        <w:t>la situaţia din 31.12.2015</w:t>
      </w:r>
      <w:r w:rsidR="00F33AF7" w:rsidRPr="00651044">
        <w:rPr>
          <w:b/>
          <w:i/>
          <w:sz w:val="20"/>
          <w:szCs w:val="20"/>
        </w:rPr>
        <w:t>, ale întreprinderilor de stat</w:t>
      </w:r>
    </w:p>
    <w:p w:rsidR="00F33AF7" w:rsidRPr="00651044" w:rsidRDefault="00F33AF7" w:rsidP="00F33AF7">
      <w:pPr>
        <w:ind w:firstLine="705"/>
        <w:jc w:val="center"/>
        <w:rPr>
          <w:sz w:val="20"/>
          <w:szCs w:val="20"/>
        </w:rPr>
      </w:pPr>
      <w:r w:rsidRPr="00651044">
        <w:rPr>
          <w:sz w:val="20"/>
          <w:szCs w:val="20"/>
        </w:rPr>
        <w:t xml:space="preserve">                                                                                                                                    </w:t>
      </w:r>
      <w:r w:rsidR="002F2582" w:rsidRPr="00651044">
        <w:rPr>
          <w:sz w:val="20"/>
          <w:szCs w:val="20"/>
        </w:rPr>
        <w:t>mil. lei</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3"/>
        <w:gridCol w:w="5594"/>
        <w:gridCol w:w="1551"/>
        <w:gridCol w:w="1647"/>
      </w:tblGrid>
      <w:tr w:rsidR="00F33AF7" w:rsidRPr="00651044" w:rsidTr="00613394">
        <w:trPr>
          <w:trHeight w:val="386"/>
          <w:jc w:val="center"/>
        </w:trPr>
        <w:tc>
          <w:tcPr>
            <w:tcW w:w="643" w:type="dxa"/>
            <w:noWrap/>
            <w:hideMark/>
          </w:tcPr>
          <w:p w:rsidR="00F33AF7" w:rsidRPr="00651044" w:rsidRDefault="00F33AF7" w:rsidP="00613394">
            <w:pPr>
              <w:pStyle w:val="NoSpacing"/>
              <w:jc w:val="center"/>
              <w:rPr>
                <w:b/>
                <w:i/>
                <w:iCs/>
                <w:sz w:val="20"/>
                <w:szCs w:val="20"/>
              </w:rPr>
            </w:pPr>
            <w:r w:rsidRPr="00651044">
              <w:rPr>
                <w:b/>
                <w:i/>
                <w:iCs/>
                <w:sz w:val="20"/>
                <w:szCs w:val="20"/>
              </w:rPr>
              <w:t>Nr.</w:t>
            </w:r>
          </w:p>
          <w:p w:rsidR="000437F2" w:rsidRPr="00651044" w:rsidRDefault="000437F2" w:rsidP="00613394">
            <w:pPr>
              <w:pStyle w:val="NoSpacing"/>
              <w:jc w:val="center"/>
              <w:rPr>
                <w:b/>
                <w:i/>
                <w:iCs/>
                <w:sz w:val="20"/>
                <w:szCs w:val="20"/>
              </w:rPr>
            </w:pPr>
          </w:p>
        </w:tc>
        <w:tc>
          <w:tcPr>
            <w:tcW w:w="5594" w:type="dxa"/>
            <w:hideMark/>
          </w:tcPr>
          <w:p w:rsidR="00F33AF7" w:rsidRPr="00651044" w:rsidRDefault="00F33AF7" w:rsidP="00613394">
            <w:pPr>
              <w:pStyle w:val="NoSpacing"/>
              <w:jc w:val="center"/>
              <w:rPr>
                <w:b/>
                <w:i/>
                <w:iCs/>
                <w:sz w:val="20"/>
                <w:szCs w:val="20"/>
              </w:rPr>
            </w:pPr>
            <w:r w:rsidRPr="00651044">
              <w:rPr>
                <w:b/>
                <w:i/>
                <w:iCs/>
                <w:sz w:val="20"/>
                <w:szCs w:val="20"/>
              </w:rPr>
              <w:t>Debitorul</w:t>
            </w:r>
          </w:p>
        </w:tc>
        <w:tc>
          <w:tcPr>
            <w:tcW w:w="1551" w:type="dxa"/>
          </w:tcPr>
          <w:p w:rsidR="00F33AF7" w:rsidRPr="00651044" w:rsidRDefault="00F33AF7" w:rsidP="00613394">
            <w:pPr>
              <w:pStyle w:val="NoSpacing"/>
              <w:jc w:val="center"/>
              <w:rPr>
                <w:b/>
                <w:i/>
                <w:iCs/>
                <w:sz w:val="20"/>
                <w:szCs w:val="20"/>
              </w:rPr>
            </w:pPr>
            <w:r w:rsidRPr="00651044">
              <w:rPr>
                <w:b/>
                <w:i/>
                <w:iCs/>
                <w:sz w:val="20"/>
                <w:szCs w:val="20"/>
              </w:rPr>
              <w:t xml:space="preserve">Stoc la </w:t>
            </w:r>
            <w:r w:rsidR="00352B5B" w:rsidRPr="00651044">
              <w:rPr>
                <w:b/>
                <w:i/>
                <w:iCs/>
                <w:sz w:val="20"/>
                <w:szCs w:val="20"/>
              </w:rPr>
              <w:t>31.12.201</w:t>
            </w:r>
            <w:r w:rsidR="002F2582" w:rsidRPr="00651044">
              <w:rPr>
                <w:b/>
                <w:i/>
                <w:iCs/>
                <w:sz w:val="20"/>
                <w:szCs w:val="20"/>
              </w:rPr>
              <w:t>5</w:t>
            </w:r>
          </w:p>
        </w:tc>
        <w:tc>
          <w:tcPr>
            <w:tcW w:w="1647" w:type="dxa"/>
          </w:tcPr>
          <w:p w:rsidR="00F33AF7" w:rsidRPr="00651044" w:rsidRDefault="00F33AF7" w:rsidP="00613394">
            <w:pPr>
              <w:pStyle w:val="NoSpacing"/>
              <w:jc w:val="center"/>
              <w:rPr>
                <w:b/>
                <w:i/>
                <w:iCs/>
                <w:sz w:val="20"/>
                <w:szCs w:val="20"/>
              </w:rPr>
            </w:pPr>
            <w:r w:rsidRPr="00651044">
              <w:rPr>
                <w:b/>
                <w:i/>
                <w:iCs/>
                <w:sz w:val="20"/>
                <w:szCs w:val="20"/>
              </w:rPr>
              <w:t>Stoc</w:t>
            </w:r>
          </w:p>
          <w:p w:rsidR="00F33AF7" w:rsidRPr="00651044" w:rsidRDefault="00F33AF7" w:rsidP="00613394">
            <w:pPr>
              <w:pStyle w:val="NoSpacing"/>
              <w:jc w:val="center"/>
              <w:rPr>
                <w:b/>
                <w:i/>
                <w:iCs/>
                <w:sz w:val="20"/>
                <w:szCs w:val="20"/>
              </w:rPr>
            </w:pPr>
            <w:r w:rsidRPr="00651044">
              <w:rPr>
                <w:b/>
                <w:i/>
                <w:iCs/>
                <w:sz w:val="20"/>
                <w:szCs w:val="20"/>
              </w:rPr>
              <w:t>de arierate</w:t>
            </w:r>
          </w:p>
        </w:tc>
      </w:tr>
      <w:tr w:rsidR="002F2582" w:rsidRPr="00651044" w:rsidTr="00613394">
        <w:trPr>
          <w:trHeight w:val="163"/>
          <w:jc w:val="center"/>
        </w:trPr>
        <w:tc>
          <w:tcPr>
            <w:tcW w:w="643" w:type="dxa"/>
            <w:noWrap/>
            <w:hideMark/>
          </w:tcPr>
          <w:p w:rsidR="002F2582" w:rsidRPr="006E6FE5" w:rsidRDefault="00211C6A" w:rsidP="006E6FE5">
            <w:pPr>
              <w:pStyle w:val="NoSpacing"/>
              <w:jc w:val="center"/>
              <w:rPr>
                <w:b/>
                <w:sz w:val="20"/>
                <w:szCs w:val="20"/>
              </w:rPr>
            </w:pPr>
            <w:r w:rsidRPr="006E6FE5">
              <w:rPr>
                <w:b/>
                <w:sz w:val="20"/>
                <w:szCs w:val="20"/>
              </w:rPr>
              <w:t>1.</w:t>
            </w:r>
          </w:p>
        </w:tc>
        <w:tc>
          <w:tcPr>
            <w:tcW w:w="5594" w:type="dxa"/>
            <w:hideMark/>
          </w:tcPr>
          <w:p w:rsidR="002F2582" w:rsidRPr="00651044" w:rsidRDefault="002F2582" w:rsidP="00E42073">
            <w:pPr>
              <w:pStyle w:val="NoSpacing"/>
              <w:rPr>
                <w:sz w:val="20"/>
                <w:szCs w:val="20"/>
              </w:rPr>
            </w:pPr>
            <w:r w:rsidRPr="00651044">
              <w:rPr>
                <w:sz w:val="20"/>
                <w:szCs w:val="20"/>
              </w:rPr>
              <w:t>Î.S. „Bagos”</w:t>
            </w:r>
          </w:p>
        </w:tc>
        <w:tc>
          <w:tcPr>
            <w:tcW w:w="1551" w:type="dxa"/>
          </w:tcPr>
          <w:p w:rsidR="002F2582" w:rsidRPr="00651044" w:rsidRDefault="002F2582" w:rsidP="00613394">
            <w:pPr>
              <w:pStyle w:val="NoSpacing"/>
              <w:jc w:val="center"/>
              <w:rPr>
                <w:sz w:val="20"/>
                <w:szCs w:val="20"/>
              </w:rPr>
            </w:pPr>
            <w:r w:rsidRPr="00651044">
              <w:rPr>
                <w:sz w:val="20"/>
                <w:szCs w:val="20"/>
              </w:rPr>
              <w:t>0,0</w:t>
            </w:r>
            <w:r w:rsidR="00211C6A" w:rsidRPr="00651044">
              <w:rPr>
                <w:sz w:val="20"/>
                <w:szCs w:val="20"/>
              </w:rPr>
              <w:t>3</w:t>
            </w:r>
          </w:p>
        </w:tc>
        <w:tc>
          <w:tcPr>
            <w:tcW w:w="1647" w:type="dxa"/>
          </w:tcPr>
          <w:p w:rsidR="002F2582" w:rsidRPr="00651044" w:rsidRDefault="002F2582" w:rsidP="00613394">
            <w:pPr>
              <w:pStyle w:val="NoSpacing"/>
              <w:jc w:val="center"/>
              <w:rPr>
                <w:sz w:val="20"/>
                <w:szCs w:val="20"/>
              </w:rPr>
            </w:pPr>
            <w:r w:rsidRPr="00651044">
              <w:rPr>
                <w:sz w:val="20"/>
                <w:szCs w:val="20"/>
              </w:rPr>
              <w:t>0,01</w:t>
            </w:r>
          </w:p>
        </w:tc>
      </w:tr>
      <w:tr w:rsidR="002F2582" w:rsidRPr="00651044" w:rsidTr="00613394">
        <w:trPr>
          <w:trHeight w:val="163"/>
          <w:jc w:val="center"/>
        </w:trPr>
        <w:tc>
          <w:tcPr>
            <w:tcW w:w="643" w:type="dxa"/>
            <w:noWrap/>
            <w:hideMark/>
          </w:tcPr>
          <w:p w:rsidR="002F2582" w:rsidRPr="006E6FE5" w:rsidRDefault="00211C6A" w:rsidP="006E6FE5">
            <w:pPr>
              <w:pStyle w:val="NoSpacing"/>
              <w:jc w:val="center"/>
              <w:rPr>
                <w:b/>
                <w:sz w:val="20"/>
                <w:szCs w:val="20"/>
              </w:rPr>
            </w:pPr>
            <w:r w:rsidRPr="006E6FE5">
              <w:rPr>
                <w:b/>
                <w:sz w:val="20"/>
                <w:szCs w:val="20"/>
              </w:rPr>
              <w:t>2.</w:t>
            </w:r>
          </w:p>
        </w:tc>
        <w:tc>
          <w:tcPr>
            <w:tcW w:w="5594" w:type="dxa"/>
            <w:hideMark/>
          </w:tcPr>
          <w:p w:rsidR="002F2582" w:rsidRPr="00651044" w:rsidRDefault="002F2582" w:rsidP="00E42073">
            <w:pPr>
              <w:pStyle w:val="NoSpacing"/>
              <w:rPr>
                <w:sz w:val="20"/>
                <w:szCs w:val="20"/>
              </w:rPr>
            </w:pPr>
            <w:r w:rsidRPr="00651044">
              <w:rPr>
                <w:sz w:val="20"/>
                <w:szCs w:val="20"/>
              </w:rPr>
              <w:t>Î.S.  Specializată de Executare a Lucrărilor de Explozie „INMEX”</w:t>
            </w:r>
          </w:p>
        </w:tc>
        <w:tc>
          <w:tcPr>
            <w:tcW w:w="1551" w:type="dxa"/>
          </w:tcPr>
          <w:p w:rsidR="002F2582" w:rsidRPr="00651044" w:rsidRDefault="002F2582" w:rsidP="00613394">
            <w:pPr>
              <w:pStyle w:val="NoSpacing"/>
              <w:jc w:val="center"/>
              <w:rPr>
                <w:sz w:val="20"/>
                <w:szCs w:val="20"/>
              </w:rPr>
            </w:pPr>
            <w:r w:rsidRPr="00651044">
              <w:rPr>
                <w:sz w:val="20"/>
                <w:szCs w:val="20"/>
              </w:rPr>
              <w:t>1,</w:t>
            </w:r>
            <w:r w:rsidR="00211C6A" w:rsidRPr="00651044">
              <w:rPr>
                <w:sz w:val="20"/>
                <w:szCs w:val="20"/>
              </w:rPr>
              <w:t>4</w:t>
            </w:r>
          </w:p>
        </w:tc>
        <w:tc>
          <w:tcPr>
            <w:tcW w:w="1647" w:type="dxa"/>
          </w:tcPr>
          <w:p w:rsidR="002F2582" w:rsidRPr="00651044" w:rsidRDefault="002F2582" w:rsidP="00613394">
            <w:pPr>
              <w:pStyle w:val="NoSpacing"/>
              <w:jc w:val="center"/>
              <w:rPr>
                <w:sz w:val="20"/>
                <w:szCs w:val="20"/>
              </w:rPr>
            </w:pPr>
            <w:r w:rsidRPr="00651044">
              <w:rPr>
                <w:sz w:val="20"/>
                <w:szCs w:val="20"/>
              </w:rPr>
              <w:t>-</w:t>
            </w:r>
          </w:p>
        </w:tc>
      </w:tr>
      <w:tr w:rsidR="00F33AF7" w:rsidRPr="00651044" w:rsidTr="00613394">
        <w:trPr>
          <w:trHeight w:val="163"/>
          <w:jc w:val="center"/>
        </w:trPr>
        <w:tc>
          <w:tcPr>
            <w:tcW w:w="643" w:type="dxa"/>
            <w:noWrap/>
            <w:hideMark/>
          </w:tcPr>
          <w:p w:rsidR="00F33AF7" w:rsidRPr="006E6FE5" w:rsidRDefault="00211C6A" w:rsidP="006E6FE5">
            <w:pPr>
              <w:pStyle w:val="NoSpacing"/>
              <w:jc w:val="center"/>
              <w:rPr>
                <w:b/>
                <w:sz w:val="20"/>
                <w:szCs w:val="20"/>
              </w:rPr>
            </w:pPr>
            <w:r w:rsidRPr="006E6FE5">
              <w:rPr>
                <w:b/>
                <w:sz w:val="20"/>
                <w:szCs w:val="20"/>
              </w:rPr>
              <w:t>3.</w:t>
            </w:r>
          </w:p>
        </w:tc>
        <w:tc>
          <w:tcPr>
            <w:tcW w:w="5594" w:type="dxa"/>
            <w:hideMark/>
          </w:tcPr>
          <w:p w:rsidR="00F33AF7" w:rsidRPr="00651044" w:rsidRDefault="00F33AF7" w:rsidP="00E42073">
            <w:pPr>
              <w:pStyle w:val="NoSpacing"/>
              <w:rPr>
                <w:sz w:val="20"/>
                <w:szCs w:val="20"/>
              </w:rPr>
            </w:pPr>
            <w:r w:rsidRPr="00651044">
              <w:rPr>
                <w:sz w:val="20"/>
                <w:szCs w:val="20"/>
              </w:rPr>
              <w:t>Î.S. „Cartuş”</w:t>
            </w:r>
          </w:p>
        </w:tc>
        <w:tc>
          <w:tcPr>
            <w:tcW w:w="1551" w:type="dxa"/>
          </w:tcPr>
          <w:p w:rsidR="00F33AF7" w:rsidRPr="00651044" w:rsidRDefault="00B82722" w:rsidP="00613394">
            <w:pPr>
              <w:pStyle w:val="NoSpacing"/>
              <w:jc w:val="center"/>
              <w:rPr>
                <w:sz w:val="20"/>
                <w:szCs w:val="20"/>
              </w:rPr>
            </w:pPr>
            <w:r w:rsidRPr="00651044">
              <w:rPr>
                <w:sz w:val="20"/>
                <w:szCs w:val="20"/>
              </w:rPr>
              <w:t>0,</w:t>
            </w:r>
            <w:r w:rsidR="002F2582" w:rsidRPr="00651044">
              <w:rPr>
                <w:sz w:val="20"/>
                <w:szCs w:val="20"/>
              </w:rPr>
              <w:t>5</w:t>
            </w:r>
          </w:p>
        </w:tc>
        <w:tc>
          <w:tcPr>
            <w:tcW w:w="1647" w:type="dxa"/>
          </w:tcPr>
          <w:p w:rsidR="00F33AF7" w:rsidRPr="00651044" w:rsidRDefault="002F2582" w:rsidP="00613394">
            <w:pPr>
              <w:pStyle w:val="NoSpacing"/>
              <w:jc w:val="center"/>
              <w:rPr>
                <w:sz w:val="20"/>
                <w:szCs w:val="20"/>
              </w:rPr>
            </w:pPr>
            <w:r w:rsidRPr="00651044">
              <w:rPr>
                <w:sz w:val="20"/>
                <w:szCs w:val="20"/>
              </w:rPr>
              <w:t>-</w:t>
            </w:r>
          </w:p>
        </w:tc>
      </w:tr>
      <w:tr w:rsidR="00F33AF7" w:rsidRPr="00651044" w:rsidTr="00613394">
        <w:trPr>
          <w:trHeight w:val="163"/>
          <w:jc w:val="center"/>
        </w:trPr>
        <w:tc>
          <w:tcPr>
            <w:tcW w:w="643" w:type="dxa"/>
            <w:noWrap/>
            <w:hideMark/>
          </w:tcPr>
          <w:p w:rsidR="00F33AF7" w:rsidRPr="006E6FE5" w:rsidRDefault="00E44864" w:rsidP="006E6FE5">
            <w:pPr>
              <w:pStyle w:val="NoSpacing"/>
              <w:jc w:val="center"/>
              <w:rPr>
                <w:b/>
                <w:sz w:val="20"/>
                <w:szCs w:val="20"/>
              </w:rPr>
            </w:pPr>
            <w:r w:rsidRPr="006E6FE5">
              <w:rPr>
                <w:b/>
                <w:sz w:val="20"/>
                <w:szCs w:val="20"/>
              </w:rPr>
              <w:t>4.</w:t>
            </w:r>
          </w:p>
        </w:tc>
        <w:tc>
          <w:tcPr>
            <w:tcW w:w="5594" w:type="dxa"/>
            <w:hideMark/>
          </w:tcPr>
          <w:p w:rsidR="00F33AF7" w:rsidRPr="00651044" w:rsidRDefault="00F33AF7" w:rsidP="00E42073">
            <w:pPr>
              <w:pStyle w:val="NoSpacing"/>
              <w:rPr>
                <w:sz w:val="20"/>
                <w:szCs w:val="20"/>
              </w:rPr>
            </w:pPr>
            <w:r w:rsidRPr="00651044">
              <w:rPr>
                <w:sz w:val="20"/>
                <w:szCs w:val="20"/>
              </w:rPr>
              <w:t>Î.S. Compania Aeriană „AIR Moldova”</w:t>
            </w:r>
          </w:p>
        </w:tc>
        <w:tc>
          <w:tcPr>
            <w:tcW w:w="1551" w:type="dxa"/>
          </w:tcPr>
          <w:p w:rsidR="00F33AF7" w:rsidRPr="00651044" w:rsidRDefault="002F2582" w:rsidP="00613394">
            <w:pPr>
              <w:pStyle w:val="NoSpacing"/>
              <w:jc w:val="center"/>
              <w:rPr>
                <w:sz w:val="20"/>
                <w:szCs w:val="20"/>
              </w:rPr>
            </w:pPr>
            <w:r w:rsidRPr="00651044">
              <w:rPr>
                <w:sz w:val="20"/>
                <w:szCs w:val="20"/>
              </w:rPr>
              <w:t>361,</w:t>
            </w:r>
            <w:r w:rsidR="00211C6A" w:rsidRPr="00651044">
              <w:rPr>
                <w:sz w:val="20"/>
                <w:szCs w:val="20"/>
              </w:rPr>
              <w:t>8</w:t>
            </w:r>
          </w:p>
        </w:tc>
        <w:tc>
          <w:tcPr>
            <w:tcW w:w="1647" w:type="dxa"/>
          </w:tcPr>
          <w:p w:rsidR="00F33AF7" w:rsidRPr="00651044" w:rsidRDefault="002F2582" w:rsidP="00613394">
            <w:pPr>
              <w:pStyle w:val="NoSpacing"/>
              <w:jc w:val="center"/>
              <w:rPr>
                <w:sz w:val="20"/>
                <w:szCs w:val="20"/>
              </w:rPr>
            </w:pPr>
            <w:r w:rsidRPr="00651044">
              <w:rPr>
                <w:sz w:val="20"/>
                <w:szCs w:val="20"/>
              </w:rPr>
              <w:t>-</w:t>
            </w:r>
          </w:p>
        </w:tc>
      </w:tr>
      <w:tr w:rsidR="00F33AF7" w:rsidRPr="00651044" w:rsidTr="00613394">
        <w:trPr>
          <w:trHeight w:val="62"/>
          <w:jc w:val="center"/>
        </w:trPr>
        <w:tc>
          <w:tcPr>
            <w:tcW w:w="643" w:type="dxa"/>
            <w:noWrap/>
            <w:hideMark/>
          </w:tcPr>
          <w:p w:rsidR="00F33AF7" w:rsidRPr="006E6FE5" w:rsidRDefault="00E44864" w:rsidP="006E6FE5">
            <w:pPr>
              <w:pStyle w:val="NoSpacing"/>
              <w:jc w:val="center"/>
              <w:rPr>
                <w:b/>
                <w:sz w:val="20"/>
                <w:szCs w:val="20"/>
              </w:rPr>
            </w:pPr>
            <w:r w:rsidRPr="006E6FE5">
              <w:rPr>
                <w:b/>
                <w:sz w:val="20"/>
                <w:szCs w:val="20"/>
              </w:rPr>
              <w:t>5.</w:t>
            </w:r>
          </w:p>
        </w:tc>
        <w:tc>
          <w:tcPr>
            <w:tcW w:w="5594" w:type="dxa"/>
            <w:hideMark/>
          </w:tcPr>
          <w:p w:rsidR="00F33AF7" w:rsidRPr="00651044" w:rsidRDefault="00F33AF7" w:rsidP="00E42073">
            <w:pPr>
              <w:pStyle w:val="NoSpacing"/>
              <w:rPr>
                <w:sz w:val="20"/>
                <w:szCs w:val="20"/>
              </w:rPr>
            </w:pPr>
            <w:r w:rsidRPr="00651044">
              <w:rPr>
                <w:sz w:val="20"/>
                <w:szCs w:val="20"/>
              </w:rPr>
              <w:t>Î.S. Staţiunea Didactică Experimentală „Chetrosu”</w:t>
            </w:r>
          </w:p>
        </w:tc>
        <w:tc>
          <w:tcPr>
            <w:tcW w:w="1551" w:type="dxa"/>
          </w:tcPr>
          <w:p w:rsidR="00F33AF7" w:rsidRPr="00651044" w:rsidRDefault="002F2582" w:rsidP="00613394">
            <w:pPr>
              <w:pStyle w:val="NoSpacing"/>
              <w:jc w:val="center"/>
              <w:rPr>
                <w:sz w:val="20"/>
                <w:szCs w:val="20"/>
              </w:rPr>
            </w:pPr>
            <w:r w:rsidRPr="00651044">
              <w:rPr>
                <w:sz w:val="20"/>
                <w:szCs w:val="20"/>
              </w:rPr>
              <w:t>1,</w:t>
            </w:r>
            <w:r w:rsidR="00211C6A" w:rsidRPr="00651044">
              <w:rPr>
                <w:sz w:val="20"/>
                <w:szCs w:val="20"/>
              </w:rPr>
              <w:t>2</w:t>
            </w:r>
          </w:p>
        </w:tc>
        <w:tc>
          <w:tcPr>
            <w:tcW w:w="1647" w:type="dxa"/>
          </w:tcPr>
          <w:p w:rsidR="00F33AF7" w:rsidRPr="00651044" w:rsidRDefault="002F2582" w:rsidP="00613394">
            <w:pPr>
              <w:pStyle w:val="NoSpacing"/>
              <w:jc w:val="center"/>
              <w:rPr>
                <w:sz w:val="20"/>
                <w:szCs w:val="20"/>
              </w:rPr>
            </w:pPr>
            <w:r w:rsidRPr="00651044">
              <w:rPr>
                <w:sz w:val="20"/>
                <w:szCs w:val="20"/>
              </w:rPr>
              <w:t>1,</w:t>
            </w:r>
            <w:r w:rsidR="00E44864" w:rsidRPr="00651044">
              <w:rPr>
                <w:sz w:val="20"/>
                <w:szCs w:val="20"/>
              </w:rPr>
              <w:t>2</w:t>
            </w:r>
          </w:p>
        </w:tc>
      </w:tr>
      <w:tr w:rsidR="00F33AF7" w:rsidRPr="00651044" w:rsidTr="00613394">
        <w:trPr>
          <w:trHeight w:val="62"/>
          <w:jc w:val="center"/>
        </w:trPr>
        <w:tc>
          <w:tcPr>
            <w:tcW w:w="643" w:type="dxa"/>
            <w:noWrap/>
            <w:hideMark/>
          </w:tcPr>
          <w:p w:rsidR="00F33AF7" w:rsidRPr="006E6FE5" w:rsidRDefault="00E44864" w:rsidP="006E6FE5">
            <w:pPr>
              <w:pStyle w:val="NoSpacing"/>
              <w:jc w:val="center"/>
              <w:rPr>
                <w:b/>
                <w:sz w:val="20"/>
                <w:szCs w:val="20"/>
              </w:rPr>
            </w:pPr>
            <w:r w:rsidRPr="006E6FE5">
              <w:rPr>
                <w:b/>
                <w:sz w:val="20"/>
                <w:szCs w:val="20"/>
              </w:rPr>
              <w:t>6.</w:t>
            </w:r>
          </w:p>
        </w:tc>
        <w:tc>
          <w:tcPr>
            <w:tcW w:w="5594" w:type="dxa"/>
            <w:hideMark/>
          </w:tcPr>
          <w:p w:rsidR="00F33AF7" w:rsidRPr="00651044" w:rsidRDefault="00211C6A" w:rsidP="00E42073">
            <w:pPr>
              <w:pStyle w:val="NoSpacing"/>
              <w:rPr>
                <w:sz w:val="20"/>
                <w:szCs w:val="20"/>
              </w:rPr>
            </w:pPr>
            <w:r w:rsidRPr="00651044">
              <w:rPr>
                <w:sz w:val="20"/>
                <w:szCs w:val="20"/>
              </w:rPr>
              <w:t>Î.S. Staţiunea Didactică Experimentală „Criuleni”</w:t>
            </w:r>
          </w:p>
        </w:tc>
        <w:tc>
          <w:tcPr>
            <w:tcW w:w="1551" w:type="dxa"/>
          </w:tcPr>
          <w:p w:rsidR="00F33AF7" w:rsidRPr="00651044" w:rsidRDefault="00211C6A" w:rsidP="00613394">
            <w:pPr>
              <w:pStyle w:val="NoSpacing"/>
              <w:jc w:val="center"/>
              <w:rPr>
                <w:sz w:val="20"/>
                <w:szCs w:val="20"/>
              </w:rPr>
            </w:pPr>
            <w:r w:rsidRPr="00651044">
              <w:rPr>
                <w:sz w:val="20"/>
                <w:szCs w:val="20"/>
              </w:rPr>
              <w:t>0,02</w:t>
            </w:r>
          </w:p>
        </w:tc>
        <w:tc>
          <w:tcPr>
            <w:tcW w:w="1647" w:type="dxa"/>
          </w:tcPr>
          <w:p w:rsidR="00F33AF7" w:rsidRPr="00651044" w:rsidRDefault="00F33AF7" w:rsidP="00613394">
            <w:pPr>
              <w:pStyle w:val="NoSpacing"/>
              <w:jc w:val="center"/>
              <w:rPr>
                <w:sz w:val="20"/>
                <w:szCs w:val="20"/>
              </w:rPr>
            </w:pPr>
            <w:r w:rsidRPr="00651044">
              <w:rPr>
                <w:sz w:val="20"/>
                <w:szCs w:val="20"/>
              </w:rPr>
              <w:t>-</w:t>
            </w:r>
          </w:p>
        </w:tc>
      </w:tr>
      <w:tr w:rsidR="00211C6A" w:rsidRPr="00651044" w:rsidTr="00613394">
        <w:trPr>
          <w:trHeight w:val="62"/>
          <w:jc w:val="center"/>
        </w:trPr>
        <w:tc>
          <w:tcPr>
            <w:tcW w:w="643" w:type="dxa"/>
            <w:noWrap/>
            <w:hideMark/>
          </w:tcPr>
          <w:p w:rsidR="00211C6A" w:rsidRPr="006E6FE5" w:rsidRDefault="00E44864" w:rsidP="006E6FE5">
            <w:pPr>
              <w:pStyle w:val="NoSpacing"/>
              <w:jc w:val="center"/>
              <w:rPr>
                <w:b/>
                <w:sz w:val="20"/>
                <w:szCs w:val="20"/>
              </w:rPr>
            </w:pPr>
            <w:r w:rsidRPr="006E6FE5">
              <w:rPr>
                <w:b/>
                <w:sz w:val="20"/>
                <w:szCs w:val="20"/>
              </w:rPr>
              <w:t>7.</w:t>
            </w:r>
          </w:p>
        </w:tc>
        <w:tc>
          <w:tcPr>
            <w:tcW w:w="5594" w:type="dxa"/>
            <w:hideMark/>
          </w:tcPr>
          <w:p w:rsidR="00211C6A" w:rsidRPr="00651044" w:rsidRDefault="00211C6A" w:rsidP="00E42073">
            <w:pPr>
              <w:pStyle w:val="NoSpacing"/>
              <w:rPr>
                <w:sz w:val="20"/>
                <w:szCs w:val="20"/>
              </w:rPr>
            </w:pPr>
            <w:r w:rsidRPr="00651044">
              <w:rPr>
                <w:sz w:val="20"/>
                <w:szCs w:val="20"/>
              </w:rPr>
              <w:t>Î.S. Sanatoriul Preventoriu de Bază „Constructorul”</w:t>
            </w:r>
          </w:p>
        </w:tc>
        <w:tc>
          <w:tcPr>
            <w:tcW w:w="1551" w:type="dxa"/>
          </w:tcPr>
          <w:p w:rsidR="00211C6A" w:rsidRPr="00651044" w:rsidRDefault="00211C6A" w:rsidP="00613394">
            <w:pPr>
              <w:pStyle w:val="NoSpacing"/>
              <w:jc w:val="center"/>
              <w:rPr>
                <w:sz w:val="20"/>
                <w:szCs w:val="20"/>
              </w:rPr>
            </w:pPr>
            <w:r w:rsidRPr="00651044">
              <w:rPr>
                <w:sz w:val="20"/>
                <w:szCs w:val="20"/>
              </w:rPr>
              <w:t>0,1</w:t>
            </w:r>
          </w:p>
        </w:tc>
        <w:tc>
          <w:tcPr>
            <w:tcW w:w="1647" w:type="dxa"/>
          </w:tcPr>
          <w:p w:rsidR="00211C6A" w:rsidRPr="00651044" w:rsidRDefault="00211C6A" w:rsidP="00613394">
            <w:pPr>
              <w:pStyle w:val="NoSpacing"/>
              <w:jc w:val="center"/>
              <w:rPr>
                <w:sz w:val="20"/>
                <w:szCs w:val="20"/>
              </w:rPr>
            </w:pPr>
            <w:r w:rsidRPr="00651044">
              <w:rPr>
                <w:sz w:val="20"/>
                <w:szCs w:val="20"/>
              </w:rPr>
              <w:t>0,0</w:t>
            </w:r>
            <w:r w:rsidR="00EC2C5E" w:rsidRPr="00651044">
              <w:rPr>
                <w:sz w:val="20"/>
                <w:szCs w:val="20"/>
              </w:rPr>
              <w:t>9</w:t>
            </w:r>
          </w:p>
        </w:tc>
      </w:tr>
      <w:tr w:rsidR="00F33AF7" w:rsidRPr="00651044" w:rsidTr="00613394">
        <w:trPr>
          <w:trHeight w:val="62"/>
          <w:jc w:val="center"/>
        </w:trPr>
        <w:tc>
          <w:tcPr>
            <w:tcW w:w="643" w:type="dxa"/>
            <w:noWrap/>
            <w:hideMark/>
          </w:tcPr>
          <w:p w:rsidR="00F33AF7" w:rsidRPr="006E6FE5" w:rsidRDefault="00E44864" w:rsidP="006E6FE5">
            <w:pPr>
              <w:pStyle w:val="NoSpacing"/>
              <w:jc w:val="center"/>
              <w:rPr>
                <w:b/>
                <w:sz w:val="20"/>
                <w:szCs w:val="20"/>
              </w:rPr>
            </w:pPr>
            <w:r w:rsidRPr="006E6FE5">
              <w:rPr>
                <w:b/>
                <w:sz w:val="20"/>
                <w:szCs w:val="20"/>
              </w:rPr>
              <w:t>8.</w:t>
            </w:r>
          </w:p>
        </w:tc>
        <w:tc>
          <w:tcPr>
            <w:tcW w:w="5594" w:type="dxa"/>
            <w:hideMark/>
          </w:tcPr>
          <w:p w:rsidR="00F33AF7" w:rsidRPr="00651044" w:rsidRDefault="00F33AF7" w:rsidP="00E42073">
            <w:pPr>
              <w:pStyle w:val="NoSpacing"/>
              <w:rPr>
                <w:sz w:val="20"/>
                <w:szCs w:val="20"/>
              </w:rPr>
            </w:pPr>
            <w:r w:rsidRPr="00651044">
              <w:rPr>
                <w:sz w:val="20"/>
                <w:szCs w:val="20"/>
              </w:rPr>
              <w:t>Î.S. pentru cercetarea în selecţie şi hibridarea suinelor „Molsuinhibrid”</w:t>
            </w:r>
          </w:p>
        </w:tc>
        <w:tc>
          <w:tcPr>
            <w:tcW w:w="1551" w:type="dxa"/>
          </w:tcPr>
          <w:p w:rsidR="00F33AF7" w:rsidRPr="00651044" w:rsidRDefault="00211C6A" w:rsidP="00613394">
            <w:pPr>
              <w:pStyle w:val="NoSpacing"/>
              <w:jc w:val="center"/>
              <w:rPr>
                <w:sz w:val="20"/>
                <w:szCs w:val="20"/>
              </w:rPr>
            </w:pPr>
            <w:r w:rsidRPr="00651044">
              <w:rPr>
                <w:sz w:val="20"/>
                <w:szCs w:val="20"/>
              </w:rPr>
              <w:t>0,65</w:t>
            </w:r>
          </w:p>
        </w:tc>
        <w:tc>
          <w:tcPr>
            <w:tcW w:w="1647" w:type="dxa"/>
          </w:tcPr>
          <w:p w:rsidR="00F33AF7" w:rsidRPr="00651044" w:rsidRDefault="00B82722" w:rsidP="00613394">
            <w:pPr>
              <w:pStyle w:val="NoSpacing"/>
              <w:jc w:val="center"/>
              <w:rPr>
                <w:sz w:val="20"/>
                <w:szCs w:val="20"/>
              </w:rPr>
            </w:pPr>
            <w:r w:rsidRPr="00651044">
              <w:rPr>
                <w:sz w:val="20"/>
                <w:szCs w:val="20"/>
              </w:rPr>
              <w:t>-</w:t>
            </w:r>
          </w:p>
        </w:tc>
      </w:tr>
      <w:tr w:rsidR="00F33AF7" w:rsidRPr="00651044" w:rsidTr="00613394">
        <w:trPr>
          <w:trHeight w:val="62"/>
          <w:jc w:val="center"/>
        </w:trPr>
        <w:tc>
          <w:tcPr>
            <w:tcW w:w="643" w:type="dxa"/>
            <w:noWrap/>
            <w:hideMark/>
          </w:tcPr>
          <w:p w:rsidR="00F33AF7" w:rsidRPr="006E6FE5" w:rsidRDefault="00E44864" w:rsidP="006E6FE5">
            <w:pPr>
              <w:pStyle w:val="NoSpacing"/>
              <w:jc w:val="center"/>
              <w:rPr>
                <w:b/>
                <w:sz w:val="20"/>
                <w:szCs w:val="20"/>
              </w:rPr>
            </w:pPr>
            <w:r w:rsidRPr="006E6FE5">
              <w:rPr>
                <w:b/>
                <w:sz w:val="20"/>
                <w:szCs w:val="20"/>
              </w:rPr>
              <w:t>9.</w:t>
            </w:r>
          </w:p>
        </w:tc>
        <w:tc>
          <w:tcPr>
            <w:tcW w:w="5594" w:type="dxa"/>
            <w:hideMark/>
          </w:tcPr>
          <w:p w:rsidR="00F33AF7" w:rsidRPr="00651044" w:rsidRDefault="00F33AF7" w:rsidP="00E42073">
            <w:pPr>
              <w:pStyle w:val="NoSpacing"/>
              <w:rPr>
                <w:sz w:val="20"/>
                <w:szCs w:val="20"/>
              </w:rPr>
            </w:pPr>
            <w:r w:rsidRPr="00651044">
              <w:rPr>
                <w:sz w:val="20"/>
                <w:szCs w:val="20"/>
              </w:rPr>
              <w:t>Î.S. Nodul Hidroenergetic „Costeşti”</w:t>
            </w:r>
          </w:p>
        </w:tc>
        <w:tc>
          <w:tcPr>
            <w:tcW w:w="1551" w:type="dxa"/>
          </w:tcPr>
          <w:p w:rsidR="00F33AF7" w:rsidRPr="00651044" w:rsidRDefault="00211C6A" w:rsidP="00613394">
            <w:pPr>
              <w:pStyle w:val="NoSpacing"/>
              <w:jc w:val="center"/>
              <w:rPr>
                <w:sz w:val="20"/>
                <w:szCs w:val="20"/>
              </w:rPr>
            </w:pPr>
            <w:r w:rsidRPr="00651044">
              <w:rPr>
                <w:sz w:val="20"/>
                <w:szCs w:val="20"/>
              </w:rPr>
              <w:t>3,4</w:t>
            </w:r>
          </w:p>
        </w:tc>
        <w:tc>
          <w:tcPr>
            <w:tcW w:w="1647" w:type="dxa"/>
          </w:tcPr>
          <w:p w:rsidR="00F33AF7" w:rsidRPr="00651044" w:rsidRDefault="00E7351D" w:rsidP="00613394">
            <w:pPr>
              <w:pStyle w:val="NoSpacing"/>
              <w:jc w:val="center"/>
              <w:rPr>
                <w:sz w:val="20"/>
                <w:szCs w:val="20"/>
              </w:rPr>
            </w:pPr>
            <w:r w:rsidRPr="00651044">
              <w:rPr>
                <w:sz w:val="20"/>
                <w:szCs w:val="20"/>
              </w:rPr>
              <w:t>0,1</w:t>
            </w:r>
          </w:p>
        </w:tc>
      </w:tr>
      <w:tr w:rsidR="00F33AF7" w:rsidRPr="00651044" w:rsidTr="00613394">
        <w:trPr>
          <w:trHeight w:val="62"/>
          <w:jc w:val="center"/>
        </w:trPr>
        <w:tc>
          <w:tcPr>
            <w:tcW w:w="643" w:type="dxa"/>
            <w:noWrap/>
            <w:hideMark/>
          </w:tcPr>
          <w:p w:rsidR="00F33AF7" w:rsidRPr="006E6FE5" w:rsidRDefault="00E44864" w:rsidP="006E6FE5">
            <w:pPr>
              <w:pStyle w:val="NoSpacing"/>
              <w:jc w:val="center"/>
              <w:rPr>
                <w:b/>
                <w:sz w:val="20"/>
                <w:szCs w:val="20"/>
              </w:rPr>
            </w:pPr>
            <w:r w:rsidRPr="006E6FE5">
              <w:rPr>
                <w:b/>
                <w:sz w:val="20"/>
                <w:szCs w:val="20"/>
              </w:rPr>
              <w:t>10.</w:t>
            </w:r>
          </w:p>
        </w:tc>
        <w:tc>
          <w:tcPr>
            <w:tcW w:w="5594" w:type="dxa"/>
            <w:hideMark/>
          </w:tcPr>
          <w:p w:rsidR="00F33AF7" w:rsidRPr="00651044" w:rsidRDefault="00F33AF7" w:rsidP="00E42073">
            <w:pPr>
              <w:pStyle w:val="NoSpacing"/>
              <w:rPr>
                <w:sz w:val="20"/>
                <w:szCs w:val="20"/>
              </w:rPr>
            </w:pPr>
            <w:r w:rsidRPr="00651044">
              <w:rPr>
                <w:sz w:val="20"/>
                <w:szCs w:val="20"/>
              </w:rPr>
              <w:t>Î.S. „Aeroportul Internaţional Mărculeşti”</w:t>
            </w:r>
          </w:p>
        </w:tc>
        <w:tc>
          <w:tcPr>
            <w:tcW w:w="1551" w:type="dxa"/>
          </w:tcPr>
          <w:p w:rsidR="00F33AF7" w:rsidRPr="00651044" w:rsidRDefault="00211C6A" w:rsidP="00613394">
            <w:pPr>
              <w:pStyle w:val="NoSpacing"/>
              <w:jc w:val="center"/>
              <w:rPr>
                <w:sz w:val="20"/>
                <w:szCs w:val="20"/>
              </w:rPr>
            </w:pPr>
            <w:r w:rsidRPr="00651044">
              <w:rPr>
                <w:sz w:val="20"/>
                <w:szCs w:val="20"/>
              </w:rPr>
              <w:t>5,4</w:t>
            </w:r>
          </w:p>
        </w:tc>
        <w:tc>
          <w:tcPr>
            <w:tcW w:w="1647" w:type="dxa"/>
          </w:tcPr>
          <w:p w:rsidR="00F33AF7" w:rsidRPr="00651044" w:rsidRDefault="00211C6A" w:rsidP="00613394">
            <w:pPr>
              <w:pStyle w:val="NoSpacing"/>
              <w:jc w:val="center"/>
              <w:rPr>
                <w:sz w:val="20"/>
                <w:szCs w:val="20"/>
              </w:rPr>
            </w:pPr>
            <w:r w:rsidRPr="00651044">
              <w:rPr>
                <w:sz w:val="20"/>
                <w:szCs w:val="20"/>
              </w:rPr>
              <w:t>5,4</w:t>
            </w:r>
          </w:p>
        </w:tc>
      </w:tr>
      <w:tr w:rsidR="00F33AF7" w:rsidRPr="00651044" w:rsidTr="00613394">
        <w:trPr>
          <w:trHeight w:val="62"/>
          <w:jc w:val="center"/>
        </w:trPr>
        <w:tc>
          <w:tcPr>
            <w:tcW w:w="643" w:type="dxa"/>
            <w:noWrap/>
            <w:hideMark/>
          </w:tcPr>
          <w:p w:rsidR="00F33AF7" w:rsidRPr="006E6FE5" w:rsidRDefault="00E44864" w:rsidP="006E6FE5">
            <w:pPr>
              <w:pStyle w:val="NoSpacing"/>
              <w:jc w:val="center"/>
              <w:rPr>
                <w:b/>
                <w:sz w:val="20"/>
                <w:szCs w:val="20"/>
              </w:rPr>
            </w:pPr>
            <w:r w:rsidRPr="006E6FE5">
              <w:rPr>
                <w:b/>
                <w:sz w:val="20"/>
                <w:szCs w:val="20"/>
              </w:rPr>
              <w:t>11.</w:t>
            </w:r>
          </w:p>
        </w:tc>
        <w:tc>
          <w:tcPr>
            <w:tcW w:w="5594" w:type="dxa"/>
            <w:hideMark/>
          </w:tcPr>
          <w:p w:rsidR="00F33AF7" w:rsidRPr="00651044" w:rsidRDefault="00F33AF7" w:rsidP="00E42073">
            <w:pPr>
              <w:pStyle w:val="NoSpacing"/>
              <w:rPr>
                <w:sz w:val="20"/>
                <w:szCs w:val="20"/>
              </w:rPr>
            </w:pPr>
            <w:r w:rsidRPr="00651044">
              <w:rPr>
                <w:sz w:val="20"/>
                <w:szCs w:val="20"/>
              </w:rPr>
              <w:t>Î.S. „Calea Ferată din Moldova”</w:t>
            </w:r>
          </w:p>
        </w:tc>
        <w:tc>
          <w:tcPr>
            <w:tcW w:w="1551" w:type="dxa"/>
          </w:tcPr>
          <w:p w:rsidR="00F33AF7" w:rsidRPr="00651044" w:rsidRDefault="00211C6A" w:rsidP="00613394">
            <w:pPr>
              <w:pStyle w:val="NoSpacing"/>
              <w:jc w:val="center"/>
              <w:rPr>
                <w:sz w:val="20"/>
                <w:szCs w:val="20"/>
              </w:rPr>
            </w:pPr>
            <w:r w:rsidRPr="00651044">
              <w:rPr>
                <w:sz w:val="20"/>
                <w:szCs w:val="20"/>
              </w:rPr>
              <w:t>236,7</w:t>
            </w:r>
          </w:p>
        </w:tc>
        <w:tc>
          <w:tcPr>
            <w:tcW w:w="1647" w:type="dxa"/>
          </w:tcPr>
          <w:p w:rsidR="00F33AF7" w:rsidRPr="00651044" w:rsidRDefault="00211C6A" w:rsidP="00613394">
            <w:pPr>
              <w:pStyle w:val="NoSpacing"/>
              <w:jc w:val="center"/>
              <w:rPr>
                <w:sz w:val="20"/>
                <w:szCs w:val="20"/>
              </w:rPr>
            </w:pPr>
            <w:r w:rsidRPr="00651044">
              <w:rPr>
                <w:sz w:val="20"/>
                <w:szCs w:val="20"/>
              </w:rPr>
              <w:t>0,4</w:t>
            </w:r>
          </w:p>
        </w:tc>
      </w:tr>
      <w:tr w:rsidR="00F33AF7" w:rsidRPr="00651044" w:rsidTr="00613394">
        <w:trPr>
          <w:trHeight w:val="62"/>
          <w:jc w:val="center"/>
        </w:trPr>
        <w:tc>
          <w:tcPr>
            <w:tcW w:w="643" w:type="dxa"/>
            <w:noWrap/>
            <w:hideMark/>
          </w:tcPr>
          <w:p w:rsidR="00F33AF7" w:rsidRPr="006E6FE5" w:rsidRDefault="00572040" w:rsidP="006E6FE5">
            <w:pPr>
              <w:pStyle w:val="NoSpacing"/>
              <w:jc w:val="center"/>
              <w:rPr>
                <w:b/>
                <w:sz w:val="20"/>
                <w:szCs w:val="20"/>
              </w:rPr>
            </w:pPr>
            <w:r>
              <w:rPr>
                <w:b/>
                <w:sz w:val="20"/>
                <w:szCs w:val="20"/>
              </w:rPr>
              <w:t>12.</w:t>
            </w:r>
          </w:p>
        </w:tc>
        <w:tc>
          <w:tcPr>
            <w:tcW w:w="5594" w:type="dxa"/>
            <w:hideMark/>
          </w:tcPr>
          <w:p w:rsidR="00F33AF7" w:rsidRPr="00651044" w:rsidRDefault="00F33AF7" w:rsidP="00E42073">
            <w:pPr>
              <w:pStyle w:val="NoSpacing"/>
              <w:rPr>
                <w:sz w:val="20"/>
                <w:szCs w:val="20"/>
              </w:rPr>
            </w:pPr>
            <w:r w:rsidRPr="00651044">
              <w:rPr>
                <w:sz w:val="20"/>
                <w:szCs w:val="20"/>
              </w:rPr>
              <w:t>Î.S. Editura „Universul”</w:t>
            </w:r>
          </w:p>
        </w:tc>
        <w:tc>
          <w:tcPr>
            <w:tcW w:w="1551" w:type="dxa"/>
          </w:tcPr>
          <w:p w:rsidR="00F33AF7" w:rsidRPr="00651044" w:rsidRDefault="00211C6A" w:rsidP="00613394">
            <w:pPr>
              <w:pStyle w:val="NoSpacing"/>
              <w:jc w:val="center"/>
              <w:rPr>
                <w:sz w:val="20"/>
                <w:szCs w:val="20"/>
              </w:rPr>
            </w:pPr>
            <w:r w:rsidRPr="00651044">
              <w:rPr>
                <w:sz w:val="20"/>
                <w:szCs w:val="20"/>
              </w:rPr>
              <w:t>6,4</w:t>
            </w:r>
          </w:p>
        </w:tc>
        <w:tc>
          <w:tcPr>
            <w:tcW w:w="1647" w:type="dxa"/>
          </w:tcPr>
          <w:p w:rsidR="00F33AF7" w:rsidRPr="00651044" w:rsidRDefault="00211C6A" w:rsidP="00613394">
            <w:pPr>
              <w:pStyle w:val="NoSpacing"/>
              <w:jc w:val="center"/>
              <w:rPr>
                <w:sz w:val="20"/>
                <w:szCs w:val="20"/>
              </w:rPr>
            </w:pPr>
            <w:r w:rsidRPr="00651044">
              <w:rPr>
                <w:sz w:val="20"/>
                <w:szCs w:val="20"/>
              </w:rPr>
              <w:t>1,0</w:t>
            </w:r>
          </w:p>
        </w:tc>
      </w:tr>
      <w:tr w:rsidR="00F33AF7" w:rsidRPr="00651044" w:rsidTr="00613394">
        <w:trPr>
          <w:trHeight w:val="62"/>
          <w:jc w:val="center"/>
        </w:trPr>
        <w:tc>
          <w:tcPr>
            <w:tcW w:w="643" w:type="dxa"/>
            <w:noWrap/>
            <w:hideMark/>
          </w:tcPr>
          <w:p w:rsidR="00F33AF7" w:rsidRPr="006E6FE5" w:rsidRDefault="00572040" w:rsidP="006E6FE5">
            <w:pPr>
              <w:pStyle w:val="NoSpacing"/>
              <w:jc w:val="center"/>
              <w:rPr>
                <w:b/>
                <w:sz w:val="20"/>
                <w:szCs w:val="20"/>
              </w:rPr>
            </w:pPr>
            <w:r>
              <w:rPr>
                <w:b/>
                <w:sz w:val="20"/>
                <w:szCs w:val="20"/>
              </w:rPr>
              <w:t>13</w:t>
            </w:r>
            <w:r w:rsidR="00E44864" w:rsidRPr="006E6FE5">
              <w:rPr>
                <w:b/>
                <w:sz w:val="20"/>
                <w:szCs w:val="20"/>
              </w:rPr>
              <w:t>.</w:t>
            </w:r>
          </w:p>
        </w:tc>
        <w:tc>
          <w:tcPr>
            <w:tcW w:w="5594" w:type="dxa"/>
            <w:hideMark/>
          </w:tcPr>
          <w:p w:rsidR="00F33AF7" w:rsidRPr="00651044" w:rsidRDefault="00F33AF7" w:rsidP="00E42073">
            <w:pPr>
              <w:pStyle w:val="NoSpacing"/>
              <w:rPr>
                <w:sz w:val="20"/>
                <w:szCs w:val="20"/>
              </w:rPr>
            </w:pPr>
            <w:r w:rsidRPr="00651044">
              <w:rPr>
                <w:sz w:val="20"/>
                <w:szCs w:val="20"/>
              </w:rPr>
              <w:t>Î.S. „Fabrica de Sticlă din Chişinău”</w:t>
            </w:r>
          </w:p>
        </w:tc>
        <w:tc>
          <w:tcPr>
            <w:tcW w:w="1551" w:type="dxa"/>
          </w:tcPr>
          <w:p w:rsidR="00F33AF7" w:rsidRPr="00651044" w:rsidRDefault="00211C6A" w:rsidP="00613394">
            <w:pPr>
              <w:pStyle w:val="NoSpacing"/>
              <w:jc w:val="center"/>
              <w:rPr>
                <w:sz w:val="20"/>
                <w:szCs w:val="20"/>
              </w:rPr>
            </w:pPr>
            <w:r w:rsidRPr="00651044">
              <w:rPr>
                <w:sz w:val="20"/>
                <w:szCs w:val="20"/>
              </w:rPr>
              <w:t>71,9</w:t>
            </w:r>
          </w:p>
        </w:tc>
        <w:tc>
          <w:tcPr>
            <w:tcW w:w="1647" w:type="dxa"/>
          </w:tcPr>
          <w:p w:rsidR="00F33AF7" w:rsidRPr="00651044" w:rsidRDefault="00F33AF7" w:rsidP="00613394">
            <w:pPr>
              <w:pStyle w:val="NoSpacing"/>
              <w:jc w:val="center"/>
              <w:rPr>
                <w:sz w:val="20"/>
                <w:szCs w:val="20"/>
              </w:rPr>
            </w:pPr>
            <w:r w:rsidRPr="00651044">
              <w:rPr>
                <w:sz w:val="20"/>
                <w:szCs w:val="20"/>
              </w:rPr>
              <w:t>-</w:t>
            </w:r>
          </w:p>
        </w:tc>
      </w:tr>
      <w:tr w:rsidR="00F33AF7" w:rsidRPr="00651044" w:rsidTr="00613394">
        <w:trPr>
          <w:trHeight w:val="62"/>
          <w:jc w:val="center"/>
        </w:trPr>
        <w:tc>
          <w:tcPr>
            <w:tcW w:w="643" w:type="dxa"/>
            <w:noWrap/>
            <w:hideMark/>
          </w:tcPr>
          <w:p w:rsidR="00F33AF7" w:rsidRPr="006E6FE5" w:rsidRDefault="00572040" w:rsidP="006E6FE5">
            <w:pPr>
              <w:pStyle w:val="NoSpacing"/>
              <w:jc w:val="center"/>
              <w:rPr>
                <w:b/>
                <w:sz w:val="20"/>
                <w:szCs w:val="20"/>
              </w:rPr>
            </w:pPr>
            <w:r>
              <w:rPr>
                <w:b/>
                <w:sz w:val="20"/>
                <w:szCs w:val="20"/>
              </w:rPr>
              <w:t>14</w:t>
            </w:r>
            <w:r w:rsidR="00E44864" w:rsidRPr="006E6FE5">
              <w:rPr>
                <w:b/>
                <w:sz w:val="20"/>
                <w:szCs w:val="20"/>
              </w:rPr>
              <w:t>.</w:t>
            </w:r>
          </w:p>
        </w:tc>
        <w:tc>
          <w:tcPr>
            <w:tcW w:w="5594" w:type="dxa"/>
            <w:hideMark/>
          </w:tcPr>
          <w:p w:rsidR="00F33AF7" w:rsidRPr="00651044" w:rsidRDefault="00F33AF7" w:rsidP="00E42073">
            <w:pPr>
              <w:pStyle w:val="NoSpacing"/>
              <w:rPr>
                <w:sz w:val="20"/>
                <w:szCs w:val="20"/>
              </w:rPr>
            </w:pPr>
            <w:r w:rsidRPr="00651044">
              <w:rPr>
                <w:sz w:val="20"/>
                <w:szCs w:val="20"/>
              </w:rPr>
              <w:t>Î.S. Firma Editorial-Poligrafică „Tipografia Centrală”</w:t>
            </w:r>
          </w:p>
        </w:tc>
        <w:tc>
          <w:tcPr>
            <w:tcW w:w="1551" w:type="dxa"/>
          </w:tcPr>
          <w:p w:rsidR="00F33AF7" w:rsidRPr="00651044" w:rsidRDefault="00E7351D" w:rsidP="00613394">
            <w:pPr>
              <w:pStyle w:val="NoSpacing"/>
              <w:jc w:val="center"/>
              <w:rPr>
                <w:sz w:val="20"/>
                <w:szCs w:val="20"/>
              </w:rPr>
            </w:pPr>
            <w:r w:rsidRPr="00651044">
              <w:rPr>
                <w:sz w:val="20"/>
                <w:szCs w:val="20"/>
              </w:rPr>
              <w:t>17,</w:t>
            </w:r>
            <w:r w:rsidR="00211C6A" w:rsidRPr="00651044">
              <w:rPr>
                <w:sz w:val="20"/>
                <w:szCs w:val="20"/>
              </w:rPr>
              <w:t>5</w:t>
            </w:r>
          </w:p>
        </w:tc>
        <w:tc>
          <w:tcPr>
            <w:tcW w:w="1647" w:type="dxa"/>
          </w:tcPr>
          <w:p w:rsidR="00F33AF7" w:rsidRPr="00651044" w:rsidRDefault="00F33AF7" w:rsidP="00613394">
            <w:pPr>
              <w:pStyle w:val="NoSpacing"/>
              <w:jc w:val="center"/>
              <w:rPr>
                <w:sz w:val="20"/>
                <w:szCs w:val="20"/>
              </w:rPr>
            </w:pPr>
            <w:r w:rsidRPr="00651044">
              <w:rPr>
                <w:sz w:val="20"/>
                <w:szCs w:val="20"/>
              </w:rPr>
              <w:t>-</w:t>
            </w:r>
          </w:p>
        </w:tc>
      </w:tr>
      <w:tr w:rsidR="00EC2C5E" w:rsidRPr="00651044" w:rsidTr="00613394">
        <w:trPr>
          <w:trHeight w:val="62"/>
          <w:jc w:val="center"/>
        </w:trPr>
        <w:tc>
          <w:tcPr>
            <w:tcW w:w="6237" w:type="dxa"/>
            <w:gridSpan w:val="2"/>
            <w:noWrap/>
            <w:hideMark/>
          </w:tcPr>
          <w:p w:rsidR="00EC2C5E" w:rsidRPr="00651044" w:rsidRDefault="00EC2C5E" w:rsidP="00E42073">
            <w:pPr>
              <w:pStyle w:val="NoSpacing"/>
              <w:rPr>
                <w:b/>
                <w:sz w:val="20"/>
                <w:szCs w:val="20"/>
              </w:rPr>
            </w:pPr>
            <w:r w:rsidRPr="00651044">
              <w:rPr>
                <w:b/>
                <w:sz w:val="20"/>
                <w:szCs w:val="20"/>
              </w:rPr>
              <w:t>Total</w:t>
            </w:r>
          </w:p>
        </w:tc>
        <w:tc>
          <w:tcPr>
            <w:tcW w:w="1551" w:type="dxa"/>
          </w:tcPr>
          <w:p w:rsidR="00EC2C5E" w:rsidRPr="00651044" w:rsidRDefault="00572040" w:rsidP="00613394">
            <w:pPr>
              <w:pStyle w:val="NoSpacing"/>
              <w:jc w:val="center"/>
              <w:rPr>
                <w:b/>
                <w:sz w:val="20"/>
                <w:szCs w:val="20"/>
              </w:rPr>
            </w:pPr>
            <w:r>
              <w:rPr>
                <w:b/>
                <w:sz w:val="20"/>
                <w:szCs w:val="20"/>
              </w:rPr>
              <w:t>707,0</w:t>
            </w:r>
          </w:p>
        </w:tc>
        <w:tc>
          <w:tcPr>
            <w:tcW w:w="1647" w:type="dxa"/>
          </w:tcPr>
          <w:p w:rsidR="00EC2C5E" w:rsidRPr="00651044" w:rsidRDefault="00572040" w:rsidP="00613394">
            <w:pPr>
              <w:pStyle w:val="NoSpacing"/>
              <w:jc w:val="center"/>
              <w:rPr>
                <w:b/>
                <w:sz w:val="20"/>
                <w:szCs w:val="20"/>
              </w:rPr>
            </w:pPr>
            <w:r>
              <w:rPr>
                <w:b/>
                <w:sz w:val="20"/>
                <w:szCs w:val="20"/>
              </w:rPr>
              <w:t>8,2</w:t>
            </w:r>
          </w:p>
        </w:tc>
      </w:tr>
    </w:tbl>
    <w:p w:rsidR="00F33AF7" w:rsidRPr="00651044" w:rsidRDefault="00F33AF7" w:rsidP="00F33AF7">
      <w:pPr>
        <w:spacing w:line="276" w:lineRule="auto"/>
        <w:ind w:firstLine="708"/>
        <w:jc w:val="both"/>
        <w:rPr>
          <w:color w:val="FF0000"/>
          <w:sz w:val="28"/>
          <w:szCs w:val="28"/>
        </w:rPr>
      </w:pPr>
    </w:p>
    <w:p w:rsidR="00F33AF7" w:rsidRPr="00651044" w:rsidRDefault="00F33AF7" w:rsidP="00F33AF7">
      <w:pPr>
        <w:pStyle w:val="BodyTextIndent2"/>
        <w:spacing w:line="276" w:lineRule="auto"/>
        <w:ind w:firstLine="539"/>
      </w:pPr>
      <w:r w:rsidRPr="00651044">
        <w:rPr>
          <w:szCs w:val="28"/>
        </w:rPr>
        <w:t>Suplimentar</w:t>
      </w:r>
      <w:r w:rsidR="009F0430" w:rsidRPr="00651044">
        <w:rPr>
          <w:szCs w:val="28"/>
        </w:rPr>
        <w:t xml:space="preserve"> </w:t>
      </w:r>
      <w:r w:rsidR="006E6FE5">
        <w:rPr>
          <w:szCs w:val="28"/>
        </w:rPr>
        <w:t xml:space="preserve">se </w:t>
      </w:r>
      <w:r w:rsidR="009F0430" w:rsidRPr="00651044">
        <w:rPr>
          <w:szCs w:val="28"/>
        </w:rPr>
        <w:t>men</w:t>
      </w:r>
      <w:r w:rsidR="00253020" w:rsidRPr="00651044">
        <w:rPr>
          <w:szCs w:val="28"/>
        </w:rPr>
        <w:t>ţ</w:t>
      </w:r>
      <w:r w:rsidR="006E6FE5">
        <w:rPr>
          <w:szCs w:val="28"/>
        </w:rPr>
        <w:t>ionează</w:t>
      </w:r>
      <w:r w:rsidR="009F0430" w:rsidRPr="00651044">
        <w:rPr>
          <w:szCs w:val="28"/>
        </w:rPr>
        <w:t xml:space="preserve"> că</w:t>
      </w:r>
      <w:r w:rsidR="002F2582" w:rsidRPr="00651044">
        <w:rPr>
          <w:szCs w:val="28"/>
        </w:rPr>
        <w:t>, la situaţia din 31.12.2015</w:t>
      </w:r>
      <w:r w:rsidRPr="00651044">
        <w:rPr>
          <w:szCs w:val="28"/>
        </w:rPr>
        <w:t>, Î.S. „Moldtranselectro” dispune de datorii pe împrumuturi recreditate din surse interne şi externe faţă de Ministerul Finanţelor,</w:t>
      </w:r>
      <w:r w:rsidR="00C63F73" w:rsidRPr="00651044">
        <w:rPr>
          <w:szCs w:val="28"/>
        </w:rPr>
        <w:t xml:space="preserve"> în mărime de 37,3 mil. lei şi 1</w:t>
      </w:r>
      <w:r w:rsidRPr="00651044">
        <w:rPr>
          <w:szCs w:val="28"/>
        </w:rPr>
        <w:t>,7</w:t>
      </w:r>
      <w:r w:rsidR="00E44864" w:rsidRPr="00651044">
        <w:rPr>
          <w:szCs w:val="28"/>
        </w:rPr>
        <w:t>4</w:t>
      </w:r>
      <w:r w:rsidRPr="00651044">
        <w:rPr>
          <w:szCs w:val="28"/>
        </w:rPr>
        <w:t xml:space="preserve"> mil. dolari SUA şi </w:t>
      </w:r>
      <w:r w:rsidR="00EE086D" w:rsidRPr="00651044">
        <w:rPr>
          <w:szCs w:val="28"/>
        </w:rPr>
        <w:t xml:space="preserve">               </w:t>
      </w:r>
      <w:r w:rsidRPr="00651044">
        <w:rPr>
          <w:szCs w:val="28"/>
        </w:rPr>
        <w:t>Î.S. „Moldelectrica” – 1</w:t>
      </w:r>
      <w:r w:rsidR="002F2582" w:rsidRPr="00651044">
        <w:rPr>
          <w:szCs w:val="28"/>
        </w:rPr>
        <w:t>5,3</w:t>
      </w:r>
      <w:r w:rsidRPr="00651044">
        <w:rPr>
          <w:szCs w:val="28"/>
        </w:rPr>
        <w:t xml:space="preserve"> mil. dolari SUA. Totodată, Î.S. „Moldtranselectro” are datorie pe împrumutul extern acordat sub garanţia statului în mărime de</w:t>
      </w:r>
      <w:r w:rsidR="00C63F73" w:rsidRPr="00651044">
        <w:rPr>
          <w:szCs w:val="28"/>
        </w:rPr>
        <w:t xml:space="preserve"> </w:t>
      </w:r>
      <w:r w:rsidR="008465A8" w:rsidRPr="00651044">
        <w:rPr>
          <w:szCs w:val="28"/>
        </w:rPr>
        <w:t xml:space="preserve">                  </w:t>
      </w:r>
      <w:r w:rsidRPr="00651044">
        <w:rPr>
          <w:szCs w:val="28"/>
        </w:rPr>
        <w:t>0,86 mil. dolari SUA.</w:t>
      </w:r>
    </w:p>
    <w:p w:rsidR="00F33AF7" w:rsidRPr="00651044" w:rsidRDefault="00F33AF7" w:rsidP="00F33AF7">
      <w:pPr>
        <w:pStyle w:val="BodyTextIndent2"/>
        <w:spacing w:line="276" w:lineRule="auto"/>
        <w:ind w:firstLine="539"/>
        <w:rPr>
          <w:szCs w:val="28"/>
        </w:rPr>
      </w:pPr>
      <w:r w:rsidRPr="00651044">
        <w:rPr>
          <w:szCs w:val="28"/>
        </w:rPr>
        <w:t xml:space="preserve">Neachitarea obligaţiilor faţă de instituţiile financiare pe creditele interne şi externe, precum şi cele acordate sub garanţia statului devine obligaţiune convenţională de stat, fapt ce creează o situaţie dificilă privind independenţa financiară a </w:t>
      </w:r>
      <w:r w:rsidR="00F35CEB" w:rsidRPr="00651044">
        <w:rPr>
          <w:szCs w:val="28"/>
        </w:rPr>
        <w:t>entită</w:t>
      </w:r>
      <w:r w:rsidR="005F5ABF" w:rsidRPr="00651044">
        <w:rPr>
          <w:szCs w:val="28"/>
        </w:rPr>
        <w:t>ţ</w:t>
      </w:r>
      <w:r w:rsidR="00F35CEB" w:rsidRPr="00651044">
        <w:rPr>
          <w:szCs w:val="28"/>
        </w:rPr>
        <w:t>ilor</w:t>
      </w:r>
      <w:r w:rsidRPr="00651044">
        <w:rPr>
          <w:szCs w:val="28"/>
        </w:rPr>
        <w:t xml:space="preserve"> economice. Totodată, neachitarea acestor obligaţiuni generează </w:t>
      </w:r>
      <w:r w:rsidRPr="00651044">
        <w:rPr>
          <w:i/>
          <w:szCs w:val="28"/>
        </w:rPr>
        <w:t>riscul financiar de stingere din contul surselor bugetului de stat</w:t>
      </w:r>
      <w:r w:rsidRPr="00651044">
        <w:rPr>
          <w:szCs w:val="28"/>
        </w:rPr>
        <w:t>.</w:t>
      </w:r>
    </w:p>
    <w:p w:rsidR="006A39A0" w:rsidRPr="00651044" w:rsidRDefault="006A39A0" w:rsidP="003E3369">
      <w:pPr>
        <w:spacing w:line="276" w:lineRule="auto"/>
        <w:jc w:val="both"/>
        <w:rPr>
          <w:color w:val="FF0000"/>
          <w:sz w:val="28"/>
          <w:szCs w:val="28"/>
        </w:rPr>
      </w:pPr>
    </w:p>
    <w:p w:rsidR="00895280" w:rsidRPr="00651044" w:rsidRDefault="00895280" w:rsidP="003E3369">
      <w:pPr>
        <w:spacing w:line="276" w:lineRule="auto"/>
        <w:jc w:val="both"/>
        <w:rPr>
          <w:color w:val="FF0000"/>
          <w:sz w:val="28"/>
          <w:szCs w:val="28"/>
        </w:rPr>
      </w:pPr>
    </w:p>
    <w:p w:rsidR="00895280" w:rsidRPr="00651044" w:rsidRDefault="00895280" w:rsidP="003E3369">
      <w:pPr>
        <w:spacing w:line="276" w:lineRule="auto"/>
        <w:jc w:val="both"/>
        <w:rPr>
          <w:color w:val="FF0000"/>
          <w:sz w:val="28"/>
          <w:szCs w:val="28"/>
        </w:rPr>
      </w:pPr>
    </w:p>
    <w:p w:rsidR="00E44864" w:rsidRPr="00651044" w:rsidRDefault="00E44864" w:rsidP="003E3369">
      <w:pPr>
        <w:spacing w:line="276" w:lineRule="auto"/>
        <w:jc w:val="both"/>
        <w:rPr>
          <w:color w:val="FF0000"/>
          <w:sz w:val="28"/>
          <w:szCs w:val="28"/>
        </w:rPr>
      </w:pPr>
    </w:p>
    <w:p w:rsidR="00AD31C8" w:rsidRPr="00651044" w:rsidRDefault="00AD31C8" w:rsidP="00136F34">
      <w:pPr>
        <w:numPr>
          <w:ilvl w:val="0"/>
          <w:numId w:val="11"/>
        </w:numPr>
        <w:ind w:left="567" w:hanging="27"/>
        <w:jc w:val="center"/>
        <w:rPr>
          <w:b/>
          <w:i/>
          <w:sz w:val="28"/>
          <w:szCs w:val="28"/>
        </w:rPr>
      </w:pPr>
      <w:r w:rsidRPr="00651044">
        <w:rPr>
          <w:b/>
          <w:i/>
          <w:sz w:val="28"/>
          <w:szCs w:val="28"/>
        </w:rPr>
        <w:t>Monitoringul financiar al activităţii economico-financiare a societăţilor comerciale cu capital integral sau majoritar de stat</w:t>
      </w:r>
    </w:p>
    <w:p w:rsidR="00AD31C8" w:rsidRPr="00651044" w:rsidRDefault="00AD31C8" w:rsidP="002A25F2">
      <w:pPr>
        <w:spacing w:line="120" w:lineRule="auto"/>
        <w:ind w:firstLine="539"/>
        <w:jc w:val="both"/>
        <w:rPr>
          <w:sz w:val="28"/>
          <w:szCs w:val="28"/>
        </w:rPr>
      </w:pPr>
    </w:p>
    <w:p w:rsidR="005560CC" w:rsidRPr="00651044" w:rsidRDefault="005560CC" w:rsidP="005560CC">
      <w:pPr>
        <w:spacing w:line="276" w:lineRule="auto"/>
        <w:ind w:firstLine="540"/>
        <w:jc w:val="both"/>
        <w:rPr>
          <w:sz w:val="28"/>
          <w:szCs w:val="28"/>
        </w:rPr>
      </w:pPr>
      <w:r w:rsidRPr="00651044">
        <w:rPr>
          <w:sz w:val="28"/>
          <w:szCs w:val="28"/>
        </w:rPr>
        <w:t>Efectu</w:t>
      </w:r>
      <w:r w:rsidR="006E6FE5">
        <w:rPr>
          <w:sz w:val="28"/>
          <w:szCs w:val="28"/>
        </w:rPr>
        <w:t>î</w:t>
      </w:r>
      <w:r w:rsidR="00D27CCD" w:rsidRPr="00651044">
        <w:rPr>
          <w:sz w:val="28"/>
          <w:szCs w:val="28"/>
        </w:rPr>
        <w:t xml:space="preserve">nd monitoringul financiar al activităţii economico-financiare a societăţilor comerciale cu capital integral sau majoritar de stat (în continuare – societăţi </w:t>
      </w:r>
      <w:r w:rsidRPr="00651044">
        <w:rPr>
          <w:sz w:val="28"/>
          <w:szCs w:val="28"/>
        </w:rPr>
        <w:t>pe acţiuni), s-a constatat că</w:t>
      </w:r>
      <w:r w:rsidR="00D27CCD" w:rsidRPr="00651044">
        <w:rPr>
          <w:sz w:val="28"/>
          <w:szCs w:val="28"/>
        </w:rPr>
        <w:t xml:space="preserve"> potrivit bilanţului generalizat, valoarea totală a activelor societăţilor este de </w:t>
      </w:r>
      <w:r w:rsidRPr="00651044">
        <w:rPr>
          <w:sz w:val="28"/>
          <w:szCs w:val="28"/>
        </w:rPr>
        <w:t>17 301,7</w:t>
      </w:r>
      <w:r w:rsidR="00D27CCD" w:rsidRPr="00651044">
        <w:rPr>
          <w:sz w:val="28"/>
          <w:szCs w:val="28"/>
        </w:rPr>
        <w:t xml:space="preserve"> mil. lei şi s-a </w:t>
      </w:r>
      <w:r w:rsidRPr="00651044">
        <w:rPr>
          <w:sz w:val="28"/>
          <w:szCs w:val="28"/>
        </w:rPr>
        <w:t>diminuat</w:t>
      </w:r>
      <w:r w:rsidR="00D27CCD" w:rsidRPr="00651044">
        <w:rPr>
          <w:sz w:val="28"/>
          <w:szCs w:val="28"/>
        </w:rPr>
        <w:t xml:space="preserve"> în perioada de gestiune cu </w:t>
      </w:r>
      <w:r w:rsidR="008465A8" w:rsidRPr="00651044">
        <w:rPr>
          <w:sz w:val="28"/>
          <w:szCs w:val="28"/>
        </w:rPr>
        <w:t xml:space="preserve">    </w:t>
      </w:r>
      <w:r w:rsidRPr="00651044">
        <w:rPr>
          <w:sz w:val="28"/>
          <w:szCs w:val="28"/>
        </w:rPr>
        <w:lastRenderedPageBreak/>
        <w:t>1 376,2</w:t>
      </w:r>
      <w:r w:rsidR="00EE086D" w:rsidRPr="00651044">
        <w:rPr>
          <w:sz w:val="28"/>
          <w:szCs w:val="28"/>
        </w:rPr>
        <w:t xml:space="preserve"> mil. lei</w:t>
      </w:r>
      <w:r w:rsidR="00D27CCD" w:rsidRPr="00651044">
        <w:rPr>
          <w:sz w:val="28"/>
          <w:szCs w:val="28"/>
        </w:rPr>
        <w:t>.</w:t>
      </w:r>
      <w:r w:rsidRPr="00651044">
        <w:rPr>
          <w:sz w:val="28"/>
          <w:szCs w:val="28"/>
        </w:rPr>
        <w:t xml:space="preserve"> La baza acestei diminuări a stat reducerea valorică a activelor imobilizate ale societăţilor – cu 984,4 mil. lei şi a activelor circulante – cu </w:t>
      </w:r>
      <w:r w:rsidR="008465A8" w:rsidRPr="00651044">
        <w:rPr>
          <w:sz w:val="28"/>
          <w:szCs w:val="28"/>
        </w:rPr>
        <w:t xml:space="preserve">             </w:t>
      </w:r>
      <w:r w:rsidRPr="00651044">
        <w:rPr>
          <w:sz w:val="28"/>
          <w:szCs w:val="28"/>
        </w:rPr>
        <w:t xml:space="preserve">391,8 mil. lei. </w:t>
      </w:r>
    </w:p>
    <w:p w:rsidR="005560CC" w:rsidRPr="00651044" w:rsidRDefault="005560CC" w:rsidP="005560CC">
      <w:pPr>
        <w:spacing w:line="26" w:lineRule="atLeast"/>
        <w:jc w:val="right"/>
        <w:rPr>
          <w:sz w:val="20"/>
          <w:szCs w:val="20"/>
        </w:rPr>
      </w:pPr>
      <w:r w:rsidRPr="00651044">
        <w:rPr>
          <w:sz w:val="20"/>
          <w:szCs w:val="20"/>
        </w:rPr>
        <w:t>Tabelul 3.1</w:t>
      </w:r>
    </w:p>
    <w:p w:rsidR="005560CC" w:rsidRPr="00651044" w:rsidRDefault="005560CC" w:rsidP="005560CC">
      <w:pPr>
        <w:spacing w:line="26" w:lineRule="atLeast"/>
        <w:jc w:val="center"/>
        <w:rPr>
          <w:b/>
          <w:i/>
        </w:rPr>
      </w:pPr>
      <w:r w:rsidRPr="00651044">
        <w:rPr>
          <w:b/>
          <w:i/>
        </w:rPr>
        <w:t>Analiza structurii patrimoniului societăţilor pe acţiuni, în dinamică</w:t>
      </w:r>
    </w:p>
    <w:p w:rsidR="005560CC" w:rsidRPr="00651044" w:rsidRDefault="005560CC" w:rsidP="005560CC">
      <w:pPr>
        <w:spacing w:line="60" w:lineRule="auto"/>
        <w:jc w:val="center"/>
        <w:rPr>
          <w:b/>
          <w:i/>
          <w:sz w:val="28"/>
          <w:szCs w:val="28"/>
        </w:rPr>
      </w:pP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368"/>
        <w:gridCol w:w="1036"/>
        <w:gridCol w:w="1092"/>
        <w:gridCol w:w="976"/>
        <w:gridCol w:w="1080"/>
        <w:gridCol w:w="1019"/>
      </w:tblGrid>
      <w:tr w:rsidR="005560CC" w:rsidRPr="00651044" w:rsidTr="006A0F83">
        <w:trPr>
          <w:jc w:val="center"/>
        </w:trPr>
        <w:tc>
          <w:tcPr>
            <w:tcW w:w="568" w:type="dxa"/>
            <w:vMerge w:val="restart"/>
          </w:tcPr>
          <w:p w:rsidR="005560CC" w:rsidRPr="00651044" w:rsidRDefault="005560CC" w:rsidP="00663A36">
            <w:pPr>
              <w:spacing w:line="26" w:lineRule="atLeast"/>
              <w:jc w:val="center"/>
              <w:rPr>
                <w:b/>
                <w:i/>
                <w:iCs/>
                <w:sz w:val="20"/>
                <w:szCs w:val="20"/>
              </w:rPr>
            </w:pPr>
            <w:r w:rsidRPr="00651044">
              <w:rPr>
                <w:b/>
                <w:i/>
                <w:iCs/>
                <w:sz w:val="20"/>
                <w:szCs w:val="20"/>
              </w:rPr>
              <w:t>Nr.</w:t>
            </w:r>
          </w:p>
          <w:p w:rsidR="005560CC" w:rsidRPr="00651044" w:rsidRDefault="005560CC" w:rsidP="00663A36">
            <w:pPr>
              <w:spacing w:line="26" w:lineRule="atLeast"/>
              <w:jc w:val="center"/>
              <w:rPr>
                <w:b/>
                <w:i/>
                <w:iCs/>
                <w:sz w:val="20"/>
                <w:szCs w:val="20"/>
              </w:rPr>
            </w:pPr>
          </w:p>
        </w:tc>
        <w:tc>
          <w:tcPr>
            <w:tcW w:w="3368" w:type="dxa"/>
            <w:vMerge w:val="restart"/>
          </w:tcPr>
          <w:p w:rsidR="005560CC" w:rsidRPr="00651044" w:rsidRDefault="005560CC" w:rsidP="00663A36">
            <w:pPr>
              <w:spacing w:line="26" w:lineRule="atLeast"/>
              <w:jc w:val="center"/>
              <w:rPr>
                <w:b/>
                <w:i/>
                <w:iCs/>
                <w:sz w:val="20"/>
                <w:szCs w:val="20"/>
              </w:rPr>
            </w:pPr>
            <w:r w:rsidRPr="00651044">
              <w:rPr>
                <w:b/>
                <w:i/>
                <w:iCs/>
                <w:sz w:val="20"/>
                <w:szCs w:val="20"/>
              </w:rPr>
              <w:t>Indicatori</w:t>
            </w:r>
          </w:p>
        </w:tc>
        <w:tc>
          <w:tcPr>
            <w:tcW w:w="2128" w:type="dxa"/>
            <w:gridSpan w:val="2"/>
          </w:tcPr>
          <w:p w:rsidR="005560CC" w:rsidRPr="00651044" w:rsidRDefault="005560CC" w:rsidP="00663A36">
            <w:pPr>
              <w:spacing w:line="26" w:lineRule="atLeast"/>
              <w:jc w:val="center"/>
              <w:rPr>
                <w:b/>
                <w:i/>
                <w:iCs/>
                <w:sz w:val="20"/>
                <w:szCs w:val="20"/>
              </w:rPr>
            </w:pPr>
            <w:r w:rsidRPr="00651044">
              <w:rPr>
                <w:b/>
                <w:i/>
                <w:iCs/>
                <w:sz w:val="20"/>
                <w:szCs w:val="20"/>
              </w:rPr>
              <w:t>La situaţia din 01.01.2015</w:t>
            </w:r>
          </w:p>
        </w:tc>
        <w:tc>
          <w:tcPr>
            <w:tcW w:w="2056" w:type="dxa"/>
            <w:gridSpan w:val="2"/>
          </w:tcPr>
          <w:p w:rsidR="005560CC" w:rsidRPr="00651044" w:rsidRDefault="005560CC" w:rsidP="00663A36">
            <w:pPr>
              <w:spacing w:line="26" w:lineRule="atLeast"/>
              <w:jc w:val="center"/>
              <w:rPr>
                <w:b/>
                <w:i/>
                <w:iCs/>
                <w:sz w:val="20"/>
                <w:szCs w:val="20"/>
              </w:rPr>
            </w:pPr>
            <w:r w:rsidRPr="00651044">
              <w:rPr>
                <w:b/>
                <w:i/>
                <w:iCs/>
                <w:sz w:val="20"/>
                <w:szCs w:val="20"/>
              </w:rPr>
              <w:t>La situaţia din 31.12.2015</w:t>
            </w:r>
          </w:p>
        </w:tc>
        <w:tc>
          <w:tcPr>
            <w:tcW w:w="1019" w:type="dxa"/>
            <w:vMerge w:val="restart"/>
            <w:vAlign w:val="center"/>
          </w:tcPr>
          <w:p w:rsidR="005560CC" w:rsidRPr="00651044" w:rsidRDefault="005560CC" w:rsidP="00663A36">
            <w:pPr>
              <w:spacing w:line="26" w:lineRule="atLeast"/>
              <w:jc w:val="center"/>
              <w:rPr>
                <w:bCs/>
                <w:sz w:val="20"/>
                <w:szCs w:val="20"/>
              </w:rPr>
            </w:pPr>
            <w:r w:rsidRPr="00651044">
              <w:rPr>
                <w:b/>
                <w:bCs/>
                <w:sz w:val="20"/>
                <w:szCs w:val="20"/>
              </w:rPr>
              <w:t xml:space="preserve">Devierea   </w:t>
            </w:r>
            <w:r w:rsidRPr="00651044">
              <w:rPr>
                <w:bCs/>
                <w:sz w:val="20"/>
                <w:szCs w:val="20"/>
              </w:rPr>
              <w:t>+/-</w:t>
            </w:r>
          </w:p>
          <w:p w:rsidR="005560CC" w:rsidRPr="00651044" w:rsidRDefault="005560CC" w:rsidP="00663A36">
            <w:pPr>
              <w:spacing w:line="26" w:lineRule="atLeast"/>
              <w:jc w:val="center"/>
              <w:rPr>
                <w:b/>
                <w:bCs/>
                <w:sz w:val="20"/>
                <w:szCs w:val="20"/>
              </w:rPr>
            </w:pPr>
            <w:r w:rsidRPr="00651044">
              <w:rPr>
                <w:bCs/>
                <w:sz w:val="20"/>
                <w:szCs w:val="20"/>
              </w:rPr>
              <w:t>mil. lei</w:t>
            </w:r>
          </w:p>
        </w:tc>
      </w:tr>
      <w:tr w:rsidR="005560CC" w:rsidRPr="00651044" w:rsidTr="006A0F83">
        <w:trPr>
          <w:jc w:val="center"/>
        </w:trPr>
        <w:tc>
          <w:tcPr>
            <w:tcW w:w="568" w:type="dxa"/>
            <w:vMerge/>
          </w:tcPr>
          <w:p w:rsidR="005560CC" w:rsidRPr="00651044" w:rsidRDefault="005560CC" w:rsidP="00663A36">
            <w:pPr>
              <w:spacing w:line="26" w:lineRule="atLeast"/>
              <w:jc w:val="both"/>
              <w:rPr>
                <w:sz w:val="20"/>
                <w:szCs w:val="20"/>
              </w:rPr>
            </w:pPr>
          </w:p>
        </w:tc>
        <w:tc>
          <w:tcPr>
            <w:tcW w:w="3368" w:type="dxa"/>
            <w:vMerge/>
          </w:tcPr>
          <w:p w:rsidR="005560CC" w:rsidRPr="00651044" w:rsidRDefault="005560CC" w:rsidP="00663A36">
            <w:pPr>
              <w:spacing w:line="26" w:lineRule="atLeast"/>
              <w:jc w:val="both"/>
              <w:rPr>
                <w:sz w:val="20"/>
                <w:szCs w:val="20"/>
              </w:rPr>
            </w:pPr>
          </w:p>
        </w:tc>
        <w:tc>
          <w:tcPr>
            <w:tcW w:w="1036" w:type="dxa"/>
          </w:tcPr>
          <w:p w:rsidR="005560CC" w:rsidRPr="00651044" w:rsidRDefault="005560CC" w:rsidP="00663A36">
            <w:pPr>
              <w:spacing w:line="26" w:lineRule="atLeast"/>
              <w:jc w:val="center"/>
              <w:rPr>
                <w:sz w:val="20"/>
                <w:szCs w:val="20"/>
              </w:rPr>
            </w:pPr>
            <w:r w:rsidRPr="00651044">
              <w:rPr>
                <w:sz w:val="20"/>
                <w:szCs w:val="20"/>
              </w:rPr>
              <w:t>suma,</w:t>
            </w:r>
          </w:p>
          <w:p w:rsidR="005560CC" w:rsidRPr="00651044" w:rsidRDefault="005560CC" w:rsidP="00663A36">
            <w:pPr>
              <w:spacing w:line="26" w:lineRule="atLeast"/>
              <w:jc w:val="center"/>
              <w:rPr>
                <w:sz w:val="20"/>
                <w:szCs w:val="20"/>
              </w:rPr>
            </w:pPr>
            <w:r w:rsidRPr="00651044">
              <w:rPr>
                <w:sz w:val="20"/>
                <w:szCs w:val="20"/>
              </w:rPr>
              <w:t>mil. lei</w:t>
            </w:r>
          </w:p>
        </w:tc>
        <w:tc>
          <w:tcPr>
            <w:tcW w:w="1092" w:type="dxa"/>
          </w:tcPr>
          <w:p w:rsidR="005560CC" w:rsidRPr="00651044" w:rsidRDefault="005560CC" w:rsidP="00663A36">
            <w:pPr>
              <w:spacing w:line="26" w:lineRule="atLeast"/>
              <w:jc w:val="center"/>
              <w:rPr>
                <w:sz w:val="20"/>
                <w:szCs w:val="20"/>
              </w:rPr>
            </w:pPr>
            <w:r w:rsidRPr="00651044">
              <w:rPr>
                <w:sz w:val="20"/>
                <w:szCs w:val="20"/>
              </w:rPr>
              <w:t>ponderea, %</w:t>
            </w:r>
          </w:p>
        </w:tc>
        <w:tc>
          <w:tcPr>
            <w:tcW w:w="976" w:type="dxa"/>
          </w:tcPr>
          <w:p w:rsidR="005560CC" w:rsidRPr="00651044" w:rsidRDefault="005560CC" w:rsidP="00663A36">
            <w:pPr>
              <w:spacing w:line="26" w:lineRule="atLeast"/>
              <w:jc w:val="center"/>
              <w:rPr>
                <w:sz w:val="20"/>
                <w:szCs w:val="20"/>
              </w:rPr>
            </w:pPr>
            <w:r w:rsidRPr="00651044">
              <w:rPr>
                <w:sz w:val="20"/>
                <w:szCs w:val="20"/>
              </w:rPr>
              <w:t>suma,</w:t>
            </w:r>
          </w:p>
          <w:p w:rsidR="005560CC" w:rsidRPr="00651044" w:rsidRDefault="005560CC" w:rsidP="00663A36">
            <w:pPr>
              <w:spacing w:line="26" w:lineRule="atLeast"/>
              <w:jc w:val="center"/>
              <w:rPr>
                <w:sz w:val="20"/>
                <w:szCs w:val="20"/>
              </w:rPr>
            </w:pPr>
            <w:r w:rsidRPr="00651044">
              <w:rPr>
                <w:sz w:val="20"/>
                <w:szCs w:val="20"/>
              </w:rPr>
              <w:t>mil. lei</w:t>
            </w:r>
          </w:p>
        </w:tc>
        <w:tc>
          <w:tcPr>
            <w:tcW w:w="1080" w:type="dxa"/>
          </w:tcPr>
          <w:p w:rsidR="005560CC" w:rsidRPr="00651044" w:rsidRDefault="005560CC" w:rsidP="00663A36">
            <w:pPr>
              <w:spacing w:line="26" w:lineRule="atLeast"/>
              <w:jc w:val="center"/>
              <w:rPr>
                <w:sz w:val="20"/>
                <w:szCs w:val="20"/>
              </w:rPr>
            </w:pPr>
            <w:r w:rsidRPr="00651044">
              <w:rPr>
                <w:sz w:val="20"/>
                <w:szCs w:val="20"/>
              </w:rPr>
              <w:t>ponderea,   %</w:t>
            </w:r>
          </w:p>
        </w:tc>
        <w:tc>
          <w:tcPr>
            <w:tcW w:w="1019" w:type="dxa"/>
            <w:vMerge/>
          </w:tcPr>
          <w:p w:rsidR="005560CC" w:rsidRPr="00651044" w:rsidRDefault="005560CC" w:rsidP="00663A36">
            <w:pPr>
              <w:spacing w:line="26" w:lineRule="atLeast"/>
              <w:jc w:val="both"/>
              <w:rPr>
                <w:b/>
                <w:bCs/>
                <w:sz w:val="20"/>
                <w:szCs w:val="20"/>
              </w:rPr>
            </w:pPr>
          </w:p>
        </w:tc>
      </w:tr>
      <w:tr w:rsidR="005560CC" w:rsidRPr="00651044" w:rsidTr="006A0F83">
        <w:trPr>
          <w:jc w:val="center"/>
        </w:trPr>
        <w:tc>
          <w:tcPr>
            <w:tcW w:w="568" w:type="dxa"/>
          </w:tcPr>
          <w:p w:rsidR="005560CC" w:rsidRPr="00A854A6" w:rsidRDefault="005560CC" w:rsidP="00A854A6">
            <w:pPr>
              <w:spacing w:line="26" w:lineRule="atLeast"/>
              <w:jc w:val="center"/>
              <w:rPr>
                <w:b/>
                <w:sz w:val="20"/>
                <w:szCs w:val="20"/>
              </w:rPr>
            </w:pPr>
            <w:r w:rsidRPr="00A854A6">
              <w:rPr>
                <w:b/>
                <w:sz w:val="20"/>
                <w:szCs w:val="20"/>
              </w:rPr>
              <w:t>1.</w:t>
            </w:r>
          </w:p>
        </w:tc>
        <w:tc>
          <w:tcPr>
            <w:tcW w:w="3368" w:type="dxa"/>
          </w:tcPr>
          <w:p w:rsidR="005560CC" w:rsidRPr="00651044" w:rsidRDefault="005560CC" w:rsidP="00663A36">
            <w:pPr>
              <w:spacing w:line="26" w:lineRule="atLeast"/>
              <w:rPr>
                <w:sz w:val="20"/>
                <w:szCs w:val="20"/>
              </w:rPr>
            </w:pPr>
            <w:r w:rsidRPr="00651044">
              <w:rPr>
                <w:sz w:val="20"/>
                <w:szCs w:val="20"/>
              </w:rPr>
              <w:t>Active imobilizate</w:t>
            </w:r>
          </w:p>
        </w:tc>
        <w:tc>
          <w:tcPr>
            <w:tcW w:w="1036" w:type="dxa"/>
            <w:vAlign w:val="center"/>
          </w:tcPr>
          <w:p w:rsidR="005560CC" w:rsidRPr="00651044" w:rsidRDefault="005560CC" w:rsidP="00663A36">
            <w:pPr>
              <w:spacing w:line="26" w:lineRule="atLeast"/>
              <w:jc w:val="center"/>
              <w:rPr>
                <w:sz w:val="20"/>
                <w:szCs w:val="20"/>
              </w:rPr>
            </w:pPr>
            <w:r w:rsidRPr="00651044">
              <w:rPr>
                <w:sz w:val="20"/>
                <w:szCs w:val="20"/>
              </w:rPr>
              <w:t>13 963,6</w:t>
            </w:r>
          </w:p>
        </w:tc>
        <w:tc>
          <w:tcPr>
            <w:tcW w:w="1092" w:type="dxa"/>
            <w:vAlign w:val="center"/>
          </w:tcPr>
          <w:p w:rsidR="005560CC" w:rsidRPr="00651044" w:rsidRDefault="005560CC" w:rsidP="00663A36">
            <w:pPr>
              <w:spacing w:line="26" w:lineRule="atLeast"/>
              <w:jc w:val="center"/>
              <w:rPr>
                <w:sz w:val="20"/>
                <w:szCs w:val="20"/>
              </w:rPr>
            </w:pPr>
            <w:r w:rsidRPr="00651044">
              <w:rPr>
                <w:sz w:val="20"/>
                <w:szCs w:val="20"/>
              </w:rPr>
              <w:t>74,8</w:t>
            </w:r>
          </w:p>
        </w:tc>
        <w:tc>
          <w:tcPr>
            <w:tcW w:w="976" w:type="dxa"/>
            <w:vAlign w:val="center"/>
          </w:tcPr>
          <w:p w:rsidR="005560CC" w:rsidRPr="00651044" w:rsidRDefault="005560CC" w:rsidP="00663A36">
            <w:pPr>
              <w:spacing w:line="26" w:lineRule="atLeast"/>
              <w:jc w:val="center"/>
              <w:rPr>
                <w:sz w:val="20"/>
                <w:szCs w:val="20"/>
              </w:rPr>
            </w:pPr>
            <w:r w:rsidRPr="00651044">
              <w:rPr>
                <w:sz w:val="20"/>
                <w:szCs w:val="20"/>
              </w:rPr>
              <w:t>12 979,2</w:t>
            </w:r>
          </w:p>
        </w:tc>
        <w:tc>
          <w:tcPr>
            <w:tcW w:w="1080" w:type="dxa"/>
            <w:vAlign w:val="center"/>
          </w:tcPr>
          <w:p w:rsidR="005560CC" w:rsidRPr="00651044" w:rsidRDefault="005560CC" w:rsidP="00663A36">
            <w:pPr>
              <w:spacing w:line="26" w:lineRule="atLeast"/>
              <w:jc w:val="center"/>
              <w:rPr>
                <w:sz w:val="20"/>
                <w:szCs w:val="20"/>
              </w:rPr>
            </w:pPr>
            <w:r w:rsidRPr="00651044">
              <w:rPr>
                <w:sz w:val="20"/>
                <w:szCs w:val="20"/>
              </w:rPr>
              <w:t>75,0</w:t>
            </w:r>
          </w:p>
        </w:tc>
        <w:tc>
          <w:tcPr>
            <w:tcW w:w="1019" w:type="dxa"/>
            <w:vAlign w:val="center"/>
          </w:tcPr>
          <w:p w:rsidR="005560CC" w:rsidRPr="00651044" w:rsidRDefault="005560CC" w:rsidP="00663A36">
            <w:pPr>
              <w:spacing w:line="26" w:lineRule="atLeast"/>
              <w:jc w:val="center"/>
              <w:rPr>
                <w:bCs/>
                <w:sz w:val="20"/>
                <w:szCs w:val="20"/>
              </w:rPr>
            </w:pPr>
            <w:r w:rsidRPr="00651044">
              <w:rPr>
                <w:bCs/>
                <w:sz w:val="20"/>
                <w:szCs w:val="20"/>
              </w:rPr>
              <w:t>-984,4</w:t>
            </w:r>
          </w:p>
        </w:tc>
      </w:tr>
      <w:tr w:rsidR="005560CC" w:rsidRPr="00651044" w:rsidTr="006A0F83">
        <w:trPr>
          <w:jc w:val="center"/>
        </w:trPr>
        <w:tc>
          <w:tcPr>
            <w:tcW w:w="568" w:type="dxa"/>
          </w:tcPr>
          <w:p w:rsidR="005560CC" w:rsidRPr="00A854A6" w:rsidRDefault="005560CC" w:rsidP="00A854A6">
            <w:pPr>
              <w:spacing w:line="26" w:lineRule="atLeast"/>
              <w:jc w:val="center"/>
              <w:rPr>
                <w:b/>
                <w:sz w:val="20"/>
                <w:szCs w:val="20"/>
              </w:rPr>
            </w:pPr>
            <w:r w:rsidRPr="00A854A6">
              <w:rPr>
                <w:b/>
                <w:sz w:val="20"/>
                <w:szCs w:val="20"/>
              </w:rPr>
              <w:t>2.</w:t>
            </w:r>
          </w:p>
        </w:tc>
        <w:tc>
          <w:tcPr>
            <w:tcW w:w="3368" w:type="dxa"/>
          </w:tcPr>
          <w:p w:rsidR="005560CC" w:rsidRPr="00651044" w:rsidRDefault="005560CC" w:rsidP="00663A36">
            <w:pPr>
              <w:spacing w:line="26" w:lineRule="atLeast"/>
              <w:rPr>
                <w:sz w:val="20"/>
                <w:szCs w:val="20"/>
              </w:rPr>
            </w:pPr>
            <w:r w:rsidRPr="00651044">
              <w:rPr>
                <w:sz w:val="20"/>
                <w:szCs w:val="20"/>
              </w:rPr>
              <w:t>Active circulante</w:t>
            </w:r>
          </w:p>
        </w:tc>
        <w:tc>
          <w:tcPr>
            <w:tcW w:w="1036" w:type="dxa"/>
            <w:vAlign w:val="center"/>
          </w:tcPr>
          <w:p w:rsidR="005560CC" w:rsidRPr="00651044" w:rsidRDefault="005560CC" w:rsidP="00663A36">
            <w:pPr>
              <w:spacing w:line="26" w:lineRule="atLeast"/>
              <w:jc w:val="center"/>
              <w:rPr>
                <w:sz w:val="20"/>
                <w:szCs w:val="20"/>
              </w:rPr>
            </w:pPr>
            <w:r w:rsidRPr="00651044">
              <w:rPr>
                <w:sz w:val="20"/>
                <w:szCs w:val="20"/>
              </w:rPr>
              <w:t>4 714,3</w:t>
            </w:r>
          </w:p>
        </w:tc>
        <w:tc>
          <w:tcPr>
            <w:tcW w:w="1092" w:type="dxa"/>
            <w:vAlign w:val="center"/>
          </w:tcPr>
          <w:p w:rsidR="005560CC" w:rsidRPr="00651044" w:rsidRDefault="005560CC" w:rsidP="00663A36">
            <w:pPr>
              <w:spacing w:line="26" w:lineRule="atLeast"/>
              <w:jc w:val="center"/>
              <w:rPr>
                <w:sz w:val="20"/>
                <w:szCs w:val="20"/>
              </w:rPr>
            </w:pPr>
            <w:r w:rsidRPr="00651044">
              <w:rPr>
                <w:sz w:val="20"/>
                <w:szCs w:val="20"/>
              </w:rPr>
              <w:t>25,2</w:t>
            </w:r>
          </w:p>
        </w:tc>
        <w:tc>
          <w:tcPr>
            <w:tcW w:w="976" w:type="dxa"/>
            <w:vAlign w:val="center"/>
          </w:tcPr>
          <w:p w:rsidR="005560CC" w:rsidRPr="00651044" w:rsidRDefault="005560CC" w:rsidP="00663A36">
            <w:pPr>
              <w:spacing w:line="26" w:lineRule="atLeast"/>
              <w:jc w:val="center"/>
              <w:rPr>
                <w:sz w:val="20"/>
                <w:szCs w:val="20"/>
              </w:rPr>
            </w:pPr>
            <w:r w:rsidRPr="00651044">
              <w:rPr>
                <w:sz w:val="20"/>
                <w:szCs w:val="20"/>
              </w:rPr>
              <w:t>4 322,5</w:t>
            </w:r>
          </w:p>
        </w:tc>
        <w:tc>
          <w:tcPr>
            <w:tcW w:w="1080" w:type="dxa"/>
            <w:vAlign w:val="center"/>
          </w:tcPr>
          <w:p w:rsidR="005560CC" w:rsidRPr="00651044" w:rsidRDefault="005560CC" w:rsidP="00663A36">
            <w:pPr>
              <w:spacing w:line="26" w:lineRule="atLeast"/>
              <w:jc w:val="center"/>
              <w:rPr>
                <w:sz w:val="20"/>
                <w:szCs w:val="20"/>
              </w:rPr>
            </w:pPr>
            <w:r w:rsidRPr="00651044">
              <w:rPr>
                <w:sz w:val="20"/>
                <w:szCs w:val="20"/>
              </w:rPr>
              <w:t>25,0</w:t>
            </w:r>
          </w:p>
        </w:tc>
        <w:tc>
          <w:tcPr>
            <w:tcW w:w="1019" w:type="dxa"/>
            <w:vAlign w:val="center"/>
          </w:tcPr>
          <w:p w:rsidR="005560CC" w:rsidRPr="00651044" w:rsidRDefault="005560CC" w:rsidP="00663A36">
            <w:pPr>
              <w:spacing w:line="26" w:lineRule="atLeast"/>
              <w:jc w:val="center"/>
              <w:rPr>
                <w:bCs/>
                <w:sz w:val="20"/>
                <w:szCs w:val="20"/>
              </w:rPr>
            </w:pPr>
            <w:r w:rsidRPr="00651044">
              <w:rPr>
                <w:bCs/>
                <w:sz w:val="20"/>
                <w:szCs w:val="20"/>
              </w:rPr>
              <w:t>-391,8</w:t>
            </w:r>
          </w:p>
        </w:tc>
      </w:tr>
      <w:tr w:rsidR="005560CC" w:rsidRPr="00651044" w:rsidTr="006A0F83">
        <w:trPr>
          <w:jc w:val="center"/>
        </w:trPr>
        <w:tc>
          <w:tcPr>
            <w:tcW w:w="568" w:type="dxa"/>
          </w:tcPr>
          <w:p w:rsidR="005560CC" w:rsidRPr="00651044" w:rsidRDefault="005560CC" w:rsidP="00663A36">
            <w:pPr>
              <w:spacing w:line="26" w:lineRule="atLeast"/>
              <w:jc w:val="both"/>
              <w:rPr>
                <w:b/>
                <w:bCs/>
                <w:sz w:val="20"/>
                <w:szCs w:val="20"/>
              </w:rPr>
            </w:pPr>
          </w:p>
        </w:tc>
        <w:tc>
          <w:tcPr>
            <w:tcW w:w="3368" w:type="dxa"/>
          </w:tcPr>
          <w:p w:rsidR="005560CC" w:rsidRPr="00651044" w:rsidRDefault="005560CC" w:rsidP="00663A36">
            <w:pPr>
              <w:spacing w:line="26" w:lineRule="atLeast"/>
              <w:rPr>
                <w:b/>
                <w:bCs/>
                <w:sz w:val="20"/>
                <w:szCs w:val="20"/>
              </w:rPr>
            </w:pPr>
            <w:r w:rsidRPr="00651044">
              <w:rPr>
                <w:b/>
                <w:bCs/>
                <w:sz w:val="20"/>
                <w:szCs w:val="20"/>
              </w:rPr>
              <w:t>Total active</w:t>
            </w:r>
          </w:p>
        </w:tc>
        <w:tc>
          <w:tcPr>
            <w:tcW w:w="1036" w:type="dxa"/>
            <w:vAlign w:val="center"/>
          </w:tcPr>
          <w:p w:rsidR="005560CC" w:rsidRPr="00651044" w:rsidRDefault="005560CC" w:rsidP="00663A36">
            <w:pPr>
              <w:spacing w:line="26" w:lineRule="atLeast"/>
              <w:jc w:val="center"/>
              <w:rPr>
                <w:b/>
                <w:bCs/>
                <w:sz w:val="20"/>
                <w:szCs w:val="20"/>
              </w:rPr>
            </w:pPr>
            <w:r w:rsidRPr="00651044">
              <w:rPr>
                <w:b/>
                <w:bCs/>
                <w:sz w:val="20"/>
                <w:szCs w:val="20"/>
              </w:rPr>
              <w:t>18 677,9</w:t>
            </w:r>
          </w:p>
        </w:tc>
        <w:tc>
          <w:tcPr>
            <w:tcW w:w="1092" w:type="dxa"/>
            <w:vAlign w:val="center"/>
          </w:tcPr>
          <w:p w:rsidR="005560CC" w:rsidRPr="00651044" w:rsidRDefault="005560CC" w:rsidP="00663A36">
            <w:pPr>
              <w:spacing w:line="26" w:lineRule="atLeast"/>
              <w:jc w:val="center"/>
              <w:rPr>
                <w:b/>
                <w:bCs/>
                <w:sz w:val="20"/>
                <w:szCs w:val="20"/>
              </w:rPr>
            </w:pPr>
            <w:r w:rsidRPr="00651044">
              <w:rPr>
                <w:b/>
                <w:bCs/>
                <w:sz w:val="20"/>
                <w:szCs w:val="20"/>
              </w:rPr>
              <w:t>100,0</w:t>
            </w:r>
          </w:p>
        </w:tc>
        <w:tc>
          <w:tcPr>
            <w:tcW w:w="976" w:type="dxa"/>
            <w:vAlign w:val="center"/>
          </w:tcPr>
          <w:p w:rsidR="005560CC" w:rsidRPr="00651044" w:rsidRDefault="005560CC" w:rsidP="00663A36">
            <w:pPr>
              <w:spacing w:line="26" w:lineRule="atLeast"/>
              <w:jc w:val="center"/>
              <w:rPr>
                <w:b/>
                <w:bCs/>
                <w:sz w:val="20"/>
                <w:szCs w:val="20"/>
              </w:rPr>
            </w:pPr>
            <w:r w:rsidRPr="00651044">
              <w:rPr>
                <w:b/>
                <w:bCs/>
                <w:sz w:val="20"/>
                <w:szCs w:val="20"/>
              </w:rPr>
              <w:t>17 301,7</w:t>
            </w:r>
          </w:p>
        </w:tc>
        <w:tc>
          <w:tcPr>
            <w:tcW w:w="1080" w:type="dxa"/>
            <w:vAlign w:val="center"/>
          </w:tcPr>
          <w:p w:rsidR="005560CC" w:rsidRPr="00651044" w:rsidRDefault="005560CC" w:rsidP="00663A36">
            <w:pPr>
              <w:spacing w:line="26" w:lineRule="atLeast"/>
              <w:jc w:val="center"/>
              <w:rPr>
                <w:b/>
                <w:bCs/>
                <w:sz w:val="20"/>
                <w:szCs w:val="20"/>
              </w:rPr>
            </w:pPr>
            <w:r w:rsidRPr="00651044">
              <w:rPr>
                <w:b/>
                <w:bCs/>
                <w:sz w:val="20"/>
                <w:szCs w:val="20"/>
              </w:rPr>
              <w:t>100,0</w:t>
            </w:r>
          </w:p>
        </w:tc>
        <w:tc>
          <w:tcPr>
            <w:tcW w:w="1019" w:type="dxa"/>
            <w:vAlign w:val="center"/>
          </w:tcPr>
          <w:p w:rsidR="005560CC" w:rsidRPr="00651044" w:rsidRDefault="005560CC" w:rsidP="00663A36">
            <w:pPr>
              <w:spacing w:line="26" w:lineRule="atLeast"/>
              <w:jc w:val="center"/>
              <w:rPr>
                <w:b/>
                <w:bCs/>
                <w:sz w:val="20"/>
                <w:szCs w:val="20"/>
              </w:rPr>
            </w:pPr>
            <w:r w:rsidRPr="00651044">
              <w:rPr>
                <w:b/>
                <w:bCs/>
                <w:sz w:val="20"/>
                <w:szCs w:val="20"/>
              </w:rPr>
              <w:t>-1 376,2</w:t>
            </w:r>
          </w:p>
        </w:tc>
      </w:tr>
    </w:tbl>
    <w:p w:rsidR="005560CC" w:rsidRPr="00651044" w:rsidRDefault="005560CC" w:rsidP="005560CC">
      <w:pPr>
        <w:spacing w:line="276" w:lineRule="auto"/>
        <w:ind w:firstLine="539"/>
        <w:jc w:val="both"/>
        <w:rPr>
          <w:sz w:val="20"/>
          <w:szCs w:val="20"/>
        </w:rPr>
      </w:pPr>
    </w:p>
    <w:p w:rsidR="005560CC" w:rsidRPr="00651044" w:rsidRDefault="00E44864" w:rsidP="005560CC">
      <w:pPr>
        <w:spacing w:line="276" w:lineRule="auto"/>
        <w:ind w:firstLine="540"/>
        <w:jc w:val="both"/>
        <w:rPr>
          <w:sz w:val="28"/>
          <w:szCs w:val="28"/>
        </w:rPr>
      </w:pPr>
      <w:r w:rsidRPr="00651044">
        <w:rPr>
          <w:sz w:val="28"/>
          <w:szCs w:val="28"/>
        </w:rPr>
        <w:t>În rezultatul analizei detaliate</w:t>
      </w:r>
      <w:r w:rsidR="005560CC" w:rsidRPr="00651044">
        <w:rPr>
          <w:sz w:val="28"/>
          <w:szCs w:val="28"/>
        </w:rPr>
        <w:t xml:space="preserve"> a activelor </w:t>
      </w:r>
      <w:r w:rsidRPr="00651044">
        <w:rPr>
          <w:sz w:val="28"/>
          <w:szCs w:val="28"/>
        </w:rPr>
        <w:t>societăților pe acțiuni</w:t>
      </w:r>
      <w:r w:rsidR="005560CC" w:rsidRPr="00651044">
        <w:rPr>
          <w:sz w:val="28"/>
          <w:szCs w:val="28"/>
        </w:rPr>
        <w:t>, se constată că</w:t>
      </w:r>
      <w:r w:rsidR="00406FA7" w:rsidRPr="00651044">
        <w:rPr>
          <w:sz w:val="28"/>
          <w:szCs w:val="28"/>
        </w:rPr>
        <w:t xml:space="preserve"> diminuări valorice în componenţa activelor imobilizate s-au înregistrat la creanţe pe termen lung – cu 1 256,0 mil. lei, la imobilizări corporale în curs de execuţie – cu </w:t>
      </w:r>
      <w:r w:rsidR="008465A8" w:rsidRPr="00651044">
        <w:rPr>
          <w:sz w:val="28"/>
          <w:szCs w:val="28"/>
        </w:rPr>
        <w:t xml:space="preserve">    </w:t>
      </w:r>
      <w:r w:rsidR="00406FA7" w:rsidRPr="00651044">
        <w:rPr>
          <w:sz w:val="28"/>
          <w:szCs w:val="28"/>
        </w:rPr>
        <w:t>92,8 mil. lei şi la investiţii financiare pe termen lung în părţi neafiliate – 0,6 mil. lei. Totodată, în componenţa activelor imobilizate au fost înregistrate şi majorări valorice, cele mai semnificative fiind atestate la mijloace fixe – cu 161,1 mil. lei, la alte active imobilizate – cu 95,9 mil. lei şi la imobilizări necorporale – cu 80,3 mil. lei.</w:t>
      </w:r>
    </w:p>
    <w:p w:rsidR="00406FA7" w:rsidRPr="00651044" w:rsidRDefault="00406FA7" w:rsidP="005560CC">
      <w:pPr>
        <w:spacing w:line="276" w:lineRule="auto"/>
        <w:ind w:firstLine="540"/>
        <w:jc w:val="both"/>
        <w:rPr>
          <w:sz w:val="28"/>
          <w:szCs w:val="28"/>
        </w:rPr>
      </w:pPr>
      <w:r w:rsidRPr="00651044">
        <w:rPr>
          <w:sz w:val="28"/>
          <w:szCs w:val="28"/>
        </w:rPr>
        <w:t xml:space="preserve">În partea ce ţine de activele circulante, se remarcă faptul că </w:t>
      </w:r>
      <w:r w:rsidR="006A0F83" w:rsidRPr="00651044">
        <w:rPr>
          <w:sz w:val="28"/>
          <w:szCs w:val="28"/>
        </w:rPr>
        <w:t xml:space="preserve">reducerea acestora a fost generată de micşorarea creanţelor comerciale – cu 446,5 mil. lei,  </w:t>
      </w:r>
      <w:r w:rsidR="00CC6619" w:rsidRPr="00651044">
        <w:rPr>
          <w:sz w:val="28"/>
          <w:szCs w:val="28"/>
        </w:rPr>
        <w:t xml:space="preserve">a </w:t>
      </w:r>
      <w:r w:rsidR="006A0F83" w:rsidRPr="00651044">
        <w:rPr>
          <w:sz w:val="28"/>
          <w:szCs w:val="28"/>
        </w:rPr>
        <w:t xml:space="preserve">altor active circulante – cu 72,9 mil. lei, </w:t>
      </w:r>
      <w:r w:rsidR="00CC6619" w:rsidRPr="00651044">
        <w:rPr>
          <w:sz w:val="28"/>
          <w:szCs w:val="28"/>
        </w:rPr>
        <w:t xml:space="preserve">a </w:t>
      </w:r>
      <w:r w:rsidR="006A0F83" w:rsidRPr="00651044">
        <w:rPr>
          <w:sz w:val="28"/>
          <w:szCs w:val="28"/>
        </w:rPr>
        <w:t xml:space="preserve">materialelor – cu 15,6 mil. lei, </w:t>
      </w:r>
      <w:r w:rsidR="00CC6619" w:rsidRPr="00651044">
        <w:rPr>
          <w:sz w:val="28"/>
          <w:szCs w:val="28"/>
        </w:rPr>
        <w:t xml:space="preserve">a </w:t>
      </w:r>
      <w:r w:rsidR="006A0F83" w:rsidRPr="00651044">
        <w:rPr>
          <w:sz w:val="28"/>
          <w:szCs w:val="28"/>
        </w:rPr>
        <w:t>investiţiilor financiare</w:t>
      </w:r>
      <w:r w:rsidR="00E44864" w:rsidRPr="00651044">
        <w:rPr>
          <w:sz w:val="28"/>
          <w:szCs w:val="28"/>
        </w:rPr>
        <w:t xml:space="preserve"> curente</w:t>
      </w:r>
      <w:r w:rsidR="006A0F83" w:rsidRPr="00651044">
        <w:rPr>
          <w:sz w:val="28"/>
          <w:szCs w:val="28"/>
        </w:rPr>
        <w:t xml:space="preserve"> în părţi neafiliate – cu 13,7 mil. lei şi a mărfurilor – cu 8,3 mil. lei. În acelaşi timp, în componenţa activelor circulante s-au înregistrat şi majorări valorice, cele mai considerabile fiind </w:t>
      </w:r>
      <w:r w:rsidR="00E44864" w:rsidRPr="00651044">
        <w:rPr>
          <w:sz w:val="28"/>
          <w:szCs w:val="28"/>
        </w:rPr>
        <w:t>atribuite</w:t>
      </w:r>
      <w:r w:rsidR="006A0F83" w:rsidRPr="00651044">
        <w:rPr>
          <w:sz w:val="28"/>
          <w:szCs w:val="28"/>
        </w:rPr>
        <w:t xml:space="preserve"> altor creanţe curente – cu 61,2 mil. lei, creanţelor bugetului – cu 58,5 mil. lei, numerarului în casierie şi la conturi curente – cu </w:t>
      </w:r>
      <w:r w:rsidR="008465A8" w:rsidRPr="00651044">
        <w:rPr>
          <w:sz w:val="28"/>
          <w:szCs w:val="28"/>
        </w:rPr>
        <w:t xml:space="preserve">           </w:t>
      </w:r>
      <w:r w:rsidR="006A0F83" w:rsidRPr="00651044">
        <w:rPr>
          <w:sz w:val="28"/>
          <w:szCs w:val="28"/>
        </w:rPr>
        <w:t xml:space="preserve">21,7 mil. lei şi producţiei în curs de execuţie şi produse – cu 7,6 mil. lei.   </w:t>
      </w:r>
    </w:p>
    <w:p w:rsidR="006A0F83" w:rsidRPr="00651044" w:rsidRDefault="006A0F83" w:rsidP="005560CC">
      <w:pPr>
        <w:spacing w:line="276" w:lineRule="auto"/>
        <w:ind w:firstLine="540"/>
        <w:jc w:val="both"/>
        <w:rPr>
          <w:sz w:val="28"/>
          <w:szCs w:val="28"/>
        </w:rPr>
      </w:pPr>
      <w:r w:rsidRPr="00651044">
        <w:rPr>
          <w:sz w:val="28"/>
          <w:szCs w:val="28"/>
        </w:rPr>
        <w:t xml:space="preserve">De asemenea, majoritatea activelor societăţilor pe acţiuni este reprezentată de activele imobilizate – 75,0% sau </w:t>
      </w:r>
      <w:r w:rsidR="004364F2" w:rsidRPr="00651044">
        <w:rPr>
          <w:sz w:val="28"/>
          <w:szCs w:val="28"/>
        </w:rPr>
        <w:t xml:space="preserve">12 979,2 mil. lei (în special de mijloace fixe – 62,3% din total active sau 10 772,2 mil. lei şi imobilizări necorporale – 3,8% sau 656,0 mil. lei). Activele circulante constituie 25,0% din cuantumul total al </w:t>
      </w:r>
      <w:r w:rsidR="00CC6619" w:rsidRPr="00651044">
        <w:rPr>
          <w:sz w:val="28"/>
          <w:szCs w:val="28"/>
        </w:rPr>
        <w:t xml:space="preserve">activelor </w:t>
      </w:r>
      <w:r w:rsidR="004364F2" w:rsidRPr="00651044">
        <w:rPr>
          <w:sz w:val="28"/>
          <w:szCs w:val="28"/>
        </w:rPr>
        <w:t xml:space="preserve">societăţilor pe acţiuni sau 4 322,5 mil. lei (în special creanţele comerciale – 13,0% din total active sau 2 248,8 mil. lei şi producţia în curs de execuţie şi produse – cu 3,1% sau </w:t>
      </w:r>
      <w:r w:rsidR="008465A8" w:rsidRPr="00651044">
        <w:rPr>
          <w:sz w:val="28"/>
          <w:szCs w:val="28"/>
        </w:rPr>
        <w:t xml:space="preserve">         </w:t>
      </w:r>
      <w:r w:rsidR="004364F2" w:rsidRPr="00651044">
        <w:rPr>
          <w:sz w:val="28"/>
          <w:szCs w:val="28"/>
        </w:rPr>
        <w:t>534,6 mil. lei).</w:t>
      </w:r>
    </w:p>
    <w:p w:rsidR="00D27CCD" w:rsidRPr="00651044" w:rsidRDefault="00D27CCD" w:rsidP="00D27CCD">
      <w:pPr>
        <w:spacing w:line="276" w:lineRule="auto"/>
        <w:ind w:firstLine="539"/>
        <w:jc w:val="both"/>
        <w:rPr>
          <w:sz w:val="28"/>
          <w:szCs w:val="28"/>
        </w:rPr>
      </w:pPr>
      <w:r w:rsidRPr="00651044">
        <w:rPr>
          <w:sz w:val="28"/>
          <w:szCs w:val="28"/>
        </w:rPr>
        <w:t>Concomitent se constată că, societăţile pe acţiuni din administrarea Agen</w:t>
      </w:r>
      <w:r w:rsidR="00253020" w:rsidRPr="00651044">
        <w:rPr>
          <w:sz w:val="28"/>
          <w:szCs w:val="28"/>
        </w:rPr>
        <w:t>ţ</w:t>
      </w:r>
      <w:r w:rsidRPr="00651044">
        <w:rPr>
          <w:sz w:val="28"/>
          <w:szCs w:val="28"/>
        </w:rPr>
        <w:t>iei Proprietă</w:t>
      </w:r>
      <w:r w:rsidR="00253020" w:rsidRPr="00651044">
        <w:rPr>
          <w:sz w:val="28"/>
          <w:szCs w:val="28"/>
        </w:rPr>
        <w:t>ţ</w:t>
      </w:r>
      <w:r w:rsidRPr="00651044">
        <w:rPr>
          <w:sz w:val="28"/>
          <w:szCs w:val="28"/>
        </w:rPr>
        <w:t xml:space="preserve">ii Publice (S.A. „Moldtelecom”), Ministerului Transporturilor şi Infrastructurii Drumurilor şi Ministerului </w:t>
      </w:r>
      <w:r w:rsidR="004612D9" w:rsidRPr="00651044">
        <w:rPr>
          <w:sz w:val="28"/>
          <w:szCs w:val="28"/>
        </w:rPr>
        <w:t>Finanţelor</w:t>
      </w:r>
      <w:r w:rsidRPr="00651044">
        <w:rPr>
          <w:sz w:val="28"/>
          <w:szCs w:val="28"/>
        </w:rPr>
        <w:t xml:space="preserve"> înregistrează, la situaţia din </w:t>
      </w:r>
      <w:r w:rsidR="008465A8" w:rsidRPr="00651044">
        <w:rPr>
          <w:sz w:val="28"/>
          <w:szCs w:val="28"/>
        </w:rPr>
        <w:t xml:space="preserve">        </w:t>
      </w:r>
      <w:r w:rsidRPr="00651044">
        <w:rPr>
          <w:sz w:val="28"/>
          <w:szCs w:val="28"/>
        </w:rPr>
        <w:t>31 decembrie 201</w:t>
      </w:r>
      <w:r w:rsidR="004612D9" w:rsidRPr="00651044">
        <w:rPr>
          <w:sz w:val="28"/>
          <w:szCs w:val="28"/>
        </w:rPr>
        <w:t>5</w:t>
      </w:r>
      <w:r w:rsidRPr="00651044">
        <w:rPr>
          <w:sz w:val="28"/>
          <w:szCs w:val="28"/>
        </w:rPr>
        <w:t>, cele mai considerabile majorări ale activelor totale de care dispun, conform datelor prezentate în tabelul ce urmează.</w:t>
      </w:r>
    </w:p>
    <w:p w:rsidR="00D27CCD" w:rsidRPr="00651044" w:rsidRDefault="00D27CCD" w:rsidP="00D27CCD">
      <w:pPr>
        <w:spacing w:line="360" w:lineRule="auto"/>
        <w:ind w:firstLine="539"/>
        <w:jc w:val="right"/>
        <w:rPr>
          <w:sz w:val="20"/>
          <w:szCs w:val="20"/>
        </w:rPr>
      </w:pPr>
      <w:r w:rsidRPr="00651044">
        <w:rPr>
          <w:sz w:val="20"/>
          <w:szCs w:val="20"/>
        </w:rPr>
        <w:t>Tabelul 3.2</w:t>
      </w:r>
    </w:p>
    <w:p w:rsidR="00D27CCD" w:rsidRPr="00651044" w:rsidRDefault="00D27CCD" w:rsidP="00D27CCD">
      <w:pPr>
        <w:ind w:firstLine="539"/>
        <w:jc w:val="center"/>
        <w:rPr>
          <w:b/>
          <w:i/>
        </w:rPr>
      </w:pPr>
      <w:r w:rsidRPr="00651044">
        <w:rPr>
          <w:b/>
          <w:i/>
        </w:rPr>
        <w:t>Majorări şi diminuări ale activelor totale la situaţia din 31.12.201</w:t>
      </w:r>
      <w:r w:rsidR="00B648E4" w:rsidRPr="00651044">
        <w:rPr>
          <w:b/>
          <w:i/>
        </w:rPr>
        <w:t>5</w:t>
      </w:r>
      <w:r w:rsidRPr="00651044">
        <w:rPr>
          <w:b/>
          <w:i/>
        </w:rPr>
        <w:t xml:space="preserve">, </w:t>
      </w:r>
    </w:p>
    <w:p w:rsidR="00D27CCD" w:rsidRPr="00651044" w:rsidRDefault="00D27CCD" w:rsidP="00D27CCD">
      <w:pPr>
        <w:ind w:firstLine="539"/>
        <w:jc w:val="center"/>
        <w:rPr>
          <w:b/>
          <w:i/>
        </w:rPr>
      </w:pPr>
      <w:r w:rsidRPr="00651044">
        <w:rPr>
          <w:b/>
          <w:i/>
        </w:rPr>
        <w:t xml:space="preserve">clasificate pe autorităţi ale administraţiei publice centrale </w:t>
      </w:r>
    </w:p>
    <w:p w:rsidR="00B648E4" w:rsidRPr="00651044" w:rsidRDefault="00B648E4" w:rsidP="00B648E4">
      <w:pPr>
        <w:ind w:firstLine="539"/>
        <w:jc w:val="right"/>
        <w:rPr>
          <w:sz w:val="18"/>
          <w:szCs w:val="18"/>
        </w:rPr>
      </w:pPr>
      <w:r w:rsidRPr="00651044">
        <w:rPr>
          <w:sz w:val="18"/>
          <w:szCs w:val="18"/>
        </w:rPr>
        <w:lastRenderedPageBreak/>
        <w:t>mil. lei</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
        <w:gridCol w:w="2471"/>
        <w:gridCol w:w="1811"/>
        <w:gridCol w:w="471"/>
        <w:gridCol w:w="2186"/>
        <w:gridCol w:w="1917"/>
      </w:tblGrid>
      <w:tr w:rsidR="00D27CCD" w:rsidRPr="00651044" w:rsidTr="00A81C7D">
        <w:trPr>
          <w:jc w:val="center"/>
        </w:trPr>
        <w:tc>
          <w:tcPr>
            <w:tcW w:w="472" w:type="dxa"/>
            <w:vMerge w:val="restart"/>
          </w:tcPr>
          <w:p w:rsidR="00D27CCD" w:rsidRPr="00651044" w:rsidRDefault="00D27CCD" w:rsidP="00A81C7D">
            <w:pPr>
              <w:spacing w:line="276" w:lineRule="auto"/>
              <w:jc w:val="center"/>
              <w:rPr>
                <w:b/>
                <w:i/>
                <w:iCs/>
                <w:sz w:val="18"/>
                <w:szCs w:val="18"/>
              </w:rPr>
            </w:pPr>
            <w:r w:rsidRPr="00651044">
              <w:rPr>
                <w:b/>
                <w:i/>
                <w:iCs/>
                <w:sz w:val="18"/>
                <w:szCs w:val="18"/>
              </w:rPr>
              <w:t>Nr.</w:t>
            </w:r>
          </w:p>
          <w:p w:rsidR="00D27CCD" w:rsidRPr="00651044" w:rsidRDefault="00D27CCD" w:rsidP="00A81C7D">
            <w:pPr>
              <w:spacing w:line="276" w:lineRule="auto"/>
              <w:jc w:val="center"/>
              <w:rPr>
                <w:b/>
                <w:i/>
                <w:iCs/>
                <w:sz w:val="18"/>
                <w:szCs w:val="18"/>
              </w:rPr>
            </w:pPr>
          </w:p>
        </w:tc>
        <w:tc>
          <w:tcPr>
            <w:tcW w:w="4282" w:type="dxa"/>
            <w:gridSpan w:val="2"/>
          </w:tcPr>
          <w:p w:rsidR="00D27CCD" w:rsidRPr="00651044" w:rsidRDefault="00D27CCD" w:rsidP="00A81C7D">
            <w:pPr>
              <w:jc w:val="center"/>
              <w:rPr>
                <w:b/>
                <w:i/>
                <w:iCs/>
                <w:sz w:val="20"/>
                <w:szCs w:val="20"/>
              </w:rPr>
            </w:pPr>
            <w:r w:rsidRPr="00651044">
              <w:rPr>
                <w:b/>
                <w:i/>
                <w:iCs/>
                <w:sz w:val="20"/>
                <w:szCs w:val="20"/>
              </w:rPr>
              <w:t>Majorări ale activelor</w:t>
            </w:r>
          </w:p>
          <w:p w:rsidR="00D27CCD" w:rsidRPr="00651044" w:rsidRDefault="00D27CCD" w:rsidP="00A81C7D">
            <w:pPr>
              <w:jc w:val="center"/>
              <w:rPr>
                <w:b/>
                <w:i/>
                <w:iCs/>
                <w:sz w:val="20"/>
                <w:szCs w:val="20"/>
              </w:rPr>
            </w:pPr>
            <w:r w:rsidRPr="00651044">
              <w:rPr>
                <w:b/>
                <w:i/>
                <w:iCs/>
                <w:sz w:val="20"/>
                <w:szCs w:val="20"/>
              </w:rPr>
              <w:t xml:space="preserve">comparativ cu </w:t>
            </w:r>
            <w:r w:rsidR="00B648E4" w:rsidRPr="00651044">
              <w:rPr>
                <w:b/>
                <w:i/>
                <w:iCs/>
                <w:sz w:val="20"/>
                <w:szCs w:val="20"/>
              </w:rPr>
              <w:t>01.01.2015</w:t>
            </w:r>
          </w:p>
        </w:tc>
        <w:tc>
          <w:tcPr>
            <w:tcW w:w="471" w:type="dxa"/>
            <w:vMerge w:val="restart"/>
          </w:tcPr>
          <w:p w:rsidR="00D27CCD" w:rsidRPr="00651044" w:rsidRDefault="00D27CCD" w:rsidP="00A81C7D">
            <w:pPr>
              <w:jc w:val="center"/>
              <w:rPr>
                <w:b/>
                <w:i/>
                <w:iCs/>
                <w:sz w:val="18"/>
                <w:szCs w:val="18"/>
              </w:rPr>
            </w:pPr>
            <w:r w:rsidRPr="00651044">
              <w:rPr>
                <w:b/>
                <w:i/>
                <w:iCs/>
                <w:sz w:val="18"/>
                <w:szCs w:val="18"/>
              </w:rPr>
              <w:t>Nr.</w:t>
            </w:r>
          </w:p>
          <w:p w:rsidR="00D27CCD" w:rsidRPr="00651044" w:rsidRDefault="00D27CCD" w:rsidP="00A81C7D">
            <w:pPr>
              <w:jc w:val="center"/>
              <w:rPr>
                <w:b/>
                <w:i/>
                <w:iCs/>
                <w:sz w:val="18"/>
                <w:szCs w:val="18"/>
              </w:rPr>
            </w:pPr>
          </w:p>
        </w:tc>
        <w:tc>
          <w:tcPr>
            <w:tcW w:w="4103" w:type="dxa"/>
            <w:gridSpan w:val="2"/>
          </w:tcPr>
          <w:p w:rsidR="00D27CCD" w:rsidRPr="00651044" w:rsidRDefault="00D27CCD" w:rsidP="00A81C7D">
            <w:pPr>
              <w:jc w:val="center"/>
              <w:rPr>
                <w:b/>
                <w:i/>
                <w:iCs/>
                <w:sz w:val="20"/>
                <w:szCs w:val="20"/>
              </w:rPr>
            </w:pPr>
            <w:r w:rsidRPr="00651044">
              <w:rPr>
                <w:b/>
                <w:i/>
                <w:iCs/>
                <w:sz w:val="20"/>
                <w:szCs w:val="20"/>
              </w:rPr>
              <w:t>Diminuări ale activelor</w:t>
            </w:r>
          </w:p>
          <w:p w:rsidR="00D27CCD" w:rsidRPr="00651044" w:rsidRDefault="00D27CCD" w:rsidP="00A81C7D">
            <w:pPr>
              <w:jc w:val="center"/>
              <w:rPr>
                <w:b/>
                <w:i/>
                <w:iCs/>
                <w:sz w:val="20"/>
                <w:szCs w:val="20"/>
              </w:rPr>
            </w:pPr>
            <w:r w:rsidRPr="00651044">
              <w:rPr>
                <w:b/>
                <w:i/>
                <w:iCs/>
                <w:sz w:val="20"/>
                <w:szCs w:val="20"/>
              </w:rPr>
              <w:t xml:space="preserve">comparativ cu </w:t>
            </w:r>
            <w:r w:rsidR="00B648E4" w:rsidRPr="00651044">
              <w:rPr>
                <w:b/>
                <w:i/>
                <w:iCs/>
                <w:sz w:val="20"/>
                <w:szCs w:val="20"/>
              </w:rPr>
              <w:t>01.0.1.2015</w:t>
            </w:r>
          </w:p>
        </w:tc>
      </w:tr>
      <w:tr w:rsidR="00D27CCD" w:rsidRPr="00651044" w:rsidTr="00A81C7D">
        <w:trPr>
          <w:jc w:val="center"/>
        </w:trPr>
        <w:tc>
          <w:tcPr>
            <w:tcW w:w="472" w:type="dxa"/>
            <w:vMerge/>
          </w:tcPr>
          <w:p w:rsidR="00D27CCD" w:rsidRPr="00651044" w:rsidRDefault="00D27CCD" w:rsidP="00A81C7D">
            <w:pPr>
              <w:spacing w:line="276" w:lineRule="auto"/>
              <w:jc w:val="center"/>
              <w:rPr>
                <w:b/>
                <w:sz w:val="18"/>
                <w:szCs w:val="18"/>
              </w:rPr>
            </w:pPr>
          </w:p>
        </w:tc>
        <w:tc>
          <w:tcPr>
            <w:tcW w:w="2471" w:type="dxa"/>
          </w:tcPr>
          <w:p w:rsidR="00D27CCD" w:rsidRPr="00651044" w:rsidRDefault="00D27CCD" w:rsidP="00A81C7D">
            <w:pPr>
              <w:jc w:val="center"/>
              <w:rPr>
                <w:b/>
                <w:sz w:val="20"/>
                <w:szCs w:val="20"/>
              </w:rPr>
            </w:pPr>
            <w:r w:rsidRPr="00651044">
              <w:rPr>
                <w:b/>
                <w:sz w:val="20"/>
                <w:szCs w:val="20"/>
              </w:rPr>
              <w:t>Acţionar majoritar</w:t>
            </w:r>
          </w:p>
        </w:tc>
        <w:tc>
          <w:tcPr>
            <w:tcW w:w="1811" w:type="dxa"/>
          </w:tcPr>
          <w:p w:rsidR="00D27CCD" w:rsidRPr="00651044" w:rsidRDefault="00D27CCD" w:rsidP="00A81C7D">
            <w:pPr>
              <w:jc w:val="center"/>
              <w:rPr>
                <w:b/>
                <w:sz w:val="20"/>
                <w:szCs w:val="20"/>
              </w:rPr>
            </w:pPr>
            <w:r w:rsidRPr="00651044">
              <w:rPr>
                <w:b/>
                <w:sz w:val="20"/>
                <w:szCs w:val="20"/>
              </w:rPr>
              <w:t xml:space="preserve">Valoarea </w:t>
            </w:r>
          </w:p>
          <w:p w:rsidR="00D27CCD" w:rsidRPr="00651044" w:rsidRDefault="00B648E4" w:rsidP="00A81C7D">
            <w:pPr>
              <w:jc w:val="center"/>
              <w:rPr>
                <w:b/>
                <w:sz w:val="20"/>
                <w:szCs w:val="20"/>
              </w:rPr>
            </w:pPr>
            <w:r w:rsidRPr="00651044">
              <w:rPr>
                <w:b/>
                <w:sz w:val="20"/>
                <w:szCs w:val="20"/>
              </w:rPr>
              <w:t>majorării</w:t>
            </w:r>
          </w:p>
        </w:tc>
        <w:tc>
          <w:tcPr>
            <w:tcW w:w="471" w:type="dxa"/>
            <w:vMerge/>
          </w:tcPr>
          <w:p w:rsidR="00D27CCD" w:rsidRPr="00651044" w:rsidRDefault="00D27CCD" w:rsidP="00A81C7D">
            <w:pPr>
              <w:jc w:val="center"/>
              <w:rPr>
                <w:b/>
                <w:sz w:val="18"/>
                <w:szCs w:val="18"/>
              </w:rPr>
            </w:pPr>
          </w:p>
        </w:tc>
        <w:tc>
          <w:tcPr>
            <w:tcW w:w="2186" w:type="dxa"/>
          </w:tcPr>
          <w:p w:rsidR="00D27CCD" w:rsidRPr="00651044" w:rsidRDefault="00D27CCD" w:rsidP="00A81C7D">
            <w:pPr>
              <w:jc w:val="center"/>
              <w:rPr>
                <w:b/>
                <w:sz w:val="20"/>
                <w:szCs w:val="20"/>
              </w:rPr>
            </w:pPr>
            <w:r w:rsidRPr="00651044">
              <w:rPr>
                <w:b/>
                <w:sz w:val="20"/>
                <w:szCs w:val="20"/>
              </w:rPr>
              <w:t>Acţionar majoritar</w:t>
            </w:r>
          </w:p>
        </w:tc>
        <w:tc>
          <w:tcPr>
            <w:tcW w:w="1917" w:type="dxa"/>
          </w:tcPr>
          <w:p w:rsidR="00D27CCD" w:rsidRPr="00651044" w:rsidRDefault="00D27CCD" w:rsidP="00A81C7D">
            <w:pPr>
              <w:jc w:val="center"/>
              <w:rPr>
                <w:b/>
                <w:sz w:val="20"/>
                <w:szCs w:val="20"/>
              </w:rPr>
            </w:pPr>
            <w:r w:rsidRPr="00651044">
              <w:rPr>
                <w:b/>
                <w:sz w:val="20"/>
                <w:szCs w:val="20"/>
              </w:rPr>
              <w:t xml:space="preserve">Valoarea </w:t>
            </w:r>
          </w:p>
          <w:p w:rsidR="00D27CCD" w:rsidRPr="00651044" w:rsidRDefault="00B648E4" w:rsidP="00A81C7D">
            <w:pPr>
              <w:jc w:val="center"/>
              <w:rPr>
                <w:b/>
                <w:sz w:val="20"/>
                <w:szCs w:val="20"/>
              </w:rPr>
            </w:pPr>
            <w:r w:rsidRPr="00651044">
              <w:rPr>
                <w:b/>
                <w:sz w:val="20"/>
                <w:szCs w:val="20"/>
              </w:rPr>
              <w:t>diminuării</w:t>
            </w:r>
          </w:p>
        </w:tc>
      </w:tr>
      <w:tr w:rsidR="00D27CCD" w:rsidRPr="00651044" w:rsidTr="00A81C7D">
        <w:trPr>
          <w:jc w:val="center"/>
        </w:trPr>
        <w:tc>
          <w:tcPr>
            <w:tcW w:w="472" w:type="dxa"/>
          </w:tcPr>
          <w:p w:rsidR="00D27CCD" w:rsidRPr="00651044" w:rsidRDefault="00D27CCD" w:rsidP="00A81C7D">
            <w:pPr>
              <w:spacing w:line="276" w:lineRule="auto"/>
              <w:rPr>
                <w:b/>
                <w:sz w:val="18"/>
                <w:szCs w:val="18"/>
              </w:rPr>
            </w:pPr>
            <w:r w:rsidRPr="00651044">
              <w:rPr>
                <w:b/>
                <w:sz w:val="18"/>
                <w:szCs w:val="18"/>
              </w:rPr>
              <w:t>1.</w:t>
            </w:r>
          </w:p>
        </w:tc>
        <w:tc>
          <w:tcPr>
            <w:tcW w:w="2471" w:type="dxa"/>
          </w:tcPr>
          <w:p w:rsidR="00D27CCD" w:rsidRPr="00651044" w:rsidRDefault="00B648E4" w:rsidP="00931A58">
            <w:pPr>
              <w:rPr>
                <w:sz w:val="20"/>
                <w:szCs w:val="20"/>
              </w:rPr>
            </w:pPr>
            <w:r w:rsidRPr="00651044">
              <w:rPr>
                <w:sz w:val="20"/>
                <w:szCs w:val="20"/>
              </w:rPr>
              <w:t>Agenţia Proprietăţii Publice</w:t>
            </w:r>
          </w:p>
        </w:tc>
        <w:tc>
          <w:tcPr>
            <w:tcW w:w="1811" w:type="dxa"/>
          </w:tcPr>
          <w:p w:rsidR="00D27CCD" w:rsidRPr="00651044" w:rsidRDefault="00B648E4" w:rsidP="00A81C7D">
            <w:pPr>
              <w:jc w:val="center"/>
              <w:rPr>
                <w:sz w:val="20"/>
                <w:szCs w:val="20"/>
              </w:rPr>
            </w:pPr>
            <w:r w:rsidRPr="00651044">
              <w:rPr>
                <w:sz w:val="20"/>
                <w:szCs w:val="20"/>
              </w:rPr>
              <w:t>234,1</w:t>
            </w:r>
          </w:p>
        </w:tc>
        <w:tc>
          <w:tcPr>
            <w:tcW w:w="471" w:type="dxa"/>
          </w:tcPr>
          <w:p w:rsidR="00D27CCD" w:rsidRPr="00651044" w:rsidRDefault="00D27CCD" w:rsidP="00931A58">
            <w:pPr>
              <w:rPr>
                <w:b/>
                <w:sz w:val="18"/>
                <w:szCs w:val="18"/>
              </w:rPr>
            </w:pPr>
            <w:r w:rsidRPr="00651044">
              <w:rPr>
                <w:b/>
                <w:sz w:val="18"/>
                <w:szCs w:val="18"/>
              </w:rPr>
              <w:t>1.</w:t>
            </w:r>
          </w:p>
        </w:tc>
        <w:tc>
          <w:tcPr>
            <w:tcW w:w="2186" w:type="dxa"/>
          </w:tcPr>
          <w:p w:rsidR="00D27CCD" w:rsidRPr="00651044" w:rsidRDefault="00B648E4" w:rsidP="00931A58">
            <w:pPr>
              <w:rPr>
                <w:sz w:val="20"/>
                <w:szCs w:val="20"/>
              </w:rPr>
            </w:pPr>
            <w:r w:rsidRPr="00651044">
              <w:rPr>
                <w:sz w:val="20"/>
                <w:szCs w:val="20"/>
              </w:rPr>
              <w:t>Ministerul Economiei</w:t>
            </w:r>
          </w:p>
        </w:tc>
        <w:tc>
          <w:tcPr>
            <w:tcW w:w="1917" w:type="dxa"/>
          </w:tcPr>
          <w:p w:rsidR="00D27CCD" w:rsidRPr="00651044" w:rsidRDefault="00B648E4" w:rsidP="00A81C7D">
            <w:pPr>
              <w:jc w:val="center"/>
              <w:rPr>
                <w:sz w:val="20"/>
                <w:szCs w:val="20"/>
              </w:rPr>
            </w:pPr>
            <w:r w:rsidRPr="00651044">
              <w:rPr>
                <w:sz w:val="20"/>
                <w:szCs w:val="20"/>
              </w:rPr>
              <w:t>1 624,6</w:t>
            </w:r>
          </w:p>
        </w:tc>
      </w:tr>
      <w:tr w:rsidR="00D27CCD" w:rsidRPr="00651044" w:rsidTr="00A81C7D">
        <w:trPr>
          <w:jc w:val="center"/>
        </w:trPr>
        <w:tc>
          <w:tcPr>
            <w:tcW w:w="472" w:type="dxa"/>
          </w:tcPr>
          <w:p w:rsidR="00D27CCD" w:rsidRPr="00651044" w:rsidRDefault="00D27CCD" w:rsidP="00A81C7D">
            <w:pPr>
              <w:spacing w:line="276" w:lineRule="auto"/>
              <w:rPr>
                <w:b/>
                <w:sz w:val="18"/>
                <w:szCs w:val="18"/>
              </w:rPr>
            </w:pPr>
            <w:r w:rsidRPr="00651044">
              <w:rPr>
                <w:b/>
                <w:sz w:val="18"/>
                <w:szCs w:val="18"/>
              </w:rPr>
              <w:t>2.</w:t>
            </w:r>
          </w:p>
        </w:tc>
        <w:tc>
          <w:tcPr>
            <w:tcW w:w="2471" w:type="dxa"/>
          </w:tcPr>
          <w:p w:rsidR="00D27CCD" w:rsidRPr="00651044" w:rsidRDefault="00B648E4" w:rsidP="00931A58">
            <w:pPr>
              <w:rPr>
                <w:sz w:val="20"/>
                <w:szCs w:val="20"/>
              </w:rPr>
            </w:pPr>
            <w:r w:rsidRPr="00651044">
              <w:rPr>
                <w:sz w:val="20"/>
                <w:szCs w:val="20"/>
              </w:rPr>
              <w:t>Ministerul Transporturilor şi Infrastructurii Drumurilor</w:t>
            </w:r>
          </w:p>
        </w:tc>
        <w:tc>
          <w:tcPr>
            <w:tcW w:w="1811" w:type="dxa"/>
          </w:tcPr>
          <w:p w:rsidR="00D27CCD" w:rsidRPr="00651044" w:rsidRDefault="00B648E4" w:rsidP="00A81C7D">
            <w:pPr>
              <w:jc w:val="center"/>
              <w:rPr>
                <w:sz w:val="20"/>
                <w:szCs w:val="20"/>
              </w:rPr>
            </w:pPr>
            <w:r w:rsidRPr="00651044">
              <w:rPr>
                <w:sz w:val="20"/>
                <w:szCs w:val="20"/>
              </w:rPr>
              <w:t>25,6</w:t>
            </w:r>
          </w:p>
        </w:tc>
        <w:tc>
          <w:tcPr>
            <w:tcW w:w="471" w:type="dxa"/>
          </w:tcPr>
          <w:p w:rsidR="00D27CCD" w:rsidRPr="00651044" w:rsidRDefault="00D27CCD" w:rsidP="00931A58">
            <w:pPr>
              <w:rPr>
                <w:b/>
                <w:sz w:val="18"/>
                <w:szCs w:val="18"/>
              </w:rPr>
            </w:pPr>
            <w:r w:rsidRPr="00651044">
              <w:rPr>
                <w:b/>
                <w:sz w:val="18"/>
                <w:szCs w:val="18"/>
              </w:rPr>
              <w:t>2.</w:t>
            </w:r>
          </w:p>
        </w:tc>
        <w:tc>
          <w:tcPr>
            <w:tcW w:w="2186" w:type="dxa"/>
          </w:tcPr>
          <w:p w:rsidR="00D27CCD" w:rsidRPr="00651044" w:rsidRDefault="00B648E4" w:rsidP="00931A58">
            <w:pPr>
              <w:rPr>
                <w:sz w:val="20"/>
                <w:szCs w:val="20"/>
              </w:rPr>
            </w:pPr>
            <w:r w:rsidRPr="00651044">
              <w:rPr>
                <w:sz w:val="20"/>
                <w:szCs w:val="20"/>
              </w:rPr>
              <w:t>Ministerul Agriculturii şi Industriei Alimentare</w:t>
            </w:r>
          </w:p>
        </w:tc>
        <w:tc>
          <w:tcPr>
            <w:tcW w:w="1917" w:type="dxa"/>
          </w:tcPr>
          <w:p w:rsidR="00D27CCD" w:rsidRPr="00651044" w:rsidRDefault="00B648E4" w:rsidP="00A81C7D">
            <w:pPr>
              <w:jc w:val="center"/>
              <w:rPr>
                <w:sz w:val="20"/>
                <w:szCs w:val="20"/>
              </w:rPr>
            </w:pPr>
            <w:r w:rsidRPr="00651044">
              <w:rPr>
                <w:sz w:val="20"/>
                <w:szCs w:val="20"/>
              </w:rPr>
              <w:t>8,9</w:t>
            </w:r>
          </w:p>
        </w:tc>
      </w:tr>
      <w:tr w:rsidR="00B648E4" w:rsidRPr="00651044" w:rsidTr="00A81C7D">
        <w:trPr>
          <w:jc w:val="center"/>
        </w:trPr>
        <w:tc>
          <w:tcPr>
            <w:tcW w:w="472" w:type="dxa"/>
            <w:vMerge w:val="restart"/>
          </w:tcPr>
          <w:p w:rsidR="00B648E4" w:rsidRPr="00651044" w:rsidRDefault="00B648E4" w:rsidP="00A81C7D">
            <w:pPr>
              <w:spacing w:line="276" w:lineRule="auto"/>
              <w:rPr>
                <w:b/>
                <w:sz w:val="18"/>
                <w:szCs w:val="18"/>
              </w:rPr>
            </w:pPr>
            <w:r w:rsidRPr="00651044">
              <w:rPr>
                <w:b/>
                <w:sz w:val="18"/>
                <w:szCs w:val="18"/>
              </w:rPr>
              <w:t>3.</w:t>
            </w:r>
          </w:p>
        </w:tc>
        <w:tc>
          <w:tcPr>
            <w:tcW w:w="2471" w:type="dxa"/>
            <w:vMerge w:val="restart"/>
          </w:tcPr>
          <w:p w:rsidR="00B648E4" w:rsidRPr="00651044" w:rsidRDefault="00B648E4" w:rsidP="00B648E4">
            <w:pPr>
              <w:rPr>
                <w:sz w:val="20"/>
                <w:szCs w:val="20"/>
              </w:rPr>
            </w:pPr>
            <w:r w:rsidRPr="00651044">
              <w:rPr>
                <w:sz w:val="20"/>
                <w:szCs w:val="20"/>
              </w:rPr>
              <w:t>Ministerul Finanţelor</w:t>
            </w:r>
          </w:p>
        </w:tc>
        <w:tc>
          <w:tcPr>
            <w:tcW w:w="1811" w:type="dxa"/>
            <w:vMerge w:val="restart"/>
          </w:tcPr>
          <w:p w:rsidR="00B648E4" w:rsidRPr="00651044" w:rsidRDefault="00B648E4" w:rsidP="00A81C7D">
            <w:pPr>
              <w:jc w:val="center"/>
              <w:rPr>
                <w:sz w:val="20"/>
                <w:szCs w:val="20"/>
              </w:rPr>
            </w:pPr>
            <w:r w:rsidRPr="00651044">
              <w:rPr>
                <w:sz w:val="20"/>
                <w:szCs w:val="20"/>
              </w:rPr>
              <w:t>7,</w:t>
            </w:r>
            <w:r w:rsidR="009B3597" w:rsidRPr="00651044">
              <w:rPr>
                <w:sz w:val="20"/>
                <w:szCs w:val="20"/>
              </w:rPr>
              <w:t>0</w:t>
            </w:r>
          </w:p>
        </w:tc>
        <w:tc>
          <w:tcPr>
            <w:tcW w:w="471" w:type="dxa"/>
          </w:tcPr>
          <w:p w:rsidR="00B648E4" w:rsidRPr="00651044" w:rsidRDefault="00B648E4" w:rsidP="00931A58">
            <w:pPr>
              <w:rPr>
                <w:b/>
                <w:sz w:val="18"/>
                <w:szCs w:val="18"/>
              </w:rPr>
            </w:pPr>
            <w:r w:rsidRPr="00651044">
              <w:rPr>
                <w:b/>
                <w:sz w:val="18"/>
                <w:szCs w:val="18"/>
              </w:rPr>
              <w:t>3.</w:t>
            </w:r>
          </w:p>
        </w:tc>
        <w:tc>
          <w:tcPr>
            <w:tcW w:w="2186" w:type="dxa"/>
          </w:tcPr>
          <w:p w:rsidR="00B648E4" w:rsidRPr="00651044" w:rsidRDefault="00B648E4" w:rsidP="00663A36">
            <w:pPr>
              <w:rPr>
                <w:sz w:val="20"/>
                <w:szCs w:val="20"/>
              </w:rPr>
            </w:pPr>
            <w:r w:rsidRPr="00651044">
              <w:rPr>
                <w:sz w:val="20"/>
                <w:szCs w:val="20"/>
              </w:rPr>
              <w:t>Ministerul Sănătăţii</w:t>
            </w:r>
          </w:p>
        </w:tc>
        <w:tc>
          <w:tcPr>
            <w:tcW w:w="1917" w:type="dxa"/>
          </w:tcPr>
          <w:p w:rsidR="00B648E4" w:rsidRPr="00651044" w:rsidRDefault="00B648E4" w:rsidP="00A81C7D">
            <w:pPr>
              <w:jc w:val="center"/>
              <w:rPr>
                <w:sz w:val="20"/>
                <w:szCs w:val="20"/>
              </w:rPr>
            </w:pPr>
            <w:r w:rsidRPr="00651044">
              <w:rPr>
                <w:sz w:val="20"/>
                <w:szCs w:val="20"/>
              </w:rPr>
              <w:t>6,6</w:t>
            </w:r>
          </w:p>
        </w:tc>
      </w:tr>
      <w:tr w:rsidR="00B648E4" w:rsidRPr="00651044" w:rsidTr="00A81C7D">
        <w:trPr>
          <w:jc w:val="center"/>
        </w:trPr>
        <w:tc>
          <w:tcPr>
            <w:tcW w:w="472" w:type="dxa"/>
            <w:vMerge/>
          </w:tcPr>
          <w:p w:rsidR="00B648E4" w:rsidRPr="00651044" w:rsidRDefault="00B648E4" w:rsidP="00A81C7D">
            <w:pPr>
              <w:spacing w:line="276" w:lineRule="auto"/>
              <w:rPr>
                <w:b/>
                <w:sz w:val="18"/>
                <w:szCs w:val="18"/>
              </w:rPr>
            </w:pPr>
          </w:p>
        </w:tc>
        <w:tc>
          <w:tcPr>
            <w:tcW w:w="2471" w:type="dxa"/>
            <w:vMerge/>
          </w:tcPr>
          <w:p w:rsidR="00B648E4" w:rsidRPr="00651044" w:rsidRDefault="00B648E4" w:rsidP="00931A58">
            <w:pPr>
              <w:rPr>
                <w:sz w:val="20"/>
                <w:szCs w:val="20"/>
              </w:rPr>
            </w:pPr>
          </w:p>
        </w:tc>
        <w:tc>
          <w:tcPr>
            <w:tcW w:w="1811" w:type="dxa"/>
            <w:vMerge/>
          </w:tcPr>
          <w:p w:rsidR="00B648E4" w:rsidRPr="00651044" w:rsidRDefault="00B648E4" w:rsidP="00A81C7D">
            <w:pPr>
              <w:jc w:val="center"/>
              <w:rPr>
                <w:sz w:val="20"/>
                <w:szCs w:val="20"/>
              </w:rPr>
            </w:pPr>
          </w:p>
        </w:tc>
        <w:tc>
          <w:tcPr>
            <w:tcW w:w="471" w:type="dxa"/>
          </w:tcPr>
          <w:p w:rsidR="00B648E4" w:rsidRPr="00651044" w:rsidRDefault="00B648E4" w:rsidP="00931A58">
            <w:pPr>
              <w:rPr>
                <w:b/>
                <w:sz w:val="18"/>
                <w:szCs w:val="18"/>
              </w:rPr>
            </w:pPr>
            <w:r w:rsidRPr="00651044">
              <w:rPr>
                <w:b/>
                <w:sz w:val="18"/>
                <w:szCs w:val="18"/>
              </w:rPr>
              <w:t>4.</w:t>
            </w:r>
          </w:p>
        </w:tc>
        <w:tc>
          <w:tcPr>
            <w:tcW w:w="2186" w:type="dxa"/>
          </w:tcPr>
          <w:p w:rsidR="00B648E4" w:rsidRPr="00651044" w:rsidRDefault="00B648E4" w:rsidP="00663A36">
            <w:pPr>
              <w:rPr>
                <w:sz w:val="20"/>
                <w:szCs w:val="20"/>
              </w:rPr>
            </w:pPr>
            <w:r w:rsidRPr="00651044">
              <w:rPr>
                <w:sz w:val="20"/>
                <w:szCs w:val="20"/>
              </w:rPr>
              <w:t>Ministerul Culturii</w:t>
            </w:r>
          </w:p>
        </w:tc>
        <w:tc>
          <w:tcPr>
            <w:tcW w:w="1917" w:type="dxa"/>
          </w:tcPr>
          <w:p w:rsidR="00B648E4" w:rsidRPr="00651044" w:rsidRDefault="00B648E4" w:rsidP="00A81C7D">
            <w:pPr>
              <w:jc w:val="center"/>
              <w:rPr>
                <w:sz w:val="20"/>
                <w:szCs w:val="20"/>
              </w:rPr>
            </w:pPr>
            <w:r w:rsidRPr="00651044">
              <w:rPr>
                <w:sz w:val="20"/>
                <w:szCs w:val="20"/>
              </w:rPr>
              <w:t>2,7</w:t>
            </w:r>
          </w:p>
        </w:tc>
      </w:tr>
      <w:tr w:rsidR="00B648E4" w:rsidRPr="00651044" w:rsidTr="00A81C7D">
        <w:trPr>
          <w:jc w:val="center"/>
        </w:trPr>
        <w:tc>
          <w:tcPr>
            <w:tcW w:w="472" w:type="dxa"/>
            <w:vMerge/>
          </w:tcPr>
          <w:p w:rsidR="00B648E4" w:rsidRPr="00651044" w:rsidRDefault="00B648E4" w:rsidP="00A81C7D">
            <w:pPr>
              <w:spacing w:line="276" w:lineRule="auto"/>
              <w:rPr>
                <w:b/>
                <w:sz w:val="18"/>
                <w:szCs w:val="18"/>
              </w:rPr>
            </w:pPr>
          </w:p>
        </w:tc>
        <w:tc>
          <w:tcPr>
            <w:tcW w:w="2471" w:type="dxa"/>
            <w:vMerge/>
          </w:tcPr>
          <w:p w:rsidR="00B648E4" w:rsidRPr="00651044" w:rsidRDefault="00B648E4" w:rsidP="00931A58">
            <w:pPr>
              <w:rPr>
                <w:sz w:val="20"/>
                <w:szCs w:val="20"/>
              </w:rPr>
            </w:pPr>
          </w:p>
        </w:tc>
        <w:tc>
          <w:tcPr>
            <w:tcW w:w="1811" w:type="dxa"/>
            <w:vMerge/>
          </w:tcPr>
          <w:p w:rsidR="00B648E4" w:rsidRPr="00651044" w:rsidRDefault="00B648E4" w:rsidP="00A81C7D">
            <w:pPr>
              <w:jc w:val="center"/>
              <w:rPr>
                <w:sz w:val="20"/>
                <w:szCs w:val="20"/>
              </w:rPr>
            </w:pPr>
          </w:p>
        </w:tc>
        <w:tc>
          <w:tcPr>
            <w:tcW w:w="471" w:type="dxa"/>
          </w:tcPr>
          <w:p w:rsidR="00B648E4" w:rsidRPr="00651044" w:rsidRDefault="00B648E4" w:rsidP="00931A58">
            <w:pPr>
              <w:rPr>
                <w:b/>
                <w:sz w:val="18"/>
                <w:szCs w:val="18"/>
              </w:rPr>
            </w:pPr>
            <w:r w:rsidRPr="00651044">
              <w:rPr>
                <w:b/>
                <w:sz w:val="18"/>
                <w:szCs w:val="18"/>
              </w:rPr>
              <w:t>5.</w:t>
            </w:r>
          </w:p>
        </w:tc>
        <w:tc>
          <w:tcPr>
            <w:tcW w:w="2186" w:type="dxa"/>
          </w:tcPr>
          <w:p w:rsidR="00B648E4" w:rsidRPr="00651044" w:rsidRDefault="00B648E4" w:rsidP="00B648E4">
            <w:pPr>
              <w:rPr>
                <w:sz w:val="20"/>
                <w:szCs w:val="20"/>
              </w:rPr>
            </w:pPr>
            <w:r w:rsidRPr="00651044">
              <w:rPr>
                <w:sz w:val="20"/>
                <w:szCs w:val="20"/>
              </w:rPr>
              <w:t xml:space="preserve">Agenţia </w:t>
            </w:r>
          </w:p>
          <w:p w:rsidR="00B648E4" w:rsidRPr="00651044" w:rsidRDefault="00B648E4" w:rsidP="00B648E4">
            <w:pPr>
              <w:rPr>
                <w:sz w:val="20"/>
                <w:szCs w:val="20"/>
              </w:rPr>
            </w:pPr>
            <w:r w:rsidRPr="00651044">
              <w:rPr>
                <w:sz w:val="20"/>
                <w:szCs w:val="20"/>
              </w:rPr>
              <w:t>„Apele Moldovei”</w:t>
            </w:r>
          </w:p>
        </w:tc>
        <w:tc>
          <w:tcPr>
            <w:tcW w:w="1917" w:type="dxa"/>
          </w:tcPr>
          <w:p w:rsidR="00B648E4" w:rsidRPr="00651044" w:rsidRDefault="00B648E4" w:rsidP="00A81C7D">
            <w:pPr>
              <w:jc w:val="center"/>
              <w:rPr>
                <w:sz w:val="20"/>
                <w:szCs w:val="20"/>
              </w:rPr>
            </w:pPr>
            <w:r w:rsidRPr="00651044">
              <w:rPr>
                <w:sz w:val="20"/>
                <w:szCs w:val="20"/>
              </w:rPr>
              <w:t>0,1</w:t>
            </w:r>
          </w:p>
        </w:tc>
      </w:tr>
      <w:tr w:rsidR="00B648E4" w:rsidRPr="00651044" w:rsidTr="00A81C7D">
        <w:trPr>
          <w:jc w:val="center"/>
        </w:trPr>
        <w:tc>
          <w:tcPr>
            <w:tcW w:w="2943" w:type="dxa"/>
            <w:gridSpan w:val="2"/>
          </w:tcPr>
          <w:p w:rsidR="00B648E4" w:rsidRPr="00651044" w:rsidRDefault="00B648E4" w:rsidP="00931A58">
            <w:pPr>
              <w:rPr>
                <w:b/>
                <w:sz w:val="20"/>
                <w:szCs w:val="20"/>
              </w:rPr>
            </w:pPr>
            <w:r w:rsidRPr="00651044">
              <w:rPr>
                <w:b/>
                <w:sz w:val="20"/>
                <w:szCs w:val="20"/>
              </w:rPr>
              <w:t>Total</w:t>
            </w:r>
          </w:p>
        </w:tc>
        <w:tc>
          <w:tcPr>
            <w:tcW w:w="1811" w:type="dxa"/>
          </w:tcPr>
          <w:p w:rsidR="00B648E4" w:rsidRPr="00651044" w:rsidRDefault="00B648E4" w:rsidP="00A81C7D">
            <w:pPr>
              <w:jc w:val="center"/>
              <w:rPr>
                <w:b/>
                <w:sz w:val="20"/>
                <w:szCs w:val="20"/>
              </w:rPr>
            </w:pPr>
            <w:r w:rsidRPr="00651044">
              <w:rPr>
                <w:b/>
                <w:sz w:val="20"/>
                <w:szCs w:val="20"/>
              </w:rPr>
              <w:t>266,</w:t>
            </w:r>
            <w:r w:rsidR="009B3597" w:rsidRPr="00651044">
              <w:rPr>
                <w:b/>
                <w:sz w:val="20"/>
                <w:szCs w:val="20"/>
              </w:rPr>
              <w:t>7</w:t>
            </w:r>
          </w:p>
        </w:tc>
        <w:tc>
          <w:tcPr>
            <w:tcW w:w="2657" w:type="dxa"/>
            <w:gridSpan w:val="2"/>
          </w:tcPr>
          <w:p w:rsidR="00B648E4" w:rsidRPr="00651044" w:rsidRDefault="00B648E4" w:rsidP="00931A58">
            <w:pPr>
              <w:rPr>
                <w:b/>
                <w:sz w:val="20"/>
                <w:szCs w:val="20"/>
              </w:rPr>
            </w:pPr>
            <w:r w:rsidRPr="00651044">
              <w:rPr>
                <w:b/>
                <w:sz w:val="20"/>
                <w:szCs w:val="20"/>
              </w:rPr>
              <w:t>Total</w:t>
            </w:r>
          </w:p>
        </w:tc>
        <w:tc>
          <w:tcPr>
            <w:tcW w:w="1917" w:type="dxa"/>
          </w:tcPr>
          <w:p w:rsidR="00B648E4" w:rsidRPr="00651044" w:rsidRDefault="00B648E4" w:rsidP="00A81C7D">
            <w:pPr>
              <w:jc w:val="center"/>
              <w:rPr>
                <w:b/>
                <w:sz w:val="20"/>
                <w:szCs w:val="20"/>
              </w:rPr>
            </w:pPr>
            <w:r w:rsidRPr="00651044">
              <w:rPr>
                <w:b/>
                <w:sz w:val="20"/>
                <w:szCs w:val="20"/>
              </w:rPr>
              <w:t>1 642,9</w:t>
            </w:r>
          </w:p>
        </w:tc>
      </w:tr>
    </w:tbl>
    <w:p w:rsidR="00D27CCD" w:rsidRPr="00651044" w:rsidRDefault="00D27CCD" w:rsidP="002A25F2">
      <w:pPr>
        <w:spacing w:line="120" w:lineRule="auto"/>
        <w:ind w:firstLine="539"/>
        <w:jc w:val="center"/>
        <w:rPr>
          <w:color w:val="FF0000"/>
          <w:sz w:val="36"/>
          <w:szCs w:val="36"/>
        </w:rPr>
      </w:pPr>
    </w:p>
    <w:p w:rsidR="00CC6619" w:rsidRPr="00651044" w:rsidRDefault="00CC6619" w:rsidP="002A25F2">
      <w:pPr>
        <w:spacing w:line="120" w:lineRule="auto"/>
        <w:ind w:firstLine="539"/>
        <w:jc w:val="center"/>
        <w:rPr>
          <w:color w:val="FF0000"/>
          <w:sz w:val="36"/>
          <w:szCs w:val="36"/>
        </w:rPr>
      </w:pPr>
    </w:p>
    <w:p w:rsidR="004612D9" w:rsidRPr="00651044" w:rsidRDefault="004612D9" w:rsidP="00D27CCD">
      <w:pPr>
        <w:spacing w:line="276" w:lineRule="auto"/>
        <w:ind w:firstLine="539"/>
        <w:jc w:val="both"/>
        <w:rPr>
          <w:sz w:val="28"/>
          <w:szCs w:val="28"/>
        </w:rPr>
      </w:pPr>
      <w:r w:rsidRPr="00651044">
        <w:rPr>
          <w:sz w:val="28"/>
          <w:szCs w:val="28"/>
        </w:rPr>
        <w:t xml:space="preserve">În acelaşi timp, societăţile pe acţiuni administrate de Ministerul Economiei înregistrează cea mai mare diminuare a activelor (cu 1 624,6 mil. lei) în raport cu situaţia de la începutul anului 2015. </w:t>
      </w:r>
    </w:p>
    <w:p w:rsidR="00D27CCD" w:rsidRPr="00651044" w:rsidRDefault="00D27CCD" w:rsidP="00D27CCD">
      <w:pPr>
        <w:spacing w:line="276" w:lineRule="auto"/>
        <w:ind w:firstLine="539"/>
        <w:jc w:val="both"/>
        <w:rPr>
          <w:sz w:val="28"/>
          <w:szCs w:val="28"/>
        </w:rPr>
      </w:pPr>
      <w:r w:rsidRPr="00651044">
        <w:rPr>
          <w:sz w:val="28"/>
          <w:szCs w:val="28"/>
        </w:rPr>
        <w:t xml:space="preserve">În componenţa activelor totale ale societăţilor pe acţiuni, </w:t>
      </w:r>
      <w:r w:rsidRPr="00651044">
        <w:rPr>
          <w:i/>
          <w:sz w:val="28"/>
          <w:szCs w:val="28"/>
        </w:rPr>
        <w:t>activele financiare</w:t>
      </w:r>
      <w:r w:rsidRPr="00651044">
        <w:rPr>
          <w:sz w:val="28"/>
          <w:szCs w:val="28"/>
        </w:rPr>
        <w:t xml:space="preserve"> constituie </w:t>
      </w:r>
      <w:r w:rsidR="004612D9" w:rsidRPr="00651044">
        <w:rPr>
          <w:sz w:val="28"/>
          <w:szCs w:val="28"/>
        </w:rPr>
        <w:t>3 641,1 mil. lei sau 21,0%, valoarea acestora fiind cu 1 559,3 mil. lei mai mică în raport cu începutul anului 2015</w:t>
      </w:r>
      <w:r w:rsidRPr="00651044">
        <w:rPr>
          <w:sz w:val="28"/>
          <w:szCs w:val="28"/>
        </w:rPr>
        <w:t xml:space="preserve">. </w:t>
      </w:r>
    </w:p>
    <w:p w:rsidR="004612D9" w:rsidRPr="00651044" w:rsidRDefault="00763829" w:rsidP="004612D9">
      <w:pPr>
        <w:spacing w:line="26" w:lineRule="atLeast"/>
        <w:jc w:val="center"/>
        <w:rPr>
          <w:color w:val="FF0000"/>
          <w:sz w:val="28"/>
          <w:szCs w:val="28"/>
        </w:rPr>
      </w:pPr>
      <w:r>
        <w:rPr>
          <w:noProof/>
          <w:color w:val="FF0000"/>
          <w:sz w:val="28"/>
          <w:szCs w:val="28"/>
          <w:lang w:val="ru-RU"/>
        </w:rPr>
        <w:drawing>
          <wp:inline distT="0" distB="0" distL="0" distR="0">
            <wp:extent cx="2988945" cy="3259455"/>
            <wp:effectExtent l="0" t="0" r="0" b="0"/>
            <wp:docPr id="12" name="Objec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4612D9" w:rsidRPr="00651044">
        <w:rPr>
          <w:color w:val="FF0000"/>
          <w:sz w:val="28"/>
          <w:szCs w:val="28"/>
        </w:rPr>
        <w:t xml:space="preserve"> </w:t>
      </w:r>
      <w:r>
        <w:rPr>
          <w:noProof/>
          <w:color w:val="FF0000"/>
          <w:sz w:val="28"/>
          <w:szCs w:val="28"/>
          <w:lang w:val="ru-RU"/>
        </w:rPr>
        <w:drawing>
          <wp:inline distT="0" distB="0" distL="0" distR="0">
            <wp:extent cx="2988945" cy="3259455"/>
            <wp:effectExtent l="0" t="0" r="0" b="0"/>
            <wp:docPr id="13" name="Objec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612D9" w:rsidRPr="00651044" w:rsidRDefault="004612D9" w:rsidP="004612D9">
      <w:pPr>
        <w:rPr>
          <w:b/>
          <w:i/>
          <w:sz w:val="20"/>
          <w:szCs w:val="20"/>
        </w:rPr>
      </w:pPr>
      <w:r w:rsidRPr="00651044">
        <w:rPr>
          <w:b/>
          <w:i/>
          <w:sz w:val="20"/>
          <w:szCs w:val="20"/>
        </w:rPr>
        <w:t xml:space="preserve">                Figura 3.1. Structura activelor financiare                         Figura 3.2. Structura activelor financiare</w:t>
      </w:r>
    </w:p>
    <w:p w:rsidR="004612D9" w:rsidRPr="00651044" w:rsidRDefault="004612D9" w:rsidP="004612D9">
      <w:pPr>
        <w:rPr>
          <w:b/>
          <w:i/>
          <w:sz w:val="20"/>
          <w:szCs w:val="20"/>
        </w:rPr>
      </w:pPr>
      <w:r w:rsidRPr="00651044">
        <w:rPr>
          <w:b/>
          <w:i/>
          <w:sz w:val="20"/>
          <w:szCs w:val="20"/>
        </w:rPr>
        <w:t xml:space="preserve">                </w:t>
      </w:r>
      <w:r w:rsidR="00847C14" w:rsidRPr="00651044">
        <w:rPr>
          <w:b/>
          <w:i/>
          <w:sz w:val="20"/>
          <w:szCs w:val="20"/>
        </w:rPr>
        <w:t xml:space="preserve">  </w:t>
      </w:r>
      <w:r w:rsidRPr="00651044">
        <w:rPr>
          <w:b/>
          <w:i/>
          <w:sz w:val="20"/>
          <w:szCs w:val="20"/>
        </w:rPr>
        <w:t xml:space="preserve">ale </w:t>
      </w:r>
      <w:r w:rsidR="00847C14" w:rsidRPr="00651044">
        <w:rPr>
          <w:b/>
          <w:i/>
          <w:sz w:val="20"/>
          <w:szCs w:val="20"/>
        </w:rPr>
        <w:t>societăților pe acțiuni</w:t>
      </w:r>
      <w:r w:rsidRPr="00651044">
        <w:rPr>
          <w:b/>
          <w:i/>
          <w:sz w:val="20"/>
          <w:szCs w:val="20"/>
        </w:rPr>
        <w:t xml:space="preserve"> la 01.01.2015                           </w:t>
      </w:r>
      <w:r w:rsidR="00847C14" w:rsidRPr="00651044">
        <w:rPr>
          <w:b/>
          <w:i/>
          <w:sz w:val="20"/>
          <w:szCs w:val="20"/>
        </w:rPr>
        <w:t xml:space="preserve"> </w:t>
      </w:r>
      <w:r w:rsidRPr="00651044">
        <w:rPr>
          <w:b/>
          <w:i/>
          <w:sz w:val="20"/>
          <w:szCs w:val="20"/>
        </w:rPr>
        <w:t xml:space="preserve"> ale </w:t>
      </w:r>
      <w:r w:rsidR="00847C14" w:rsidRPr="00651044">
        <w:rPr>
          <w:b/>
          <w:i/>
          <w:sz w:val="20"/>
          <w:szCs w:val="20"/>
        </w:rPr>
        <w:t>societăților pe acțiuni</w:t>
      </w:r>
      <w:r w:rsidRPr="00651044">
        <w:rPr>
          <w:b/>
          <w:i/>
          <w:sz w:val="20"/>
          <w:szCs w:val="20"/>
        </w:rPr>
        <w:t xml:space="preserve"> la 31.12.2015       </w:t>
      </w:r>
    </w:p>
    <w:p w:rsidR="004612D9" w:rsidRPr="00651044" w:rsidRDefault="004612D9" w:rsidP="004612D9">
      <w:pPr>
        <w:rPr>
          <w:b/>
          <w:i/>
          <w:sz w:val="20"/>
          <w:szCs w:val="20"/>
        </w:rPr>
      </w:pPr>
      <w:r w:rsidRPr="00651044">
        <w:rPr>
          <w:b/>
          <w:i/>
          <w:sz w:val="20"/>
          <w:szCs w:val="20"/>
        </w:rPr>
        <w:t xml:space="preserve">      </w:t>
      </w:r>
    </w:p>
    <w:p w:rsidR="00D27CCD" w:rsidRPr="00651044" w:rsidRDefault="00D27CCD" w:rsidP="00D27CCD">
      <w:pPr>
        <w:spacing w:line="276" w:lineRule="auto"/>
        <w:ind w:firstLine="539"/>
        <w:jc w:val="both"/>
        <w:rPr>
          <w:sz w:val="28"/>
          <w:szCs w:val="28"/>
        </w:rPr>
      </w:pPr>
      <w:r w:rsidRPr="00651044">
        <w:rPr>
          <w:sz w:val="28"/>
          <w:szCs w:val="28"/>
        </w:rPr>
        <w:t>Potrivit diagramelor prezentate în figura 3.1 şi 3.2, se observă că la s</w:t>
      </w:r>
      <w:r w:rsidR="00731591" w:rsidRPr="00651044">
        <w:rPr>
          <w:sz w:val="28"/>
          <w:szCs w:val="28"/>
        </w:rPr>
        <w:t>ituaţia din    31 decembrie 2015</w:t>
      </w:r>
      <w:r w:rsidRPr="00651044">
        <w:rPr>
          <w:sz w:val="28"/>
          <w:szCs w:val="28"/>
        </w:rPr>
        <w:t xml:space="preserve">, </w:t>
      </w:r>
      <w:r w:rsidR="00847C14" w:rsidRPr="00651044">
        <w:rPr>
          <w:sz w:val="28"/>
          <w:szCs w:val="28"/>
        </w:rPr>
        <w:t xml:space="preserve">în </w:t>
      </w:r>
      <w:r w:rsidR="00731591" w:rsidRPr="00651044">
        <w:rPr>
          <w:sz w:val="28"/>
          <w:szCs w:val="28"/>
        </w:rPr>
        <w:t>structura activelor financiare</w:t>
      </w:r>
      <w:r w:rsidR="00847C14" w:rsidRPr="00651044">
        <w:rPr>
          <w:sz w:val="28"/>
          <w:szCs w:val="28"/>
        </w:rPr>
        <w:t>, p</w:t>
      </w:r>
      <w:r w:rsidRPr="00651044">
        <w:rPr>
          <w:sz w:val="28"/>
          <w:szCs w:val="28"/>
        </w:rPr>
        <w:t>onderea majoritară at</w:t>
      </w:r>
      <w:r w:rsidR="006E6FE5">
        <w:rPr>
          <w:sz w:val="28"/>
          <w:szCs w:val="28"/>
        </w:rPr>
        <w:t>î</w:t>
      </w:r>
      <w:r w:rsidRPr="00651044">
        <w:rPr>
          <w:sz w:val="28"/>
          <w:szCs w:val="28"/>
        </w:rPr>
        <w:t>t la începutul anului</w:t>
      </w:r>
      <w:r w:rsidR="00731591" w:rsidRPr="00651044">
        <w:rPr>
          <w:sz w:val="28"/>
          <w:szCs w:val="28"/>
        </w:rPr>
        <w:t>, c</w:t>
      </w:r>
      <w:r w:rsidR="006E6FE5">
        <w:rPr>
          <w:sz w:val="28"/>
          <w:szCs w:val="28"/>
        </w:rPr>
        <w:t>î</w:t>
      </w:r>
      <w:r w:rsidR="00731591" w:rsidRPr="00651044">
        <w:rPr>
          <w:sz w:val="28"/>
          <w:szCs w:val="28"/>
        </w:rPr>
        <w:t>t şi la sf</w:t>
      </w:r>
      <w:r w:rsidR="006E6FE5">
        <w:rPr>
          <w:sz w:val="28"/>
          <w:szCs w:val="28"/>
        </w:rPr>
        <w:t>î</w:t>
      </w:r>
      <w:r w:rsidRPr="00651044">
        <w:rPr>
          <w:sz w:val="28"/>
          <w:szCs w:val="28"/>
        </w:rPr>
        <w:t xml:space="preserve">rşitul </w:t>
      </w:r>
      <w:r w:rsidR="00731591" w:rsidRPr="00651044">
        <w:rPr>
          <w:sz w:val="28"/>
          <w:szCs w:val="28"/>
        </w:rPr>
        <w:t>acestuia</w:t>
      </w:r>
      <w:r w:rsidRPr="00651044">
        <w:rPr>
          <w:sz w:val="28"/>
          <w:szCs w:val="28"/>
        </w:rPr>
        <w:t xml:space="preserve">, </w:t>
      </w:r>
      <w:r w:rsidR="00731591" w:rsidRPr="00651044">
        <w:rPr>
          <w:sz w:val="28"/>
          <w:szCs w:val="28"/>
        </w:rPr>
        <w:t>a revenit creanţelor comerciale</w:t>
      </w:r>
      <w:r w:rsidRPr="00651044">
        <w:rPr>
          <w:sz w:val="28"/>
          <w:szCs w:val="28"/>
        </w:rPr>
        <w:t xml:space="preserve"> – </w:t>
      </w:r>
      <w:r w:rsidR="00731591" w:rsidRPr="00651044">
        <w:rPr>
          <w:sz w:val="28"/>
          <w:szCs w:val="28"/>
        </w:rPr>
        <w:t>51,8% şi respectiv 61,8</w:t>
      </w:r>
      <w:r w:rsidRPr="00651044">
        <w:rPr>
          <w:sz w:val="28"/>
          <w:szCs w:val="28"/>
        </w:rPr>
        <w:t xml:space="preserve"> la sută. </w:t>
      </w:r>
      <w:r w:rsidR="00731591" w:rsidRPr="00651044">
        <w:rPr>
          <w:sz w:val="28"/>
          <w:szCs w:val="28"/>
        </w:rPr>
        <w:t>Totodată, ponderi semnificative</w:t>
      </w:r>
      <w:r w:rsidR="0016447E" w:rsidRPr="00651044">
        <w:rPr>
          <w:sz w:val="28"/>
          <w:szCs w:val="28"/>
        </w:rPr>
        <w:t xml:space="preserve"> s-au înregistrat </w:t>
      </w:r>
      <w:r w:rsidR="00731591" w:rsidRPr="00651044">
        <w:rPr>
          <w:sz w:val="28"/>
          <w:szCs w:val="28"/>
        </w:rPr>
        <w:t>la creanţele şi avansurile acordate pe termen lung – 15,7%</w:t>
      </w:r>
      <w:r w:rsidR="0016447E" w:rsidRPr="00651044">
        <w:rPr>
          <w:sz w:val="28"/>
          <w:szCs w:val="28"/>
        </w:rPr>
        <w:t>,</w:t>
      </w:r>
      <w:r w:rsidR="00731591" w:rsidRPr="00651044">
        <w:rPr>
          <w:sz w:val="28"/>
          <w:szCs w:val="28"/>
        </w:rPr>
        <w:t xml:space="preserve"> </w:t>
      </w:r>
      <w:r w:rsidR="0016447E" w:rsidRPr="00651044">
        <w:rPr>
          <w:sz w:val="28"/>
          <w:szCs w:val="28"/>
        </w:rPr>
        <w:t>la creanţele bugetului – 7,7% şi la numerarul în casierie şi la conturi curente – 5,6 la sută.</w:t>
      </w:r>
      <w:r w:rsidR="00731591" w:rsidRPr="00651044">
        <w:rPr>
          <w:sz w:val="28"/>
          <w:szCs w:val="28"/>
        </w:rPr>
        <w:t xml:space="preserve"> </w:t>
      </w:r>
    </w:p>
    <w:p w:rsidR="00D27CCD" w:rsidRPr="00651044" w:rsidRDefault="00D27CCD" w:rsidP="0016447E">
      <w:pPr>
        <w:spacing w:line="276" w:lineRule="auto"/>
        <w:ind w:firstLine="567"/>
        <w:jc w:val="both"/>
        <w:rPr>
          <w:sz w:val="28"/>
          <w:szCs w:val="28"/>
        </w:rPr>
      </w:pPr>
      <w:r w:rsidRPr="00651044">
        <w:rPr>
          <w:i/>
          <w:sz w:val="28"/>
          <w:szCs w:val="28"/>
        </w:rPr>
        <w:t>Activele nefinanciare</w:t>
      </w:r>
      <w:r w:rsidRPr="00651044">
        <w:rPr>
          <w:sz w:val="28"/>
          <w:szCs w:val="28"/>
        </w:rPr>
        <w:t xml:space="preserve"> </w:t>
      </w:r>
      <w:r w:rsidR="0016447E" w:rsidRPr="00651044">
        <w:rPr>
          <w:sz w:val="28"/>
          <w:szCs w:val="28"/>
        </w:rPr>
        <w:t xml:space="preserve">ale societăţilor pe acţiuni constituie 13 660,6 mil. lei sau 79,0%, acestea fiind cu 183,1 mil. lei mai mari faţă de începutul anului 2015. </w:t>
      </w:r>
    </w:p>
    <w:p w:rsidR="0016447E" w:rsidRPr="00651044" w:rsidRDefault="00763829" w:rsidP="0016447E">
      <w:pPr>
        <w:spacing w:line="26" w:lineRule="atLeast"/>
        <w:jc w:val="center"/>
        <w:rPr>
          <w:color w:val="FF0000"/>
          <w:sz w:val="28"/>
          <w:szCs w:val="28"/>
        </w:rPr>
      </w:pPr>
      <w:r>
        <w:rPr>
          <w:noProof/>
          <w:color w:val="FF0000"/>
          <w:sz w:val="28"/>
          <w:szCs w:val="28"/>
          <w:lang w:val="ru-RU"/>
        </w:rPr>
        <w:lastRenderedPageBreak/>
        <w:drawing>
          <wp:inline distT="0" distB="0" distL="0" distR="0">
            <wp:extent cx="2980055" cy="2768600"/>
            <wp:effectExtent l="0" t="0" r="0" b="0"/>
            <wp:docPr id="14"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C400E6" w:rsidRPr="00651044">
        <w:rPr>
          <w:color w:val="FF0000"/>
          <w:sz w:val="28"/>
          <w:szCs w:val="28"/>
        </w:rPr>
        <w:t xml:space="preserve"> </w:t>
      </w:r>
      <w:r w:rsidR="0016447E" w:rsidRPr="00651044">
        <w:rPr>
          <w:color w:val="FF0000"/>
          <w:sz w:val="28"/>
          <w:szCs w:val="28"/>
        </w:rPr>
        <w:t xml:space="preserve"> </w:t>
      </w:r>
      <w:r>
        <w:rPr>
          <w:noProof/>
          <w:color w:val="FF0000"/>
          <w:sz w:val="28"/>
          <w:szCs w:val="28"/>
          <w:lang w:val="ru-RU"/>
        </w:rPr>
        <w:drawing>
          <wp:inline distT="0" distB="0" distL="0" distR="0">
            <wp:extent cx="2980055" cy="2768600"/>
            <wp:effectExtent l="0" t="0" r="0" b="0"/>
            <wp:docPr id="15" name="Objec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16447E" w:rsidRPr="00651044">
        <w:rPr>
          <w:color w:val="FF0000"/>
          <w:sz w:val="28"/>
          <w:szCs w:val="28"/>
        </w:rPr>
        <w:t xml:space="preserve">          </w:t>
      </w:r>
    </w:p>
    <w:p w:rsidR="0016447E" w:rsidRPr="00651044" w:rsidRDefault="0016447E" w:rsidP="0016447E">
      <w:pPr>
        <w:rPr>
          <w:b/>
          <w:i/>
          <w:sz w:val="20"/>
          <w:szCs w:val="20"/>
        </w:rPr>
      </w:pPr>
      <w:r w:rsidRPr="00651044">
        <w:rPr>
          <w:b/>
          <w:color w:val="FF0000"/>
        </w:rPr>
        <w:t xml:space="preserve">              </w:t>
      </w:r>
      <w:r w:rsidRPr="00651044">
        <w:rPr>
          <w:b/>
          <w:i/>
          <w:sz w:val="20"/>
          <w:szCs w:val="20"/>
        </w:rPr>
        <w:t>Figura 3.3. Structura activelor nefinanciare                    Figura 3.4. Structura activelor nefinanciare</w:t>
      </w:r>
    </w:p>
    <w:p w:rsidR="00D27CCD" w:rsidRPr="00651044" w:rsidRDefault="0016447E" w:rsidP="0016447E">
      <w:pPr>
        <w:ind w:firstLine="540"/>
        <w:jc w:val="both"/>
        <w:rPr>
          <w:b/>
          <w:i/>
          <w:sz w:val="20"/>
          <w:szCs w:val="20"/>
        </w:rPr>
      </w:pPr>
      <w:r w:rsidRPr="00651044">
        <w:rPr>
          <w:b/>
          <w:i/>
          <w:sz w:val="20"/>
          <w:szCs w:val="20"/>
        </w:rPr>
        <w:t xml:space="preserve">        ale societăţilor pe acţiuni la 01.01.2015                         ale societăţilor pe acţiuni la 31.12.2015</w:t>
      </w:r>
    </w:p>
    <w:p w:rsidR="0016447E" w:rsidRPr="00651044" w:rsidRDefault="0016447E" w:rsidP="00D22523">
      <w:pPr>
        <w:spacing w:line="120" w:lineRule="auto"/>
        <w:ind w:firstLine="539"/>
        <w:jc w:val="both"/>
        <w:rPr>
          <w:color w:val="FF0000"/>
          <w:sz w:val="28"/>
          <w:szCs w:val="28"/>
        </w:rPr>
      </w:pPr>
    </w:p>
    <w:p w:rsidR="00E8500C" w:rsidRPr="00651044" w:rsidRDefault="00E8500C" w:rsidP="008E5EFC">
      <w:pPr>
        <w:spacing w:line="276" w:lineRule="auto"/>
        <w:ind w:firstLine="567"/>
        <w:jc w:val="both"/>
        <w:rPr>
          <w:sz w:val="28"/>
          <w:szCs w:val="28"/>
        </w:rPr>
      </w:pPr>
    </w:p>
    <w:p w:rsidR="008E5EFC" w:rsidRPr="00651044" w:rsidRDefault="00D27CCD" w:rsidP="008E5EFC">
      <w:pPr>
        <w:spacing w:line="276" w:lineRule="auto"/>
        <w:ind w:firstLine="567"/>
        <w:jc w:val="both"/>
        <w:rPr>
          <w:sz w:val="28"/>
          <w:szCs w:val="28"/>
        </w:rPr>
      </w:pPr>
      <w:r w:rsidRPr="00651044">
        <w:rPr>
          <w:sz w:val="28"/>
          <w:szCs w:val="28"/>
        </w:rPr>
        <w:t>Astfel, potrivit figur</w:t>
      </w:r>
      <w:r w:rsidR="0016447E" w:rsidRPr="00651044">
        <w:rPr>
          <w:sz w:val="28"/>
          <w:szCs w:val="28"/>
        </w:rPr>
        <w:t xml:space="preserve">ilor 3.3 şi 3.4 se constată că </w:t>
      </w:r>
      <w:r w:rsidRPr="00651044">
        <w:rPr>
          <w:sz w:val="28"/>
          <w:szCs w:val="28"/>
        </w:rPr>
        <w:t xml:space="preserve">din totalul activelor nefinanciare </w:t>
      </w:r>
      <w:r w:rsidR="008E5EFC" w:rsidRPr="00651044">
        <w:rPr>
          <w:sz w:val="28"/>
          <w:szCs w:val="28"/>
        </w:rPr>
        <w:t>78,</w:t>
      </w:r>
      <w:r w:rsidR="00847C14" w:rsidRPr="00651044">
        <w:rPr>
          <w:sz w:val="28"/>
          <w:szCs w:val="28"/>
        </w:rPr>
        <w:t>9</w:t>
      </w:r>
      <w:r w:rsidRPr="00651044">
        <w:rPr>
          <w:sz w:val="28"/>
          <w:szCs w:val="28"/>
        </w:rPr>
        <w:t xml:space="preserve">% sunt deţinute de </w:t>
      </w:r>
      <w:r w:rsidR="008E5EFC" w:rsidRPr="00651044">
        <w:rPr>
          <w:sz w:val="28"/>
          <w:szCs w:val="28"/>
        </w:rPr>
        <w:t>mijloacele fixe sau cu 0,</w:t>
      </w:r>
      <w:r w:rsidR="00847C14" w:rsidRPr="00651044">
        <w:rPr>
          <w:sz w:val="28"/>
          <w:szCs w:val="28"/>
        </w:rPr>
        <w:t>2</w:t>
      </w:r>
      <w:r w:rsidRPr="00651044">
        <w:rPr>
          <w:sz w:val="28"/>
          <w:szCs w:val="28"/>
        </w:rPr>
        <w:t xml:space="preserve"> p.p. mai mult faţă de </w:t>
      </w:r>
      <w:r w:rsidR="008E5EFC" w:rsidRPr="00651044">
        <w:rPr>
          <w:sz w:val="28"/>
          <w:szCs w:val="28"/>
        </w:rPr>
        <w:t>începutul anului analizat</w:t>
      </w:r>
      <w:r w:rsidRPr="00651044">
        <w:rPr>
          <w:sz w:val="28"/>
          <w:szCs w:val="28"/>
        </w:rPr>
        <w:t xml:space="preserve">. </w:t>
      </w:r>
      <w:r w:rsidR="008E5EFC" w:rsidRPr="00651044">
        <w:rPr>
          <w:sz w:val="28"/>
          <w:szCs w:val="28"/>
        </w:rPr>
        <w:t>Totodată, imobilizările necorporale constituie 4,8% din totalul activelor nefinanciare, cu 0,5 p.p. mai mult faţă de începutul anului 2015. În aceeaşi ordine de idei se remarcă faptul că producţia în curs de execuţi</w:t>
      </w:r>
      <w:r w:rsidR="00847C14" w:rsidRPr="00651044">
        <w:rPr>
          <w:sz w:val="28"/>
          <w:szCs w:val="28"/>
        </w:rPr>
        <w:t>e</w:t>
      </w:r>
      <w:r w:rsidR="008E5EFC" w:rsidRPr="00651044">
        <w:rPr>
          <w:sz w:val="28"/>
          <w:szCs w:val="28"/>
        </w:rPr>
        <w:t xml:space="preserve"> şi </w:t>
      </w:r>
      <w:r w:rsidR="00604BA8" w:rsidRPr="00651044">
        <w:rPr>
          <w:sz w:val="28"/>
          <w:szCs w:val="28"/>
        </w:rPr>
        <w:t xml:space="preserve">produse și </w:t>
      </w:r>
      <w:r w:rsidR="008E5EFC" w:rsidRPr="00651044">
        <w:rPr>
          <w:sz w:val="28"/>
          <w:szCs w:val="28"/>
        </w:rPr>
        <w:t>materialele reprezintă 3,9</w:t>
      </w:r>
      <w:r w:rsidR="00847C14" w:rsidRPr="00651044">
        <w:rPr>
          <w:sz w:val="28"/>
          <w:szCs w:val="28"/>
        </w:rPr>
        <w:t>%</w:t>
      </w:r>
      <w:r w:rsidR="008E5EFC" w:rsidRPr="00651044">
        <w:rPr>
          <w:sz w:val="28"/>
          <w:szCs w:val="28"/>
        </w:rPr>
        <w:t xml:space="preserve"> şi respectiv, 3,8% din totalul activelor nefinanciare.</w:t>
      </w:r>
    </w:p>
    <w:p w:rsidR="008E5EFC" w:rsidRPr="00651044" w:rsidRDefault="008E5EFC" w:rsidP="008E5EFC">
      <w:pPr>
        <w:spacing w:line="276" w:lineRule="auto"/>
        <w:ind w:firstLine="567"/>
        <w:jc w:val="both"/>
        <w:rPr>
          <w:sz w:val="28"/>
          <w:szCs w:val="28"/>
        </w:rPr>
      </w:pPr>
      <w:r w:rsidRPr="00651044">
        <w:rPr>
          <w:sz w:val="28"/>
          <w:szCs w:val="28"/>
        </w:rPr>
        <w:t xml:space="preserve">De asemenea, menţionăm că </w:t>
      </w:r>
      <w:r w:rsidRPr="00651044">
        <w:rPr>
          <w:i/>
          <w:sz w:val="28"/>
          <w:szCs w:val="28"/>
        </w:rPr>
        <w:t xml:space="preserve">raportul dintre pierderea netă înregistrată de către societăţile pe acţiuni </w:t>
      </w:r>
      <w:r w:rsidR="00847C14" w:rsidRPr="00651044">
        <w:rPr>
          <w:i/>
          <w:sz w:val="28"/>
          <w:szCs w:val="28"/>
        </w:rPr>
        <w:t>în anul</w:t>
      </w:r>
      <w:r w:rsidRPr="00651044">
        <w:rPr>
          <w:i/>
          <w:sz w:val="28"/>
          <w:szCs w:val="28"/>
        </w:rPr>
        <w:t xml:space="preserve"> 2015 şi valoarea</w:t>
      </w:r>
      <w:r w:rsidR="00847C14" w:rsidRPr="00651044">
        <w:rPr>
          <w:i/>
          <w:sz w:val="28"/>
          <w:szCs w:val="28"/>
        </w:rPr>
        <w:t xml:space="preserve"> medie a</w:t>
      </w:r>
      <w:r w:rsidRPr="00651044">
        <w:rPr>
          <w:i/>
          <w:sz w:val="28"/>
          <w:szCs w:val="28"/>
        </w:rPr>
        <w:t xml:space="preserve"> activelor</w:t>
      </w:r>
      <w:r w:rsidRPr="00651044">
        <w:rPr>
          <w:sz w:val="28"/>
          <w:szCs w:val="28"/>
        </w:rPr>
        <w:t xml:space="preserve"> acestora a constituit per ansamblu (-2,</w:t>
      </w:r>
      <w:r w:rsidR="00BA63DB" w:rsidRPr="00651044">
        <w:rPr>
          <w:sz w:val="28"/>
          <w:szCs w:val="28"/>
        </w:rPr>
        <w:t>7</w:t>
      </w:r>
      <w:r w:rsidRPr="00651044">
        <w:rPr>
          <w:sz w:val="28"/>
          <w:szCs w:val="28"/>
        </w:rPr>
        <w:t xml:space="preserve">)%, ceea ce semnifică faptul că la 1 leu active, </w:t>
      </w:r>
      <w:r w:rsidR="00BA63DB" w:rsidRPr="00651044">
        <w:rPr>
          <w:sz w:val="28"/>
          <w:szCs w:val="28"/>
        </w:rPr>
        <w:t xml:space="preserve">în anul </w:t>
      </w:r>
      <w:r w:rsidRPr="00651044">
        <w:rPr>
          <w:sz w:val="28"/>
          <w:szCs w:val="28"/>
        </w:rPr>
        <w:t>2015, s-a</w:t>
      </w:r>
      <w:r w:rsidR="00604BA8" w:rsidRPr="00651044">
        <w:rPr>
          <w:sz w:val="28"/>
          <w:szCs w:val="28"/>
        </w:rPr>
        <w:t>u</w:t>
      </w:r>
      <w:r w:rsidRPr="00651044">
        <w:rPr>
          <w:sz w:val="28"/>
          <w:szCs w:val="28"/>
        </w:rPr>
        <w:t xml:space="preserve"> obţinut 2,</w:t>
      </w:r>
      <w:r w:rsidR="00BA63DB" w:rsidRPr="00651044">
        <w:rPr>
          <w:sz w:val="28"/>
          <w:szCs w:val="28"/>
        </w:rPr>
        <w:t>7</w:t>
      </w:r>
      <w:r w:rsidRPr="00651044">
        <w:rPr>
          <w:sz w:val="28"/>
          <w:szCs w:val="28"/>
        </w:rPr>
        <w:t xml:space="preserve"> bani pierdere netă. </w:t>
      </w:r>
    </w:p>
    <w:p w:rsidR="00D27CCD" w:rsidRPr="00651044" w:rsidRDefault="00B175EF" w:rsidP="00D27CCD">
      <w:pPr>
        <w:spacing w:line="276" w:lineRule="auto"/>
        <w:ind w:firstLine="567"/>
        <w:jc w:val="both"/>
        <w:rPr>
          <w:sz w:val="28"/>
          <w:szCs w:val="28"/>
        </w:rPr>
      </w:pPr>
      <w:r w:rsidRPr="00651044">
        <w:rPr>
          <w:sz w:val="28"/>
          <w:szCs w:val="28"/>
        </w:rPr>
        <w:t>C</w:t>
      </w:r>
      <w:r w:rsidR="00BA63DB" w:rsidRPr="00651044">
        <w:rPr>
          <w:sz w:val="28"/>
          <w:szCs w:val="28"/>
        </w:rPr>
        <w:t>apitalul propriu</w:t>
      </w:r>
      <w:r w:rsidR="00D27CCD" w:rsidRPr="00651044">
        <w:rPr>
          <w:sz w:val="28"/>
          <w:szCs w:val="28"/>
        </w:rPr>
        <w:t xml:space="preserve"> al societăţil</w:t>
      </w:r>
      <w:r w:rsidR="008E5EFC" w:rsidRPr="00651044">
        <w:rPr>
          <w:sz w:val="28"/>
          <w:szCs w:val="28"/>
        </w:rPr>
        <w:t>or pe acţiuni constituie, la sf</w:t>
      </w:r>
      <w:r w:rsidR="006E6FE5">
        <w:rPr>
          <w:sz w:val="28"/>
          <w:szCs w:val="28"/>
        </w:rPr>
        <w:t>î</w:t>
      </w:r>
      <w:r w:rsidR="00D27CCD" w:rsidRPr="00651044">
        <w:rPr>
          <w:sz w:val="28"/>
          <w:szCs w:val="28"/>
        </w:rPr>
        <w:t xml:space="preserve">rşitul anului de gestiune, </w:t>
      </w:r>
      <w:r w:rsidR="008E5EFC" w:rsidRPr="00651044">
        <w:rPr>
          <w:sz w:val="28"/>
          <w:szCs w:val="28"/>
        </w:rPr>
        <w:t>10 080,6</w:t>
      </w:r>
      <w:r w:rsidR="00D27CCD" w:rsidRPr="00651044">
        <w:rPr>
          <w:sz w:val="28"/>
          <w:szCs w:val="28"/>
        </w:rPr>
        <w:t xml:space="preserve"> mil. lei,</w:t>
      </w:r>
      <w:r w:rsidR="00D27CCD" w:rsidRPr="00651044">
        <w:rPr>
          <w:color w:val="FF0000"/>
          <w:sz w:val="28"/>
          <w:szCs w:val="28"/>
        </w:rPr>
        <w:t xml:space="preserve"> </w:t>
      </w:r>
      <w:r w:rsidR="00D27CCD" w:rsidRPr="00651044">
        <w:rPr>
          <w:sz w:val="28"/>
          <w:szCs w:val="28"/>
        </w:rPr>
        <w:t xml:space="preserve">din care partea statului – </w:t>
      </w:r>
      <w:r w:rsidR="00604BA8" w:rsidRPr="00651044">
        <w:rPr>
          <w:sz w:val="28"/>
          <w:szCs w:val="28"/>
        </w:rPr>
        <w:t>9 760,2</w:t>
      </w:r>
      <w:r w:rsidR="00D27CCD" w:rsidRPr="00651044">
        <w:rPr>
          <w:sz w:val="28"/>
          <w:szCs w:val="28"/>
        </w:rPr>
        <w:t xml:space="preserve"> mil. lei.</w:t>
      </w:r>
      <w:r w:rsidR="00D27CCD" w:rsidRPr="00651044">
        <w:rPr>
          <w:color w:val="FF0000"/>
          <w:sz w:val="28"/>
          <w:szCs w:val="28"/>
        </w:rPr>
        <w:t xml:space="preserve"> </w:t>
      </w:r>
      <w:r w:rsidR="00D27CCD" w:rsidRPr="00651044">
        <w:rPr>
          <w:sz w:val="28"/>
          <w:szCs w:val="28"/>
        </w:rPr>
        <w:t xml:space="preserve">Comparativ cu începutul perioadei de gestiune, se observă tendinţa de </w:t>
      </w:r>
      <w:r w:rsidR="008E5EFC" w:rsidRPr="00651044">
        <w:rPr>
          <w:sz w:val="28"/>
          <w:szCs w:val="28"/>
        </w:rPr>
        <w:t xml:space="preserve">diminuare </w:t>
      </w:r>
      <w:r w:rsidR="00D27CCD" w:rsidRPr="00651044">
        <w:rPr>
          <w:sz w:val="28"/>
          <w:szCs w:val="28"/>
        </w:rPr>
        <w:t xml:space="preserve">a </w:t>
      </w:r>
      <w:r w:rsidR="00336972" w:rsidRPr="00651044">
        <w:rPr>
          <w:sz w:val="28"/>
          <w:szCs w:val="28"/>
        </w:rPr>
        <w:t>capitalului propriu</w:t>
      </w:r>
      <w:r w:rsidR="00D27CCD" w:rsidRPr="00651044">
        <w:rPr>
          <w:sz w:val="28"/>
          <w:szCs w:val="28"/>
        </w:rPr>
        <w:t xml:space="preserve"> cu </w:t>
      </w:r>
      <w:r w:rsidR="008E5EFC" w:rsidRPr="00651044">
        <w:rPr>
          <w:sz w:val="28"/>
          <w:szCs w:val="28"/>
        </w:rPr>
        <w:t>585,0</w:t>
      </w:r>
      <w:r w:rsidR="00D27CCD" w:rsidRPr="00651044">
        <w:rPr>
          <w:sz w:val="28"/>
          <w:szCs w:val="28"/>
        </w:rPr>
        <w:t xml:space="preserve"> mil. lei. </w:t>
      </w:r>
    </w:p>
    <w:p w:rsidR="00D27CCD" w:rsidRPr="00651044" w:rsidRDefault="00763829" w:rsidP="00D27CCD">
      <w:pPr>
        <w:spacing w:line="276" w:lineRule="auto"/>
        <w:jc w:val="center"/>
        <w:rPr>
          <w:color w:val="FF0000"/>
          <w:sz w:val="28"/>
          <w:szCs w:val="28"/>
        </w:rPr>
      </w:pPr>
      <w:r>
        <w:rPr>
          <w:noProof/>
          <w:color w:val="FF0000"/>
          <w:sz w:val="28"/>
          <w:szCs w:val="28"/>
          <w:lang w:val="ru-RU"/>
        </w:rPr>
        <w:drawing>
          <wp:inline distT="0" distB="0" distL="0" distR="0">
            <wp:extent cx="4605655" cy="1363345"/>
            <wp:effectExtent l="0" t="0" r="0" b="0"/>
            <wp:docPr id="16" name="Objec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A63DB" w:rsidRPr="00651044" w:rsidRDefault="00D27CCD" w:rsidP="00D27CCD">
      <w:pPr>
        <w:jc w:val="center"/>
        <w:rPr>
          <w:b/>
          <w:i/>
          <w:sz w:val="20"/>
          <w:szCs w:val="20"/>
        </w:rPr>
      </w:pPr>
      <w:r w:rsidRPr="00651044">
        <w:rPr>
          <w:b/>
          <w:i/>
          <w:sz w:val="20"/>
          <w:szCs w:val="20"/>
        </w:rPr>
        <w:t xml:space="preserve">Figura 3.5. Dinamica patrimoniului net </w:t>
      </w:r>
      <w:r w:rsidR="00BA63DB" w:rsidRPr="00651044">
        <w:rPr>
          <w:b/>
          <w:i/>
          <w:sz w:val="20"/>
          <w:szCs w:val="20"/>
        </w:rPr>
        <w:t xml:space="preserve">(capitalului propriu) și a </w:t>
      </w:r>
      <w:r w:rsidRPr="00651044">
        <w:rPr>
          <w:b/>
          <w:i/>
          <w:sz w:val="20"/>
          <w:szCs w:val="20"/>
        </w:rPr>
        <w:t xml:space="preserve">capitalului social </w:t>
      </w:r>
      <w:r w:rsidR="00253020" w:rsidRPr="00651044">
        <w:rPr>
          <w:b/>
          <w:i/>
          <w:sz w:val="20"/>
          <w:szCs w:val="20"/>
        </w:rPr>
        <w:t>ş</w:t>
      </w:r>
      <w:r w:rsidRPr="00651044">
        <w:rPr>
          <w:b/>
          <w:i/>
          <w:sz w:val="20"/>
          <w:szCs w:val="20"/>
        </w:rPr>
        <w:t xml:space="preserve">i suplimentar </w:t>
      </w:r>
    </w:p>
    <w:p w:rsidR="00D27CCD" w:rsidRPr="00651044" w:rsidRDefault="00D27CCD" w:rsidP="00D27CCD">
      <w:pPr>
        <w:jc w:val="center"/>
        <w:rPr>
          <w:b/>
          <w:i/>
          <w:sz w:val="20"/>
          <w:szCs w:val="20"/>
        </w:rPr>
      </w:pPr>
      <w:r w:rsidRPr="00651044">
        <w:rPr>
          <w:b/>
          <w:i/>
          <w:sz w:val="20"/>
          <w:szCs w:val="20"/>
        </w:rPr>
        <w:t>al societăţilor pe acţiuni, mil. lei</w:t>
      </w:r>
    </w:p>
    <w:p w:rsidR="008E5EFC" w:rsidRPr="00651044" w:rsidRDefault="008E5EFC" w:rsidP="00D27CCD">
      <w:pPr>
        <w:jc w:val="center"/>
        <w:rPr>
          <w:b/>
          <w:i/>
        </w:rPr>
      </w:pPr>
    </w:p>
    <w:p w:rsidR="00D27CCD" w:rsidRPr="00651044" w:rsidRDefault="00D27CCD" w:rsidP="00604BA8">
      <w:pPr>
        <w:spacing w:line="276" w:lineRule="auto"/>
        <w:ind w:firstLine="567"/>
        <w:jc w:val="both"/>
        <w:rPr>
          <w:sz w:val="28"/>
          <w:szCs w:val="28"/>
        </w:rPr>
      </w:pPr>
      <w:r w:rsidRPr="00651044">
        <w:rPr>
          <w:sz w:val="28"/>
          <w:szCs w:val="28"/>
        </w:rPr>
        <w:t>Este de re</w:t>
      </w:r>
      <w:r w:rsidR="008E5EFC" w:rsidRPr="00651044">
        <w:rPr>
          <w:sz w:val="28"/>
          <w:szCs w:val="28"/>
        </w:rPr>
        <w:t>marcat că, la finele anului 2015</w:t>
      </w:r>
      <w:r w:rsidRPr="00651044">
        <w:rPr>
          <w:sz w:val="28"/>
          <w:szCs w:val="28"/>
        </w:rPr>
        <w:t xml:space="preserve">, capitalul social </w:t>
      </w:r>
      <w:r w:rsidR="00253020" w:rsidRPr="00651044">
        <w:rPr>
          <w:sz w:val="28"/>
          <w:szCs w:val="28"/>
        </w:rPr>
        <w:t>ş</w:t>
      </w:r>
      <w:r w:rsidRPr="00651044">
        <w:rPr>
          <w:sz w:val="28"/>
          <w:szCs w:val="28"/>
        </w:rPr>
        <w:t>i suplimentar al societă</w:t>
      </w:r>
      <w:r w:rsidR="00253020" w:rsidRPr="00651044">
        <w:rPr>
          <w:sz w:val="28"/>
          <w:szCs w:val="28"/>
        </w:rPr>
        <w:t>ţ</w:t>
      </w:r>
      <w:r w:rsidRPr="00651044">
        <w:rPr>
          <w:sz w:val="28"/>
          <w:szCs w:val="28"/>
        </w:rPr>
        <w:t>ilor pe ac</w:t>
      </w:r>
      <w:r w:rsidR="00253020" w:rsidRPr="00651044">
        <w:rPr>
          <w:sz w:val="28"/>
          <w:szCs w:val="28"/>
        </w:rPr>
        <w:t>ţ</w:t>
      </w:r>
      <w:r w:rsidRPr="00651044">
        <w:rPr>
          <w:sz w:val="28"/>
          <w:szCs w:val="28"/>
        </w:rPr>
        <w:t xml:space="preserve">iuni a constituit </w:t>
      </w:r>
      <w:r w:rsidR="00A114C2" w:rsidRPr="00651044">
        <w:rPr>
          <w:sz w:val="28"/>
          <w:szCs w:val="28"/>
        </w:rPr>
        <w:t>3 413,5</w:t>
      </w:r>
      <w:r w:rsidRPr="00651044">
        <w:rPr>
          <w:sz w:val="28"/>
          <w:szCs w:val="28"/>
        </w:rPr>
        <w:t xml:space="preserve"> mil. lei, rezervele – </w:t>
      </w:r>
      <w:r w:rsidR="00A114C2" w:rsidRPr="00651044">
        <w:rPr>
          <w:sz w:val="28"/>
          <w:szCs w:val="28"/>
        </w:rPr>
        <w:t>5 504,5</w:t>
      </w:r>
      <w:r w:rsidRPr="00651044">
        <w:rPr>
          <w:sz w:val="28"/>
          <w:szCs w:val="28"/>
        </w:rPr>
        <w:t xml:space="preserve"> mil. lei, iar </w:t>
      </w:r>
      <w:r w:rsidR="00A114C2" w:rsidRPr="00651044">
        <w:rPr>
          <w:sz w:val="28"/>
          <w:szCs w:val="28"/>
        </w:rPr>
        <w:t>valoarea altor elemente de capital propriu</w:t>
      </w:r>
      <w:r w:rsidRPr="00651044">
        <w:rPr>
          <w:sz w:val="28"/>
          <w:szCs w:val="28"/>
        </w:rPr>
        <w:t xml:space="preserve"> – </w:t>
      </w:r>
      <w:r w:rsidR="00A114C2" w:rsidRPr="00651044">
        <w:rPr>
          <w:sz w:val="28"/>
          <w:szCs w:val="28"/>
        </w:rPr>
        <w:t>453,6</w:t>
      </w:r>
      <w:r w:rsidRPr="00651044">
        <w:rPr>
          <w:sz w:val="28"/>
          <w:szCs w:val="28"/>
        </w:rPr>
        <w:t xml:space="preserve"> mil. lei.</w:t>
      </w:r>
      <w:r w:rsidR="00604BA8" w:rsidRPr="00651044">
        <w:rPr>
          <w:sz w:val="28"/>
          <w:szCs w:val="28"/>
        </w:rPr>
        <w:t xml:space="preserve"> </w:t>
      </w:r>
      <w:r w:rsidR="00A114C2" w:rsidRPr="00651044">
        <w:rPr>
          <w:sz w:val="28"/>
          <w:szCs w:val="28"/>
        </w:rPr>
        <w:t>Pe parcursul anului 2015</w:t>
      </w:r>
      <w:r w:rsidRPr="00651044">
        <w:rPr>
          <w:sz w:val="28"/>
          <w:szCs w:val="28"/>
        </w:rPr>
        <w:t xml:space="preserve">, au </w:t>
      </w:r>
      <w:r w:rsidRPr="00651044">
        <w:rPr>
          <w:sz w:val="28"/>
          <w:szCs w:val="28"/>
        </w:rPr>
        <w:lastRenderedPageBreak/>
        <w:t>fost efectuate corec</w:t>
      </w:r>
      <w:r w:rsidR="00253020" w:rsidRPr="00651044">
        <w:rPr>
          <w:sz w:val="28"/>
          <w:szCs w:val="28"/>
        </w:rPr>
        <w:t>ţ</w:t>
      </w:r>
      <w:r w:rsidRPr="00651044">
        <w:rPr>
          <w:sz w:val="28"/>
          <w:szCs w:val="28"/>
        </w:rPr>
        <w:t xml:space="preserve">ii </w:t>
      </w:r>
      <w:r w:rsidR="00BA63DB" w:rsidRPr="00651044">
        <w:rPr>
          <w:sz w:val="28"/>
          <w:szCs w:val="28"/>
        </w:rPr>
        <w:t>nefavorabile</w:t>
      </w:r>
      <w:r w:rsidR="00A114C2" w:rsidRPr="00651044">
        <w:rPr>
          <w:sz w:val="28"/>
          <w:szCs w:val="28"/>
        </w:rPr>
        <w:t xml:space="preserve"> </w:t>
      </w:r>
      <w:r w:rsidRPr="00651044">
        <w:rPr>
          <w:sz w:val="28"/>
          <w:szCs w:val="28"/>
        </w:rPr>
        <w:t>ale rezultatelor anilor preceden</w:t>
      </w:r>
      <w:r w:rsidR="00253020" w:rsidRPr="00651044">
        <w:rPr>
          <w:sz w:val="28"/>
          <w:szCs w:val="28"/>
        </w:rPr>
        <w:t>ţ</w:t>
      </w:r>
      <w:r w:rsidR="00A114C2" w:rsidRPr="00651044">
        <w:rPr>
          <w:sz w:val="28"/>
          <w:szCs w:val="28"/>
        </w:rPr>
        <w:t>i în mărime de</w:t>
      </w:r>
      <w:r w:rsidR="00DC4C81" w:rsidRPr="00651044">
        <w:rPr>
          <w:sz w:val="28"/>
          <w:szCs w:val="28"/>
        </w:rPr>
        <w:t xml:space="preserve">       </w:t>
      </w:r>
      <w:r w:rsidR="00A114C2" w:rsidRPr="00651044">
        <w:rPr>
          <w:sz w:val="28"/>
          <w:szCs w:val="28"/>
        </w:rPr>
        <w:t xml:space="preserve"> (-14,5</w:t>
      </w:r>
      <w:r w:rsidRPr="00651044">
        <w:rPr>
          <w:sz w:val="28"/>
          <w:szCs w:val="28"/>
        </w:rPr>
        <w:t>) mil. lei, profitul nerepartizat al anilor preceden</w:t>
      </w:r>
      <w:r w:rsidR="00253020" w:rsidRPr="00651044">
        <w:rPr>
          <w:sz w:val="28"/>
          <w:szCs w:val="28"/>
        </w:rPr>
        <w:t>ţ</w:t>
      </w:r>
      <w:r w:rsidRPr="00651044">
        <w:rPr>
          <w:sz w:val="28"/>
          <w:szCs w:val="28"/>
        </w:rPr>
        <w:t xml:space="preserve">i a constituit </w:t>
      </w:r>
      <w:r w:rsidR="00A114C2" w:rsidRPr="00651044">
        <w:rPr>
          <w:sz w:val="28"/>
          <w:szCs w:val="28"/>
        </w:rPr>
        <w:t>1 202,7 mil. lei, iar pierderea</w:t>
      </w:r>
      <w:r w:rsidRPr="00651044">
        <w:rPr>
          <w:sz w:val="28"/>
          <w:szCs w:val="28"/>
        </w:rPr>
        <w:t xml:space="preserve"> net</w:t>
      </w:r>
      <w:r w:rsidR="00A114C2" w:rsidRPr="00651044">
        <w:rPr>
          <w:sz w:val="28"/>
          <w:szCs w:val="28"/>
        </w:rPr>
        <w:t>ă a</w:t>
      </w:r>
      <w:r w:rsidRPr="00651044">
        <w:rPr>
          <w:sz w:val="28"/>
          <w:szCs w:val="28"/>
        </w:rPr>
        <w:t xml:space="preserve"> perioadei de gestiune – </w:t>
      </w:r>
      <w:r w:rsidR="00A114C2" w:rsidRPr="00651044">
        <w:rPr>
          <w:sz w:val="28"/>
          <w:szCs w:val="28"/>
        </w:rPr>
        <w:t>(-477,7)</w:t>
      </w:r>
      <w:r w:rsidRPr="00651044">
        <w:rPr>
          <w:sz w:val="28"/>
          <w:szCs w:val="28"/>
        </w:rPr>
        <w:t xml:space="preserve"> mil. lei. De asemenea, societă</w:t>
      </w:r>
      <w:r w:rsidR="00253020" w:rsidRPr="00651044">
        <w:rPr>
          <w:sz w:val="28"/>
          <w:szCs w:val="28"/>
        </w:rPr>
        <w:t>ţ</w:t>
      </w:r>
      <w:r w:rsidRPr="00651044">
        <w:rPr>
          <w:sz w:val="28"/>
          <w:szCs w:val="28"/>
        </w:rPr>
        <w:t>ile pe ac</w:t>
      </w:r>
      <w:r w:rsidR="00253020" w:rsidRPr="00651044">
        <w:rPr>
          <w:sz w:val="28"/>
          <w:szCs w:val="28"/>
        </w:rPr>
        <w:t>ţ</w:t>
      </w:r>
      <w:r w:rsidRPr="00651044">
        <w:rPr>
          <w:sz w:val="28"/>
          <w:szCs w:val="28"/>
        </w:rPr>
        <w:t>iuni au utilizat în anul 201</w:t>
      </w:r>
      <w:r w:rsidR="00A114C2" w:rsidRPr="00651044">
        <w:rPr>
          <w:sz w:val="28"/>
          <w:szCs w:val="28"/>
        </w:rPr>
        <w:t xml:space="preserve">5 profit </w:t>
      </w:r>
      <w:r w:rsidR="00BA63DB" w:rsidRPr="00651044">
        <w:rPr>
          <w:sz w:val="28"/>
          <w:szCs w:val="28"/>
        </w:rPr>
        <w:t xml:space="preserve">al perioadei de gestiune </w:t>
      </w:r>
      <w:r w:rsidR="00A114C2" w:rsidRPr="00651044">
        <w:rPr>
          <w:sz w:val="28"/>
          <w:szCs w:val="28"/>
        </w:rPr>
        <w:t>în mărime de 1,5</w:t>
      </w:r>
      <w:r w:rsidRPr="00651044">
        <w:rPr>
          <w:sz w:val="28"/>
          <w:szCs w:val="28"/>
        </w:rPr>
        <w:t xml:space="preserve"> mil. lei.</w:t>
      </w:r>
    </w:p>
    <w:p w:rsidR="00D27CCD" w:rsidRPr="00651044" w:rsidRDefault="00A114C2" w:rsidP="00D27CCD">
      <w:pPr>
        <w:spacing w:line="276" w:lineRule="auto"/>
        <w:ind w:firstLine="567"/>
        <w:jc w:val="both"/>
        <w:rPr>
          <w:sz w:val="28"/>
          <w:szCs w:val="28"/>
        </w:rPr>
      </w:pPr>
      <w:r w:rsidRPr="00651044">
        <w:rPr>
          <w:sz w:val="28"/>
          <w:szCs w:val="28"/>
        </w:rPr>
        <w:t>Concomitent, 19</w:t>
      </w:r>
      <w:r w:rsidR="00D27CCD" w:rsidRPr="00651044">
        <w:rPr>
          <w:sz w:val="28"/>
          <w:szCs w:val="28"/>
        </w:rPr>
        <w:t xml:space="preserve"> societăţi pe acţiuni, sau </w:t>
      </w:r>
      <w:r w:rsidR="00BA63DB" w:rsidRPr="00651044">
        <w:rPr>
          <w:sz w:val="28"/>
          <w:szCs w:val="28"/>
        </w:rPr>
        <w:t>46,3</w:t>
      </w:r>
      <w:r w:rsidR="00D27CCD" w:rsidRPr="00651044">
        <w:rPr>
          <w:sz w:val="28"/>
          <w:szCs w:val="28"/>
        </w:rPr>
        <w:t>% din totalul societă</w:t>
      </w:r>
      <w:r w:rsidR="00253020" w:rsidRPr="00651044">
        <w:rPr>
          <w:sz w:val="28"/>
          <w:szCs w:val="28"/>
        </w:rPr>
        <w:t>ţ</w:t>
      </w:r>
      <w:r w:rsidR="00D27CCD" w:rsidRPr="00651044">
        <w:rPr>
          <w:sz w:val="28"/>
          <w:szCs w:val="28"/>
        </w:rPr>
        <w:t>ilor pe ac</w:t>
      </w:r>
      <w:r w:rsidR="00253020" w:rsidRPr="00651044">
        <w:rPr>
          <w:sz w:val="28"/>
          <w:szCs w:val="28"/>
        </w:rPr>
        <w:t>ţ</w:t>
      </w:r>
      <w:r w:rsidR="00D27CCD" w:rsidRPr="00651044">
        <w:rPr>
          <w:sz w:val="28"/>
          <w:szCs w:val="28"/>
        </w:rPr>
        <w:t xml:space="preserve">iuni monitorizate, au înregistrat o </w:t>
      </w:r>
      <w:r w:rsidR="00D27CCD" w:rsidRPr="00651044">
        <w:rPr>
          <w:i/>
          <w:sz w:val="28"/>
          <w:szCs w:val="28"/>
        </w:rPr>
        <w:t>micşorare a patrimoniului net</w:t>
      </w:r>
      <w:r w:rsidR="00D27CCD" w:rsidRPr="00651044">
        <w:rPr>
          <w:sz w:val="28"/>
          <w:szCs w:val="28"/>
        </w:rPr>
        <w:t xml:space="preserve"> cu aproximativ </w:t>
      </w:r>
      <w:r w:rsidRPr="00651044">
        <w:rPr>
          <w:sz w:val="28"/>
          <w:szCs w:val="28"/>
        </w:rPr>
        <w:t>679,0</w:t>
      </w:r>
      <w:r w:rsidR="00DC4C81" w:rsidRPr="00651044">
        <w:rPr>
          <w:sz w:val="28"/>
          <w:szCs w:val="28"/>
        </w:rPr>
        <w:t xml:space="preserve"> mil. lei</w:t>
      </w:r>
      <w:r w:rsidR="00D27CCD" w:rsidRPr="00651044">
        <w:rPr>
          <w:sz w:val="28"/>
          <w:szCs w:val="28"/>
        </w:rPr>
        <w:t>. Cele mai considerabile diminuări au fost înregistrate de:</w:t>
      </w:r>
    </w:p>
    <w:p w:rsidR="00D27CCD" w:rsidRPr="00651044" w:rsidRDefault="00D27CCD" w:rsidP="00136F34">
      <w:pPr>
        <w:numPr>
          <w:ilvl w:val="0"/>
          <w:numId w:val="7"/>
        </w:numPr>
        <w:spacing w:line="276" w:lineRule="auto"/>
        <w:ind w:hanging="233"/>
        <w:jc w:val="both"/>
        <w:rPr>
          <w:sz w:val="28"/>
          <w:szCs w:val="28"/>
        </w:rPr>
      </w:pPr>
      <w:r w:rsidRPr="00651044">
        <w:rPr>
          <w:sz w:val="28"/>
          <w:szCs w:val="28"/>
        </w:rPr>
        <w:t>S.A. „</w:t>
      </w:r>
      <w:r w:rsidR="00A114C2" w:rsidRPr="00651044">
        <w:rPr>
          <w:sz w:val="28"/>
          <w:szCs w:val="28"/>
        </w:rPr>
        <w:t>Termoelectrica</w:t>
      </w:r>
      <w:r w:rsidRPr="00651044">
        <w:rPr>
          <w:sz w:val="28"/>
          <w:szCs w:val="28"/>
        </w:rPr>
        <w:t xml:space="preserve">” – </w:t>
      </w:r>
      <w:r w:rsidR="00A114C2" w:rsidRPr="00651044">
        <w:rPr>
          <w:sz w:val="28"/>
          <w:szCs w:val="28"/>
        </w:rPr>
        <w:t>cu 361,7</w:t>
      </w:r>
      <w:r w:rsidRPr="00651044">
        <w:rPr>
          <w:sz w:val="28"/>
          <w:szCs w:val="28"/>
        </w:rPr>
        <w:t xml:space="preserve"> mil. lei;</w:t>
      </w:r>
    </w:p>
    <w:p w:rsidR="00A114C2" w:rsidRPr="00651044" w:rsidRDefault="00A114C2" w:rsidP="00136F34">
      <w:pPr>
        <w:numPr>
          <w:ilvl w:val="0"/>
          <w:numId w:val="7"/>
        </w:numPr>
        <w:spacing w:line="276" w:lineRule="auto"/>
        <w:ind w:hanging="233"/>
        <w:jc w:val="both"/>
        <w:rPr>
          <w:sz w:val="28"/>
          <w:szCs w:val="28"/>
        </w:rPr>
      </w:pPr>
      <w:r w:rsidRPr="00651044">
        <w:rPr>
          <w:sz w:val="28"/>
          <w:szCs w:val="28"/>
        </w:rPr>
        <w:t>S.A. „RED Nord” – cu 90,9 mil. lei;</w:t>
      </w:r>
    </w:p>
    <w:p w:rsidR="00A114C2" w:rsidRPr="00651044" w:rsidRDefault="00A114C2" w:rsidP="00136F34">
      <w:pPr>
        <w:numPr>
          <w:ilvl w:val="0"/>
          <w:numId w:val="7"/>
        </w:numPr>
        <w:spacing w:line="276" w:lineRule="auto"/>
        <w:ind w:hanging="233"/>
        <w:jc w:val="both"/>
        <w:rPr>
          <w:sz w:val="28"/>
          <w:szCs w:val="28"/>
        </w:rPr>
      </w:pPr>
      <w:r w:rsidRPr="00651044">
        <w:rPr>
          <w:sz w:val="28"/>
          <w:szCs w:val="28"/>
        </w:rPr>
        <w:t>S.A. „CET-Nord” – cu 72,7 mil. lei;</w:t>
      </w:r>
    </w:p>
    <w:p w:rsidR="00D27CCD" w:rsidRPr="00651044" w:rsidRDefault="00D27CCD" w:rsidP="00136F34">
      <w:pPr>
        <w:numPr>
          <w:ilvl w:val="0"/>
          <w:numId w:val="7"/>
        </w:numPr>
        <w:spacing w:line="276" w:lineRule="auto"/>
        <w:ind w:hanging="233"/>
        <w:jc w:val="both"/>
        <w:rPr>
          <w:sz w:val="28"/>
          <w:szCs w:val="28"/>
        </w:rPr>
      </w:pPr>
      <w:r w:rsidRPr="00651044">
        <w:rPr>
          <w:sz w:val="28"/>
          <w:szCs w:val="28"/>
        </w:rPr>
        <w:t xml:space="preserve">S.A. „RED Nord-Vest” – </w:t>
      </w:r>
      <w:r w:rsidR="00A114C2" w:rsidRPr="00651044">
        <w:rPr>
          <w:sz w:val="28"/>
          <w:szCs w:val="28"/>
        </w:rPr>
        <w:t>cu 65,4</w:t>
      </w:r>
      <w:r w:rsidRPr="00651044">
        <w:rPr>
          <w:sz w:val="28"/>
          <w:szCs w:val="28"/>
        </w:rPr>
        <w:t xml:space="preserve"> mil. lei;</w:t>
      </w:r>
    </w:p>
    <w:p w:rsidR="00D27CCD" w:rsidRPr="00651044" w:rsidRDefault="00D27CCD" w:rsidP="00136F34">
      <w:pPr>
        <w:numPr>
          <w:ilvl w:val="0"/>
          <w:numId w:val="7"/>
        </w:numPr>
        <w:spacing w:line="276" w:lineRule="auto"/>
        <w:ind w:hanging="233"/>
        <w:jc w:val="both"/>
        <w:rPr>
          <w:sz w:val="28"/>
          <w:szCs w:val="28"/>
        </w:rPr>
      </w:pPr>
      <w:r w:rsidRPr="00651044">
        <w:rPr>
          <w:sz w:val="28"/>
          <w:szCs w:val="28"/>
        </w:rPr>
        <w:t>S.A. „</w:t>
      </w:r>
      <w:r w:rsidR="00A114C2" w:rsidRPr="00651044">
        <w:rPr>
          <w:sz w:val="28"/>
          <w:szCs w:val="28"/>
        </w:rPr>
        <w:t>Furnizarea Energiei Electrice Nord</w:t>
      </w:r>
      <w:r w:rsidRPr="00651044">
        <w:rPr>
          <w:sz w:val="28"/>
          <w:szCs w:val="28"/>
        </w:rPr>
        <w:t xml:space="preserve">” – </w:t>
      </w:r>
      <w:r w:rsidR="00A114C2" w:rsidRPr="00651044">
        <w:rPr>
          <w:sz w:val="28"/>
          <w:szCs w:val="28"/>
        </w:rPr>
        <w:t>cu 47,2</w:t>
      </w:r>
      <w:r w:rsidRPr="00651044">
        <w:rPr>
          <w:sz w:val="28"/>
          <w:szCs w:val="28"/>
        </w:rPr>
        <w:t xml:space="preserve"> mil. lei;</w:t>
      </w:r>
    </w:p>
    <w:p w:rsidR="00D27CCD" w:rsidRPr="00651044" w:rsidRDefault="00D27CCD" w:rsidP="00136F34">
      <w:pPr>
        <w:numPr>
          <w:ilvl w:val="0"/>
          <w:numId w:val="7"/>
        </w:numPr>
        <w:spacing w:line="276" w:lineRule="auto"/>
        <w:ind w:hanging="233"/>
        <w:jc w:val="both"/>
        <w:rPr>
          <w:sz w:val="28"/>
          <w:szCs w:val="28"/>
        </w:rPr>
      </w:pPr>
      <w:r w:rsidRPr="00651044">
        <w:rPr>
          <w:sz w:val="28"/>
          <w:szCs w:val="28"/>
        </w:rPr>
        <w:t>S.A. „</w:t>
      </w:r>
      <w:r w:rsidR="00A114C2" w:rsidRPr="00651044">
        <w:rPr>
          <w:sz w:val="28"/>
          <w:szCs w:val="28"/>
        </w:rPr>
        <w:t>Combinatul de Vinuri ,,Cricova</w:t>
      </w:r>
      <w:r w:rsidRPr="00651044">
        <w:rPr>
          <w:sz w:val="28"/>
          <w:szCs w:val="28"/>
        </w:rPr>
        <w:t xml:space="preserve">” – </w:t>
      </w:r>
      <w:r w:rsidR="00A114C2" w:rsidRPr="00651044">
        <w:rPr>
          <w:sz w:val="28"/>
          <w:szCs w:val="28"/>
        </w:rPr>
        <w:t>cu 23,0 mil. lei.</w:t>
      </w:r>
    </w:p>
    <w:p w:rsidR="00D27CCD" w:rsidRPr="00651044" w:rsidRDefault="00D27CCD" w:rsidP="00D27CCD">
      <w:pPr>
        <w:spacing w:line="276" w:lineRule="auto"/>
        <w:ind w:firstLine="567"/>
        <w:jc w:val="both"/>
        <w:rPr>
          <w:sz w:val="28"/>
          <w:szCs w:val="28"/>
        </w:rPr>
      </w:pPr>
      <w:r w:rsidRPr="00651044">
        <w:rPr>
          <w:sz w:val="28"/>
          <w:szCs w:val="28"/>
        </w:rPr>
        <w:t xml:space="preserve">După cum poate fi observat, cele mai considerabile diminuări ale patrimoniului net sunt înregistrate de către întreprinderile din ramura energetică.   </w:t>
      </w:r>
    </w:p>
    <w:p w:rsidR="00D27CCD" w:rsidRPr="00651044" w:rsidRDefault="00A114C2" w:rsidP="00A114C2">
      <w:pPr>
        <w:spacing w:line="276" w:lineRule="auto"/>
        <w:ind w:firstLine="567"/>
        <w:jc w:val="both"/>
        <w:rPr>
          <w:sz w:val="28"/>
          <w:szCs w:val="28"/>
        </w:rPr>
      </w:pPr>
      <w:r w:rsidRPr="00651044">
        <w:rPr>
          <w:sz w:val="28"/>
          <w:szCs w:val="28"/>
        </w:rPr>
        <w:t>În acelaşi timp,</w:t>
      </w:r>
      <w:r w:rsidRPr="00651044">
        <w:rPr>
          <w:color w:val="FF0000"/>
          <w:sz w:val="28"/>
          <w:szCs w:val="28"/>
        </w:rPr>
        <w:t xml:space="preserve"> </w:t>
      </w:r>
      <w:r w:rsidRPr="00651044">
        <w:rPr>
          <w:i/>
          <w:sz w:val="28"/>
          <w:szCs w:val="28"/>
        </w:rPr>
        <w:t xml:space="preserve">raportul dintre pierderea netă înregistrată de către societăţile pe acţiuni </w:t>
      </w:r>
      <w:r w:rsidR="00BA63DB" w:rsidRPr="00651044">
        <w:rPr>
          <w:i/>
          <w:sz w:val="28"/>
          <w:szCs w:val="28"/>
        </w:rPr>
        <w:t xml:space="preserve">în anul </w:t>
      </w:r>
      <w:r w:rsidRPr="00651044">
        <w:rPr>
          <w:i/>
          <w:sz w:val="28"/>
          <w:szCs w:val="28"/>
        </w:rPr>
        <w:t xml:space="preserve">2015 şi valoarea </w:t>
      </w:r>
      <w:r w:rsidR="00BA63DB" w:rsidRPr="00651044">
        <w:rPr>
          <w:i/>
          <w:sz w:val="28"/>
          <w:szCs w:val="28"/>
        </w:rPr>
        <w:t xml:space="preserve">medie a </w:t>
      </w:r>
      <w:r w:rsidRPr="00651044">
        <w:rPr>
          <w:i/>
          <w:sz w:val="28"/>
          <w:szCs w:val="28"/>
        </w:rPr>
        <w:t xml:space="preserve">capitalului propriu </w:t>
      </w:r>
      <w:r w:rsidRPr="00651044">
        <w:rPr>
          <w:sz w:val="28"/>
          <w:szCs w:val="28"/>
        </w:rPr>
        <w:t>a acestora a constituit per ansamblu (-4,</w:t>
      </w:r>
      <w:r w:rsidR="00BA63DB" w:rsidRPr="00651044">
        <w:rPr>
          <w:sz w:val="28"/>
          <w:szCs w:val="28"/>
        </w:rPr>
        <w:t>6</w:t>
      </w:r>
      <w:r w:rsidRPr="00651044">
        <w:rPr>
          <w:sz w:val="28"/>
          <w:szCs w:val="28"/>
        </w:rPr>
        <w:t xml:space="preserve">)%, ceea ce semnifică faptul că la 1 leu capital propriu, </w:t>
      </w:r>
      <w:r w:rsidR="00BA63DB" w:rsidRPr="00651044">
        <w:rPr>
          <w:sz w:val="28"/>
          <w:szCs w:val="28"/>
        </w:rPr>
        <w:t xml:space="preserve">în anul </w:t>
      </w:r>
      <w:r w:rsidRPr="00651044">
        <w:rPr>
          <w:sz w:val="28"/>
          <w:szCs w:val="28"/>
        </w:rPr>
        <w:t xml:space="preserve">2015, </w:t>
      </w:r>
      <w:r w:rsidR="008465A8" w:rsidRPr="00651044">
        <w:rPr>
          <w:sz w:val="28"/>
          <w:szCs w:val="28"/>
        </w:rPr>
        <w:t xml:space="preserve">   </w:t>
      </w:r>
      <w:r w:rsidRPr="00651044">
        <w:rPr>
          <w:sz w:val="28"/>
          <w:szCs w:val="28"/>
        </w:rPr>
        <w:t>s-a</w:t>
      </w:r>
      <w:r w:rsidR="00604BA8" w:rsidRPr="00651044">
        <w:rPr>
          <w:sz w:val="28"/>
          <w:szCs w:val="28"/>
        </w:rPr>
        <w:t>u</w:t>
      </w:r>
      <w:r w:rsidRPr="00651044">
        <w:rPr>
          <w:sz w:val="28"/>
          <w:szCs w:val="28"/>
        </w:rPr>
        <w:t xml:space="preserve"> obţinut </w:t>
      </w:r>
      <w:r w:rsidR="00BA63DB" w:rsidRPr="00651044">
        <w:rPr>
          <w:sz w:val="28"/>
          <w:szCs w:val="28"/>
        </w:rPr>
        <w:t>4,6</w:t>
      </w:r>
      <w:r w:rsidRPr="00651044">
        <w:rPr>
          <w:sz w:val="28"/>
          <w:szCs w:val="28"/>
        </w:rPr>
        <w:t xml:space="preserve"> bani pierdere netă. </w:t>
      </w:r>
    </w:p>
    <w:p w:rsidR="00D27CCD" w:rsidRPr="00651044" w:rsidRDefault="00A114C2" w:rsidP="00D27CCD">
      <w:pPr>
        <w:spacing w:line="276" w:lineRule="auto"/>
        <w:ind w:firstLine="567"/>
        <w:jc w:val="both"/>
        <w:rPr>
          <w:sz w:val="28"/>
          <w:szCs w:val="28"/>
        </w:rPr>
      </w:pPr>
      <w:r w:rsidRPr="00651044">
        <w:rPr>
          <w:sz w:val="28"/>
          <w:szCs w:val="28"/>
        </w:rPr>
        <w:t>Analiz</w:t>
      </w:r>
      <w:r w:rsidR="006E6FE5">
        <w:rPr>
          <w:sz w:val="28"/>
          <w:szCs w:val="28"/>
        </w:rPr>
        <w:t>î</w:t>
      </w:r>
      <w:r w:rsidR="00D27CCD" w:rsidRPr="00651044">
        <w:rPr>
          <w:sz w:val="28"/>
          <w:szCs w:val="28"/>
        </w:rPr>
        <w:t>nd situa</w:t>
      </w:r>
      <w:r w:rsidR="00253020" w:rsidRPr="00651044">
        <w:rPr>
          <w:sz w:val="28"/>
          <w:szCs w:val="28"/>
        </w:rPr>
        <w:t>ţ</w:t>
      </w:r>
      <w:r w:rsidR="00D27CCD" w:rsidRPr="00651044">
        <w:rPr>
          <w:sz w:val="28"/>
          <w:szCs w:val="28"/>
        </w:rPr>
        <w:t xml:space="preserve">ia de profit şi pierdere, s-a constatat că societăţile </w:t>
      </w:r>
      <w:r w:rsidRPr="00651044">
        <w:rPr>
          <w:sz w:val="28"/>
          <w:szCs w:val="28"/>
        </w:rPr>
        <w:t>pe acţiuni supuse analizei au obţinut în anul 2015 venituri din v</w:t>
      </w:r>
      <w:r w:rsidR="006E6FE5">
        <w:rPr>
          <w:sz w:val="28"/>
          <w:szCs w:val="28"/>
        </w:rPr>
        <w:t>î</w:t>
      </w:r>
      <w:r w:rsidR="00D27CCD" w:rsidRPr="00651044">
        <w:rPr>
          <w:sz w:val="28"/>
          <w:szCs w:val="28"/>
        </w:rPr>
        <w:t xml:space="preserve">nzări în sumă de </w:t>
      </w:r>
      <w:r w:rsidR="003058D7" w:rsidRPr="00651044">
        <w:rPr>
          <w:sz w:val="28"/>
          <w:szCs w:val="28"/>
        </w:rPr>
        <w:t>14 029,6</w:t>
      </w:r>
      <w:r w:rsidR="00D27CCD" w:rsidRPr="00651044">
        <w:rPr>
          <w:sz w:val="28"/>
          <w:szCs w:val="28"/>
        </w:rPr>
        <w:t xml:space="preserve"> mil. lei, cu </w:t>
      </w:r>
      <w:r w:rsidR="003058D7" w:rsidRPr="00651044">
        <w:rPr>
          <w:sz w:val="28"/>
          <w:szCs w:val="28"/>
        </w:rPr>
        <w:t>3 929,9</w:t>
      </w:r>
      <w:r w:rsidR="00D27CCD" w:rsidRPr="00651044">
        <w:rPr>
          <w:sz w:val="28"/>
          <w:szCs w:val="28"/>
        </w:rPr>
        <w:t xml:space="preserve"> mil. lei mai mult faţă de anul p</w:t>
      </w:r>
      <w:r w:rsidR="003058D7" w:rsidRPr="00651044">
        <w:rPr>
          <w:sz w:val="28"/>
          <w:szCs w:val="28"/>
        </w:rPr>
        <w:t>recedent. Respectiv, costul v</w:t>
      </w:r>
      <w:r w:rsidR="006E6FE5">
        <w:rPr>
          <w:sz w:val="28"/>
          <w:szCs w:val="28"/>
        </w:rPr>
        <w:t>î</w:t>
      </w:r>
      <w:r w:rsidR="00D27CCD" w:rsidRPr="00651044">
        <w:rPr>
          <w:sz w:val="28"/>
          <w:szCs w:val="28"/>
        </w:rPr>
        <w:t xml:space="preserve">nzărilor s-a majorat cu </w:t>
      </w:r>
      <w:r w:rsidR="003058D7" w:rsidRPr="00651044">
        <w:rPr>
          <w:sz w:val="28"/>
          <w:szCs w:val="28"/>
        </w:rPr>
        <w:t>4 248,8 mil. lei, constituind la finele</w:t>
      </w:r>
      <w:r w:rsidR="00D27CCD" w:rsidRPr="00651044">
        <w:rPr>
          <w:sz w:val="28"/>
          <w:szCs w:val="28"/>
        </w:rPr>
        <w:t xml:space="preserve"> anul</w:t>
      </w:r>
      <w:r w:rsidR="003058D7" w:rsidRPr="00651044">
        <w:rPr>
          <w:sz w:val="28"/>
          <w:szCs w:val="28"/>
        </w:rPr>
        <w:t>ui</w:t>
      </w:r>
      <w:r w:rsidR="00D27CCD" w:rsidRPr="00651044">
        <w:rPr>
          <w:sz w:val="28"/>
          <w:szCs w:val="28"/>
        </w:rPr>
        <w:t xml:space="preserve"> </w:t>
      </w:r>
      <w:r w:rsidR="00BA63DB" w:rsidRPr="00651044">
        <w:rPr>
          <w:sz w:val="28"/>
          <w:szCs w:val="28"/>
        </w:rPr>
        <w:t>de raportare</w:t>
      </w:r>
      <w:r w:rsidR="00D27CCD" w:rsidRPr="00651044">
        <w:rPr>
          <w:sz w:val="28"/>
          <w:szCs w:val="28"/>
        </w:rPr>
        <w:t xml:space="preserve"> </w:t>
      </w:r>
      <w:r w:rsidR="003058D7" w:rsidRPr="00651044">
        <w:rPr>
          <w:sz w:val="28"/>
          <w:szCs w:val="28"/>
        </w:rPr>
        <w:t>13 423,0</w:t>
      </w:r>
      <w:r w:rsidR="00D27CCD" w:rsidRPr="00651044">
        <w:rPr>
          <w:sz w:val="28"/>
          <w:szCs w:val="28"/>
        </w:rPr>
        <w:t xml:space="preserve"> mil. lei.</w:t>
      </w:r>
      <w:r w:rsidR="00D27CCD" w:rsidRPr="00651044">
        <w:rPr>
          <w:color w:val="FF0000"/>
          <w:sz w:val="28"/>
          <w:szCs w:val="28"/>
        </w:rPr>
        <w:t xml:space="preserve"> </w:t>
      </w:r>
      <w:r w:rsidR="00D27CCD" w:rsidRPr="00651044">
        <w:rPr>
          <w:sz w:val="28"/>
          <w:szCs w:val="28"/>
        </w:rPr>
        <w:t>Astfel, societăţile p</w:t>
      </w:r>
      <w:r w:rsidR="003058D7" w:rsidRPr="00651044">
        <w:rPr>
          <w:sz w:val="28"/>
          <w:szCs w:val="28"/>
        </w:rPr>
        <w:t>e acţiuni au înregistrat în 2015</w:t>
      </w:r>
      <w:r w:rsidR="00D27CCD" w:rsidRPr="00651044">
        <w:rPr>
          <w:sz w:val="28"/>
          <w:szCs w:val="28"/>
        </w:rPr>
        <w:t xml:space="preserve"> un profit brut în mărime de </w:t>
      </w:r>
      <w:r w:rsidR="008465A8" w:rsidRPr="00651044">
        <w:rPr>
          <w:sz w:val="28"/>
          <w:szCs w:val="28"/>
        </w:rPr>
        <w:t xml:space="preserve">       </w:t>
      </w:r>
      <w:r w:rsidR="003058D7" w:rsidRPr="00651044">
        <w:rPr>
          <w:sz w:val="28"/>
          <w:szCs w:val="28"/>
        </w:rPr>
        <w:t>606,6</w:t>
      </w:r>
      <w:r w:rsidR="00D27CCD" w:rsidRPr="00651044">
        <w:rPr>
          <w:sz w:val="28"/>
          <w:szCs w:val="28"/>
        </w:rPr>
        <w:t xml:space="preserve"> mil. lei, </w:t>
      </w:r>
      <w:r w:rsidR="003058D7" w:rsidRPr="00651044">
        <w:rPr>
          <w:sz w:val="28"/>
          <w:szCs w:val="28"/>
        </w:rPr>
        <w:t xml:space="preserve">ceea ce reprezintă </w:t>
      </w:r>
      <w:r w:rsidR="00D27CCD" w:rsidRPr="00651044">
        <w:rPr>
          <w:sz w:val="28"/>
          <w:szCs w:val="28"/>
        </w:rPr>
        <w:t xml:space="preserve">cu </w:t>
      </w:r>
      <w:r w:rsidR="003058D7" w:rsidRPr="00651044">
        <w:rPr>
          <w:sz w:val="28"/>
          <w:szCs w:val="28"/>
        </w:rPr>
        <w:t>318,9</w:t>
      </w:r>
      <w:r w:rsidR="00D27CCD" w:rsidRPr="00651044">
        <w:rPr>
          <w:sz w:val="28"/>
          <w:szCs w:val="28"/>
        </w:rPr>
        <w:t xml:space="preserve"> mil. lei mai puţin faţă de anul precedent, dat fiind faptul că rit</w:t>
      </w:r>
      <w:r w:rsidR="003058D7" w:rsidRPr="00651044">
        <w:rPr>
          <w:sz w:val="28"/>
          <w:szCs w:val="28"/>
        </w:rPr>
        <w:t>mul de creştere al costurilor v</w:t>
      </w:r>
      <w:r w:rsidR="006E6FE5">
        <w:rPr>
          <w:sz w:val="28"/>
          <w:szCs w:val="28"/>
        </w:rPr>
        <w:t>î</w:t>
      </w:r>
      <w:r w:rsidR="00D27CCD" w:rsidRPr="00651044">
        <w:rPr>
          <w:sz w:val="28"/>
          <w:szCs w:val="28"/>
        </w:rPr>
        <w:t>nzărilor depăşeşte rit</w:t>
      </w:r>
      <w:r w:rsidR="003058D7" w:rsidRPr="00651044">
        <w:rPr>
          <w:sz w:val="28"/>
          <w:szCs w:val="28"/>
        </w:rPr>
        <w:t>mul creşterii veniturilor din v</w:t>
      </w:r>
      <w:r w:rsidR="006E6FE5">
        <w:rPr>
          <w:sz w:val="28"/>
          <w:szCs w:val="28"/>
        </w:rPr>
        <w:t>î</w:t>
      </w:r>
      <w:r w:rsidR="00D27CCD" w:rsidRPr="00651044">
        <w:rPr>
          <w:sz w:val="28"/>
          <w:szCs w:val="28"/>
        </w:rPr>
        <w:t>nzări.</w:t>
      </w:r>
    </w:p>
    <w:p w:rsidR="00D27CCD" w:rsidRPr="00651044" w:rsidRDefault="00763829" w:rsidP="00D27CCD">
      <w:pPr>
        <w:spacing w:line="312" w:lineRule="auto"/>
        <w:jc w:val="center"/>
        <w:rPr>
          <w:color w:val="FF0000"/>
          <w:sz w:val="28"/>
          <w:szCs w:val="28"/>
        </w:rPr>
      </w:pPr>
      <w:r>
        <w:rPr>
          <w:noProof/>
          <w:color w:val="FF0000"/>
          <w:sz w:val="28"/>
          <w:szCs w:val="28"/>
          <w:lang w:val="ru-RU"/>
        </w:rPr>
        <w:drawing>
          <wp:inline distT="0" distB="0" distL="0" distR="0">
            <wp:extent cx="4419600" cy="1354455"/>
            <wp:effectExtent l="0" t="0" r="0" b="0"/>
            <wp:docPr id="17" name="Objec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27CCD" w:rsidRPr="00651044" w:rsidRDefault="00D27CCD" w:rsidP="00D27CCD">
      <w:pPr>
        <w:jc w:val="center"/>
        <w:rPr>
          <w:b/>
          <w:i/>
          <w:sz w:val="20"/>
          <w:szCs w:val="20"/>
        </w:rPr>
      </w:pPr>
      <w:r w:rsidRPr="00651044">
        <w:rPr>
          <w:b/>
          <w:i/>
          <w:sz w:val="20"/>
          <w:szCs w:val="20"/>
        </w:rPr>
        <w:t xml:space="preserve">Figura 3.6. Dinamica profitului brut al societăţilor pe acţiuni </w:t>
      </w:r>
    </w:p>
    <w:p w:rsidR="00D27CCD" w:rsidRPr="00651044" w:rsidRDefault="00D27CCD" w:rsidP="00D27CCD">
      <w:pPr>
        <w:jc w:val="center"/>
        <w:rPr>
          <w:b/>
          <w:i/>
          <w:sz w:val="20"/>
          <w:szCs w:val="20"/>
        </w:rPr>
      </w:pPr>
      <w:r w:rsidRPr="00651044">
        <w:rPr>
          <w:b/>
          <w:i/>
          <w:sz w:val="20"/>
          <w:szCs w:val="20"/>
        </w:rPr>
        <w:t xml:space="preserve">şi a factorilor de </w:t>
      </w:r>
      <w:r w:rsidR="003058D7" w:rsidRPr="00651044">
        <w:rPr>
          <w:b/>
          <w:i/>
          <w:sz w:val="20"/>
          <w:szCs w:val="20"/>
        </w:rPr>
        <w:t>influenţă a acestuia, mil. lei</w:t>
      </w:r>
    </w:p>
    <w:p w:rsidR="003058D7" w:rsidRPr="00651044" w:rsidRDefault="003058D7" w:rsidP="00D27CCD">
      <w:pPr>
        <w:jc w:val="center"/>
        <w:rPr>
          <w:b/>
          <w:i/>
          <w:sz w:val="20"/>
          <w:szCs w:val="20"/>
        </w:rPr>
      </w:pPr>
    </w:p>
    <w:p w:rsidR="00D27CCD" w:rsidRPr="00651044" w:rsidRDefault="003058D7" w:rsidP="00D27CCD">
      <w:pPr>
        <w:spacing w:line="276" w:lineRule="auto"/>
        <w:ind w:firstLine="567"/>
        <w:jc w:val="both"/>
        <w:rPr>
          <w:sz w:val="28"/>
          <w:szCs w:val="28"/>
        </w:rPr>
      </w:pPr>
      <w:r w:rsidRPr="00651044">
        <w:rPr>
          <w:sz w:val="28"/>
          <w:szCs w:val="28"/>
        </w:rPr>
        <w:t>Concomitent, se atestă că</w:t>
      </w:r>
      <w:r w:rsidR="00D27CCD" w:rsidRPr="00651044">
        <w:rPr>
          <w:sz w:val="28"/>
          <w:szCs w:val="28"/>
        </w:rPr>
        <w:t xml:space="preserve"> societă</w:t>
      </w:r>
      <w:r w:rsidR="00253020" w:rsidRPr="00651044">
        <w:rPr>
          <w:sz w:val="28"/>
          <w:szCs w:val="28"/>
        </w:rPr>
        <w:t>ţ</w:t>
      </w:r>
      <w:r w:rsidR="00D27CCD" w:rsidRPr="00651044">
        <w:rPr>
          <w:sz w:val="28"/>
          <w:szCs w:val="28"/>
        </w:rPr>
        <w:t>ile pe ac</w:t>
      </w:r>
      <w:r w:rsidR="00253020" w:rsidRPr="00651044">
        <w:rPr>
          <w:sz w:val="28"/>
          <w:szCs w:val="28"/>
        </w:rPr>
        <w:t>ţ</w:t>
      </w:r>
      <w:r w:rsidRPr="00651044">
        <w:rPr>
          <w:sz w:val="28"/>
          <w:szCs w:val="28"/>
        </w:rPr>
        <w:t>iuni în anul 2015</w:t>
      </w:r>
      <w:r w:rsidR="00D27CCD" w:rsidRPr="00651044">
        <w:rPr>
          <w:sz w:val="28"/>
          <w:szCs w:val="28"/>
        </w:rPr>
        <w:t xml:space="preserve"> au înregistrat alte venituri din activitatea opera</w:t>
      </w:r>
      <w:r w:rsidR="00253020" w:rsidRPr="00651044">
        <w:rPr>
          <w:sz w:val="28"/>
          <w:szCs w:val="28"/>
        </w:rPr>
        <w:t>ţ</w:t>
      </w:r>
      <w:r w:rsidR="00D27CCD" w:rsidRPr="00651044">
        <w:rPr>
          <w:sz w:val="28"/>
          <w:szCs w:val="28"/>
        </w:rPr>
        <w:t xml:space="preserve">ională în mărime de </w:t>
      </w:r>
      <w:r w:rsidRPr="00651044">
        <w:rPr>
          <w:sz w:val="28"/>
          <w:szCs w:val="28"/>
        </w:rPr>
        <w:t>154,4</w:t>
      </w:r>
      <w:r w:rsidR="00D27CCD" w:rsidRPr="00651044">
        <w:rPr>
          <w:sz w:val="28"/>
          <w:szCs w:val="28"/>
        </w:rPr>
        <w:t xml:space="preserve"> mil. lei sau cu </w:t>
      </w:r>
      <w:r w:rsidRPr="00651044">
        <w:rPr>
          <w:sz w:val="28"/>
          <w:szCs w:val="28"/>
        </w:rPr>
        <w:t>11,0</w:t>
      </w:r>
      <w:r w:rsidR="00D27CCD" w:rsidRPr="00651044">
        <w:rPr>
          <w:sz w:val="28"/>
          <w:szCs w:val="28"/>
        </w:rPr>
        <w:t xml:space="preserve"> mil. lei mai </w:t>
      </w:r>
      <w:r w:rsidRPr="00651044">
        <w:rPr>
          <w:sz w:val="28"/>
          <w:szCs w:val="28"/>
        </w:rPr>
        <w:t>mult în raport cu</w:t>
      </w:r>
      <w:r w:rsidR="00D27CCD" w:rsidRPr="00651044">
        <w:rPr>
          <w:sz w:val="28"/>
          <w:szCs w:val="28"/>
        </w:rPr>
        <w:t xml:space="preserve"> anul precedent.</w:t>
      </w:r>
    </w:p>
    <w:p w:rsidR="00D27CCD" w:rsidRPr="00651044" w:rsidRDefault="00D27CCD" w:rsidP="00D27CCD">
      <w:pPr>
        <w:spacing w:line="276" w:lineRule="auto"/>
        <w:ind w:firstLine="567"/>
        <w:jc w:val="both"/>
        <w:rPr>
          <w:sz w:val="28"/>
          <w:szCs w:val="28"/>
        </w:rPr>
      </w:pPr>
      <w:r w:rsidRPr="00651044">
        <w:rPr>
          <w:sz w:val="28"/>
          <w:szCs w:val="28"/>
        </w:rPr>
        <w:lastRenderedPageBreak/>
        <w:t>Este de menţionat, că 15 societăţi pe acţi</w:t>
      </w:r>
      <w:r w:rsidR="00BA63DB" w:rsidRPr="00651044">
        <w:rPr>
          <w:sz w:val="28"/>
          <w:szCs w:val="28"/>
        </w:rPr>
        <w:t>uni, au înregistrat în anul 2015</w:t>
      </w:r>
      <w:r w:rsidRPr="00651044">
        <w:rPr>
          <w:sz w:val="28"/>
          <w:szCs w:val="28"/>
        </w:rPr>
        <w:t xml:space="preserve"> </w:t>
      </w:r>
      <w:r w:rsidR="003058D7" w:rsidRPr="00651044">
        <w:rPr>
          <w:sz w:val="28"/>
          <w:szCs w:val="28"/>
        </w:rPr>
        <w:t xml:space="preserve">o </w:t>
      </w:r>
      <w:r w:rsidR="003058D7" w:rsidRPr="00651044">
        <w:rPr>
          <w:i/>
          <w:sz w:val="28"/>
          <w:szCs w:val="28"/>
        </w:rPr>
        <w:t>micşorare a veniturilor din v</w:t>
      </w:r>
      <w:r w:rsidR="006E6FE5">
        <w:rPr>
          <w:i/>
          <w:sz w:val="28"/>
          <w:szCs w:val="28"/>
        </w:rPr>
        <w:t>î</w:t>
      </w:r>
      <w:r w:rsidRPr="00651044">
        <w:rPr>
          <w:i/>
          <w:sz w:val="28"/>
          <w:szCs w:val="28"/>
        </w:rPr>
        <w:t>nzări</w:t>
      </w:r>
      <w:r w:rsidRPr="00651044">
        <w:rPr>
          <w:sz w:val="28"/>
          <w:szCs w:val="28"/>
        </w:rPr>
        <w:t xml:space="preserve"> cu </w:t>
      </w:r>
      <w:r w:rsidR="003058D7" w:rsidRPr="00651044">
        <w:rPr>
          <w:sz w:val="28"/>
          <w:szCs w:val="28"/>
        </w:rPr>
        <w:t>797,2</w:t>
      </w:r>
      <w:r w:rsidR="00DC4C81" w:rsidRPr="00651044">
        <w:rPr>
          <w:sz w:val="28"/>
          <w:szCs w:val="28"/>
        </w:rPr>
        <w:t xml:space="preserve"> mil. lei</w:t>
      </w:r>
      <w:r w:rsidRPr="00651044">
        <w:rPr>
          <w:sz w:val="28"/>
          <w:szCs w:val="28"/>
        </w:rPr>
        <w:t xml:space="preserve"> şi anume:</w:t>
      </w:r>
    </w:p>
    <w:p w:rsidR="00D27CCD" w:rsidRPr="00651044" w:rsidRDefault="003058D7" w:rsidP="00136F34">
      <w:pPr>
        <w:numPr>
          <w:ilvl w:val="0"/>
          <w:numId w:val="7"/>
        </w:numPr>
        <w:spacing w:line="276" w:lineRule="auto"/>
        <w:ind w:hanging="233"/>
        <w:jc w:val="both"/>
        <w:rPr>
          <w:sz w:val="28"/>
          <w:szCs w:val="28"/>
        </w:rPr>
      </w:pPr>
      <w:r w:rsidRPr="00651044">
        <w:rPr>
          <w:sz w:val="28"/>
          <w:szCs w:val="28"/>
        </w:rPr>
        <w:t>6</w:t>
      </w:r>
      <w:r w:rsidR="00D27CCD" w:rsidRPr="00651044">
        <w:rPr>
          <w:sz w:val="28"/>
          <w:szCs w:val="28"/>
        </w:rPr>
        <w:t xml:space="preserve"> societă</w:t>
      </w:r>
      <w:r w:rsidR="00253020" w:rsidRPr="00651044">
        <w:rPr>
          <w:sz w:val="28"/>
          <w:szCs w:val="28"/>
        </w:rPr>
        <w:t>ţ</w:t>
      </w:r>
      <w:r w:rsidR="00D27CCD" w:rsidRPr="00651044">
        <w:rPr>
          <w:sz w:val="28"/>
          <w:szCs w:val="28"/>
        </w:rPr>
        <w:t>i pe ac</w:t>
      </w:r>
      <w:r w:rsidR="00253020" w:rsidRPr="00651044">
        <w:rPr>
          <w:sz w:val="28"/>
          <w:szCs w:val="28"/>
        </w:rPr>
        <w:t>ţ</w:t>
      </w:r>
      <w:r w:rsidR="00D27CCD" w:rsidRPr="00651044">
        <w:rPr>
          <w:sz w:val="28"/>
          <w:szCs w:val="28"/>
        </w:rPr>
        <w:t xml:space="preserve">iuni din ramura industrială şi energetică – cu </w:t>
      </w:r>
      <w:r w:rsidRPr="00651044">
        <w:rPr>
          <w:sz w:val="28"/>
          <w:szCs w:val="28"/>
        </w:rPr>
        <w:t>714,9</w:t>
      </w:r>
      <w:r w:rsidR="00D27CCD" w:rsidRPr="00651044">
        <w:rPr>
          <w:sz w:val="28"/>
          <w:szCs w:val="28"/>
        </w:rPr>
        <w:t xml:space="preserve"> mil. lei;</w:t>
      </w:r>
    </w:p>
    <w:p w:rsidR="00D27CCD" w:rsidRPr="00651044" w:rsidRDefault="00D27CCD" w:rsidP="00136F34">
      <w:pPr>
        <w:numPr>
          <w:ilvl w:val="0"/>
          <w:numId w:val="7"/>
        </w:numPr>
        <w:spacing w:line="276" w:lineRule="auto"/>
        <w:ind w:hanging="233"/>
        <w:jc w:val="both"/>
        <w:rPr>
          <w:sz w:val="28"/>
          <w:szCs w:val="28"/>
        </w:rPr>
      </w:pPr>
      <w:r w:rsidRPr="00651044">
        <w:rPr>
          <w:sz w:val="28"/>
          <w:szCs w:val="28"/>
        </w:rPr>
        <w:t>3 societă</w:t>
      </w:r>
      <w:r w:rsidR="00253020" w:rsidRPr="00651044">
        <w:rPr>
          <w:sz w:val="28"/>
          <w:szCs w:val="28"/>
        </w:rPr>
        <w:t>ţ</w:t>
      </w:r>
      <w:r w:rsidRPr="00651044">
        <w:rPr>
          <w:sz w:val="28"/>
          <w:szCs w:val="28"/>
        </w:rPr>
        <w:t>i pe ac</w:t>
      </w:r>
      <w:r w:rsidR="00253020" w:rsidRPr="00651044">
        <w:rPr>
          <w:sz w:val="28"/>
          <w:szCs w:val="28"/>
        </w:rPr>
        <w:t>ţ</w:t>
      </w:r>
      <w:r w:rsidRPr="00651044">
        <w:rPr>
          <w:sz w:val="28"/>
          <w:szCs w:val="28"/>
        </w:rPr>
        <w:t xml:space="preserve">iuni din ramura agriculturii – cu </w:t>
      </w:r>
      <w:r w:rsidR="003058D7" w:rsidRPr="00651044">
        <w:rPr>
          <w:sz w:val="28"/>
          <w:szCs w:val="28"/>
        </w:rPr>
        <w:t>47,0</w:t>
      </w:r>
      <w:r w:rsidRPr="00651044">
        <w:rPr>
          <w:sz w:val="28"/>
          <w:szCs w:val="28"/>
        </w:rPr>
        <w:t xml:space="preserve"> mil. lei;</w:t>
      </w:r>
    </w:p>
    <w:p w:rsidR="00D27CCD" w:rsidRPr="00651044" w:rsidRDefault="00D27CCD" w:rsidP="00136F34">
      <w:pPr>
        <w:numPr>
          <w:ilvl w:val="0"/>
          <w:numId w:val="7"/>
        </w:numPr>
        <w:spacing w:line="276" w:lineRule="auto"/>
        <w:ind w:hanging="233"/>
        <w:jc w:val="both"/>
        <w:rPr>
          <w:sz w:val="28"/>
          <w:szCs w:val="28"/>
        </w:rPr>
      </w:pPr>
      <w:r w:rsidRPr="00651044">
        <w:rPr>
          <w:sz w:val="28"/>
          <w:szCs w:val="28"/>
        </w:rPr>
        <w:t>4 societă</w:t>
      </w:r>
      <w:r w:rsidR="00253020" w:rsidRPr="00651044">
        <w:rPr>
          <w:sz w:val="28"/>
          <w:szCs w:val="28"/>
        </w:rPr>
        <w:t>ţ</w:t>
      </w:r>
      <w:r w:rsidRPr="00651044">
        <w:rPr>
          <w:sz w:val="28"/>
          <w:szCs w:val="28"/>
        </w:rPr>
        <w:t>i pe ac</w:t>
      </w:r>
      <w:r w:rsidR="00253020" w:rsidRPr="00651044">
        <w:rPr>
          <w:sz w:val="28"/>
          <w:szCs w:val="28"/>
        </w:rPr>
        <w:t>ţ</w:t>
      </w:r>
      <w:r w:rsidRPr="00651044">
        <w:rPr>
          <w:sz w:val="28"/>
          <w:szCs w:val="28"/>
        </w:rPr>
        <w:t xml:space="preserve">iuni din ramura transporturilor – cu </w:t>
      </w:r>
      <w:r w:rsidR="003058D7" w:rsidRPr="00651044">
        <w:rPr>
          <w:sz w:val="28"/>
          <w:szCs w:val="28"/>
        </w:rPr>
        <w:t>34,6</w:t>
      </w:r>
      <w:r w:rsidRPr="00651044">
        <w:rPr>
          <w:sz w:val="28"/>
          <w:szCs w:val="28"/>
        </w:rPr>
        <w:t xml:space="preserve"> mil. lei;</w:t>
      </w:r>
    </w:p>
    <w:p w:rsidR="00D27CCD" w:rsidRPr="00651044" w:rsidRDefault="00D27CCD" w:rsidP="00136F34">
      <w:pPr>
        <w:numPr>
          <w:ilvl w:val="0"/>
          <w:numId w:val="7"/>
        </w:numPr>
        <w:spacing w:line="276" w:lineRule="auto"/>
        <w:ind w:hanging="233"/>
        <w:jc w:val="both"/>
        <w:rPr>
          <w:sz w:val="28"/>
          <w:szCs w:val="28"/>
        </w:rPr>
      </w:pPr>
      <w:r w:rsidRPr="00651044">
        <w:rPr>
          <w:sz w:val="28"/>
          <w:szCs w:val="28"/>
        </w:rPr>
        <w:t>1 societate pe ac</w:t>
      </w:r>
      <w:r w:rsidR="00253020" w:rsidRPr="00651044">
        <w:rPr>
          <w:sz w:val="28"/>
          <w:szCs w:val="28"/>
        </w:rPr>
        <w:t>ţ</w:t>
      </w:r>
      <w:r w:rsidRPr="00651044">
        <w:rPr>
          <w:sz w:val="28"/>
          <w:szCs w:val="28"/>
        </w:rPr>
        <w:t>iuni din ramura culturii – cu 0,</w:t>
      </w:r>
      <w:r w:rsidR="003058D7" w:rsidRPr="00651044">
        <w:rPr>
          <w:sz w:val="28"/>
          <w:szCs w:val="28"/>
        </w:rPr>
        <w:t>5</w:t>
      </w:r>
      <w:r w:rsidRPr="00651044">
        <w:rPr>
          <w:sz w:val="28"/>
          <w:szCs w:val="28"/>
        </w:rPr>
        <w:t xml:space="preserve"> mil. lei;</w:t>
      </w:r>
    </w:p>
    <w:p w:rsidR="00D27CCD" w:rsidRPr="00651044" w:rsidRDefault="00D27CCD" w:rsidP="00136F34">
      <w:pPr>
        <w:numPr>
          <w:ilvl w:val="0"/>
          <w:numId w:val="7"/>
        </w:numPr>
        <w:spacing w:line="276" w:lineRule="auto"/>
        <w:ind w:hanging="233"/>
        <w:jc w:val="both"/>
        <w:rPr>
          <w:sz w:val="28"/>
          <w:szCs w:val="28"/>
        </w:rPr>
      </w:pPr>
      <w:r w:rsidRPr="00651044">
        <w:rPr>
          <w:sz w:val="28"/>
          <w:szCs w:val="28"/>
        </w:rPr>
        <w:t>S.A. „Loteria Na</w:t>
      </w:r>
      <w:r w:rsidR="00253020" w:rsidRPr="00651044">
        <w:rPr>
          <w:sz w:val="28"/>
          <w:szCs w:val="28"/>
        </w:rPr>
        <w:t>ţ</w:t>
      </w:r>
      <w:r w:rsidRPr="00651044">
        <w:rPr>
          <w:sz w:val="28"/>
          <w:szCs w:val="28"/>
        </w:rPr>
        <w:t>ională a Moldovei” – cu 0,2 mil. lei.</w:t>
      </w:r>
    </w:p>
    <w:p w:rsidR="00D27CCD" w:rsidRPr="00651044" w:rsidRDefault="003058D7" w:rsidP="00D27CCD">
      <w:pPr>
        <w:spacing w:line="276" w:lineRule="auto"/>
        <w:ind w:firstLine="567"/>
        <w:jc w:val="both"/>
        <w:rPr>
          <w:sz w:val="28"/>
          <w:szCs w:val="28"/>
        </w:rPr>
      </w:pPr>
      <w:r w:rsidRPr="00651044">
        <w:rPr>
          <w:sz w:val="28"/>
          <w:szCs w:val="28"/>
        </w:rPr>
        <w:t>Micşorarea veniturilor din v</w:t>
      </w:r>
      <w:r w:rsidR="006E6FE5">
        <w:rPr>
          <w:sz w:val="28"/>
          <w:szCs w:val="28"/>
        </w:rPr>
        <w:t>î</w:t>
      </w:r>
      <w:r w:rsidR="00D27CCD" w:rsidRPr="00651044">
        <w:rPr>
          <w:sz w:val="28"/>
          <w:szCs w:val="28"/>
        </w:rPr>
        <w:t xml:space="preserve">nzări a societăţilor sus-menţionate atrage după sine o </w:t>
      </w:r>
      <w:r w:rsidRPr="00651044">
        <w:rPr>
          <w:sz w:val="28"/>
          <w:szCs w:val="28"/>
        </w:rPr>
        <w:t>diminuare</w:t>
      </w:r>
      <w:r w:rsidR="00D27CCD" w:rsidRPr="00651044">
        <w:rPr>
          <w:sz w:val="28"/>
          <w:szCs w:val="28"/>
        </w:rPr>
        <w:t xml:space="preserve"> a taxei pe valoarea adăugată încasată î</w:t>
      </w:r>
      <w:r w:rsidRPr="00651044">
        <w:rPr>
          <w:sz w:val="28"/>
          <w:szCs w:val="28"/>
        </w:rPr>
        <w:t xml:space="preserve">n bugetul de stat, cu circa </w:t>
      </w:r>
      <w:r w:rsidR="008465A8" w:rsidRPr="00651044">
        <w:rPr>
          <w:sz w:val="28"/>
          <w:szCs w:val="28"/>
        </w:rPr>
        <w:t xml:space="preserve">             </w:t>
      </w:r>
      <w:r w:rsidR="00663A36" w:rsidRPr="00651044">
        <w:rPr>
          <w:sz w:val="28"/>
          <w:szCs w:val="28"/>
        </w:rPr>
        <w:t>159,4</w:t>
      </w:r>
      <w:r w:rsidR="00D27CCD" w:rsidRPr="00651044">
        <w:rPr>
          <w:sz w:val="28"/>
          <w:szCs w:val="28"/>
        </w:rPr>
        <w:t xml:space="preserve"> mil. lei şi prezintă un </w:t>
      </w:r>
      <w:r w:rsidR="00D27CCD" w:rsidRPr="00651044">
        <w:rPr>
          <w:i/>
          <w:sz w:val="28"/>
          <w:szCs w:val="28"/>
        </w:rPr>
        <w:t>risc fiscal pentru bugetul public naţional</w:t>
      </w:r>
      <w:r w:rsidR="00D27CCD" w:rsidRPr="00651044">
        <w:rPr>
          <w:sz w:val="28"/>
          <w:szCs w:val="28"/>
        </w:rPr>
        <w:t>.</w:t>
      </w:r>
    </w:p>
    <w:p w:rsidR="00D27CCD" w:rsidRPr="00651044" w:rsidRDefault="00D27CCD" w:rsidP="00D27CCD">
      <w:pPr>
        <w:spacing w:line="276" w:lineRule="auto"/>
        <w:ind w:firstLine="567"/>
        <w:jc w:val="both"/>
        <w:rPr>
          <w:sz w:val="28"/>
          <w:szCs w:val="28"/>
        </w:rPr>
      </w:pPr>
      <w:r w:rsidRPr="00651044">
        <w:rPr>
          <w:sz w:val="28"/>
          <w:szCs w:val="28"/>
        </w:rPr>
        <w:t>D</w:t>
      </w:r>
      <w:r w:rsidR="00663A36" w:rsidRPr="00651044">
        <w:rPr>
          <w:sz w:val="28"/>
          <w:szCs w:val="28"/>
        </w:rPr>
        <w:t xml:space="preserve">e asemenea, se evidenţiază că </w:t>
      </w:r>
      <w:r w:rsidR="000C0078" w:rsidRPr="00651044">
        <w:rPr>
          <w:sz w:val="28"/>
          <w:szCs w:val="28"/>
        </w:rPr>
        <w:t xml:space="preserve">alte </w:t>
      </w:r>
      <w:r w:rsidR="00663A36" w:rsidRPr="00651044">
        <w:rPr>
          <w:sz w:val="28"/>
          <w:szCs w:val="28"/>
        </w:rPr>
        <w:t>24</w:t>
      </w:r>
      <w:r w:rsidRPr="00651044">
        <w:rPr>
          <w:sz w:val="28"/>
          <w:szCs w:val="28"/>
        </w:rPr>
        <w:t xml:space="preserve"> societăţi pe acţiuni au obţinut în anul 201</w:t>
      </w:r>
      <w:r w:rsidR="00663A36" w:rsidRPr="00651044">
        <w:rPr>
          <w:sz w:val="28"/>
          <w:szCs w:val="28"/>
        </w:rPr>
        <w:t xml:space="preserve">5 </w:t>
      </w:r>
      <w:r w:rsidR="00663A36" w:rsidRPr="00651044">
        <w:rPr>
          <w:i/>
          <w:sz w:val="28"/>
          <w:szCs w:val="28"/>
        </w:rPr>
        <w:t>majorări ale veniturilor din v</w:t>
      </w:r>
      <w:r w:rsidR="006E6FE5">
        <w:rPr>
          <w:i/>
          <w:sz w:val="28"/>
          <w:szCs w:val="28"/>
        </w:rPr>
        <w:t>î</w:t>
      </w:r>
      <w:r w:rsidRPr="00651044">
        <w:rPr>
          <w:i/>
          <w:sz w:val="28"/>
          <w:szCs w:val="28"/>
        </w:rPr>
        <w:t>nzări</w:t>
      </w:r>
      <w:r w:rsidRPr="00651044">
        <w:rPr>
          <w:sz w:val="28"/>
          <w:szCs w:val="28"/>
        </w:rPr>
        <w:t xml:space="preserve"> în sumă totală de</w:t>
      </w:r>
      <w:r w:rsidR="00663A36" w:rsidRPr="00651044">
        <w:rPr>
          <w:sz w:val="28"/>
          <w:szCs w:val="28"/>
        </w:rPr>
        <w:t xml:space="preserve"> 4 727,1 </w:t>
      </w:r>
      <w:r w:rsidRPr="00651044">
        <w:rPr>
          <w:sz w:val="28"/>
          <w:szCs w:val="28"/>
        </w:rPr>
        <w:t xml:space="preserve">mil. lei, dintre care cele mai considerabile </w:t>
      </w:r>
      <w:r w:rsidR="00663A36" w:rsidRPr="00651044">
        <w:rPr>
          <w:sz w:val="28"/>
          <w:szCs w:val="28"/>
        </w:rPr>
        <w:t xml:space="preserve">sunt </w:t>
      </w:r>
      <w:r w:rsidRPr="00651044">
        <w:rPr>
          <w:sz w:val="28"/>
          <w:szCs w:val="28"/>
        </w:rPr>
        <w:t>înregistrate de:</w:t>
      </w:r>
    </w:p>
    <w:p w:rsidR="00D27CCD" w:rsidRPr="00651044" w:rsidRDefault="00D27CCD" w:rsidP="00136F34">
      <w:pPr>
        <w:numPr>
          <w:ilvl w:val="0"/>
          <w:numId w:val="7"/>
        </w:numPr>
        <w:spacing w:line="276" w:lineRule="auto"/>
        <w:ind w:hanging="233"/>
        <w:jc w:val="both"/>
        <w:rPr>
          <w:sz w:val="28"/>
          <w:szCs w:val="28"/>
        </w:rPr>
      </w:pPr>
      <w:r w:rsidRPr="00651044">
        <w:rPr>
          <w:sz w:val="28"/>
          <w:szCs w:val="28"/>
        </w:rPr>
        <w:t>S.A. „</w:t>
      </w:r>
      <w:r w:rsidR="00663A36" w:rsidRPr="00651044">
        <w:rPr>
          <w:sz w:val="28"/>
          <w:szCs w:val="28"/>
        </w:rPr>
        <w:t>Energocom</w:t>
      </w:r>
      <w:r w:rsidRPr="00651044">
        <w:rPr>
          <w:sz w:val="28"/>
          <w:szCs w:val="28"/>
        </w:rPr>
        <w:t xml:space="preserve">” – cu </w:t>
      </w:r>
      <w:r w:rsidR="00663A36" w:rsidRPr="00651044">
        <w:rPr>
          <w:sz w:val="28"/>
          <w:szCs w:val="28"/>
        </w:rPr>
        <w:t>3 174,1</w:t>
      </w:r>
      <w:r w:rsidRPr="00651044">
        <w:rPr>
          <w:sz w:val="28"/>
          <w:szCs w:val="28"/>
        </w:rPr>
        <w:t xml:space="preserve"> mil. lei;</w:t>
      </w:r>
    </w:p>
    <w:p w:rsidR="00D27CCD" w:rsidRPr="00651044" w:rsidRDefault="00D27CCD" w:rsidP="00136F34">
      <w:pPr>
        <w:numPr>
          <w:ilvl w:val="0"/>
          <w:numId w:val="7"/>
        </w:numPr>
        <w:spacing w:line="276" w:lineRule="auto"/>
        <w:ind w:hanging="233"/>
        <w:jc w:val="both"/>
        <w:rPr>
          <w:sz w:val="28"/>
          <w:szCs w:val="28"/>
        </w:rPr>
      </w:pPr>
      <w:r w:rsidRPr="00651044">
        <w:rPr>
          <w:sz w:val="28"/>
          <w:szCs w:val="28"/>
        </w:rPr>
        <w:t>S.A. „</w:t>
      </w:r>
      <w:r w:rsidR="00663A36" w:rsidRPr="00651044">
        <w:rPr>
          <w:sz w:val="28"/>
          <w:szCs w:val="28"/>
        </w:rPr>
        <w:t>Termoelectrica</w:t>
      </w:r>
      <w:r w:rsidRPr="00651044">
        <w:rPr>
          <w:sz w:val="28"/>
          <w:szCs w:val="28"/>
        </w:rPr>
        <w:t xml:space="preserve">” – cu </w:t>
      </w:r>
      <w:r w:rsidR="00663A36" w:rsidRPr="00651044">
        <w:rPr>
          <w:sz w:val="28"/>
          <w:szCs w:val="28"/>
        </w:rPr>
        <w:t>567,5</w:t>
      </w:r>
      <w:r w:rsidRPr="00651044">
        <w:rPr>
          <w:sz w:val="28"/>
          <w:szCs w:val="28"/>
        </w:rPr>
        <w:t xml:space="preserve"> mil. lei;</w:t>
      </w:r>
    </w:p>
    <w:p w:rsidR="00D27CCD" w:rsidRPr="00651044" w:rsidRDefault="00D27CCD" w:rsidP="00136F34">
      <w:pPr>
        <w:numPr>
          <w:ilvl w:val="0"/>
          <w:numId w:val="7"/>
        </w:numPr>
        <w:spacing w:line="276" w:lineRule="auto"/>
        <w:ind w:hanging="233"/>
        <w:jc w:val="both"/>
        <w:rPr>
          <w:sz w:val="28"/>
          <w:szCs w:val="28"/>
        </w:rPr>
      </w:pPr>
      <w:r w:rsidRPr="00651044">
        <w:rPr>
          <w:sz w:val="28"/>
          <w:szCs w:val="28"/>
        </w:rPr>
        <w:t>S.A. „</w:t>
      </w:r>
      <w:r w:rsidR="00663A36" w:rsidRPr="00651044">
        <w:rPr>
          <w:sz w:val="28"/>
          <w:szCs w:val="28"/>
        </w:rPr>
        <w:t>Moldtelecom</w:t>
      </w:r>
      <w:r w:rsidRPr="00651044">
        <w:rPr>
          <w:sz w:val="28"/>
          <w:szCs w:val="28"/>
        </w:rPr>
        <w:t xml:space="preserve">” – cu </w:t>
      </w:r>
      <w:r w:rsidR="00663A36" w:rsidRPr="00651044">
        <w:rPr>
          <w:sz w:val="28"/>
          <w:szCs w:val="28"/>
        </w:rPr>
        <w:t>145,1</w:t>
      </w:r>
      <w:r w:rsidRPr="00651044">
        <w:rPr>
          <w:sz w:val="28"/>
          <w:szCs w:val="28"/>
        </w:rPr>
        <w:t xml:space="preserve"> mil. lei;</w:t>
      </w:r>
    </w:p>
    <w:p w:rsidR="00D27CCD" w:rsidRPr="00651044" w:rsidRDefault="00D27CCD" w:rsidP="00136F34">
      <w:pPr>
        <w:numPr>
          <w:ilvl w:val="0"/>
          <w:numId w:val="7"/>
        </w:numPr>
        <w:spacing w:line="276" w:lineRule="auto"/>
        <w:ind w:hanging="233"/>
        <w:jc w:val="both"/>
        <w:rPr>
          <w:sz w:val="28"/>
          <w:szCs w:val="28"/>
        </w:rPr>
      </w:pPr>
      <w:r w:rsidRPr="00651044">
        <w:rPr>
          <w:sz w:val="28"/>
          <w:szCs w:val="28"/>
        </w:rPr>
        <w:t>S.A. „</w:t>
      </w:r>
      <w:r w:rsidR="00663A36" w:rsidRPr="00651044">
        <w:rPr>
          <w:sz w:val="28"/>
          <w:szCs w:val="28"/>
        </w:rPr>
        <w:t>Franzeluţa</w:t>
      </w:r>
      <w:r w:rsidRPr="00651044">
        <w:rPr>
          <w:sz w:val="28"/>
          <w:szCs w:val="28"/>
        </w:rPr>
        <w:t xml:space="preserve">” – cu </w:t>
      </w:r>
      <w:r w:rsidR="00663A36" w:rsidRPr="00651044">
        <w:rPr>
          <w:sz w:val="28"/>
          <w:szCs w:val="28"/>
        </w:rPr>
        <w:t>40,1</w:t>
      </w:r>
      <w:r w:rsidRPr="00651044">
        <w:rPr>
          <w:sz w:val="28"/>
          <w:szCs w:val="28"/>
        </w:rPr>
        <w:t xml:space="preserve"> mil. lei;</w:t>
      </w:r>
    </w:p>
    <w:p w:rsidR="00D27CCD" w:rsidRPr="00651044" w:rsidRDefault="00D27CCD" w:rsidP="00136F34">
      <w:pPr>
        <w:numPr>
          <w:ilvl w:val="0"/>
          <w:numId w:val="7"/>
        </w:numPr>
        <w:spacing w:line="276" w:lineRule="auto"/>
        <w:ind w:hanging="233"/>
        <w:jc w:val="both"/>
        <w:rPr>
          <w:sz w:val="28"/>
          <w:szCs w:val="28"/>
        </w:rPr>
      </w:pPr>
      <w:r w:rsidRPr="00651044">
        <w:rPr>
          <w:sz w:val="28"/>
          <w:szCs w:val="28"/>
        </w:rPr>
        <w:t>S.A. „</w:t>
      </w:r>
      <w:r w:rsidR="00663A36" w:rsidRPr="00651044">
        <w:rPr>
          <w:sz w:val="28"/>
          <w:szCs w:val="28"/>
        </w:rPr>
        <w:t>Drumuri Străşeni</w:t>
      </w:r>
      <w:r w:rsidRPr="00651044">
        <w:rPr>
          <w:sz w:val="28"/>
          <w:szCs w:val="28"/>
        </w:rPr>
        <w:t xml:space="preserve">” – cu </w:t>
      </w:r>
      <w:r w:rsidR="00663A36" w:rsidRPr="00651044">
        <w:rPr>
          <w:sz w:val="28"/>
          <w:szCs w:val="28"/>
        </w:rPr>
        <w:t>13,3</w:t>
      </w:r>
      <w:r w:rsidRPr="00651044">
        <w:rPr>
          <w:sz w:val="28"/>
          <w:szCs w:val="28"/>
        </w:rPr>
        <w:t xml:space="preserve"> mil. lei.</w:t>
      </w:r>
    </w:p>
    <w:p w:rsidR="00663A36" w:rsidRPr="00651044" w:rsidRDefault="00663A36" w:rsidP="00663A36">
      <w:pPr>
        <w:spacing w:line="276" w:lineRule="auto"/>
        <w:ind w:firstLine="567"/>
        <w:jc w:val="both"/>
        <w:rPr>
          <w:sz w:val="28"/>
          <w:szCs w:val="28"/>
        </w:rPr>
      </w:pPr>
      <w:r w:rsidRPr="00651044">
        <w:rPr>
          <w:sz w:val="28"/>
          <w:szCs w:val="28"/>
        </w:rPr>
        <w:t xml:space="preserve">Totodată, remarcăm faptul că </w:t>
      </w:r>
      <w:r w:rsidR="00E8500C" w:rsidRPr="00651044">
        <w:rPr>
          <w:sz w:val="28"/>
          <w:szCs w:val="28"/>
        </w:rPr>
        <w:t>din suma totală a majorării veni</w:t>
      </w:r>
      <w:r w:rsidR="00604BA8" w:rsidRPr="00651044">
        <w:rPr>
          <w:sz w:val="28"/>
          <w:szCs w:val="28"/>
        </w:rPr>
        <w:t>turilor din vînzări în anul de raportare</w:t>
      </w:r>
      <w:r w:rsidR="00E8500C" w:rsidRPr="00651044">
        <w:rPr>
          <w:sz w:val="28"/>
          <w:szCs w:val="28"/>
        </w:rPr>
        <w:t xml:space="preserve">, </w:t>
      </w:r>
      <w:r w:rsidRPr="00651044">
        <w:rPr>
          <w:sz w:val="28"/>
          <w:szCs w:val="28"/>
        </w:rPr>
        <w:t xml:space="preserve">706,3 mil. lei </w:t>
      </w:r>
      <w:r w:rsidR="00E8500C" w:rsidRPr="00651044">
        <w:rPr>
          <w:sz w:val="28"/>
          <w:szCs w:val="28"/>
        </w:rPr>
        <w:t xml:space="preserve">revin </w:t>
      </w:r>
      <w:r w:rsidRPr="00651044">
        <w:rPr>
          <w:sz w:val="28"/>
          <w:szCs w:val="28"/>
        </w:rPr>
        <w:t>veniturilor din v</w:t>
      </w:r>
      <w:r w:rsidR="006E6FE5">
        <w:rPr>
          <w:sz w:val="28"/>
          <w:szCs w:val="28"/>
        </w:rPr>
        <w:t>î</w:t>
      </w:r>
      <w:r w:rsidRPr="00651044">
        <w:rPr>
          <w:sz w:val="28"/>
          <w:szCs w:val="28"/>
        </w:rPr>
        <w:t xml:space="preserve">nzări </w:t>
      </w:r>
      <w:r w:rsidR="00E8500C" w:rsidRPr="00651044">
        <w:rPr>
          <w:sz w:val="28"/>
          <w:szCs w:val="28"/>
        </w:rPr>
        <w:t>ale</w:t>
      </w:r>
      <w:r w:rsidRPr="00651044">
        <w:rPr>
          <w:sz w:val="28"/>
          <w:szCs w:val="28"/>
        </w:rPr>
        <w:t xml:space="preserve"> S.A. „Furnizarea Energiei Electrice Nord”, societate </w:t>
      </w:r>
      <w:r w:rsidR="00E8500C" w:rsidRPr="00651044">
        <w:rPr>
          <w:sz w:val="28"/>
          <w:szCs w:val="28"/>
        </w:rPr>
        <w:t xml:space="preserve">nou creată </w:t>
      </w:r>
      <w:r w:rsidRPr="00651044">
        <w:rPr>
          <w:sz w:val="28"/>
          <w:szCs w:val="28"/>
        </w:rPr>
        <w:t xml:space="preserve">în anul 2015. </w:t>
      </w:r>
    </w:p>
    <w:p w:rsidR="00D27CCD" w:rsidRPr="00651044" w:rsidRDefault="00D27CCD" w:rsidP="00D27CCD">
      <w:pPr>
        <w:spacing w:line="276" w:lineRule="auto"/>
        <w:ind w:firstLine="567"/>
        <w:jc w:val="both"/>
        <w:rPr>
          <w:sz w:val="28"/>
          <w:szCs w:val="28"/>
        </w:rPr>
      </w:pPr>
      <w:r w:rsidRPr="00651044">
        <w:rPr>
          <w:sz w:val="28"/>
          <w:szCs w:val="28"/>
        </w:rPr>
        <w:t>Din numărul total al societăţilor suspuse monitorizării, S.A. „</w:t>
      </w:r>
      <w:r w:rsidR="00663A36" w:rsidRPr="00651044">
        <w:rPr>
          <w:sz w:val="28"/>
          <w:szCs w:val="28"/>
        </w:rPr>
        <w:t>Amelioratorul” şi</w:t>
      </w:r>
      <w:r w:rsidRPr="00651044">
        <w:rPr>
          <w:sz w:val="28"/>
          <w:szCs w:val="28"/>
        </w:rPr>
        <w:t xml:space="preserve">  S.A. „Hotelul Chişinău” nu au obţinut nici în anul de gestiune nici î</w:t>
      </w:r>
      <w:r w:rsidR="00663A36" w:rsidRPr="00651044">
        <w:rPr>
          <w:sz w:val="28"/>
          <w:szCs w:val="28"/>
        </w:rPr>
        <w:t>n anul precedent venituri din v</w:t>
      </w:r>
      <w:r w:rsidR="006E6FE5">
        <w:rPr>
          <w:sz w:val="28"/>
          <w:szCs w:val="28"/>
        </w:rPr>
        <w:t>î</w:t>
      </w:r>
      <w:r w:rsidRPr="00651044">
        <w:rPr>
          <w:sz w:val="28"/>
          <w:szCs w:val="28"/>
        </w:rPr>
        <w:t>nzări, întru</w:t>
      </w:r>
      <w:r w:rsidR="00663A36" w:rsidRPr="00651044">
        <w:rPr>
          <w:sz w:val="28"/>
          <w:szCs w:val="28"/>
        </w:rPr>
        <w:t>c</w:t>
      </w:r>
      <w:r w:rsidR="006E6FE5">
        <w:rPr>
          <w:sz w:val="28"/>
          <w:szCs w:val="28"/>
        </w:rPr>
        <w:t>î</w:t>
      </w:r>
      <w:r w:rsidRPr="00651044">
        <w:rPr>
          <w:sz w:val="28"/>
          <w:szCs w:val="28"/>
        </w:rPr>
        <w:t>t nu au desfăşurat activitate operaţională.</w:t>
      </w:r>
    </w:p>
    <w:p w:rsidR="00D27CCD" w:rsidRPr="00651044" w:rsidRDefault="00D27CCD" w:rsidP="00D27CCD">
      <w:pPr>
        <w:spacing w:line="276" w:lineRule="auto"/>
        <w:ind w:firstLine="567"/>
        <w:jc w:val="both"/>
        <w:rPr>
          <w:sz w:val="28"/>
          <w:szCs w:val="28"/>
        </w:rPr>
      </w:pPr>
      <w:r w:rsidRPr="00651044">
        <w:rPr>
          <w:sz w:val="28"/>
          <w:szCs w:val="28"/>
        </w:rPr>
        <w:t xml:space="preserve">Concomitent, </w:t>
      </w:r>
      <w:r w:rsidR="00360E4A" w:rsidRPr="00651044">
        <w:rPr>
          <w:sz w:val="28"/>
          <w:szCs w:val="28"/>
        </w:rPr>
        <w:t>în perioada anului 2015 societăţile pe acţiuni au înregistrat cheltuieli în valoare de 1 118,3 mil. lei, acestea fiind cu 171,8 mil. lei mai mari în raport cu perioada anului 2014. D</w:t>
      </w:r>
      <w:r w:rsidRPr="00651044">
        <w:rPr>
          <w:sz w:val="28"/>
          <w:szCs w:val="28"/>
        </w:rPr>
        <w:t>in totalul cheltuielilor societă</w:t>
      </w:r>
      <w:r w:rsidR="00253020" w:rsidRPr="00651044">
        <w:rPr>
          <w:sz w:val="28"/>
          <w:szCs w:val="28"/>
        </w:rPr>
        <w:t>ţ</w:t>
      </w:r>
      <w:r w:rsidRPr="00651044">
        <w:rPr>
          <w:sz w:val="28"/>
          <w:szCs w:val="28"/>
        </w:rPr>
        <w:t>ilor pe ac</w:t>
      </w:r>
      <w:r w:rsidR="00253020" w:rsidRPr="00651044">
        <w:rPr>
          <w:sz w:val="28"/>
          <w:szCs w:val="28"/>
        </w:rPr>
        <w:t>ţ</w:t>
      </w:r>
      <w:r w:rsidRPr="00651044">
        <w:rPr>
          <w:sz w:val="28"/>
          <w:szCs w:val="28"/>
        </w:rPr>
        <w:t>iuni</w:t>
      </w:r>
      <w:r w:rsidR="00360E4A" w:rsidRPr="00651044">
        <w:rPr>
          <w:sz w:val="28"/>
          <w:szCs w:val="28"/>
        </w:rPr>
        <w:t>, 41,2</w:t>
      </w:r>
      <w:r w:rsidR="00604BA8" w:rsidRPr="00651044">
        <w:rPr>
          <w:sz w:val="28"/>
          <w:szCs w:val="28"/>
        </w:rPr>
        <w:t>% le revin</w:t>
      </w:r>
      <w:r w:rsidRPr="00651044">
        <w:rPr>
          <w:sz w:val="28"/>
          <w:szCs w:val="28"/>
        </w:rPr>
        <w:t xml:space="preserve"> ch</w:t>
      </w:r>
      <w:r w:rsidR="00360E4A" w:rsidRPr="00651044">
        <w:rPr>
          <w:sz w:val="28"/>
          <w:szCs w:val="28"/>
        </w:rPr>
        <w:t>eltuielilor administrative, 40,0</w:t>
      </w:r>
      <w:r w:rsidRPr="00651044">
        <w:rPr>
          <w:sz w:val="28"/>
          <w:szCs w:val="28"/>
        </w:rPr>
        <w:t xml:space="preserve">% - cheltuielilor de distribuire </w:t>
      </w:r>
      <w:r w:rsidR="00253020" w:rsidRPr="00651044">
        <w:rPr>
          <w:sz w:val="28"/>
          <w:szCs w:val="28"/>
        </w:rPr>
        <w:t>ş</w:t>
      </w:r>
      <w:r w:rsidR="00360E4A" w:rsidRPr="00651044">
        <w:rPr>
          <w:sz w:val="28"/>
          <w:szCs w:val="28"/>
        </w:rPr>
        <w:t>i 18,8</w:t>
      </w:r>
      <w:r w:rsidRPr="00651044">
        <w:rPr>
          <w:sz w:val="28"/>
          <w:szCs w:val="28"/>
        </w:rPr>
        <w:t>% - altor cheltuieli din activitatea opera</w:t>
      </w:r>
      <w:r w:rsidR="00253020" w:rsidRPr="00651044">
        <w:rPr>
          <w:sz w:val="28"/>
          <w:szCs w:val="28"/>
        </w:rPr>
        <w:t>ţ</w:t>
      </w:r>
      <w:r w:rsidRPr="00651044">
        <w:rPr>
          <w:sz w:val="28"/>
          <w:szCs w:val="28"/>
        </w:rPr>
        <w:t>ională.</w:t>
      </w:r>
    </w:p>
    <w:p w:rsidR="00336972" w:rsidRPr="00651044" w:rsidRDefault="00336972" w:rsidP="00D27CCD">
      <w:pPr>
        <w:spacing w:line="276" w:lineRule="auto"/>
        <w:ind w:firstLine="567"/>
        <w:jc w:val="both"/>
        <w:rPr>
          <w:sz w:val="28"/>
          <w:szCs w:val="28"/>
        </w:rPr>
      </w:pPr>
    </w:p>
    <w:p w:rsidR="007F2EED" w:rsidRPr="00651044" w:rsidRDefault="00763829" w:rsidP="007F2EED">
      <w:pPr>
        <w:rPr>
          <w:b/>
          <w:color w:val="FF0000"/>
        </w:rPr>
      </w:pPr>
      <w:r>
        <w:rPr>
          <w:b/>
          <w:noProof/>
          <w:color w:val="FF0000"/>
          <w:lang w:val="ru-RU"/>
        </w:rPr>
        <w:drawing>
          <wp:inline distT="0" distB="0" distL="0" distR="0">
            <wp:extent cx="2997200" cy="1515745"/>
            <wp:effectExtent l="0" t="0" r="0" b="0"/>
            <wp:docPr id="18" name="Object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b/>
          <w:noProof/>
          <w:color w:val="FF0000"/>
          <w:lang w:val="ru-RU"/>
        </w:rPr>
        <w:drawing>
          <wp:inline distT="0" distB="0" distL="0" distR="0">
            <wp:extent cx="2938145" cy="1498600"/>
            <wp:effectExtent l="0" t="0" r="0" b="0"/>
            <wp:docPr id="19" name="Object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F2EED" w:rsidRPr="00651044" w:rsidRDefault="007F2EED" w:rsidP="007F2EED">
      <w:pPr>
        <w:rPr>
          <w:b/>
          <w:i/>
          <w:sz w:val="20"/>
          <w:szCs w:val="20"/>
        </w:rPr>
      </w:pPr>
      <w:r w:rsidRPr="00651044">
        <w:rPr>
          <w:b/>
          <w:color w:val="FF0000"/>
        </w:rPr>
        <w:t xml:space="preserve">                 </w:t>
      </w:r>
      <w:r w:rsidRPr="00651044">
        <w:rPr>
          <w:b/>
          <w:i/>
          <w:sz w:val="20"/>
          <w:szCs w:val="20"/>
        </w:rPr>
        <w:t>Figura 3.7. Structura cheltuielilor                                     Figura 3.8. Structura cheltuielilor</w:t>
      </w:r>
    </w:p>
    <w:p w:rsidR="007F2EED" w:rsidRPr="00651044" w:rsidRDefault="007F2EED" w:rsidP="007F2EED">
      <w:pPr>
        <w:ind w:firstLine="540"/>
        <w:jc w:val="both"/>
        <w:rPr>
          <w:b/>
          <w:i/>
          <w:sz w:val="20"/>
          <w:szCs w:val="20"/>
        </w:rPr>
      </w:pPr>
      <w:r w:rsidRPr="00651044">
        <w:rPr>
          <w:b/>
          <w:i/>
          <w:sz w:val="20"/>
          <w:szCs w:val="20"/>
        </w:rPr>
        <w:t xml:space="preserve">       societă</w:t>
      </w:r>
      <w:r w:rsidR="00253020" w:rsidRPr="00651044">
        <w:rPr>
          <w:b/>
          <w:i/>
          <w:sz w:val="20"/>
          <w:szCs w:val="20"/>
        </w:rPr>
        <w:t>ţ</w:t>
      </w:r>
      <w:r w:rsidRPr="00651044">
        <w:rPr>
          <w:b/>
          <w:i/>
          <w:sz w:val="20"/>
          <w:szCs w:val="20"/>
        </w:rPr>
        <w:t>ilor pe ac</w:t>
      </w:r>
      <w:r w:rsidR="00253020" w:rsidRPr="00651044">
        <w:rPr>
          <w:b/>
          <w:i/>
          <w:sz w:val="20"/>
          <w:szCs w:val="20"/>
        </w:rPr>
        <w:t>ţ</w:t>
      </w:r>
      <w:r w:rsidR="00360E4A" w:rsidRPr="00651044">
        <w:rPr>
          <w:b/>
          <w:i/>
          <w:sz w:val="20"/>
          <w:szCs w:val="20"/>
        </w:rPr>
        <w:t xml:space="preserve">iuni </w:t>
      </w:r>
      <w:r w:rsidR="000C0078" w:rsidRPr="00651044">
        <w:rPr>
          <w:b/>
          <w:i/>
          <w:sz w:val="20"/>
          <w:szCs w:val="20"/>
        </w:rPr>
        <w:t>în anul 2014</w:t>
      </w:r>
      <w:r w:rsidRPr="00651044">
        <w:rPr>
          <w:b/>
          <w:i/>
          <w:sz w:val="20"/>
          <w:szCs w:val="20"/>
        </w:rPr>
        <w:t xml:space="preserve">                                societă</w:t>
      </w:r>
      <w:r w:rsidR="00253020" w:rsidRPr="00651044">
        <w:rPr>
          <w:b/>
          <w:i/>
          <w:sz w:val="20"/>
          <w:szCs w:val="20"/>
        </w:rPr>
        <w:t>ţ</w:t>
      </w:r>
      <w:r w:rsidRPr="00651044">
        <w:rPr>
          <w:b/>
          <w:i/>
          <w:sz w:val="20"/>
          <w:szCs w:val="20"/>
        </w:rPr>
        <w:t>ilor pe ac</w:t>
      </w:r>
      <w:r w:rsidR="00253020" w:rsidRPr="00651044">
        <w:rPr>
          <w:b/>
          <w:i/>
          <w:sz w:val="20"/>
          <w:szCs w:val="20"/>
        </w:rPr>
        <w:t>ţ</w:t>
      </w:r>
      <w:r w:rsidR="00360E4A" w:rsidRPr="00651044">
        <w:rPr>
          <w:b/>
          <w:i/>
          <w:sz w:val="20"/>
          <w:szCs w:val="20"/>
        </w:rPr>
        <w:t xml:space="preserve">iuni </w:t>
      </w:r>
      <w:r w:rsidR="000C0078" w:rsidRPr="00651044">
        <w:rPr>
          <w:b/>
          <w:i/>
          <w:sz w:val="20"/>
          <w:szCs w:val="20"/>
        </w:rPr>
        <w:t>în anul 2015</w:t>
      </w:r>
    </w:p>
    <w:p w:rsidR="00D27CCD" w:rsidRPr="00651044" w:rsidRDefault="00D27CCD" w:rsidP="00D27CCD">
      <w:pPr>
        <w:pStyle w:val="BodyTextIndent2"/>
        <w:ind w:firstLine="539"/>
        <w:rPr>
          <w:color w:val="FF0000"/>
          <w:szCs w:val="28"/>
        </w:rPr>
      </w:pPr>
    </w:p>
    <w:p w:rsidR="00D27CCD" w:rsidRPr="00651044" w:rsidRDefault="00604BA8" w:rsidP="00D27CCD">
      <w:pPr>
        <w:spacing w:line="276" w:lineRule="auto"/>
        <w:ind w:firstLine="567"/>
        <w:jc w:val="both"/>
        <w:rPr>
          <w:sz w:val="28"/>
          <w:szCs w:val="28"/>
        </w:rPr>
      </w:pPr>
      <w:r w:rsidRPr="00651044">
        <w:rPr>
          <w:sz w:val="28"/>
          <w:szCs w:val="28"/>
        </w:rPr>
        <w:lastRenderedPageBreak/>
        <w:t>În același timp</w:t>
      </w:r>
      <w:r w:rsidR="00360E4A" w:rsidRPr="00651044">
        <w:rPr>
          <w:sz w:val="28"/>
          <w:szCs w:val="28"/>
        </w:rPr>
        <w:t>, se constată că</w:t>
      </w:r>
      <w:r w:rsidR="00D27CCD" w:rsidRPr="00651044">
        <w:rPr>
          <w:sz w:val="28"/>
          <w:szCs w:val="28"/>
        </w:rPr>
        <w:t xml:space="preserve"> chelt</w:t>
      </w:r>
      <w:r w:rsidR="00360E4A" w:rsidRPr="00651044">
        <w:rPr>
          <w:sz w:val="28"/>
          <w:szCs w:val="28"/>
        </w:rPr>
        <w:t>uielile de distribuire s-au majorat</w:t>
      </w:r>
      <w:r w:rsidR="00D27CCD" w:rsidRPr="00651044">
        <w:rPr>
          <w:sz w:val="28"/>
          <w:szCs w:val="28"/>
        </w:rPr>
        <w:t xml:space="preserve"> cu </w:t>
      </w:r>
      <w:r w:rsidR="00360E4A" w:rsidRPr="00651044">
        <w:rPr>
          <w:sz w:val="28"/>
          <w:szCs w:val="28"/>
        </w:rPr>
        <w:t>84,5 mil. lei, cheltuielile administrative – cu 32,9 mil. lei, iar</w:t>
      </w:r>
      <w:r w:rsidR="00D27CCD" w:rsidRPr="00651044">
        <w:rPr>
          <w:sz w:val="28"/>
          <w:szCs w:val="28"/>
        </w:rPr>
        <w:t xml:space="preserve"> alte cheltuieli din activitatea opera</w:t>
      </w:r>
      <w:r w:rsidR="00253020" w:rsidRPr="00651044">
        <w:rPr>
          <w:sz w:val="28"/>
          <w:szCs w:val="28"/>
        </w:rPr>
        <w:t>ţ</w:t>
      </w:r>
      <w:r w:rsidR="00D27CCD" w:rsidRPr="00651044">
        <w:rPr>
          <w:sz w:val="28"/>
          <w:szCs w:val="28"/>
        </w:rPr>
        <w:t xml:space="preserve">ională – cu </w:t>
      </w:r>
      <w:r w:rsidR="00360E4A" w:rsidRPr="00651044">
        <w:rPr>
          <w:sz w:val="28"/>
          <w:szCs w:val="28"/>
        </w:rPr>
        <w:t>54,4</w:t>
      </w:r>
      <w:r w:rsidR="00D27CCD" w:rsidRPr="00651044">
        <w:rPr>
          <w:sz w:val="28"/>
          <w:szCs w:val="28"/>
        </w:rPr>
        <w:t xml:space="preserve"> mil. lei. </w:t>
      </w:r>
    </w:p>
    <w:p w:rsidR="00D27CCD" w:rsidRPr="00651044" w:rsidRDefault="00360E4A" w:rsidP="00D27CCD">
      <w:pPr>
        <w:pStyle w:val="BodyTextIndent2"/>
        <w:spacing w:line="276" w:lineRule="auto"/>
        <w:ind w:firstLine="567"/>
        <w:rPr>
          <w:szCs w:val="28"/>
        </w:rPr>
      </w:pPr>
      <w:r w:rsidRPr="00651044">
        <w:rPr>
          <w:szCs w:val="28"/>
        </w:rPr>
        <w:t>În acest context, se remarcă faptul că la finele anului 2015</w:t>
      </w:r>
      <w:r w:rsidR="00D27CCD" w:rsidRPr="00651044">
        <w:rPr>
          <w:szCs w:val="28"/>
        </w:rPr>
        <w:t xml:space="preserve"> societăţile pe acţiuni</w:t>
      </w:r>
      <w:r w:rsidRPr="00651044">
        <w:rPr>
          <w:szCs w:val="28"/>
        </w:rPr>
        <w:t xml:space="preserve"> au înregistrat </w:t>
      </w:r>
      <w:r w:rsidRPr="00651044">
        <w:rPr>
          <w:i/>
          <w:szCs w:val="28"/>
        </w:rPr>
        <w:t>pierdere din activitatea operaţională</w:t>
      </w:r>
      <w:r w:rsidRPr="00651044">
        <w:rPr>
          <w:szCs w:val="28"/>
        </w:rPr>
        <w:t xml:space="preserve"> în mărime de (-357,3) mil. lei spre deosebire de profitul aferent anului 2014 în mărime de 122,4 mil. lei.</w:t>
      </w:r>
      <w:r w:rsidR="00D27CCD" w:rsidRPr="00651044">
        <w:rPr>
          <w:szCs w:val="28"/>
        </w:rPr>
        <w:t xml:space="preserve"> </w:t>
      </w:r>
    </w:p>
    <w:p w:rsidR="00D27CCD" w:rsidRPr="00651044" w:rsidRDefault="00D27CCD" w:rsidP="00D27CCD">
      <w:pPr>
        <w:spacing w:line="276" w:lineRule="auto"/>
        <w:ind w:firstLine="567"/>
        <w:jc w:val="both"/>
        <w:rPr>
          <w:sz w:val="28"/>
          <w:szCs w:val="28"/>
        </w:rPr>
      </w:pPr>
      <w:r w:rsidRPr="00651044">
        <w:rPr>
          <w:sz w:val="28"/>
          <w:szCs w:val="28"/>
        </w:rPr>
        <w:t xml:space="preserve">Totodată, pe parcursul perioadei analizate, </w:t>
      </w:r>
      <w:r w:rsidR="00360E4A" w:rsidRPr="00651044">
        <w:rPr>
          <w:sz w:val="28"/>
          <w:szCs w:val="28"/>
        </w:rPr>
        <w:t xml:space="preserve">societăţile pe acţiuni supuse analizei </w:t>
      </w:r>
      <w:r w:rsidRPr="00651044">
        <w:rPr>
          <w:sz w:val="28"/>
          <w:szCs w:val="28"/>
        </w:rPr>
        <w:t xml:space="preserve"> au obţinut</w:t>
      </w:r>
      <w:r w:rsidR="00360E4A" w:rsidRPr="00651044">
        <w:rPr>
          <w:sz w:val="28"/>
          <w:szCs w:val="28"/>
        </w:rPr>
        <w:t>, per ansamblu,</w:t>
      </w:r>
      <w:r w:rsidRPr="00651044">
        <w:rPr>
          <w:sz w:val="28"/>
          <w:szCs w:val="28"/>
        </w:rPr>
        <w:t xml:space="preserve"> pierderi din alte activită</w:t>
      </w:r>
      <w:r w:rsidR="00253020" w:rsidRPr="00651044">
        <w:rPr>
          <w:sz w:val="28"/>
          <w:szCs w:val="28"/>
        </w:rPr>
        <w:t>ţ</w:t>
      </w:r>
      <w:r w:rsidRPr="00651044">
        <w:rPr>
          <w:sz w:val="28"/>
          <w:szCs w:val="28"/>
        </w:rPr>
        <w:t xml:space="preserve">i în mărime de </w:t>
      </w:r>
      <w:r w:rsidR="00360E4A" w:rsidRPr="00651044">
        <w:rPr>
          <w:sz w:val="28"/>
          <w:szCs w:val="28"/>
        </w:rPr>
        <w:t>(-101,6)</w:t>
      </w:r>
      <w:r w:rsidRPr="00651044">
        <w:rPr>
          <w:sz w:val="28"/>
          <w:szCs w:val="28"/>
        </w:rPr>
        <w:t xml:space="preserve"> mil. lei, </w:t>
      </w:r>
      <w:r w:rsidR="00360E4A" w:rsidRPr="00651044">
        <w:rPr>
          <w:sz w:val="28"/>
          <w:szCs w:val="28"/>
        </w:rPr>
        <w:t>valoarea pierderii date major</w:t>
      </w:r>
      <w:r w:rsidR="006E6FE5">
        <w:rPr>
          <w:sz w:val="28"/>
          <w:szCs w:val="28"/>
        </w:rPr>
        <w:t>î</w:t>
      </w:r>
      <w:r w:rsidR="00360E4A" w:rsidRPr="00651044">
        <w:rPr>
          <w:sz w:val="28"/>
          <w:szCs w:val="28"/>
        </w:rPr>
        <w:t>ndu-se cu 72,9 mil. lei în raport cu anul 2014</w:t>
      </w:r>
      <w:r w:rsidRPr="00651044">
        <w:rPr>
          <w:sz w:val="28"/>
          <w:szCs w:val="28"/>
        </w:rPr>
        <w:t>.</w:t>
      </w:r>
    </w:p>
    <w:p w:rsidR="00D27CCD" w:rsidRPr="00651044" w:rsidRDefault="00360E4A" w:rsidP="00D27CCD">
      <w:pPr>
        <w:spacing w:line="276" w:lineRule="auto"/>
        <w:ind w:firstLine="567"/>
        <w:jc w:val="both"/>
        <w:rPr>
          <w:sz w:val="28"/>
          <w:szCs w:val="28"/>
        </w:rPr>
      </w:pPr>
      <w:r w:rsidRPr="00651044">
        <w:rPr>
          <w:sz w:val="28"/>
          <w:szCs w:val="28"/>
        </w:rPr>
        <w:t>Astfel, pierderea perioadei de gestiune p</w:t>
      </w:r>
      <w:r w:rsidR="006E6FE5">
        <w:rPr>
          <w:sz w:val="28"/>
          <w:szCs w:val="28"/>
        </w:rPr>
        <w:t>î</w:t>
      </w:r>
      <w:r w:rsidR="00D27CCD" w:rsidRPr="00651044">
        <w:rPr>
          <w:sz w:val="28"/>
          <w:szCs w:val="28"/>
        </w:rPr>
        <w:t>nă la impozi</w:t>
      </w:r>
      <w:r w:rsidRPr="00651044">
        <w:rPr>
          <w:sz w:val="28"/>
          <w:szCs w:val="28"/>
        </w:rPr>
        <w:t>tare constituie (-458,9)</w:t>
      </w:r>
      <w:r w:rsidR="00D27CCD" w:rsidRPr="00651044">
        <w:rPr>
          <w:sz w:val="28"/>
          <w:szCs w:val="28"/>
        </w:rPr>
        <w:t xml:space="preserve"> mil. lei</w:t>
      </w:r>
      <w:r w:rsidR="00DA197A" w:rsidRPr="00651044">
        <w:rPr>
          <w:sz w:val="28"/>
          <w:szCs w:val="28"/>
        </w:rPr>
        <w:t xml:space="preserve"> comparativ cu profitul p</w:t>
      </w:r>
      <w:r w:rsidR="006E6FE5">
        <w:rPr>
          <w:sz w:val="28"/>
          <w:szCs w:val="28"/>
        </w:rPr>
        <w:t>î</w:t>
      </w:r>
      <w:r w:rsidR="00DA197A" w:rsidRPr="00651044">
        <w:rPr>
          <w:sz w:val="28"/>
          <w:szCs w:val="28"/>
        </w:rPr>
        <w:t>nă la impozitare în cuantum de 93,7 mil. lei înregistrat în anul 2014.</w:t>
      </w:r>
      <w:r w:rsidR="00D27CCD" w:rsidRPr="00651044">
        <w:rPr>
          <w:sz w:val="28"/>
          <w:szCs w:val="28"/>
        </w:rPr>
        <w:t xml:space="preserve"> Este de menţionat că, </w:t>
      </w:r>
      <w:r w:rsidR="00DA197A" w:rsidRPr="00651044">
        <w:rPr>
          <w:sz w:val="28"/>
          <w:szCs w:val="28"/>
        </w:rPr>
        <w:t>înregistrarea pierderilor p</w:t>
      </w:r>
      <w:r w:rsidR="006E6FE5">
        <w:rPr>
          <w:sz w:val="28"/>
          <w:szCs w:val="28"/>
        </w:rPr>
        <w:t>î</w:t>
      </w:r>
      <w:r w:rsidR="00D27CCD" w:rsidRPr="00651044">
        <w:rPr>
          <w:sz w:val="28"/>
          <w:szCs w:val="28"/>
        </w:rPr>
        <w:t>nă la impozitare, conform rezu</w:t>
      </w:r>
      <w:r w:rsidR="00604BA8" w:rsidRPr="00651044">
        <w:rPr>
          <w:sz w:val="28"/>
          <w:szCs w:val="28"/>
        </w:rPr>
        <w:t>ltatelor activităţii anului 2015</w:t>
      </w:r>
      <w:r w:rsidR="00D27CCD" w:rsidRPr="00651044">
        <w:rPr>
          <w:sz w:val="28"/>
          <w:szCs w:val="28"/>
        </w:rPr>
        <w:t xml:space="preserve">, influenţează negativ asupra încasărilor </w:t>
      </w:r>
      <w:r w:rsidR="000C0078" w:rsidRPr="00651044">
        <w:rPr>
          <w:sz w:val="28"/>
          <w:szCs w:val="28"/>
        </w:rPr>
        <w:t xml:space="preserve">la bugetul public naţional a </w:t>
      </w:r>
      <w:r w:rsidR="00D27CCD" w:rsidRPr="00651044">
        <w:rPr>
          <w:sz w:val="28"/>
          <w:szCs w:val="28"/>
        </w:rPr>
        <w:t>impozitului pe venit din activitatea de întreprinzător. Astfel, cheltuielile privind impo</w:t>
      </w:r>
      <w:r w:rsidR="000C0078" w:rsidRPr="00651044">
        <w:rPr>
          <w:sz w:val="28"/>
          <w:szCs w:val="28"/>
        </w:rPr>
        <w:t>zitul pe venit, pentru anul 2015</w:t>
      </w:r>
      <w:r w:rsidR="00D27CCD" w:rsidRPr="00651044">
        <w:rPr>
          <w:sz w:val="28"/>
          <w:szCs w:val="28"/>
        </w:rPr>
        <w:t xml:space="preserve"> au constituit </w:t>
      </w:r>
      <w:r w:rsidR="00DA197A" w:rsidRPr="00651044">
        <w:rPr>
          <w:sz w:val="28"/>
          <w:szCs w:val="28"/>
        </w:rPr>
        <w:t>18,8</w:t>
      </w:r>
      <w:r w:rsidR="00D27CCD" w:rsidRPr="00651044">
        <w:rPr>
          <w:sz w:val="28"/>
          <w:szCs w:val="28"/>
        </w:rPr>
        <w:t xml:space="preserve"> mil. lei sau cu </w:t>
      </w:r>
      <w:r w:rsidR="00DA197A" w:rsidRPr="00651044">
        <w:rPr>
          <w:sz w:val="28"/>
          <w:szCs w:val="28"/>
        </w:rPr>
        <w:t>16,5</w:t>
      </w:r>
      <w:r w:rsidR="00D27CCD" w:rsidRPr="00651044">
        <w:rPr>
          <w:sz w:val="28"/>
          <w:szCs w:val="28"/>
        </w:rPr>
        <w:t xml:space="preserve"> mil. lei mai pu</w:t>
      </w:r>
      <w:r w:rsidR="00253020" w:rsidRPr="00651044">
        <w:rPr>
          <w:sz w:val="28"/>
          <w:szCs w:val="28"/>
        </w:rPr>
        <w:t>ţ</w:t>
      </w:r>
      <w:r w:rsidR="00DA197A" w:rsidRPr="00651044">
        <w:rPr>
          <w:sz w:val="28"/>
          <w:szCs w:val="28"/>
        </w:rPr>
        <w:t>in comparativ cu anul 2014</w:t>
      </w:r>
      <w:r w:rsidR="00D27CCD" w:rsidRPr="00651044">
        <w:rPr>
          <w:sz w:val="28"/>
          <w:szCs w:val="28"/>
        </w:rPr>
        <w:t>.</w:t>
      </w:r>
    </w:p>
    <w:p w:rsidR="00BB33B2" w:rsidRPr="00651044" w:rsidRDefault="00D27CCD" w:rsidP="00EC2C5E">
      <w:pPr>
        <w:pStyle w:val="BodyTextIndent2"/>
        <w:spacing w:line="276" w:lineRule="auto"/>
        <w:ind w:firstLine="539"/>
        <w:rPr>
          <w:szCs w:val="28"/>
        </w:rPr>
      </w:pPr>
      <w:r w:rsidRPr="00651044">
        <w:rPr>
          <w:szCs w:val="28"/>
        </w:rPr>
        <w:t xml:space="preserve">În rezultatul activităţii economico-financiare, în ansamblu, societăţile pe acţiuni au obţinut </w:t>
      </w:r>
      <w:r w:rsidR="00DA197A" w:rsidRPr="00651044">
        <w:rPr>
          <w:szCs w:val="28"/>
        </w:rPr>
        <w:t>pierdere</w:t>
      </w:r>
      <w:r w:rsidRPr="00651044">
        <w:rPr>
          <w:szCs w:val="28"/>
        </w:rPr>
        <w:t xml:space="preserve"> net</w:t>
      </w:r>
      <w:r w:rsidR="00DA197A" w:rsidRPr="00651044">
        <w:rPr>
          <w:szCs w:val="28"/>
        </w:rPr>
        <w:t>ă</w:t>
      </w:r>
      <w:r w:rsidRPr="00651044">
        <w:rPr>
          <w:szCs w:val="28"/>
        </w:rPr>
        <w:t xml:space="preserve"> în mărime de </w:t>
      </w:r>
      <w:r w:rsidR="00DA197A" w:rsidRPr="00651044">
        <w:rPr>
          <w:szCs w:val="28"/>
        </w:rPr>
        <w:t>477,7</w:t>
      </w:r>
      <w:r w:rsidRPr="00651044">
        <w:rPr>
          <w:szCs w:val="28"/>
        </w:rPr>
        <w:t xml:space="preserve"> mil. lei comparativ cu </w:t>
      </w:r>
      <w:r w:rsidR="00DA197A" w:rsidRPr="00651044">
        <w:rPr>
          <w:szCs w:val="28"/>
        </w:rPr>
        <w:t xml:space="preserve">profitul net în valoare de 58,4 mil. lei aferent </w:t>
      </w:r>
      <w:r w:rsidRPr="00651044">
        <w:rPr>
          <w:szCs w:val="28"/>
        </w:rPr>
        <w:t>anul</w:t>
      </w:r>
      <w:r w:rsidR="00DA197A" w:rsidRPr="00651044">
        <w:rPr>
          <w:szCs w:val="28"/>
        </w:rPr>
        <w:t>ui</w:t>
      </w:r>
      <w:r w:rsidR="00DC4C81" w:rsidRPr="00651044">
        <w:rPr>
          <w:szCs w:val="28"/>
        </w:rPr>
        <w:t xml:space="preserve"> precedent</w:t>
      </w:r>
      <w:r w:rsidRPr="00651044">
        <w:rPr>
          <w:szCs w:val="28"/>
        </w:rPr>
        <w:t>.</w:t>
      </w:r>
    </w:p>
    <w:p w:rsidR="00336972" w:rsidRPr="00651044" w:rsidRDefault="00336972" w:rsidP="00EC2C5E">
      <w:pPr>
        <w:pStyle w:val="BodyTextIndent2"/>
        <w:spacing w:line="276" w:lineRule="auto"/>
        <w:ind w:firstLine="539"/>
        <w:rPr>
          <w:szCs w:val="28"/>
        </w:rPr>
      </w:pPr>
    </w:p>
    <w:p w:rsidR="00D27CCD" w:rsidRPr="00651044" w:rsidRDefault="00D27CCD" w:rsidP="00D27CCD">
      <w:pPr>
        <w:pStyle w:val="BodyTextIndent2"/>
        <w:spacing w:line="23" w:lineRule="atLeast"/>
        <w:ind w:firstLine="540"/>
        <w:jc w:val="right"/>
        <w:rPr>
          <w:sz w:val="20"/>
        </w:rPr>
      </w:pPr>
      <w:r w:rsidRPr="00651044">
        <w:rPr>
          <w:sz w:val="20"/>
        </w:rPr>
        <w:t xml:space="preserve">Tabelul 3.3 </w:t>
      </w:r>
    </w:p>
    <w:p w:rsidR="00D27CCD" w:rsidRPr="00651044" w:rsidRDefault="00D27CCD" w:rsidP="00D27CCD">
      <w:pPr>
        <w:spacing w:line="276" w:lineRule="auto"/>
        <w:jc w:val="center"/>
        <w:rPr>
          <w:b/>
          <w:i/>
        </w:rPr>
      </w:pPr>
      <w:r w:rsidRPr="00651044">
        <w:rPr>
          <w:b/>
          <w:i/>
        </w:rPr>
        <w:t>Situaţia financiară a soci</w:t>
      </w:r>
      <w:r w:rsidR="00DA197A" w:rsidRPr="00651044">
        <w:rPr>
          <w:b/>
          <w:i/>
        </w:rPr>
        <w:t>etăţilor pe acţiuni în anul 2015</w:t>
      </w:r>
    </w:p>
    <w:tbl>
      <w:tblPr>
        <w:tblW w:w="7968" w:type="dxa"/>
        <w:jc w:val="center"/>
        <w:tblBorders>
          <w:top w:val="single" w:sz="12" w:space="0" w:color="000000"/>
          <w:bottom w:val="single" w:sz="12" w:space="0" w:color="000000"/>
          <w:insideH w:val="single" w:sz="6" w:space="0" w:color="000000"/>
        </w:tblBorders>
        <w:tblLayout w:type="fixed"/>
        <w:tblLook w:val="0000"/>
      </w:tblPr>
      <w:tblGrid>
        <w:gridCol w:w="1117"/>
        <w:gridCol w:w="1660"/>
        <w:gridCol w:w="818"/>
        <w:gridCol w:w="938"/>
        <w:gridCol w:w="779"/>
        <w:gridCol w:w="900"/>
        <w:gridCol w:w="1000"/>
        <w:gridCol w:w="756"/>
      </w:tblGrid>
      <w:tr w:rsidR="00DA197A" w:rsidRPr="00651044" w:rsidTr="00DA197A">
        <w:trPr>
          <w:trHeight w:val="243"/>
          <w:jc w:val="center"/>
        </w:trPr>
        <w:tc>
          <w:tcPr>
            <w:tcW w:w="1117" w:type="dxa"/>
            <w:vMerge w:val="restart"/>
            <w:shd w:val="clear" w:color="auto" w:fill="auto"/>
            <w:vAlign w:val="center"/>
          </w:tcPr>
          <w:p w:rsidR="00DA197A" w:rsidRPr="00651044" w:rsidRDefault="00DA197A" w:rsidP="00931A58">
            <w:pPr>
              <w:spacing w:line="23" w:lineRule="atLeast"/>
              <w:jc w:val="center"/>
              <w:rPr>
                <w:b/>
                <w:sz w:val="18"/>
                <w:szCs w:val="18"/>
              </w:rPr>
            </w:pPr>
            <w:r w:rsidRPr="00651044">
              <w:rPr>
                <w:b/>
                <w:sz w:val="18"/>
                <w:szCs w:val="18"/>
              </w:rPr>
              <w:t>Entităţi economice</w:t>
            </w:r>
          </w:p>
        </w:tc>
        <w:tc>
          <w:tcPr>
            <w:tcW w:w="1660" w:type="dxa"/>
            <w:vMerge w:val="restart"/>
            <w:shd w:val="clear" w:color="auto" w:fill="auto"/>
            <w:vAlign w:val="center"/>
          </w:tcPr>
          <w:p w:rsidR="00DA197A" w:rsidRPr="00651044" w:rsidRDefault="00DA197A" w:rsidP="00931A58">
            <w:pPr>
              <w:pStyle w:val="BodyTextIndent2"/>
              <w:spacing w:line="23" w:lineRule="atLeast"/>
              <w:ind w:firstLine="0"/>
              <w:jc w:val="center"/>
              <w:rPr>
                <w:b/>
                <w:sz w:val="18"/>
                <w:szCs w:val="18"/>
              </w:rPr>
            </w:pPr>
            <w:r w:rsidRPr="00651044">
              <w:rPr>
                <w:b/>
                <w:sz w:val="18"/>
                <w:szCs w:val="18"/>
              </w:rPr>
              <w:t>Numărul entităţilor economice supuse analizei</w:t>
            </w:r>
          </w:p>
        </w:tc>
        <w:tc>
          <w:tcPr>
            <w:tcW w:w="2535" w:type="dxa"/>
            <w:gridSpan w:val="3"/>
            <w:shd w:val="clear" w:color="auto" w:fill="auto"/>
            <w:vAlign w:val="center"/>
          </w:tcPr>
          <w:p w:rsidR="00DA197A" w:rsidRPr="00651044" w:rsidRDefault="00DA197A" w:rsidP="00931A58">
            <w:pPr>
              <w:spacing w:line="23" w:lineRule="atLeast"/>
              <w:jc w:val="center"/>
              <w:rPr>
                <w:b/>
                <w:sz w:val="18"/>
                <w:szCs w:val="18"/>
              </w:rPr>
            </w:pPr>
            <w:r w:rsidRPr="00651044">
              <w:rPr>
                <w:b/>
                <w:sz w:val="18"/>
                <w:szCs w:val="18"/>
              </w:rPr>
              <w:t>Au activat cu profit</w:t>
            </w:r>
          </w:p>
        </w:tc>
        <w:tc>
          <w:tcPr>
            <w:tcW w:w="2656" w:type="dxa"/>
            <w:gridSpan w:val="3"/>
            <w:shd w:val="clear" w:color="auto" w:fill="auto"/>
            <w:vAlign w:val="center"/>
          </w:tcPr>
          <w:p w:rsidR="00DA197A" w:rsidRPr="00651044" w:rsidRDefault="00DA197A" w:rsidP="00931A58">
            <w:pPr>
              <w:spacing w:line="23" w:lineRule="atLeast"/>
              <w:jc w:val="center"/>
              <w:rPr>
                <w:b/>
                <w:sz w:val="18"/>
                <w:szCs w:val="18"/>
              </w:rPr>
            </w:pPr>
            <w:r w:rsidRPr="00651044">
              <w:rPr>
                <w:b/>
                <w:sz w:val="18"/>
                <w:szCs w:val="18"/>
              </w:rPr>
              <w:t>Au activat cu pierderi</w:t>
            </w:r>
          </w:p>
        </w:tc>
      </w:tr>
      <w:tr w:rsidR="00DA197A" w:rsidRPr="00651044" w:rsidTr="00DA197A">
        <w:trPr>
          <w:trHeight w:val="63"/>
          <w:jc w:val="center"/>
        </w:trPr>
        <w:tc>
          <w:tcPr>
            <w:tcW w:w="1117" w:type="dxa"/>
            <w:vMerge/>
            <w:shd w:val="clear" w:color="auto" w:fill="auto"/>
            <w:vAlign w:val="center"/>
          </w:tcPr>
          <w:p w:rsidR="00DA197A" w:rsidRPr="00651044" w:rsidRDefault="00DA197A" w:rsidP="00931A58">
            <w:pPr>
              <w:spacing w:line="23" w:lineRule="atLeast"/>
              <w:jc w:val="center"/>
              <w:rPr>
                <w:b/>
                <w:sz w:val="18"/>
                <w:szCs w:val="18"/>
              </w:rPr>
            </w:pPr>
          </w:p>
        </w:tc>
        <w:tc>
          <w:tcPr>
            <w:tcW w:w="1660" w:type="dxa"/>
            <w:vMerge/>
            <w:shd w:val="clear" w:color="auto" w:fill="auto"/>
            <w:vAlign w:val="center"/>
          </w:tcPr>
          <w:p w:rsidR="00DA197A" w:rsidRPr="00651044" w:rsidRDefault="00DA197A" w:rsidP="00931A58">
            <w:pPr>
              <w:spacing w:line="23" w:lineRule="atLeast"/>
              <w:jc w:val="center"/>
              <w:rPr>
                <w:b/>
                <w:sz w:val="18"/>
                <w:szCs w:val="18"/>
              </w:rPr>
            </w:pPr>
          </w:p>
        </w:tc>
        <w:tc>
          <w:tcPr>
            <w:tcW w:w="818" w:type="dxa"/>
            <w:shd w:val="clear" w:color="auto" w:fill="auto"/>
            <w:vAlign w:val="center"/>
          </w:tcPr>
          <w:p w:rsidR="00DA197A" w:rsidRPr="00651044" w:rsidRDefault="00DA197A" w:rsidP="00931A58">
            <w:pPr>
              <w:spacing w:line="23" w:lineRule="atLeast"/>
              <w:jc w:val="center"/>
              <w:rPr>
                <w:sz w:val="18"/>
                <w:szCs w:val="18"/>
              </w:rPr>
            </w:pPr>
            <w:r w:rsidRPr="00651044">
              <w:rPr>
                <w:sz w:val="18"/>
                <w:szCs w:val="18"/>
              </w:rPr>
              <w:t xml:space="preserve">numărul </w:t>
            </w:r>
          </w:p>
          <w:p w:rsidR="00DA197A" w:rsidRPr="00651044" w:rsidRDefault="00DA197A" w:rsidP="00931A58">
            <w:pPr>
              <w:spacing w:line="23" w:lineRule="atLeast"/>
              <w:jc w:val="center"/>
              <w:rPr>
                <w:sz w:val="18"/>
                <w:szCs w:val="18"/>
              </w:rPr>
            </w:pPr>
            <w:r w:rsidRPr="00651044">
              <w:rPr>
                <w:sz w:val="18"/>
                <w:szCs w:val="18"/>
              </w:rPr>
              <w:t>ent. ec.</w:t>
            </w:r>
          </w:p>
        </w:tc>
        <w:tc>
          <w:tcPr>
            <w:tcW w:w="938" w:type="dxa"/>
            <w:shd w:val="clear" w:color="auto" w:fill="auto"/>
            <w:vAlign w:val="center"/>
          </w:tcPr>
          <w:p w:rsidR="00DA197A" w:rsidRPr="00651044" w:rsidRDefault="00DA197A" w:rsidP="00931A58">
            <w:pPr>
              <w:pStyle w:val="BodyTextIndent2"/>
              <w:spacing w:line="23" w:lineRule="atLeast"/>
              <w:ind w:firstLine="0"/>
              <w:jc w:val="center"/>
              <w:rPr>
                <w:sz w:val="18"/>
                <w:szCs w:val="18"/>
              </w:rPr>
            </w:pPr>
            <w:r w:rsidRPr="00651044">
              <w:rPr>
                <w:sz w:val="18"/>
                <w:szCs w:val="18"/>
              </w:rPr>
              <w:t>ponderea,</w:t>
            </w:r>
          </w:p>
          <w:p w:rsidR="00DA197A" w:rsidRPr="00651044" w:rsidRDefault="00DA197A" w:rsidP="00931A58">
            <w:pPr>
              <w:spacing w:line="23" w:lineRule="atLeast"/>
              <w:jc w:val="center"/>
              <w:rPr>
                <w:sz w:val="18"/>
                <w:szCs w:val="18"/>
              </w:rPr>
            </w:pPr>
            <w:r w:rsidRPr="00651044">
              <w:rPr>
                <w:sz w:val="18"/>
                <w:szCs w:val="18"/>
              </w:rPr>
              <w:t>%</w:t>
            </w:r>
          </w:p>
        </w:tc>
        <w:tc>
          <w:tcPr>
            <w:tcW w:w="779" w:type="dxa"/>
            <w:shd w:val="clear" w:color="auto" w:fill="auto"/>
            <w:vAlign w:val="center"/>
          </w:tcPr>
          <w:p w:rsidR="00DA197A" w:rsidRPr="00651044" w:rsidRDefault="00DA197A" w:rsidP="00931A58">
            <w:pPr>
              <w:spacing w:line="23" w:lineRule="atLeast"/>
              <w:jc w:val="center"/>
              <w:rPr>
                <w:sz w:val="18"/>
                <w:szCs w:val="18"/>
              </w:rPr>
            </w:pPr>
            <w:r w:rsidRPr="00651044">
              <w:rPr>
                <w:sz w:val="18"/>
                <w:szCs w:val="18"/>
              </w:rPr>
              <w:t>suma, mil. lei</w:t>
            </w:r>
          </w:p>
        </w:tc>
        <w:tc>
          <w:tcPr>
            <w:tcW w:w="900" w:type="dxa"/>
            <w:shd w:val="clear" w:color="auto" w:fill="auto"/>
            <w:vAlign w:val="center"/>
          </w:tcPr>
          <w:p w:rsidR="00DA197A" w:rsidRPr="00651044" w:rsidRDefault="00DA197A" w:rsidP="00931A58">
            <w:pPr>
              <w:spacing w:line="23" w:lineRule="atLeast"/>
              <w:jc w:val="center"/>
              <w:rPr>
                <w:sz w:val="18"/>
                <w:szCs w:val="18"/>
              </w:rPr>
            </w:pPr>
            <w:r w:rsidRPr="00651044">
              <w:rPr>
                <w:sz w:val="18"/>
                <w:szCs w:val="18"/>
              </w:rPr>
              <w:t>numărul ent. ec.</w:t>
            </w:r>
          </w:p>
        </w:tc>
        <w:tc>
          <w:tcPr>
            <w:tcW w:w="1000" w:type="dxa"/>
            <w:shd w:val="clear" w:color="auto" w:fill="auto"/>
            <w:vAlign w:val="center"/>
          </w:tcPr>
          <w:p w:rsidR="00DA197A" w:rsidRPr="00651044" w:rsidRDefault="00DA197A" w:rsidP="00931A58">
            <w:pPr>
              <w:pStyle w:val="BodyTextIndent2"/>
              <w:spacing w:line="23" w:lineRule="atLeast"/>
              <w:ind w:firstLine="0"/>
              <w:jc w:val="center"/>
              <w:rPr>
                <w:sz w:val="18"/>
                <w:szCs w:val="18"/>
              </w:rPr>
            </w:pPr>
            <w:r w:rsidRPr="00651044">
              <w:rPr>
                <w:sz w:val="18"/>
                <w:szCs w:val="18"/>
              </w:rPr>
              <w:t>ponderea,</w:t>
            </w:r>
          </w:p>
          <w:p w:rsidR="00DA197A" w:rsidRPr="00651044" w:rsidRDefault="00DA197A" w:rsidP="00931A58">
            <w:pPr>
              <w:spacing w:line="23" w:lineRule="atLeast"/>
              <w:jc w:val="center"/>
              <w:rPr>
                <w:sz w:val="18"/>
                <w:szCs w:val="18"/>
              </w:rPr>
            </w:pPr>
            <w:r w:rsidRPr="00651044">
              <w:rPr>
                <w:sz w:val="18"/>
                <w:szCs w:val="18"/>
              </w:rPr>
              <w:t>%</w:t>
            </w:r>
          </w:p>
        </w:tc>
        <w:tc>
          <w:tcPr>
            <w:tcW w:w="756" w:type="dxa"/>
            <w:shd w:val="clear" w:color="auto" w:fill="auto"/>
            <w:vAlign w:val="center"/>
          </w:tcPr>
          <w:p w:rsidR="00DA197A" w:rsidRPr="00651044" w:rsidRDefault="00DA197A" w:rsidP="00931A58">
            <w:pPr>
              <w:spacing w:line="23" w:lineRule="atLeast"/>
              <w:jc w:val="center"/>
              <w:rPr>
                <w:sz w:val="18"/>
                <w:szCs w:val="18"/>
              </w:rPr>
            </w:pPr>
            <w:r w:rsidRPr="00651044">
              <w:rPr>
                <w:sz w:val="18"/>
                <w:szCs w:val="18"/>
              </w:rPr>
              <w:t>suma, mil. lei</w:t>
            </w:r>
          </w:p>
        </w:tc>
      </w:tr>
      <w:tr w:rsidR="00DA197A" w:rsidRPr="00651044" w:rsidTr="00DA197A">
        <w:trPr>
          <w:trHeight w:val="259"/>
          <w:jc w:val="center"/>
        </w:trPr>
        <w:tc>
          <w:tcPr>
            <w:tcW w:w="1117" w:type="dxa"/>
            <w:shd w:val="clear" w:color="auto" w:fill="auto"/>
          </w:tcPr>
          <w:p w:rsidR="00DA197A" w:rsidRPr="00651044" w:rsidRDefault="00DA197A" w:rsidP="00931A58">
            <w:pPr>
              <w:pStyle w:val="BodyTextIndent2"/>
              <w:spacing w:line="23" w:lineRule="atLeast"/>
              <w:ind w:firstLine="0"/>
              <w:jc w:val="center"/>
              <w:rPr>
                <w:sz w:val="18"/>
                <w:szCs w:val="18"/>
              </w:rPr>
            </w:pPr>
            <w:r w:rsidRPr="00651044">
              <w:rPr>
                <w:sz w:val="18"/>
                <w:szCs w:val="18"/>
              </w:rPr>
              <w:t>1</w:t>
            </w:r>
          </w:p>
        </w:tc>
        <w:tc>
          <w:tcPr>
            <w:tcW w:w="1660" w:type="dxa"/>
            <w:shd w:val="clear" w:color="auto" w:fill="auto"/>
          </w:tcPr>
          <w:p w:rsidR="00DA197A" w:rsidRPr="00651044" w:rsidRDefault="00DA197A" w:rsidP="00931A58">
            <w:pPr>
              <w:pStyle w:val="BodyTextIndent2"/>
              <w:spacing w:line="23" w:lineRule="atLeast"/>
              <w:ind w:firstLine="0"/>
              <w:jc w:val="center"/>
              <w:rPr>
                <w:sz w:val="18"/>
                <w:szCs w:val="18"/>
              </w:rPr>
            </w:pPr>
            <w:r w:rsidRPr="00651044">
              <w:rPr>
                <w:sz w:val="18"/>
                <w:szCs w:val="18"/>
              </w:rPr>
              <w:t>2</w:t>
            </w:r>
          </w:p>
        </w:tc>
        <w:tc>
          <w:tcPr>
            <w:tcW w:w="818" w:type="dxa"/>
            <w:shd w:val="clear" w:color="auto" w:fill="auto"/>
          </w:tcPr>
          <w:p w:rsidR="00DA197A" w:rsidRPr="00651044" w:rsidRDefault="00DA197A" w:rsidP="00931A58">
            <w:pPr>
              <w:spacing w:line="23" w:lineRule="atLeast"/>
              <w:jc w:val="center"/>
              <w:rPr>
                <w:sz w:val="18"/>
                <w:szCs w:val="18"/>
              </w:rPr>
            </w:pPr>
            <w:r w:rsidRPr="00651044">
              <w:rPr>
                <w:sz w:val="18"/>
                <w:szCs w:val="18"/>
              </w:rPr>
              <w:t>3</w:t>
            </w:r>
          </w:p>
        </w:tc>
        <w:tc>
          <w:tcPr>
            <w:tcW w:w="938" w:type="dxa"/>
            <w:shd w:val="clear" w:color="auto" w:fill="auto"/>
          </w:tcPr>
          <w:p w:rsidR="00DA197A" w:rsidRPr="00651044" w:rsidRDefault="00DA197A" w:rsidP="00931A58">
            <w:pPr>
              <w:spacing w:line="23" w:lineRule="atLeast"/>
              <w:jc w:val="center"/>
              <w:rPr>
                <w:sz w:val="18"/>
                <w:szCs w:val="18"/>
              </w:rPr>
            </w:pPr>
            <w:r w:rsidRPr="00651044">
              <w:rPr>
                <w:sz w:val="18"/>
                <w:szCs w:val="18"/>
              </w:rPr>
              <w:t>4=3/2</w:t>
            </w:r>
          </w:p>
        </w:tc>
        <w:tc>
          <w:tcPr>
            <w:tcW w:w="779" w:type="dxa"/>
            <w:shd w:val="clear" w:color="auto" w:fill="auto"/>
          </w:tcPr>
          <w:p w:rsidR="00DA197A" w:rsidRPr="00651044" w:rsidRDefault="00DA197A" w:rsidP="00931A58">
            <w:pPr>
              <w:spacing w:line="23" w:lineRule="atLeast"/>
              <w:jc w:val="center"/>
              <w:rPr>
                <w:sz w:val="18"/>
                <w:szCs w:val="18"/>
              </w:rPr>
            </w:pPr>
            <w:r w:rsidRPr="00651044">
              <w:rPr>
                <w:sz w:val="18"/>
                <w:szCs w:val="18"/>
              </w:rPr>
              <w:t>5</w:t>
            </w:r>
          </w:p>
        </w:tc>
        <w:tc>
          <w:tcPr>
            <w:tcW w:w="900" w:type="dxa"/>
            <w:shd w:val="clear" w:color="auto" w:fill="auto"/>
          </w:tcPr>
          <w:p w:rsidR="00DA197A" w:rsidRPr="00651044" w:rsidRDefault="00DA197A" w:rsidP="00931A58">
            <w:pPr>
              <w:spacing w:line="23" w:lineRule="atLeast"/>
              <w:jc w:val="center"/>
              <w:rPr>
                <w:sz w:val="18"/>
                <w:szCs w:val="18"/>
              </w:rPr>
            </w:pPr>
            <w:r w:rsidRPr="00651044">
              <w:rPr>
                <w:sz w:val="18"/>
                <w:szCs w:val="18"/>
              </w:rPr>
              <w:t>6</w:t>
            </w:r>
          </w:p>
        </w:tc>
        <w:tc>
          <w:tcPr>
            <w:tcW w:w="1000" w:type="dxa"/>
            <w:shd w:val="clear" w:color="auto" w:fill="auto"/>
          </w:tcPr>
          <w:p w:rsidR="00DA197A" w:rsidRPr="00651044" w:rsidRDefault="00DA197A" w:rsidP="00931A58">
            <w:pPr>
              <w:spacing w:line="23" w:lineRule="atLeast"/>
              <w:jc w:val="center"/>
              <w:rPr>
                <w:sz w:val="18"/>
                <w:szCs w:val="18"/>
              </w:rPr>
            </w:pPr>
            <w:r w:rsidRPr="00651044">
              <w:rPr>
                <w:sz w:val="18"/>
                <w:szCs w:val="18"/>
              </w:rPr>
              <w:t>7=6/2</w:t>
            </w:r>
          </w:p>
        </w:tc>
        <w:tc>
          <w:tcPr>
            <w:tcW w:w="756" w:type="dxa"/>
            <w:shd w:val="clear" w:color="auto" w:fill="auto"/>
          </w:tcPr>
          <w:p w:rsidR="00DA197A" w:rsidRPr="00651044" w:rsidRDefault="00DA197A" w:rsidP="00931A58">
            <w:pPr>
              <w:spacing w:line="23" w:lineRule="atLeast"/>
              <w:jc w:val="center"/>
              <w:rPr>
                <w:sz w:val="18"/>
                <w:szCs w:val="18"/>
              </w:rPr>
            </w:pPr>
            <w:r w:rsidRPr="00651044">
              <w:rPr>
                <w:sz w:val="18"/>
                <w:szCs w:val="18"/>
              </w:rPr>
              <w:t>8</w:t>
            </w:r>
          </w:p>
        </w:tc>
      </w:tr>
      <w:tr w:rsidR="00DA197A" w:rsidRPr="00651044" w:rsidTr="00DA197A">
        <w:trPr>
          <w:trHeight w:val="277"/>
          <w:jc w:val="center"/>
        </w:trPr>
        <w:tc>
          <w:tcPr>
            <w:tcW w:w="1117" w:type="dxa"/>
            <w:shd w:val="clear" w:color="auto" w:fill="auto"/>
          </w:tcPr>
          <w:p w:rsidR="00DA197A" w:rsidRPr="00651044" w:rsidRDefault="00DA197A" w:rsidP="00931A58">
            <w:pPr>
              <w:spacing w:line="23" w:lineRule="atLeast"/>
              <w:jc w:val="center"/>
              <w:rPr>
                <w:sz w:val="18"/>
                <w:szCs w:val="18"/>
              </w:rPr>
            </w:pPr>
            <w:r w:rsidRPr="00651044">
              <w:rPr>
                <w:sz w:val="18"/>
                <w:szCs w:val="18"/>
              </w:rPr>
              <w:t>Societăţi pe acţiuni</w:t>
            </w:r>
          </w:p>
        </w:tc>
        <w:tc>
          <w:tcPr>
            <w:tcW w:w="1660" w:type="dxa"/>
            <w:shd w:val="clear" w:color="auto" w:fill="auto"/>
            <w:vAlign w:val="center"/>
          </w:tcPr>
          <w:p w:rsidR="00DA197A" w:rsidRPr="00651044" w:rsidRDefault="00DA197A" w:rsidP="00931A58">
            <w:pPr>
              <w:pStyle w:val="BodyTextIndent2"/>
              <w:spacing w:line="23" w:lineRule="atLeast"/>
              <w:ind w:firstLine="0"/>
              <w:jc w:val="center"/>
              <w:rPr>
                <w:sz w:val="18"/>
                <w:szCs w:val="18"/>
              </w:rPr>
            </w:pPr>
            <w:r w:rsidRPr="00651044">
              <w:rPr>
                <w:sz w:val="18"/>
                <w:szCs w:val="18"/>
              </w:rPr>
              <w:t>41</w:t>
            </w:r>
          </w:p>
        </w:tc>
        <w:tc>
          <w:tcPr>
            <w:tcW w:w="818" w:type="dxa"/>
            <w:shd w:val="clear" w:color="auto" w:fill="auto"/>
            <w:vAlign w:val="center"/>
          </w:tcPr>
          <w:p w:rsidR="00DA197A" w:rsidRPr="00651044" w:rsidRDefault="00DA197A" w:rsidP="00931A58">
            <w:pPr>
              <w:spacing w:line="23" w:lineRule="atLeast"/>
              <w:jc w:val="center"/>
              <w:rPr>
                <w:sz w:val="18"/>
                <w:szCs w:val="18"/>
              </w:rPr>
            </w:pPr>
            <w:r w:rsidRPr="00651044">
              <w:rPr>
                <w:sz w:val="18"/>
                <w:szCs w:val="18"/>
              </w:rPr>
              <w:t>22</w:t>
            </w:r>
          </w:p>
        </w:tc>
        <w:tc>
          <w:tcPr>
            <w:tcW w:w="938" w:type="dxa"/>
            <w:shd w:val="clear" w:color="auto" w:fill="auto"/>
            <w:vAlign w:val="center"/>
          </w:tcPr>
          <w:p w:rsidR="00DA197A" w:rsidRPr="00651044" w:rsidRDefault="00DA197A" w:rsidP="00931A58">
            <w:pPr>
              <w:spacing w:line="23" w:lineRule="atLeast"/>
              <w:jc w:val="center"/>
              <w:rPr>
                <w:sz w:val="18"/>
                <w:szCs w:val="18"/>
              </w:rPr>
            </w:pPr>
            <w:r w:rsidRPr="00651044">
              <w:rPr>
                <w:sz w:val="18"/>
                <w:szCs w:val="18"/>
              </w:rPr>
              <w:t>53,7</w:t>
            </w:r>
          </w:p>
        </w:tc>
        <w:tc>
          <w:tcPr>
            <w:tcW w:w="779" w:type="dxa"/>
            <w:shd w:val="clear" w:color="auto" w:fill="auto"/>
            <w:vAlign w:val="center"/>
          </w:tcPr>
          <w:p w:rsidR="00DA197A" w:rsidRPr="00651044" w:rsidRDefault="0017601B" w:rsidP="00931A58">
            <w:pPr>
              <w:spacing w:line="23" w:lineRule="atLeast"/>
              <w:jc w:val="center"/>
              <w:rPr>
                <w:sz w:val="18"/>
                <w:szCs w:val="18"/>
              </w:rPr>
            </w:pPr>
            <w:r w:rsidRPr="00651044">
              <w:rPr>
                <w:sz w:val="18"/>
                <w:szCs w:val="18"/>
              </w:rPr>
              <w:t>177,2</w:t>
            </w:r>
          </w:p>
        </w:tc>
        <w:tc>
          <w:tcPr>
            <w:tcW w:w="900" w:type="dxa"/>
            <w:shd w:val="clear" w:color="auto" w:fill="auto"/>
            <w:vAlign w:val="center"/>
          </w:tcPr>
          <w:p w:rsidR="00DA197A" w:rsidRPr="00651044" w:rsidRDefault="00DA197A" w:rsidP="00DA197A">
            <w:pPr>
              <w:spacing w:line="23" w:lineRule="atLeast"/>
              <w:jc w:val="center"/>
              <w:rPr>
                <w:sz w:val="18"/>
                <w:szCs w:val="18"/>
              </w:rPr>
            </w:pPr>
            <w:r w:rsidRPr="00651044">
              <w:rPr>
                <w:sz w:val="18"/>
                <w:szCs w:val="18"/>
              </w:rPr>
              <w:t>19</w:t>
            </w:r>
          </w:p>
        </w:tc>
        <w:tc>
          <w:tcPr>
            <w:tcW w:w="1000" w:type="dxa"/>
            <w:shd w:val="clear" w:color="auto" w:fill="auto"/>
            <w:vAlign w:val="center"/>
          </w:tcPr>
          <w:p w:rsidR="00DA197A" w:rsidRPr="00651044" w:rsidRDefault="00DA197A" w:rsidP="00931A58">
            <w:pPr>
              <w:spacing w:line="23" w:lineRule="atLeast"/>
              <w:jc w:val="center"/>
              <w:rPr>
                <w:sz w:val="18"/>
                <w:szCs w:val="18"/>
              </w:rPr>
            </w:pPr>
            <w:r w:rsidRPr="00651044">
              <w:rPr>
                <w:sz w:val="18"/>
                <w:szCs w:val="18"/>
              </w:rPr>
              <w:t>46,3</w:t>
            </w:r>
          </w:p>
        </w:tc>
        <w:tc>
          <w:tcPr>
            <w:tcW w:w="756" w:type="dxa"/>
            <w:shd w:val="clear" w:color="auto" w:fill="auto"/>
            <w:vAlign w:val="center"/>
          </w:tcPr>
          <w:p w:rsidR="00DA197A" w:rsidRPr="00651044" w:rsidRDefault="000C0078" w:rsidP="00931A58">
            <w:pPr>
              <w:spacing w:line="23" w:lineRule="atLeast"/>
              <w:jc w:val="center"/>
              <w:rPr>
                <w:sz w:val="18"/>
                <w:szCs w:val="18"/>
              </w:rPr>
            </w:pPr>
            <w:r w:rsidRPr="00651044">
              <w:rPr>
                <w:sz w:val="18"/>
                <w:szCs w:val="18"/>
              </w:rPr>
              <w:t>655,0</w:t>
            </w:r>
          </w:p>
        </w:tc>
      </w:tr>
    </w:tbl>
    <w:p w:rsidR="00D27CCD" w:rsidRPr="00651044" w:rsidRDefault="00D27CCD" w:rsidP="00D27CCD">
      <w:pPr>
        <w:pStyle w:val="BodyText2"/>
        <w:tabs>
          <w:tab w:val="clear" w:pos="2311"/>
          <w:tab w:val="left" w:pos="567"/>
        </w:tabs>
        <w:spacing w:line="276" w:lineRule="auto"/>
        <w:rPr>
          <w:color w:val="FF0000"/>
          <w:sz w:val="28"/>
          <w:szCs w:val="28"/>
        </w:rPr>
      </w:pPr>
      <w:r w:rsidRPr="00651044">
        <w:rPr>
          <w:color w:val="FF0000"/>
          <w:sz w:val="28"/>
          <w:szCs w:val="28"/>
        </w:rPr>
        <w:tab/>
      </w:r>
    </w:p>
    <w:p w:rsidR="00D27CCD" w:rsidRPr="00651044" w:rsidRDefault="00D27CCD" w:rsidP="00D27CCD">
      <w:pPr>
        <w:pStyle w:val="BodyText2"/>
        <w:tabs>
          <w:tab w:val="clear" w:pos="2311"/>
          <w:tab w:val="left" w:pos="567"/>
        </w:tabs>
        <w:spacing w:line="276" w:lineRule="auto"/>
        <w:rPr>
          <w:sz w:val="28"/>
          <w:szCs w:val="28"/>
        </w:rPr>
      </w:pPr>
      <w:r w:rsidRPr="00651044">
        <w:rPr>
          <w:sz w:val="28"/>
          <w:szCs w:val="28"/>
        </w:rPr>
        <w:tab/>
        <w:t>Din numărul total al societăţilor pe acţiun</w:t>
      </w:r>
      <w:r w:rsidR="0017601B" w:rsidRPr="00651044">
        <w:rPr>
          <w:sz w:val="28"/>
          <w:szCs w:val="28"/>
        </w:rPr>
        <w:t xml:space="preserve">i ce au obţinut pierderi nete, 10 societăţi pe acţiuni sau </w:t>
      </w:r>
      <w:r w:rsidR="000C0078" w:rsidRPr="00651044">
        <w:rPr>
          <w:sz w:val="28"/>
          <w:szCs w:val="28"/>
        </w:rPr>
        <w:t>52,6</w:t>
      </w:r>
      <w:r w:rsidRPr="00651044">
        <w:rPr>
          <w:sz w:val="28"/>
          <w:szCs w:val="28"/>
        </w:rPr>
        <w:t>%</w:t>
      </w:r>
      <w:r w:rsidR="0017601B" w:rsidRPr="00651044">
        <w:rPr>
          <w:sz w:val="28"/>
          <w:szCs w:val="28"/>
        </w:rPr>
        <w:t xml:space="preserve"> din numărul total de societăţi </w:t>
      </w:r>
      <w:r w:rsidR="006D0D8F" w:rsidRPr="00651044">
        <w:rPr>
          <w:sz w:val="28"/>
          <w:szCs w:val="28"/>
        </w:rPr>
        <w:t>cu pierderi</w:t>
      </w:r>
      <w:r w:rsidRPr="00651044">
        <w:rPr>
          <w:sz w:val="28"/>
          <w:szCs w:val="28"/>
        </w:rPr>
        <w:t xml:space="preserve"> au generat </w:t>
      </w:r>
      <w:r w:rsidRPr="00651044">
        <w:rPr>
          <w:i/>
          <w:sz w:val="28"/>
          <w:szCs w:val="28"/>
        </w:rPr>
        <w:t>pierderi nete mai mari de 1 milion de lei</w:t>
      </w:r>
      <w:r w:rsidRPr="00651044">
        <w:rPr>
          <w:sz w:val="28"/>
          <w:szCs w:val="28"/>
        </w:rPr>
        <w:t>, dintre care cele mai considerabile fiind înregistrate de:</w:t>
      </w:r>
    </w:p>
    <w:p w:rsidR="0017601B" w:rsidRPr="00651044" w:rsidRDefault="0017601B" w:rsidP="00136F34">
      <w:pPr>
        <w:pStyle w:val="BodyText2"/>
        <w:numPr>
          <w:ilvl w:val="0"/>
          <w:numId w:val="5"/>
        </w:numPr>
        <w:tabs>
          <w:tab w:val="clear" w:pos="2311"/>
          <w:tab w:val="left" w:pos="600"/>
        </w:tabs>
        <w:spacing w:line="276" w:lineRule="auto"/>
        <w:ind w:left="786" w:hanging="233"/>
        <w:rPr>
          <w:sz w:val="28"/>
          <w:szCs w:val="28"/>
        </w:rPr>
      </w:pPr>
      <w:r w:rsidRPr="00651044">
        <w:rPr>
          <w:sz w:val="28"/>
          <w:szCs w:val="28"/>
        </w:rPr>
        <w:t>S.A. „Termoelectrica” – 361,4 mil. lei;</w:t>
      </w:r>
    </w:p>
    <w:p w:rsidR="0017601B" w:rsidRPr="00651044" w:rsidRDefault="0017601B" w:rsidP="00136F34">
      <w:pPr>
        <w:pStyle w:val="BodyText2"/>
        <w:numPr>
          <w:ilvl w:val="0"/>
          <w:numId w:val="5"/>
        </w:numPr>
        <w:tabs>
          <w:tab w:val="clear" w:pos="2311"/>
          <w:tab w:val="left" w:pos="600"/>
        </w:tabs>
        <w:spacing w:line="276" w:lineRule="auto"/>
        <w:ind w:left="786" w:hanging="233"/>
        <w:rPr>
          <w:sz w:val="28"/>
          <w:szCs w:val="28"/>
        </w:rPr>
      </w:pPr>
      <w:r w:rsidRPr="00651044">
        <w:rPr>
          <w:sz w:val="28"/>
          <w:szCs w:val="28"/>
        </w:rPr>
        <w:t>S.A. „RED Nord” – 85,9 mil. lei;</w:t>
      </w:r>
    </w:p>
    <w:p w:rsidR="0017601B" w:rsidRPr="00651044" w:rsidRDefault="0017601B" w:rsidP="00136F34">
      <w:pPr>
        <w:pStyle w:val="BodyText2"/>
        <w:numPr>
          <w:ilvl w:val="0"/>
          <w:numId w:val="5"/>
        </w:numPr>
        <w:tabs>
          <w:tab w:val="clear" w:pos="2311"/>
          <w:tab w:val="left" w:pos="600"/>
        </w:tabs>
        <w:spacing w:line="276" w:lineRule="auto"/>
        <w:ind w:left="786" w:hanging="233"/>
        <w:rPr>
          <w:sz w:val="28"/>
          <w:szCs w:val="28"/>
        </w:rPr>
      </w:pPr>
      <w:r w:rsidRPr="00651044">
        <w:rPr>
          <w:sz w:val="28"/>
          <w:szCs w:val="28"/>
        </w:rPr>
        <w:t>S.A. „Red Nord-Vest” – 62,3 mil. lei.</w:t>
      </w:r>
    </w:p>
    <w:p w:rsidR="00D27CCD" w:rsidRPr="00651044" w:rsidRDefault="00D27CCD" w:rsidP="00136F34">
      <w:pPr>
        <w:pStyle w:val="BodyText2"/>
        <w:numPr>
          <w:ilvl w:val="0"/>
          <w:numId w:val="5"/>
        </w:numPr>
        <w:tabs>
          <w:tab w:val="clear" w:pos="2311"/>
          <w:tab w:val="left" w:pos="600"/>
        </w:tabs>
        <w:spacing w:line="276" w:lineRule="auto"/>
        <w:ind w:left="786" w:hanging="233"/>
        <w:rPr>
          <w:sz w:val="28"/>
          <w:szCs w:val="28"/>
        </w:rPr>
      </w:pPr>
      <w:r w:rsidRPr="00651044">
        <w:rPr>
          <w:sz w:val="28"/>
          <w:szCs w:val="28"/>
        </w:rPr>
        <w:t xml:space="preserve">S.A. „CET-Nord” – </w:t>
      </w:r>
      <w:r w:rsidR="0017601B" w:rsidRPr="00651044">
        <w:rPr>
          <w:sz w:val="28"/>
          <w:szCs w:val="28"/>
        </w:rPr>
        <w:t>61,9</w:t>
      </w:r>
      <w:r w:rsidRPr="00651044">
        <w:rPr>
          <w:sz w:val="28"/>
          <w:szCs w:val="28"/>
        </w:rPr>
        <w:t xml:space="preserve"> mil. lei;</w:t>
      </w:r>
    </w:p>
    <w:p w:rsidR="00D27CCD" w:rsidRPr="00651044" w:rsidRDefault="00D27CCD" w:rsidP="00136F34">
      <w:pPr>
        <w:pStyle w:val="BodyText2"/>
        <w:numPr>
          <w:ilvl w:val="0"/>
          <w:numId w:val="5"/>
        </w:numPr>
        <w:tabs>
          <w:tab w:val="clear" w:pos="2311"/>
          <w:tab w:val="left" w:pos="600"/>
        </w:tabs>
        <w:spacing w:line="276" w:lineRule="auto"/>
        <w:ind w:left="786" w:hanging="233"/>
        <w:rPr>
          <w:sz w:val="28"/>
          <w:szCs w:val="28"/>
        </w:rPr>
      </w:pPr>
      <w:r w:rsidRPr="00651044">
        <w:rPr>
          <w:sz w:val="28"/>
          <w:szCs w:val="28"/>
        </w:rPr>
        <w:t>S.A. „</w:t>
      </w:r>
      <w:r w:rsidR="0017601B" w:rsidRPr="00651044">
        <w:rPr>
          <w:sz w:val="28"/>
          <w:szCs w:val="28"/>
        </w:rPr>
        <w:t>Furnizarea Energiei Electr</w:t>
      </w:r>
      <w:r w:rsidR="00604BA8" w:rsidRPr="00651044">
        <w:rPr>
          <w:sz w:val="28"/>
          <w:szCs w:val="28"/>
        </w:rPr>
        <w:t>i</w:t>
      </w:r>
      <w:r w:rsidR="0017601B" w:rsidRPr="00651044">
        <w:rPr>
          <w:sz w:val="28"/>
          <w:szCs w:val="28"/>
        </w:rPr>
        <w:t>ce Nord</w:t>
      </w:r>
      <w:r w:rsidRPr="00651044">
        <w:rPr>
          <w:sz w:val="28"/>
          <w:szCs w:val="28"/>
        </w:rPr>
        <w:t xml:space="preserve">” – </w:t>
      </w:r>
      <w:r w:rsidR="0017601B" w:rsidRPr="00651044">
        <w:rPr>
          <w:sz w:val="28"/>
          <w:szCs w:val="28"/>
        </w:rPr>
        <w:t>51,5</w:t>
      </w:r>
      <w:r w:rsidRPr="00651044">
        <w:rPr>
          <w:sz w:val="28"/>
          <w:szCs w:val="28"/>
        </w:rPr>
        <w:t xml:space="preserve"> mil. lei;</w:t>
      </w:r>
    </w:p>
    <w:p w:rsidR="00D27CCD" w:rsidRPr="00651044" w:rsidRDefault="0017601B" w:rsidP="00136F34">
      <w:pPr>
        <w:pStyle w:val="BodyText2"/>
        <w:numPr>
          <w:ilvl w:val="0"/>
          <w:numId w:val="5"/>
        </w:numPr>
        <w:tabs>
          <w:tab w:val="clear" w:pos="2311"/>
          <w:tab w:val="left" w:pos="600"/>
        </w:tabs>
        <w:spacing w:line="276" w:lineRule="auto"/>
        <w:ind w:left="786" w:hanging="233"/>
        <w:rPr>
          <w:sz w:val="28"/>
          <w:szCs w:val="28"/>
        </w:rPr>
      </w:pPr>
      <w:r w:rsidRPr="00651044">
        <w:rPr>
          <w:sz w:val="28"/>
          <w:szCs w:val="28"/>
        </w:rPr>
        <w:t>S.A. „Combinatul de Vinuri ,,Cricova</w:t>
      </w:r>
      <w:r w:rsidR="00D27CCD" w:rsidRPr="00651044">
        <w:rPr>
          <w:sz w:val="28"/>
          <w:szCs w:val="28"/>
        </w:rPr>
        <w:t xml:space="preserve">” – </w:t>
      </w:r>
      <w:r w:rsidRPr="00651044">
        <w:rPr>
          <w:sz w:val="28"/>
          <w:szCs w:val="28"/>
        </w:rPr>
        <w:t>16,9 mil. lei.</w:t>
      </w:r>
    </w:p>
    <w:p w:rsidR="00D27CCD" w:rsidRPr="00651044" w:rsidRDefault="00D27CCD" w:rsidP="00D27CCD">
      <w:pPr>
        <w:pStyle w:val="BodyText2"/>
        <w:tabs>
          <w:tab w:val="clear" w:pos="2311"/>
          <w:tab w:val="left" w:pos="567"/>
        </w:tabs>
        <w:spacing w:line="276" w:lineRule="auto"/>
        <w:rPr>
          <w:sz w:val="28"/>
          <w:szCs w:val="28"/>
        </w:rPr>
      </w:pPr>
      <w:r w:rsidRPr="00651044">
        <w:rPr>
          <w:color w:val="FF0000"/>
          <w:sz w:val="28"/>
          <w:szCs w:val="28"/>
        </w:rPr>
        <w:tab/>
      </w:r>
      <w:r w:rsidRPr="00651044">
        <w:rPr>
          <w:sz w:val="28"/>
          <w:szCs w:val="28"/>
        </w:rPr>
        <w:t xml:space="preserve">Concomitent, se constată </w:t>
      </w:r>
      <w:r w:rsidR="0017601B" w:rsidRPr="00651044">
        <w:rPr>
          <w:sz w:val="28"/>
          <w:szCs w:val="28"/>
        </w:rPr>
        <w:t xml:space="preserve">că, în perioada de gestiune la </w:t>
      </w:r>
      <w:r w:rsidR="000C0078" w:rsidRPr="00651044">
        <w:rPr>
          <w:sz w:val="28"/>
          <w:szCs w:val="28"/>
        </w:rPr>
        <w:t>6</w:t>
      </w:r>
      <w:r w:rsidRPr="00651044">
        <w:rPr>
          <w:sz w:val="28"/>
          <w:szCs w:val="28"/>
        </w:rPr>
        <w:t xml:space="preserve"> societăţi pe acţiuni s-au depistat</w:t>
      </w:r>
      <w:r w:rsidR="0017601B" w:rsidRPr="00651044">
        <w:rPr>
          <w:sz w:val="28"/>
          <w:szCs w:val="28"/>
        </w:rPr>
        <w:t xml:space="preserve"> pierderi nete în mărime de </w:t>
      </w:r>
      <w:r w:rsidR="000C0078" w:rsidRPr="00651044">
        <w:rPr>
          <w:sz w:val="28"/>
          <w:szCs w:val="28"/>
        </w:rPr>
        <w:t>23,7</w:t>
      </w:r>
      <w:r w:rsidR="0017601B" w:rsidRPr="00651044">
        <w:rPr>
          <w:sz w:val="28"/>
          <w:szCs w:val="28"/>
        </w:rPr>
        <w:t xml:space="preserve"> mil. lei, care în anul 2014</w:t>
      </w:r>
      <w:r w:rsidRPr="00651044">
        <w:rPr>
          <w:sz w:val="28"/>
          <w:szCs w:val="28"/>
        </w:rPr>
        <w:t xml:space="preserve">, au înregistrat profit </w:t>
      </w:r>
      <w:r w:rsidRPr="00651044">
        <w:rPr>
          <w:sz w:val="28"/>
          <w:szCs w:val="28"/>
        </w:rPr>
        <w:lastRenderedPageBreak/>
        <w:t xml:space="preserve">net în mărime de </w:t>
      </w:r>
      <w:r w:rsidR="000C0078" w:rsidRPr="00651044">
        <w:rPr>
          <w:sz w:val="28"/>
          <w:szCs w:val="28"/>
        </w:rPr>
        <w:t>2,5</w:t>
      </w:r>
      <w:r w:rsidRPr="00651044">
        <w:rPr>
          <w:sz w:val="28"/>
          <w:szCs w:val="28"/>
        </w:rPr>
        <w:t xml:space="preserve"> mil. lei</w:t>
      </w:r>
      <w:r w:rsidR="0017601B" w:rsidRPr="00651044">
        <w:rPr>
          <w:sz w:val="28"/>
          <w:szCs w:val="28"/>
        </w:rPr>
        <w:t>, cele mai mari decalaje fiind prezentate în tabelul următor</w:t>
      </w:r>
      <w:r w:rsidRPr="00651044">
        <w:rPr>
          <w:sz w:val="28"/>
          <w:szCs w:val="28"/>
        </w:rPr>
        <w:t>.</w:t>
      </w:r>
    </w:p>
    <w:p w:rsidR="00D27CCD" w:rsidRPr="00651044" w:rsidRDefault="00D27CCD" w:rsidP="00D27CCD">
      <w:pPr>
        <w:spacing w:line="360" w:lineRule="auto"/>
        <w:ind w:firstLine="567"/>
        <w:jc w:val="right"/>
        <w:rPr>
          <w:sz w:val="20"/>
          <w:szCs w:val="20"/>
        </w:rPr>
      </w:pPr>
      <w:r w:rsidRPr="00651044">
        <w:rPr>
          <w:sz w:val="20"/>
          <w:szCs w:val="20"/>
        </w:rPr>
        <w:t>Tabelul 3.4</w:t>
      </w:r>
    </w:p>
    <w:p w:rsidR="00D27CCD" w:rsidRPr="00651044" w:rsidRDefault="00D27CCD" w:rsidP="00D27CCD">
      <w:pPr>
        <w:ind w:firstLine="567"/>
        <w:jc w:val="center"/>
        <w:rPr>
          <w:b/>
          <w:i/>
        </w:rPr>
      </w:pPr>
      <w:r w:rsidRPr="00651044">
        <w:rPr>
          <w:b/>
          <w:i/>
        </w:rPr>
        <w:t>Societăţile pe acţiuni cu pierderi nete în anul 201</w:t>
      </w:r>
      <w:r w:rsidR="0017601B" w:rsidRPr="00651044">
        <w:rPr>
          <w:b/>
          <w:i/>
        </w:rPr>
        <w:t>5</w:t>
      </w:r>
      <w:r w:rsidRPr="00651044">
        <w:rPr>
          <w:b/>
          <w:i/>
        </w:rPr>
        <w:t xml:space="preserve"> </w:t>
      </w:r>
    </w:p>
    <w:p w:rsidR="00D27CCD" w:rsidRPr="00651044" w:rsidRDefault="00253020" w:rsidP="00D27CCD">
      <w:pPr>
        <w:ind w:firstLine="567"/>
        <w:jc w:val="center"/>
        <w:rPr>
          <w:b/>
          <w:i/>
        </w:rPr>
      </w:pPr>
      <w:r w:rsidRPr="00651044">
        <w:rPr>
          <w:b/>
          <w:i/>
        </w:rPr>
        <w:t>ş</w:t>
      </w:r>
      <w:r w:rsidR="00D27CCD" w:rsidRPr="00651044">
        <w:rPr>
          <w:b/>
          <w:i/>
        </w:rPr>
        <w:t>i pro</w:t>
      </w:r>
      <w:r w:rsidR="0017601B" w:rsidRPr="00651044">
        <w:rPr>
          <w:b/>
          <w:i/>
        </w:rPr>
        <w:t>fit net înregistrat în anul 2014</w:t>
      </w:r>
      <w:r w:rsidR="00D27CCD" w:rsidRPr="00651044">
        <w:rPr>
          <w:b/>
          <w:i/>
        </w:rPr>
        <w:t xml:space="preserve">  </w:t>
      </w:r>
    </w:p>
    <w:p w:rsidR="00D27CCD" w:rsidRPr="00651044" w:rsidRDefault="00D27CCD" w:rsidP="00D27CCD">
      <w:pPr>
        <w:spacing w:line="276" w:lineRule="auto"/>
        <w:ind w:firstLine="567"/>
        <w:jc w:val="right"/>
        <w:rPr>
          <w:sz w:val="20"/>
          <w:szCs w:val="20"/>
        </w:rPr>
      </w:pPr>
      <w:r w:rsidRPr="00651044">
        <w:rPr>
          <w:sz w:val="20"/>
          <w:szCs w:val="20"/>
        </w:rPr>
        <w:t>(mil. lei)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058"/>
        <w:gridCol w:w="1276"/>
        <w:gridCol w:w="1792"/>
        <w:gridCol w:w="1326"/>
      </w:tblGrid>
      <w:tr w:rsidR="00D27CCD" w:rsidRPr="004629DE" w:rsidTr="004629DE">
        <w:trPr>
          <w:jc w:val="center"/>
        </w:trPr>
        <w:tc>
          <w:tcPr>
            <w:tcW w:w="675" w:type="dxa"/>
          </w:tcPr>
          <w:p w:rsidR="00D27CCD" w:rsidRPr="004629DE" w:rsidRDefault="00D27CCD" w:rsidP="004629DE">
            <w:pPr>
              <w:spacing w:line="276" w:lineRule="auto"/>
              <w:jc w:val="center"/>
              <w:rPr>
                <w:b/>
                <w:i/>
                <w:iCs/>
                <w:sz w:val="20"/>
                <w:szCs w:val="20"/>
              </w:rPr>
            </w:pPr>
            <w:r w:rsidRPr="004629DE">
              <w:rPr>
                <w:b/>
                <w:i/>
                <w:iCs/>
                <w:sz w:val="20"/>
                <w:szCs w:val="20"/>
              </w:rPr>
              <w:t>Nr.</w:t>
            </w:r>
          </w:p>
          <w:p w:rsidR="00D27CCD" w:rsidRPr="004629DE" w:rsidRDefault="00D27CCD" w:rsidP="004629DE">
            <w:pPr>
              <w:spacing w:line="276" w:lineRule="auto"/>
              <w:jc w:val="center"/>
              <w:rPr>
                <w:b/>
                <w:i/>
                <w:iCs/>
                <w:sz w:val="20"/>
                <w:szCs w:val="20"/>
              </w:rPr>
            </w:pPr>
          </w:p>
        </w:tc>
        <w:tc>
          <w:tcPr>
            <w:tcW w:w="4058" w:type="dxa"/>
          </w:tcPr>
          <w:p w:rsidR="00D27CCD" w:rsidRPr="004629DE" w:rsidRDefault="00D27CCD" w:rsidP="004629DE">
            <w:pPr>
              <w:spacing w:line="276" w:lineRule="auto"/>
              <w:jc w:val="center"/>
              <w:rPr>
                <w:b/>
                <w:i/>
                <w:iCs/>
                <w:sz w:val="20"/>
                <w:szCs w:val="20"/>
              </w:rPr>
            </w:pPr>
            <w:r w:rsidRPr="004629DE">
              <w:rPr>
                <w:b/>
                <w:i/>
                <w:iCs/>
                <w:sz w:val="20"/>
                <w:szCs w:val="20"/>
              </w:rPr>
              <w:t>Denumirea societăţii</w:t>
            </w:r>
          </w:p>
        </w:tc>
        <w:tc>
          <w:tcPr>
            <w:tcW w:w="1276" w:type="dxa"/>
          </w:tcPr>
          <w:p w:rsidR="00D27CCD" w:rsidRPr="004629DE" w:rsidRDefault="00D27CCD" w:rsidP="004629DE">
            <w:pPr>
              <w:spacing w:line="276" w:lineRule="auto"/>
              <w:jc w:val="center"/>
              <w:rPr>
                <w:b/>
                <w:i/>
                <w:iCs/>
                <w:sz w:val="20"/>
                <w:szCs w:val="20"/>
              </w:rPr>
            </w:pPr>
            <w:r w:rsidRPr="004629DE">
              <w:rPr>
                <w:b/>
                <w:i/>
                <w:iCs/>
                <w:sz w:val="20"/>
                <w:szCs w:val="20"/>
              </w:rPr>
              <w:t>Profit net,</w:t>
            </w:r>
          </w:p>
          <w:p w:rsidR="00D27CCD" w:rsidRPr="004629DE" w:rsidRDefault="0017601B" w:rsidP="004629DE">
            <w:pPr>
              <w:spacing w:line="276" w:lineRule="auto"/>
              <w:jc w:val="center"/>
              <w:rPr>
                <w:b/>
                <w:i/>
                <w:iCs/>
                <w:sz w:val="20"/>
                <w:szCs w:val="20"/>
              </w:rPr>
            </w:pPr>
            <w:r w:rsidRPr="004629DE">
              <w:rPr>
                <w:b/>
                <w:i/>
                <w:iCs/>
                <w:sz w:val="20"/>
                <w:szCs w:val="20"/>
              </w:rPr>
              <w:t>anul 2014</w:t>
            </w:r>
          </w:p>
        </w:tc>
        <w:tc>
          <w:tcPr>
            <w:tcW w:w="1792" w:type="dxa"/>
          </w:tcPr>
          <w:p w:rsidR="00D27CCD" w:rsidRPr="004629DE" w:rsidRDefault="00D27CCD" w:rsidP="004629DE">
            <w:pPr>
              <w:spacing w:line="276" w:lineRule="auto"/>
              <w:jc w:val="center"/>
              <w:rPr>
                <w:b/>
                <w:i/>
                <w:iCs/>
                <w:sz w:val="20"/>
                <w:szCs w:val="20"/>
              </w:rPr>
            </w:pPr>
            <w:r w:rsidRPr="004629DE">
              <w:rPr>
                <w:b/>
                <w:i/>
                <w:iCs/>
                <w:sz w:val="20"/>
                <w:szCs w:val="20"/>
              </w:rPr>
              <w:t>Pierdere netă,</w:t>
            </w:r>
          </w:p>
          <w:p w:rsidR="00D27CCD" w:rsidRPr="004629DE" w:rsidRDefault="0017601B" w:rsidP="004629DE">
            <w:pPr>
              <w:spacing w:line="276" w:lineRule="auto"/>
              <w:jc w:val="center"/>
              <w:rPr>
                <w:b/>
                <w:i/>
                <w:iCs/>
                <w:sz w:val="20"/>
                <w:szCs w:val="20"/>
              </w:rPr>
            </w:pPr>
            <w:r w:rsidRPr="004629DE">
              <w:rPr>
                <w:b/>
                <w:i/>
                <w:iCs/>
                <w:sz w:val="20"/>
                <w:szCs w:val="20"/>
              </w:rPr>
              <w:t>anul 2015</w:t>
            </w:r>
          </w:p>
        </w:tc>
        <w:tc>
          <w:tcPr>
            <w:tcW w:w="1326" w:type="dxa"/>
          </w:tcPr>
          <w:p w:rsidR="00D27CCD" w:rsidRPr="004629DE" w:rsidRDefault="00D27CCD" w:rsidP="004629DE">
            <w:pPr>
              <w:spacing w:line="276" w:lineRule="auto"/>
              <w:jc w:val="center"/>
              <w:rPr>
                <w:b/>
                <w:i/>
                <w:iCs/>
                <w:sz w:val="20"/>
                <w:szCs w:val="20"/>
              </w:rPr>
            </w:pPr>
            <w:r w:rsidRPr="004629DE">
              <w:rPr>
                <w:b/>
                <w:i/>
                <w:iCs/>
                <w:sz w:val="20"/>
                <w:szCs w:val="20"/>
              </w:rPr>
              <w:t>Diferenţa</w:t>
            </w:r>
          </w:p>
        </w:tc>
      </w:tr>
      <w:tr w:rsidR="00D27CCD" w:rsidRPr="004629DE" w:rsidTr="004629DE">
        <w:trPr>
          <w:jc w:val="center"/>
        </w:trPr>
        <w:tc>
          <w:tcPr>
            <w:tcW w:w="675" w:type="dxa"/>
          </w:tcPr>
          <w:p w:rsidR="00D27CCD" w:rsidRPr="004629DE" w:rsidRDefault="00D27CCD" w:rsidP="004629DE">
            <w:pPr>
              <w:spacing w:line="276" w:lineRule="auto"/>
              <w:jc w:val="center"/>
              <w:rPr>
                <w:b/>
                <w:sz w:val="20"/>
                <w:szCs w:val="20"/>
              </w:rPr>
            </w:pPr>
            <w:r w:rsidRPr="004629DE">
              <w:rPr>
                <w:b/>
                <w:sz w:val="20"/>
                <w:szCs w:val="20"/>
              </w:rPr>
              <w:t>1.</w:t>
            </w:r>
          </w:p>
        </w:tc>
        <w:tc>
          <w:tcPr>
            <w:tcW w:w="4058" w:type="dxa"/>
          </w:tcPr>
          <w:p w:rsidR="00D27CCD" w:rsidRPr="004629DE" w:rsidRDefault="0017601B" w:rsidP="004629DE">
            <w:pPr>
              <w:spacing w:line="276" w:lineRule="auto"/>
              <w:rPr>
                <w:sz w:val="20"/>
                <w:szCs w:val="20"/>
              </w:rPr>
            </w:pPr>
            <w:r w:rsidRPr="004629DE">
              <w:rPr>
                <w:sz w:val="20"/>
                <w:szCs w:val="20"/>
              </w:rPr>
              <w:t>S.A. „</w:t>
            </w:r>
            <w:r w:rsidR="000C0078" w:rsidRPr="004629DE">
              <w:rPr>
                <w:sz w:val="20"/>
                <w:szCs w:val="20"/>
              </w:rPr>
              <w:t>Combinatul de vinuri Cricova</w:t>
            </w:r>
            <w:r w:rsidR="00D27CCD" w:rsidRPr="004629DE">
              <w:rPr>
                <w:sz w:val="20"/>
                <w:szCs w:val="20"/>
              </w:rPr>
              <w:t>”</w:t>
            </w:r>
          </w:p>
        </w:tc>
        <w:tc>
          <w:tcPr>
            <w:tcW w:w="1276" w:type="dxa"/>
          </w:tcPr>
          <w:p w:rsidR="00D27CCD" w:rsidRPr="004629DE" w:rsidRDefault="000C0078" w:rsidP="004629DE">
            <w:pPr>
              <w:spacing w:line="276" w:lineRule="auto"/>
              <w:jc w:val="center"/>
              <w:rPr>
                <w:sz w:val="20"/>
                <w:szCs w:val="20"/>
              </w:rPr>
            </w:pPr>
            <w:r w:rsidRPr="004629DE">
              <w:rPr>
                <w:sz w:val="20"/>
                <w:szCs w:val="20"/>
              </w:rPr>
              <w:t>0,4</w:t>
            </w:r>
          </w:p>
        </w:tc>
        <w:tc>
          <w:tcPr>
            <w:tcW w:w="1792" w:type="dxa"/>
          </w:tcPr>
          <w:p w:rsidR="00D27CCD" w:rsidRPr="004629DE" w:rsidRDefault="000C0078" w:rsidP="004629DE">
            <w:pPr>
              <w:spacing w:line="276" w:lineRule="auto"/>
              <w:jc w:val="center"/>
              <w:rPr>
                <w:sz w:val="20"/>
                <w:szCs w:val="20"/>
              </w:rPr>
            </w:pPr>
            <w:r w:rsidRPr="004629DE">
              <w:rPr>
                <w:sz w:val="20"/>
                <w:szCs w:val="20"/>
              </w:rPr>
              <w:t>16,9</w:t>
            </w:r>
          </w:p>
        </w:tc>
        <w:tc>
          <w:tcPr>
            <w:tcW w:w="1326" w:type="dxa"/>
          </w:tcPr>
          <w:p w:rsidR="00D27CCD" w:rsidRPr="004629DE" w:rsidRDefault="000C0078" w:rsidP="004629DE">
            <w:pPr>
              <w:spacing w:line="276" w:lineRule="auto"/>
              <w:jc w:val="center"/>
              <w:rPr>
                <w:sz w:val="20"/>
                <w:szCs w:val="20"/>
              </w:rPr>
            </w:pPr>
            <w:r w:rsidRPr="004629DE">
              <w:rPr>
                <w:sz w:val="20"/>
                <w:szCs w:val="20"/>
              </w:rPr>
              <w:t>-17,3</w:t>
            </w:r>
          </w:p>
        </w:tc>
      </w:tr>
      <w:tr w:rsidR="00D27CCD" w:rsidRPr="004629DE" w:rsidTr="004629DE">
        <w:trPr>
          <w:jc w:val="center"/>
        </w:trPr>
        <w:tc>
          <w:tcPr>
            <w:tcW w:w="675" w:type="dxa"/>
          </w:tcPr>
          <w:p w:rsidR="00D27CCD" w:rsidRPr="004629DE" w:rsidRDefault="00D27CCD" w:rsidP="004629DE">
            <w:pPr>
              <w:spacing w:line="276" w:lineRule="auto"/>
              <w:jc w:val="center"/>
              <w:rPr>
                <w:b/>
                <w:sz w:val="20"/>
                <w:szCs w:val="20"/>
              </w:rPr>
            </w:pPr>
            <w:r w:rsidRPr="004629DE">
              <w:rPr>
                <w:b/>
                <w:sz w:val="20"/>
                <w:szCs w:val="20"/>
              </w:rPr>
              <w:t>2.</w:t>
            </w:r>
          </w:p>
        </w:tc>
        <w:tc>
          <w:tcPr>
            <w:tcW w:w="4058" w:type="dxa"/>
          </w:tcPr>
          <w:p w:rsidR="00D27CCD" w:rsidRPr="004629DE" w:rsidRDefault="000C0078" w:rsidP="004629DE">
            <w:pPr>
              <w:spacing w:line="276" w:lineRule="auto"/>
              <w:rPr>
                <w:sz w:val="20"/>
                <w:szCs w:val="20"/>
              </w:rPr>
            </w:pPr>
            <w:r w:rsidRPr="004629DE">
              <w:rPr>
                <w:sz w:val="20"/>
                <w:szCs w:val="20"/>
              </w:rPr>
              <w:t>S.A. „Floare Carpet</w:t>
            </w:r>
            <w:r w:rsidR="00D27CCD" w:rsidRPr="004629DE">
              <w:rPr>
                <w:sz w:val="20"/>
                <w:szCs w:val="20"/>
              </w:rPr>
              <w:t>”</w:t>
            </w:r>
          </w:p>
        </w:tc>
        <w:tc>
          <w:tcPr>
            <w:tcW w:w="1276" w:type="dxa"/>
          </w:tcPr>
          <w:p w:rsidR="00D27CCD" w:rsidRPr="004629DE" w:rsidRDefault="000C0078" w:rsidP="004629DE">
            <w:pPr>
              <w:spacing w:line="276" w:lineRule="auto"/>
              <w:jc w:val="center"/>
              <w:rPr>
                <w:sz w:val="20"/>
                <w:szCs w:val="20"/>
              </w:rPr>
            </w:pPr>
            <w:r w:rsidRPr="004629DE">
              <w:rPr>
                <w:sz w:val="20"/>
                <w:szCs w:val="20"/>
              </w:rPr>
              <w:t>0,4</w:t>
            </w:r>
          </w:p>
        </w:tc>
        <w:tc>
          <w:tcPr>
            <w:tcW w:w="1792" w:type="dxa"/>
          </w:tcPr>
          <w:p w:rsidR="00D27CCD" w:rsidRPr="004629DE" w:rsidRDefault="000C0078" w:rsidP="004629DE">
            <w:pPr>
              <w:spacing w:line="276" w:lineRule="auto"/>
              <w:jc w:val="center"/>
              <w:rPr>
                <w:sz w:val="20"/>
                <w:szCs w:val="20"/>
              </w:rPr>
            </w:pPr>
            <w:r w:rsidRPr="004629DE">
              <w:rPr>
                <w:sz w:val="20"/>
                <w:szCs w:val="20"/>
              </w:rPr>
              <w:t>0,7</w:t>
            </w:r>
          </w:p>
        </w:tc>
        <w:tc>
          <w:tcPr>
            <w:tcW w:w="1326" w:type="dxa"/>
          </w:tcPr>
          <w:p w:rsidR="00D27CCD" w:rsidRPr="004629DE" w:rsidRDefault="000C0078" w:rsidP="004629DE">
            <w:pPr>
              <w:spacing w:line="276" w:lineRule="auto"/>
              <w:jc w:val="center"/>
              <w:rPr>
                <w:sz w:val="20"/>
                <w:szCs w:val="20"/>
              </w:rPr>
            </w:pPr>
            <w:r w:rsidRPr="004629DE">
              <w:rPr>
                <w:sz w:val="20"/>
                <w:szCs w:val="20"/>
              </w:rPr>
              <w:t>-1,1</w:t>
            </w:r>
          </w:p>
        </w:tc>
      </w:tr>
      <w:tr w:rsidR="00D27CCD" w:rsidRPr="004629DE" w:rsidTr="004629DE">
        <w:trPr>
          <w:jc w:val="center"/>
        </w:trPr>
        <w:tc>
          <w:tcPr>
            <w:tcW w:w="675" w:type="dxa"/>
          </w:tcPr>
          <w:p w:rsidR="00D27CCD" w:rsidRPr="004629DE" w:rsidRDefault="00D27CCD" w:rsidP="004629DE">
            <w:pPr>
              <w:spacing w:line="276" w:lineRule="auto"/>
              <w:jc w:val="center"/>
              <w:rPr>
                <w:b/>
                <w:sz w:val="20"/>
                <w:szCs w:val="20"/>
              </w:rPr>
            </w:pPr>
            <w:r w:rsidRPr="004629DE">
              <w:rPr>
                <w:b/>
                <w:sz w:val="20"/>
                <w:szCs w:val="20"/>
              </w:rPr>
              <w:t>3.</w:t>
            </w:r>
          </w:p>
        </w:tc>
        <w:tc>
          <w:tcPr>
            <w:tcW w:w="4058" w:type="dxa"/>
          </w:tcPr>
          <w:p w:rsidR="00D27CCD" w:rsidRPr="004629DE" w:rsidRDefault="000C0078" w:rsidP="004629DE">
            <w:pPr>
              <w:spacing w:line="276" w:lineRule="auto"/>
              <w:rPr>
                <w:sz w:val="20"/>
                <w:szCs w:val="20"/>
              </w:rPr>
            </w:pPr>
            <w:r w:rsidRPr="004629DE">
              <w:rPr>
                <w:sz w:val="20"/>
                <w:szCs w:val="20"/>
              </w:rPr>
              <w:t>S.A. „Aeroport Catering</w:t>
            </w:r>
            <w:r w:rsidR="00D27CCD" w:rsidRPr="004629DE">
              <w:rPr>
                <w:sz w:val="20"/>
                <w:szCs w:val="20"/>
              </w:rPr>
              <w:t>”</w:t>
            </w:r>
          </w:p>
        </w:tc>
        <w:tc>
          <w:tcPr>
            <w:tcW w:w="1276" w:type="dxa"/>
          </w:tcPr>
          <w:p w:rsidR="00D27CCD" w:rsidRPr="004629DE" w:rsidRDefault="000C0078" w:rsidP="004629DE">
            <w:pPr>
              <w:spacing w:line="276" w:lineRule="auto"/>
              <w:jc w:val="center"/>
              <w:rPr>
                <w:sz w:val="20"/>
                <w:szCs w:val="20"/>
              </w:rPr>
            </w:pPr>
            <w:r w:rsidRPr="004629DE">
              <w:rPr>
                <w:sz w:val="20"/>
                <w:szCs w:val="20"/>
              </w:rPr>
              <w:t>0,5</w:t>
            </w:r>
          </w:p>
        </w:tc>
        <w:tc>
          <w:tcPr>
            <w:tcW w:w="1792" w:type="dxa"/>
          </w:tcPr>
          <w:p w:rsidR="00D27CCD" w:rsidRPr="004629DE" w:rsidRDefault="000C0078" w:rsidP="004629DE">
            <w:pPr>
              <w:spacing w:line="276" w:lineRule="auto"/>
              <w:jc w:val="center"/>
              <w:rPr>
                <w:sz w:val="20"/>
                <w:szCs w:val="20"/>
              </w:rPr>
            </w:pPr>
            <w:r w:rsidRPr="004629DE">
              <w:rPr>
                <w:sz w:val="20"/>
                <w:szCs w:val="20"/>
              </w:rPr>
              <w:t>4,4</w:t>
            </w:r>
          </w:p>
        </w:tc>
        <w:tc>
          <w:tcPr>
            <w:tcW w:w="1326" w:type="dxa"/>
          </w:tcPr>
          <w:p w:rsidR="00D27CCD" w:rsidRPr="004629DE" w:rsidRDefault="000C0078" w:rsidP="004629DE">
            <w:pPr>
              <w:spacing w:line="276" w:lineRule="auto"/>
              <w:jc w:val="center"/>
              <w:rPr>
                <w:sz w:val="20"/>
                <w:szCs w:val="20"/>
              </w:rPr>
            </w:pPr>
            <w:r w:rsidRPr="004629DE">
              <w:rPr>
                <w:sz w:val="20"/>
                <w:szCs w:val="20"/>
              </w:rPr>
              <w:t>-4,9</w:t>
            </w:r>
          </w:p>
        </w:tc>
      </w:tr>
      <w:tr w:rsidR="000C0078" w:rsidRPr="004629DE" w:rsidTr="004629DE">
        <w:trPr>
          <w:jc w:val="center"/>
        </w:trPr>
        <w:tc>
          <w:tcPr>
            <w:tcW w:w="675" w:type="dxa"/>
          </w:tcPr>
          <w:p w:rsidR="000C0078" w:rsidRPr="004629DE" w:rsidRDefault="000C0078" w:rsidP="004629DE">
            <w:pPr>
              <w:spacing w:line="276" w:lineRule="auto"/>
              <w:jc w:val="center"/>
              <w:rPr>
                <w:b/>
                <w:sz w:val="20"/>
                <w:szCs w:val="20"/>
              </w:rPr>
            </w:pPr>
            <w:r w:rsidRPr="004629DE">
              <w:rPr>
                <w:b/>
                <w:sz w:val="20"/>
                <w:szCs w:val="20"/>
              </w:rPr>
              <w:t>4.</w:t>
            </w:r>
          </w:p>
        </w:tc>
        <w:tc>
          <w:tcPr>
            <w:tcW w:w="4058" w:type="dxa"/>
          </w:tcPr>
          <w:p w:rsidR="000C0078" w:rsidRPr="004629DE" w:rsidRDefault="000C0078" w:rsidP="004629DE">
            <w:pPr>
              <w:spacing w:line="276" w:lineRule="auto"/>
              <w:rPr>
                <w:sz w:val="20"/>
                <w:szCs w:val="20"/>
              </w:rPr>
            </w:pPr>
            <w:r w:rsidRPr="004629DE">
              <w:rPr>
                <w:sz w:val="20"/>
                <w:szCs w:val="20"/>
              </w:rPr>
              <w:t>S.A. „Drumuri Cahul”</w:t>
            </w:r>
          </w:p>
        </w:tc>
        <w:tc>
          <w:tcPr>
            <w:tcW w:w="1276" w:type="dxa"/>
          </w:tcPr>
          <w:p w:rsidR="000C0078" w:rsidRPr="004629DE" w:rsidRDefault="000C0078" w:rsidP="004629DE">
            <w:pPr>
              <w:spacing w:line="276" w:lineRule="auto"/>
              <w:jc w:val="center"/>
              <w:rPr>
                <w:sz w:val="20"/>
                <w:szCs w:val="20"/>
              </w:rPr>
            </w:pPr>
            <w:r w:rsidRPr="004629DE">
              <w:rPr>
                <w:sz w:val="20"/>
                <w:szCs w:val="20"/>
              </w:rPr>
              <w:t>0,04</w:t>
            </w:r>
          </w:p>
        </w:tc>
        <w:tc>
          <w:tcPr>
            <w:tcW w:w="1792" w:type="dxa"/>
          </w:tcPr>
          <w:p w:rsidR="000C0078" w:rsidRPr="004629DE" w:rsidRDefault="000C0078" w:rsidP="004629DE">
            <w:pPr>
              <w:spacing w:line="276" w:lineRule="auto"/>
              <w:jc w:val="center"/>
              <w:rPr>
                <w:sz w:val="20"/>
                <w:szCs w:val="20"/>
              </w:rPr>
            </w:pPr>
            <w:r w:rsidRPr="004629DE">
              <w:rPr>
                <w:sz w:val="20"/>
                <w:szCs w:val="20"/>
              </w:rPr>
              <w:t>0,6</w:t>
            </w:r>
          </w:p>
        </w:tc>
        <w:tc>
          <w:tcPr>
            <w:tcW w:w="1326" w:type="dxa"/>
          </w:tcPr>
          <w:p w:rsidR="000C0078" w:rsidRPr="004629DE" w:rsidRDefault="00695318" w:rsidP="004629DE">
            <w:pPr>
              <w:spacing w:line="276" w:lineRule="auto"/>
              <w:jc w:val="center"/>
              <w:rPr>
                <w:sz w:val="20"/>
                <w:szCs w:val="20"/>
              </w:rPr>
            </w:pPr>
            <w:r w:rsidRPr="004629DE">
              <w:rPr>
                <w:sz w:val="20"/>
                <w:szCs w:val="20"/>
              </w:rPr>
              <w:t>-0,64</w:t>
            </w:r>
          </w:p>
        </w:tc>
      </w:tr>
    </w:tbl>
    <w:p w:rsidR="00D27CCD" w:rsidRPr="00651044" w:rsidRDefault="00D27CCD" w:rsidP="00BB33B2">
      <w:pPr>
        <w:pStyle w:val="BodyText2"/>
        <w:tabs>
          <w:tab w:val="clear" w:pos="2311"/>
          <w:tab w:val="left" w:pos="600"/>
        </w:tabs>
        <w:spacing w:line="120" w:lineRule="auto"/>
        <w:rPr>
          <w:color w:val="FF0000"/>
          <w:sz w:val="28"/>
          <w:szCs w:val="28"/>
        </w:rPr>
      </w:pPr>
    </w:p>
    <w:p w:rsidR="00DE3D35" w:rsidRPr="00651044" w:rsidRDefault="00DE3D35" w:rsidP="00BB33B2">
      <w:pPr>
        <w:pStyle w:val="BodyText2"/>
        <w:tabs>
          <w:tab w:val="clear" w:pos="2311"/>
          <w:tab w:val="left" w:pos="600"/>
        </w:tabs>
        <w:spacing w:line="120" w:lineRule="auto"/>
        <w:rPr>
          <w:color w:val="FF0000"/>
          <w:sz w:val="28"/>
          <w:szCs w:val="28"/>
        </w:rPr>
      </w:pPr>
    </w:p>
    <w:p w:rsidR="00D27CCD" w:rsidRPr="00651044" w:rsidRDefault="00D27CCD" w:rsidP="00D27CCD">
      <w:pPr>
        <w:spacing w:line="276" w:lineRule="auto"/>
        <w:ind w:firstLine="567"/>
        <w:jc w:val="both"/>
        <w:rPr>
          <w:sz w:val="28"/>
          <w:szCs w:val="28"/>
        </w:rPr>
      </w:pPr>
      <w:r w:rsidRPr="00651044">
        <w:rPr>
          <w:sz w:val="28"/>
          <w:szCs w:val="28"/>
        </w:rPr>
        <w:t>Raportul dintre pierderea netă a societăţilor pe acţiuni</w:t>
      </w:r>
      <w:r w:rsidR="00DE3D35" w:rsidRPr="00651044">
        <w:rPr>
          <w:sz w:val="28"/>
          <w:szCs w:val="28"/>
        </w:rPr>
        <w:t xml:space="preserve"> care în anul 2015</w:t>
      </w:r>
      <w:r w:rsidR="00F06FD1" w:rsidRPr="00651044">
        <w:rPr>
          <w:sz w:val="28"/>
          <w:szCs w:val="28"/>
        </w:rPr>
        <w:t xml:space="preserve"> generează pierderi nete</w:t>
      </w:r>
      <w:r w:rsidR="00DE3D35" w:rsidRPr="00651044">
        <w:rPr>
          <w:sz w:val="28"/>
          <w:szCs w:val="28"/>
        </w:rPr>
        <w:t xml:space="preserve"> şi veniturile din v</w:t>
      </w:r>
      <w:r w:rsidR="006E6FE5">
        <w:rPr>
          <w:sz w:val="28"/>
          <w:szCs w:val="28"/>
        </w:rPr>
        <w:t>î</w:t>
      </w:r>
      <w:r w:rsidRPr="00651044">
        <w:rPr>
          <w:sz w:val="28"/>
          <w:szCs w:val="28"/>
        </w:rPr>
        <w:t xml:space="preserve">nzări </w:t>
      </w:r>
      <w:r w:rsidR="00DE3D35" w:rsidRPr="00651044">
        <w:rPr>
          <w:sz w:val="28"/>
          <w:szCs w:val="28"/>
        </w:rPr>
        <w:t xml:space="preserve">obţinute de acestea în anul 2015 constituie aproximativ </w:t>
      </w:r>
      <w:r w:rsidR="000C0078" w:rsidRPr="00651044">
        <w:rPr>
          <w:sz w:val="28"/>
          <w:szCs w:val="28"/>
        </w:rPr>
        <w:t>13,1</w:t>
      </w:r>
      <w:r w:rsidRPr="00651044">
        <w:rPr>
          <w:sz w:val="28"/>
          <w:szCs w:val="28"/>
        </w:rPr>
        <w:t xml:space="preserve">%, ceea ce semnifică </w:t>
      </w:r>
      <w:r w:rsidR="00DE3D35" w:rsidRPr="00651044">
        <w:rPr>
          <w:sz w:val="28"/>
          <w:szCs w:val="28"/>
        </w:rPr>
        <w:t xml:space="preserve">faptul </w:t>
      </w:r>
      <w:r w:rsidRPr="00651044">
        <w:rPr>
          <w:sz w:val="28"/>
          <w:szCs w:val="28"/>
        </w:rPr>
        <w:t xml:space="preserve">că, societăţile respective înregistrează </w:t>
      </w:r>
      <w:r w:rsidR="000C0078" w:rsidRPr="00651044">
        <w:rPr>
          <w:sz w:val="28"/>
          <w:szCs w:val="28"/>
        </w:rPr>
        <w:t>13,1</w:t>
      </w:r>
      <w:r w:rsidRPr="00651044">
        <w:rPr>
          <w:sz w:val="28"/>
          <w:szCs w:val="28"/>
        </w:rPr>
        <w:t xml:space="preserve"> bani pierde</w:t>
      </w:r>
      <w:r w:rsidR="00DE3D35" w:rsidRPr="00651044">
        <w:rPr>
          <w:sz w:val="28"/>
          <w:szCs w:val="28"/>
        </w:rPr>
        <w:t>ri nete la 1 leu venituri din v</w:t>
      </w:r>
      <w:r w:rsidR="006E6FE5">
        <w:rPr>
          <w:sz w:val="28"/>
          <w:szCs w:val="28"/>
        </w:rPr>
        <w:t>î</w:t>
      </w:r>
      <w:r w:rsidRPr="00651044">
        <w:rPr>
          <w:sz w:val="28"/>
          <w:szCs w:val="28"/>
        </w:rPr>
        <w:t>nzări.</w:t>
      </w:r>
    </w:p>
    <w:p w:rsidR="00D27CCD" w:rsidRPr="00651044" w:rsidRDefault="00D27CCD" w:rsidP="00D27CCD">
      <w:pPr>
        <w:pStyle w:val="BodyText2"/>
        <w:tabs>
          <w:tab w:val="clear" w:pos="2311"/>
          <w:tab w:val="left" w:pos="600"/>
        </w:tabs>
        <w:spacing w:line="276" w:lineRule="auto"/>
        <w:rPr>
          <w:sz w:val="28"/>
          <w:szCs w:val="28"/>
        </w:rPr>
      </w:pPr>
      <w:r w:rsidRPr="00651044">
        <w:rPr>
          <w:sz w:val="28"/>
          <w:szCs w:val="28"/>
        </w:rPr>
        <w:tab/>
        <w:t>Totodată, din numărul to</w:t>
      </w:r>
      <w:r w:rsidR="00DE3D35" w:rsidRPr="00651044">
        <w:rPr>
          <w:sz w:val="28"/>
          <w:szCs w:val="28"/>
        </w:rPr>
        <w:t>tal al societăţilor analizate, 8</w:t>
      </w:r>
      <w:r w:rsidRPr="00651044">
        <w:rPr>
          <w:sz w:val="28"/>
          <w:szCs w:val="28"/>
        </w:rPr>
        <w:t xml:space="preserve"> societăţi pe acţiuni înregistrează în anul de gestiune </w:t>
      </w:r>
      <w:r w:rsidR="00DE3D35" w:rsidRPr="00651044">
        <w:rPr>
          <w:sz w:val="28"/>
          <w:szCs w:val="28"/>
        </w:rPr>
        <w:t>un profit net mai mic în raport cu valoarea înregistrată în anul 2014</w:t>
      </w:r>
      <w:r w:rsidRPr="00651044">
        <w:rPr>
          <w:sz w:val="28"/>
          <w:szCs w:val="28"/>
        </w:rPr>
        <w:t xml:space="preserve">, dintre care cele mai considerabile </w:t>
      </w:r>
      <w:r w:rsidRPr="00651044">
        <w:rPr>
          <w:i/>
          <w:sz w:val="28"/>
          <w:szCs w:val="28"/>
        </w:rPr>
        <w:t>micşorări ale profitului net</w:t>
      </w:r>
      <w:r w:rsidRPr="00651044">
        <w:rPr>
          <w:sz w:val="28"/>
          <w:szCs w:val="28"/>
        </w:rPr>
        <w:t xml:space="preserve"> au fost obţinute de:</w:t>
      </w:r>
    </w:p>
    <w:p w:rsidR="00D27CCD" w:rsidRPr="00651044" w:rsidRDefault="00D27CCD" w:rsidP="00136F34">
      <w:pPr>
        <w:pStyle w:val="BodyText2"/>
        <w:numPr>
          <w:ilvl w:val="0"/>
          <w:numId w:val="5"/>
        </w:numPr>
        <w:tabs>
          <w:tab w:val="clear" w:pos="2311"/>
          <w:tab w:val="left" w:pos="600"/>
        </w:tabs>
        <w:spacing w:line="276" w:lineRule="auto"/>
        <w:ind w:left="786" w:hanging="233"/>
        <w:rPr>
          <w:sz w:val="28"/>
          <w:szCs w:val="28"/>
        </w:rPr>
      </w:pPr>
      <w:r w:rsidRPr="00651044">
        <w:rPr>
          <w:sz w:val="28"/>
          <w:szCs w:val="28"/>
        </w:rPr>
        <w:t>S.A. „</w:t>
      </w:r>
      <w:r w:rsidR="00DE3D35" w:rsidRPr="00651044">
        <w:rPr>
          <w:sz w:val="28"/>
          <w:szCs w:val="28"/>
        </w:rPr>
        <w:t>Metalferos</w:t>
      </w:r>
      <w:r w:rsidRPr="00651044">
        <w:rPr>
          <w:sz w:val="28"/>
          <w:szCs w:val="28"/>
        </w:rPr>
        <w:t xml:space="preserve">” – cu </w:t>
      </w:r>
      <w:r w:rsidR="00DE3D35" w:rsidRPr="00651044">
        <w:rPr>
          <w:sz w:val="28"/>
          <w:szCs w:val="28"/>
        </w:rPr>
        <w:t>21,3</w:t>
      </w:r>
      <w:r w:rsidRPr="00651044">
        <w:rPr>
          <w:sz w:val="28"/>
          <w:szCs w:val="28"/>
        </w:rPr>
        <w:t xml:space="preserve"> mil. lei;</w:t>
      </w:r>
    </w:p>
    <w:p w:rsidR="00DE3D35" w:rsidRPr="00651044" w:rsidRDefault="00DE3D35" w:rsidP="00136F34">
      <w:pPr>
        <w:pStyle w:val="BodyText2"/>
        <w:numPr>
          <w:ilvl w:val="0"/>
          <w:numId w:val="5"/>
        </w:numPr>
        <w:tabs>
          <w:tab w:val="clear" w:pos="2311"/>
          <w:tab w:val="left" w:pos="600"/>
        </w:tabs>
        <w:spacing w:line="276" w:lineRule="auto"/>
        <w:ind w:left="786" w:hanging="233"/>
        <w:rPr>
          <w:sz w:val="28"/>
          <w:szCs w:val="28"/>
        </w:rPr>
      </w:pPr>
      <w:r w:rsidRPr="00651044">
        <w:rPr>
          <w:sz w:val="28"/>
          <w:szCs w:val="28"/>
        </w:rPr>
        <w:t>S.A. „Drumuri Criuleni” – cu 0,5 mil. lei;</w:t>
      </w:r>
    </w:p>
    <w:p w:rsidR="00D27CCD" w:rsidRPr="00651044" w:rsidRDefault="00D27CCD" w:rsidP="00136F34">
      <w:pPr>
        <w:pStyle w:val="BodyText2"/>
        <w:numPr>
          <w:ilvl w:val="0"/>
          <w:numId w:val="5"/>
        </w:numPr>
        <w:tabs>
          <w:tab w:val="clear" w:pos="2311"/>
          <w:tab w:val="left" w:pos="600"/>
        </w:tabs>
        <w:spacing w:line="276" w:lineRule="auto"/>
        <w:ind w:left="786" w:hanging="233"/>
        <w:rPr>
          <w:sz w:val="28"/>
          <w:szCs w:val="28"/>
        </w:rPr>
      </w:pPr>
      <w:r w:rsidRPr="00651044">
        <w:rPr>
          <w:sz w:val="28"/>
          <w:szCs w:val="28"/>
        </w:rPr>
        <w:t>S.A. „</w:t>
      </w:r>
      <w:r w:rsidR="00DE3D35" w:rsidRPr="00651044">
        <w:rPr>
          <w:sz w:val="28"/>
          <w:szCs w:val="28"/>
        </w:rPr>
        <w:t>Barza Albă</w:t>
      </w:r>
      <w:r w:rsidRPr="00651044">
        <w:rPr>
          <w:sz w:val="28"/>
          <w:szCs w:val="28"/>
        </w:rPr>
        <w:t xml:space="preserve">” – cu </w:t>
      </w:r>
      <w:r w:rsidR="00695318" w:rsidRPr="00651044">
        <w:rPr>
          <w:sz w:val="28"/>
          <w:szCs w:val="28"/>
        </w:rPr>
        <w:t>0,6</w:t>
      </w:r>
      <w:r w:rsidRPr="00651044">
        <w:rPr>
          <w:sz w:val="28"/>
          <w:szCs w:val="28"/>
        </w:rPr>
        <w:t xml:space="preserve"> mil. lei;</w:t>
      </w:r>
    </w:p>
    <w:p w:rsidR="00D27CCD" w:rsidRPr="00651044" w:rsidRDefault="00D27CCD" w:rsidP="00136F34">
      <w:pPr>
        <w:pStyle w:val="BodyText2"/>
        <w:numPr>
          <w:ilvl w:val="0"/>
          <w:numId w:val="5"/>
        </w:numPr>
        <w:tabs>
          <w:tab w:val="clear" w:pos="2311"/>
          <w:tab w:val="left" w:pos="600"/>
        </w:tabs>
        <w:spacing w:line="276" w:lineRule="auto"/>
        <w:ind w:left="786" w:hanging="233"/>
        <w:rPr>
          <w:sz w:val="28"/>
          <w:szCs w:val="28"/>
        </w:rPr>
      </w:pPr>
      <w:r w:rsidRPr="00651044">
        <w:rPr>
          <w:sz w:val="28"/>
          <w:szCs w:val="28"/>
        </w:rPr>
        <w:t>S.A. „</w:t>
      </w:r>
      <w:r w:rsidR="00DE3D35" w:rsidRPr="00651044">
        <w:rPr>
          <w:sz w:val="28"/>
          <w:szCs w:val="28"/>
        </w:rPr>
        <w:t>Drumuri Ialoveni</w:t>
      </w:r>
      <w:r w:rsidRPr="00651044">
        <w:rPr>
          <w:sz w:val="28"/>
          <w:szCs w:val="28"/>
        </w:rPr>
        <w:t xml:space="preserve">” – cu </w:t>
      </w:r>
      <w:r w:rsidR="00DE3D35" w:rsidRPr="00651044">
        <w:rPr>
          <w:sz w:val="28"/>
          <w:szCs w:val="28"/>
        </w:rPr>
        <w:t>0,1 mil. lei.</w:t>
      </w:r>
    </w:p>
    <w:p w:rsidR="00D27CCD" w:rsidRPr="00651044" w:rsidRDefault="00D27CCD" w:rsidP="00D27CCD">
      <w:pPr>
        <w:pStyle w:val="BodyText2"/>
        <w:tabs>
          <w:tab w:val="clear" w:pos="2311"/>
          <w:tab w:val="left" w:pos="567"/>
        </w:tabs>
        <w:spacing w:line="276" w:lineRule="auto"/>
        <w:rPr>
          <w:sz w:val="28"/>
          <w:szCs w:val="28"/>
        </w:rPr>
      </w:pPr>
      <w:r w:rsidRPr="00651044">
        <w:rPr>
          <w:sz w:val="28"/>
          <w:szCs w:val="28"/>
        </w:rPr>
        <w:tab/>
        <w:t xml:space="preserve">Din numărul total al societăţilor pe acţiuni ce au obţinut profit net, </w:t>
      </w:r>
      <w:r w:rsidR="00B057CF" w:rsidRPr="00651044">
        <w:rPr>
          <w:sz w:val="28"/>
          <w:szCs w:val="28"/>
        </w:rPr>
        <w:t>10 societăţi sau 24,4</w:t>
      </w:r>
      <w:r w:rsidRPr="00651044">
        <w:rPr>
          <w:sz w:val="28"/>
          <w:szCs w:val="28"/>
        </w:rPr>
        <w:t xml:space="preserve">% </w:t>
      </w:r>
      <w:r w:rsidR="00B057CF" w:rsidRPr="00651044">
        <w:rPr>
          <w:sz w:val="28"/>
          <w:szCs w:val="28"/>
        </w:rPr>
        <w:t xml:space="preserve">din numărul societăţilor supuse analizei </w:t>
      </w:r>
      <w:r w:rsidRPr="00651044">
        <w:rPr>
          <w:sz w:val="28"/>
          <w:szCs w:val="28"/>
        </w:rPr>
        <w:t xml:space="preserve">înregistrează </w:t>
      </w:r>
      <w:r w:rsidRPr="00651044">
        <w:rPr>
          <w:i/>
          <w:sz w:val="28"/>
          <w:szCs w:val="28"/>
        </w:rPr>
        <w:t>profit net mai mare de 1 milion de lei</w:t>
      </w:r>
      <w:r w:rsidRPr="00651044">
        <w:rPr>
          <w:sz w:val="28"/>
          <w:szCs w:val="28"/>
        </w:rPr>
        <w:t xml:space="preserve">. Cele mai mari profituri au fost obţinute de către: </w:t>
      </w:r>
    </w:p>
    <w:p w:rsidR="00D27CCD" w:rsidRPr="00651044" w:rsidRDefault="00D27CCD" w:rsidP="00136F34">
      <w:pPr>
        <w:pStyle w:val="BodyText2"/>
        <w:numPr>
          <w:ilvl w:val="0"/>
          <w:numId w:val="4"/>
        </w:numPr>
        <w:tabs>
          <w:tab w:val="clear" w:pos="900"/>
          <w:tab w:val="clear" w:pos="2311"/>
          <w:tab w:val="left" w:pos="600"/>
          <w:tab w:val="num" w:pos="800"/>
        </w:tabs>
        <w:spacing w:line="276" w:lineRule="auto"/>
        <w:ind w:left="800" w:hanging="233"/>
        <w:rPr>
          <w:sz w:val="28"/>
          <w:szCs w:val="28"/>
        </w:rPr>
      </w:pPr>
      <w:r w:rsidRPr="00651044">
        <w:rPr>
          <w:sz w:val="28"/>
          <w:szCs w:val="28"/>
        </w:rPr>
        <w:t>S.A. „</w:t>
      </w:r>
      <w:r w:rsidR="00B057CF" w:rsidRPr="00651044">
        <w:rPr>
          <w:sz w:val="28"/>
          <w:szCs w:val="28"/>
        </w:rPr>
        <w:t>Moldtelecom</w:t>
      </w:r>
      <w:r w:rsidRPr="00651044">
        <w:rPr>
          <w:sz w:val="28"/>
          <w:szCs w:val="28"/>
        </w:rPr>
        <w:t xml:space="preserve">” – </w:t>
      </w:r>
      <w:r w:rsidR="00B057CF" w:rsidRPr="00651044">
        <w:rPr>
          <w:sz w:val="28"/>
          <w:szCs w:val="28"/>
        </w:rPr>
        <w:t>94,2</w:t>
      </w:r>
      <w:r w:rsidRPr="00651044">
        <w:rPr>
          <w:sz w:val="28"/>
          <w:szCs w:val="28"/>
        </w:rPr>
        <w:t xml:space="preserve"> mil. lei;</w:t>
      </w:r>
    </w:p>
    <w:p w:rsidR="00D27CCD" w:rsidRPr="00651044" w:rsidRDefault="00D27CCD" w:rsidP="00136F34">
      <w:pPr>
        <w:pStyle w:val="BodyText2"/>
        <w:numPr>
          <w:ilvl w:val="0"/>
          <w:numId w:val="4"/>
        </w:numPr>
        <w:tabs>
          <w:tab w:val="clear" w:pos="900"/>
          <w:tab w:val="clear" w:pos="2311"/>
          <w:tab w:val="num" w:pos="0"/>
          <w:tab w:val="left" w:pos="600"/>
        </w:tabs>
        <w:spacing w:line="276" w:lineRule="auto"/>
        <w:ind w:left="0" w:firstLine="567"/>
        <w:rPr>
          <w:sz w:val="28"/>
          <w:szCs w:val="28"/>
        </w:rPr>
      </w:pPr>
      <w:r w:rsidRPr="00651044">
        <w:rPr>
          <w:sz w:val="28"/>
          <w:szCs w:val="28"/>
        </w:rPr>
        <w:t xml:space="preserve">S.A. „Metalferos” – </w:t>
      </w:r>
      <w:r w:rsidR="00B057CF" w:rsidRPr="00651044">
        <w:rPr>
          <w:sz w:val="28"/>
          <w:szCs w:val="28"/>
        </w:rPr>
        <w:t>41,3</w:t>
      </w:r>
      <w:r w:rsidRPr="00651044">
        <w:rPr>
          <w:sz w:val="28"/>
          <w:szCs w:val="28"/>
        </w:rPr>
        <w:t xml:space="preserve"> mil. lei;</w:t>
      </w:r>
    </w:p>
    <w:p w:rsidR="00D27CCD" w:rsidRPr="00651044" w:rsidRDefault="00D27CCD" w:rsidP="00136F34">
      <w:pPr>
        <w:pStyle w:val="BodyText2"/>
        <w:numPr>
          <w:ilvl w:val="0"/>
          <w:numId w:val="4"/>
        </w:numPr>
        <w:tabs>
          <w:tab w:val="clear" w:pos="900"/>
          <w:tab w:val="clear" w:pos="2311"/>
          <w:tab w:val="left" w:pos="600"/>
          <w:tab w:val="num" w:pos="800"/>
        </w:tabs>
        <w:spacing w:line="276" w:lineRule="auto"/>
        <w:ind w:left="800" w:hanging="233"/>
        <w:rPr>
          <w:sz w:val="28"/>
          <w:szCs w:val="28"/>
        </w:rPr>
      </w:pPr>
      <w:r w:rsidRPr="00651044">
        <w:rPr>
          <w:sz w:val="28"/>
          <w:szCs w:val="28"/>
        </w:rPr>
        <w:t xml:space="preserve">S.A. „Tutun CTC” – </w:t>
      </w:r>
      <w:r w:rsidR="00B057CF" w:rsidRPr="00651044">
        <w:rPr>
          <w:sz w:val="28"/>
          <w:szCs w:val="28"/>
        </w:rPr>
        <w:t>15,3</w:t>
      </w:r>
      <w:r w:rsidRPr="00651044">
        <w:rPr>
          <w:sz w:val="28"/>
          <w:szCs w:val="28"/>
        </w:rPr>
        <w:t xml:space="preserve"> mil. lei;</w:t>
      </w:r>
    </w:p>
    <w:p w:rsidR="00D27CCD" w:rsidRPr="00651044" w:rsidRDefault="00B057CF" w:rsidP="00136F34">
      <w:pPr>
        <w:pStyle w:val="BodyText2"/>
        <w:numPr>
          <w:ilvl w:val="0"/>
          <w:numId w:val="4"/>
        </w:numPr>
        <w:tabs>
          <w:tab w:val="clear" w:pos="900"/>
          <w:tab w:val="clear" w:pos="2311"/>
          <w:tab w:val="num" w:pos="0"/>
          <w:tab w:val="left" w:pos="540"/>
          <w:tab w:val="left" w:pos="709"/>
        </w:tabs>
        <w:spacing w:line="276" w:lineRule="auto"/>
        <w:ind w:left="0" w:firstLine="567"/>
        <w:rPr>
          <w:sz w:val="28"/>
          <w:szCs w:val="28"/>
        </w:rPr>
      </w:pPr>
      <w:r w:rsidRPr="00651044">
        <w:rPr>
          <w:sz w:val="28"/>
          <w:szCs w:val="28"/>
        </w:rPr>
        <w:t xml:space="preserve"> S.A. „UNIC” – 9,0</w:t>
      </w:r>
      <w:r w:rsidR="00D27CCD" w:rsidRPr="00651044">
        <w:rPr>
          <w:sz w:val="28"/>
          <w:szCs w:val="28"/>
        </w:rPr>
        <w:t xml:space="preserve"> mil. lei; </w:t>
      </w:r>
    </w:p>
    <w:p w:rsidR="00D27CCD" w:rsidRPr="00651044" w:rsidRDefault="00D27CCD" w:rsidP="00136F34">
      <w:pPr>
        <w:pStyle w:val="BodyText2"/>
        <w:numPr>
          <w:ilvl w:val="0"/>
          <w:numId w:val="4"/>
        </w:numPr>
        <w:tabs>
          <w:tab w:val="clear" w:pos="900"/>
          <w:tab w:val="clear" w:pos="2311"/>
          <w:tab w:val="left" w:pos="600"/>
          <w:tab w:val="num" w:pos="709"/>
        </w:tabs>
        <w:spacing w:line="276" w:lineRule="auto"/>
        <w:ind w:left="800" w:hanging="233"/>
        <w:rPr>
          <w:sz w:val="28"/>
          <w:szCs w:val="28"/>
        </w:rPr>
      </w:pPr>
      <w:r w:rsidRPr="00651044">
        <w:rPr>
          <w:sz w:val="28"/>
          <w:szCs w:val="28"/>
        </w:rPr>
        <w:t>S.A. Centrul Interna</w:t>
      </w:r>
      <w:r w:rsidR="00253020" w:rsidRPr="00651044">
        <w:rPr>
          <w:sz w:val="28"/>
          <w:szCs w:val="28"/>
        </w:rPr>
        <w:t>ţ</w:t>
      </w:r>
      <w:r w:rsidRPr="00651044">
        <w:rPr>
          <w:sz w:val="28"/>
          <w:szCs w:val="28"/>
        </w:rPr>
        <w:t>ional de Expozi</w:t>
      </w:r>
      <w:r w:rsidR="00253020" w:rsidRPr="00651044">
        <w:rPr>
          <w:sz w:val="28"/>
          <w:szCs w:val="28"/>
        </w:rPr>
        <w:t>ţ</w:t>
      </w:r>
      <w:r w:rsidRPr="00651044">
        <w:rPr>
          <w:sz w:val="28"/>
          <w:szCs w:val="28"/>
        </w:rPr>
        <w:t>ii</w:t>
      </w:r>
      <w:r w:rsidR="00B057CF" w:rsidRPr="00651044">
        <w:rPr>
          <w:sz w:val="28"/>
          <w:szCs w:val="28"/>
        </w:rPr>
        <w:t xml:space="preserve"> „Moldexpo” – 4,2 mil. lei.</w:t>
      </w:r>
    </w:p>
    <w:p w:rsidR="00D27CCD" w:rsidRPr="00651044" w:rsidRDefault="00B057CF" w:rsidP="00D27CCD">
      <w:pPr>
        <w:pStyle w:val="BodyText2"/>
        <w:tabs>
          <w:tab w:val="clear" w:pos="2311"/>
          <w:tab w:val="left" w:pos="567"/>
        </w:tabs>
        <w:spacing w:line="276" w:lineRule="auto"/>
        <w:rPr>
          <w:sz w:val="28"/>
          <w:szCs w:val="28"/>
        </w:rPr>
      </w:pPr>
      <w:r w:rsidRPr="00651044">
        <w:rPr>
          <w:sz w:val="28"/>
          <w:szCs w:val="28"/>
        </w:rPr>
        <w:tab/>
        <w:t>Rentabilitatea v</w:t>
      </w:r>
      <w:r w:rsidR="006E6FE5">
        <w:rPr>
          <w:sz w:val="28"/>
          <w:szCs w:val="28"/>
        </w:rPr>
        <w:t>î</w:t>
      </w:r>
      <w:r w:rsidR="00D27CCD" w:rsidRPr="00651044">
        <w:rPr>
          <w:sz w:val="28"/>
          <w:szCs w:val="28"/>
        </w:rPr>
        <w:t>nzări</w:t>
      </w:r>
      <w:r w:rsidR="00695318" w:rsidRPr="00651044">
        <w:rPr>
          <w:sz w:val="28"/>
          <w:szCs w:val="28"/>
        </w:rPr>
        <w:t>lor (profitul net/venituri</w:t>
      </w:r>
      <w:r w:rsidRPr="00651044">
        <w:rPr>
          <w:sz w:val="28"/>
          <w:szCs w:val="28"/>
        </w:rPr>
        <w:t xml:space="preserve"> din v</w:t>
      </w:r>
      <w:r w:rsidR="006E6FE5">
        <w:rPr>
          <w:sz w:val="28"/>
          <w:szCs w:val="28"/>
        </w:rPr>
        <w:t>î</w:t>
      </w:r>
      <w:r w:rsidR="00D27CCD" w:rsidRPr="00651044">
        <w:rPr>
          <w:sz w:val="28"/>
          <w:szCs w:val="28"/>
        </w:rPr>
        <w:t xml:space="preserve">nzări) </w:t>
      </w:r>
      <w:r w:rsidRPr="00651044">
        <w:rPr>
          <w:sz w:val="28"/>
          <w:szCs w:val="28"/>
        </w:rPr>
        <w:t xml:space="preserve">a </w:t>
      </w:r>
      <w:r w:rsidR="00D27CCD" w:rsidRPr="00651044">
        <w:rPr>
          <w:sz w:val="28"/>
          <w:szCs w:val="28"/>
        </w:rPr>
        <w:t>societăţilor pe acţiuni care au înregistrat în anul 201</w:t>
      </w:r>
      <w:r w:rsidRPr="00651044">
        <w:rPr>
          <w:sz w:val="28"/>
          <w:szCs w:val="28"/>
        </w:rPr>
        <w:t>5 profit net constituie 2</w:t>
      </w:r>
      <w:r w:rsidR="00D27CCD" w:rsidRPr="00651044">
        <w:rPr>
          <w:sz w:val="28"/>
          <w:szCs w:val="28"/>
        </w:rPr>
        <w:t xml:space="preserve">,0%, ceea ce semnifică </w:t>
      </w:r>
      <w:r w:rsidRPr="00651044">
        <w:rPr>
          <w:sz w:val="28"/>
          <w:szCs w:val="28"/>
        </w:rPr>
        <w:t xml:space="preserve">faptul </w:t>
      </w:r>
      <w:r w:rsidR="00D27CCD" w:rsidRPr="00651044">
        <w:rPr>
          <w:sz w:val="28"/>
          <w:szCs w:val="28"/>
        </w:rPr>
        <w:t>că societăţile respective au</w:t>
      </w:r>
      <w:r w:rsidRPr="00651044">
        <w:rPr>
          <w:sz w:val="28"/>
          <w:szCs w:val="28"/>
        </w:rPr>
        <w:t xml:space="preserve"> obţinut în anul de gestiune 2</w:t>
      </w:r>
      <w:r w:rsidR="00D27CCD" w:rsidRPr="00651044">
        <w:rPr>
          <w:sz w:val="28"/>
          <w:szCs w:val="28"/>
        </w:rPr>
        <w:t>,0 bani pro</w:t>
      </w:r>
      <w:r w:rsidRPr="00651044">
        <w:rPr>
          <w:sz w:val="28"/>
          <w:szCs w:val="28"/>
        </w:rPr>
        <w:t>fit net la 1 leu venituri din v</w:t>
      </w:r>
      <w:r w:rsidR="006E6FE5">
        <w:rPr>
          <w:sz w:val="28"/>
          <w:szCs w:val="28"/>
        </w:rPr>
        <w:t>î</w:t>
      </w:r>
      <w:r w:rsidR="00D27CCD" w:rsidRPr="00651044">
        <w:rPr>
          <w:sz w:val="28"/>
          <w:szCs w:val="28"/>
        </w:rPr>
        <w:t>nzări.</w:t>
      </w:r>
    </w:p>
    <w:p w:rsidR="00D27CCD" w:rsidRPr="00651044" w:rsidRDefault="009128BB" w:rsidP="00D27CCD">
      <w:pPr>
        <w:pStyle w:val="NoSpacing"/>
        <w:spacing w:line="276" w:lineRule="auto"/>
        <w:ind w:firstLine="567"/>
        <w:jc w:val="both"/>
        <w:rPr>
          <w:sz w:val="28"/>
          <w:szCs w:val="28"/>
        </w:rPr>
      </w:pPr>
      <w:r w:rsidRPr="00651044">
        <w:rPr>
          <w:sz w:val="28"/>
          <w:szCs w:val="28"/>
        </w:rPr>
        <w:t>La finele anului 2015</w:t>
      </w:r>
      <w:r w:rsidR="00D27CCD" w:rsidRPr="00651044">
        <w:rPr>
          <w:sz w:val="28"/>
          <w:szCs w:val="28"/>
        </w:rPr>
        <w:t xml:space="preserve">, creanţele societăţilor pe acţiuni constituie </w:t>
      </w:r>
      <w:r w:rsidRPr="00651044">
        <w:rPr>
          <w:sz w:val="28"/>
          <w:szCs w:val="28"/>
        </w:rPr>
        <w:t>3 338,6</w:t>
      </w:r>
      <w:r w:rsidR="00D27CCD" w:rsidRPr="00651044">
        <w:rPr>
          <w:sz w:val="28"/>
          <w:szCs w:val="28"/>
        </w:rPr>
        <w:t xml:space="preserve"> mil. lei </w:t>
      </w:r>
      <w:r w:rsidRPr="00651044">
        <w:rPr>
          <w:sz w:val="28"/>
          <w:szCs w:val="28"/>
        </w:rPr>
        <w:t>acestea fiind</w:t>
      </w:r>
      <w:r w:rsidR="00D27CCD" w:rsidRPr="00651044">
        <w:rPr>
          <w:sz w:val="28"/>
          <w:szCs w:val="28"/>
        </w:rPr>
        <w:t xml:space="preserve"> cu </w:t>
      </w:r>
      <w:r w:rsidRPr="00651044">
        <w:rPr>
          <w:sz w:val="28"/>
          <w:szCs w:val="28"/>
        </w:rPr>
        <w:t>1 571,7 mil. lei mai mici</w:t>
      </w:r>
      <w:r w:rsidR="00D27CCD" w:rsidRPr="00651044">
        <w:rPr>
          <w:sz w:val="28"/>
          <w:szCs w:val="28"/>
        </w:rPr>
        <w:t xml:space="preserve"> faţă de </w:t>
      </w:r>
      <w:r w:rsidRPr="00651044">
        <w:rPr>
          <w:sz w:val="28"/>
          <w:szCs w:val="28"/>
        </w:rPr>
        <w:t>începutul anului 2015</w:t>
      </w:r>
      <w:r w:rsidR="00D27CCD" w:rsidRPr="00651044">
        <w:rPr>
          <w:sz w:val="28"/>
          <w:szCs w:val="28"/>
        </w:rPr>
        <w:t xml:space="preserve">. </w:t>
      </w:r>
      <w:r w:rsidR="00953A37" w:rsidRPr="00651044">
        <w:rPr>
          <w:sz w:val="28"/>
          <w:szCs w:val="28"/>
        </w:rPr>
        <w:t>Creanţele curente constituie 82,8% sau 2 764,8 mil. lei din total creanţe şi s-au diminuat în raport cu începutul anului 2015 cu 316,3 mil. lei. Diminuarea respectivă se explică prin reducerea considerabilă în special a creanţelor comerciale</w:t>
      </w:r>
      <w:r w:rsidR="00604BA8" w:rsidRPr="00651044">
        <w:rPr>
          <w:sz w:val="28"/>
          <w:szCs w:val="28"/>
        </w:rPr>
        <w:t>.</w:t>
      </w:r>
    </w:p>
    <w:p w:rsidR="00D27CCD" w:rsidRPr="00651044" w:rsidRDefault="00763829" w:rsidP="00D27CCD">
      <w:pPr>
        <w:pStyle w:val="NoSpacing"/>
        <w:spacing w:line="312" w:lineRule="auto"/>
        <w:jc w:val="center"/>
        <w:rPr>
          <w:color w:val="FF0000"/>
        </w:rPr>
      </w:pPr>
      <w:r>
        <w:rPr>
          <w:noProof/>
          <w:color w:val="FF0000"/>
          <w:lang w:val="ru-RU"/>
        </w:rPr>
        <w:lastRenderedPageBreak/>
        <w:drawing>
          <wp:inline distT="0" distB="0" distL="0" distR="0">
            <wp:extent cx="5224145" cy="1329055"/>
            <wp:effectExtent l="0" t="0" r="0" b="0"/>
            <wp:docPr id="20" name="Object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27CCD" w:rsidRPr="00651044" w:rsidRDefault="00D27CCD" w:rsidP="00D27CCD">
      <w:pPr>
        <w:pStyle w:val="NoSpacing"/>
        <w:jc w:val="center"/>
        <w:rPr>
          <w:b/>
          <w:i/>
          <w:sz w:val="20"/>
          <w:szCs w:val="20"/>
        </w:rPr>
      </w:pPr>
      <w:r w:rsidRPr="00651044">
        <w:rPr>
          <w:b/>
          <w:i/>
          <w:sz w:val="20"/>
          <w:szCs w:val="20"/>
        </w:rPr>
        <w:t>Figura 3.9. Evoluţia creanţelor societăţilor pe acţiuni</w:t>
      </w:r>
    </w:p>
    <w:p w:rsidR="00D27CCD" w:rsidRPr="00651044" w:rsidRDefault="00953A37" w:rsidP="00D27CCD">
      <w:pPr>
        <w:pStyle w:val="NoSpacing"/>
        <w:jc w:val="center"/>
        <w:rPr>
          <w:b/>
          <w:i/>
        </w:rPr>
      </w:pPr>
      <w:r w:rsidRPr="00651044">
        <w:rPr>
          <w:b/>
          <w:i/>
          <w:sz w:val="20"/>
          <w:szCs w:val="20"/>
        </w:rPr>
        <w:t>în perioada anului 2015</w:t>
      </w:r>
      <w:r w:rsidR="00D27CCD" w:rsidRPr="00651044">
        <w:rPr>
          <w:b/>
          <w:i/>
          <w:sz w:val="20"/>
          <w:szCs w:val="20"/>
        </w:rPr>
        <w:t>, mil. lei</w:t>
      </w:r>
    </w:p>
    <w:p w:rsidR="00D27CCD" w:rsidRPr="00651044" w:rsidRDefault="00D27CCD" w:rsidP="00D27CCD">
      <w:pPr>
        <w:spacing w:line="120" w:lineRule="auto"/>
        <w:ind w:firstLine="539"/>
        <w:jc w:val="both"/>
        <w:rPr>
          <w:color w:val="FF0000"/>
          <w:sz w:val="28"/>
          <w:szCs w:val="28"/>
        </w:rPr>
      </w:pPr>
    </w:p>
    <w:p w:rsidR="00336972" w:rsidRPr="00651044" w:rsidRDefault="00336972" w:rsidP="00D27CCD">
      <w:pPr>
        <w:spacing w:line="120" w:lineRule="auto"/>
        <w:ind w:firstLine="539"/>
        <w:jc w:val="both"/>
        <w:rPr>
          <w:color w:val="FF0000"/>
          <w:sz w:val="28"/>
          <w:szCs w:val="28"/>
        </w:rPr>
      </w:pPr>
    </w:p>
    <w:p w:rsidR="00953A37" w:rsidRPr="00651044" w:rsidRDefault="00953A37" w:rsidP="00953A37">
      <w:pPr>
        <w:pStyle w:val="NoSpacing"/>
        <w:spacing w:line="276" w:lineRule="auto"/>
        <w:ind w:firstLine="567"/>
        <w:jc w:val="both"/>
        <w:rPr>
          <w:sz w:val="28"/>
          <w:szCs w:val="28"/>
        </w:rPr>
      </w:pPr>
      <w:r w:rsidRPr="00651044">
        <w:rPr>
          <w:sz w:val="28"/>
          <w:szCs w:val="28"/>
        </w:rPr>
        <w:t>Creanţele pe termen lung constituie 17,2% din total creanţe sau 573,8 mil. lei, ceea ce reprezintă cu 1 255,5 mil. lei mai puţin faţă de valoarea înregistrată la începutul anului 2015.</w:t>
      </w:r>
    </w:p>
    <w:p w:rsidR="00D27CCD" w:rsidRPr="00651044" w:rsidRDefault="00D27CCD" w:rsidP="00D27CCD">
      <w:pPr>
        <w:pStyle w:val="NoSpacing"/>
        <w:spacing w:line="276" w:lineRule="auto"/>
        <w:ind w:firstLine="567"/>
        <w:jc w:val="both"/>
        <w:rPr>
          <w:sz w:val="28"/>
          <w:szCs w:val="28"/>
        </w:rPr>
      </w:pPr>
      <w:r w:rsidRPr="00651044">
        <w:rPr>
          <w:sz w:val="28"/>
          <w:szCs w:val="28"/>
        </w:rPr>
        <w:t>Concomitent, pe par</w:t>
      </w:r>
      <w:r w:rsidR="00B057CF" w:rsidRPr="00651044">
        <w:rPr>
          <w:sz w:val="28"/>
          <w:szCs w:val="28"/>
        </w:rPr>
        <w:t>cursul anului 2015</w:t>
      </w:r>
      <w:r w:rsidRPr="00651044">
        <w:rPr>
          <w:sz w:val="28"/>
          <w:szCs w:val="28"/>
        </w:rPr>
        <w:t xml:space="preserve">, datoriile societăţilor pe acţiuni s-au </w:t>
      </w:r>
      <w:r w:rsidR="00B057CF" w:rsidRPr="00651044">
        <w:rPr>
          <w:sz w:val="28"/>
          <w:szCs w:val="28"/>
        </w:rPr>
        <w:t>diminuat</w:t>
      </w:r>
      <w:r w:rsidRPr="00651044">
        <w:rPr>
          <w:sz w:val="28"/>
          <w:szCs w:val="28"/>
        </w:rPr>
        <w:t xml:space="preserve"> cu </w:t>
      </w:r>
      <w:r w:rsidR="00B057CF" w:rsidRPr="00651044">
        <w:rPr>
          <w:sz w:val="28"/>
          <w:szCs w:val="28"/>
        </w:rPr>
        <w:t>791,2</w:t>
      </w:r>
      <w:r w:rsidRPr="00651044">
        <w:rPr>
          <w:sz w:val="28"/>
          <w:szCs w:val="28"/>
        </w:rPr>
        <w:t xml:space="preserve"> mil. lei şi constituie </w:t>
      </w:r>
      <w:r w:rsidR="00B057CF" w:rsidRPr="00651044">
        <w:rPr>
          <w:sz w:val="28"/>
          <w:szCs w:val="28"/>
        </w:rPr>
        <w:t>7 221,1</w:t>
      </w:r>
      <w:r w:rsidR="00DC4C81" w:rsidRPr="00651044">
        <w:rPr>
          <w:sz w:val="28"/>
          <w:szCs w:val="28"/>
        </w:rPr>
        <w:t xml:space="preserve"> mil. lei</w:t>
      </w:r>
      <w:r w:rsidRPr="00651044">
        <w:rPr>
          <w:sz w:val="28"/>
          <w:szCs w:val="28"/>
        </w:rPr>
        <w:t xml:space="preserve">. </w:t>
      </w:r>
    </w:p>
    <w:p w:rsidR="00D27CCD" w:rsidRPr="00651044" w:rsidRDefault="00D27CCD" w:rsidP="00D27CCD">
      <w:pPr>
        <w:pStyle w:val="NoSpacing"/>
        <w:spacing w:line="276" w:lineRule="auto"/>
        <w:ind w:firstLine="567"/>
        <w:jc w:val="both"/>
        <w:rPr>
          <w:sz w:val="28"/>
          <w:szCs w:val="28"/>
        </w:rPr>
      </w:pPr>
      <w:r w:rsidRPr="00651044">
        <w:rPr>
          <w:sz w:val="28"/>
          <w:szCs w:val="28"/>
        </w:rPr>
        <w:t>Ponderea datoriilor pe termen lung în total datorii ale societăţilor pe ac</w:t>
      </w:r>
      <w:r w:rsidR="00253020" w:rsidRPr="00651044">
        <w:rPr>
          <w:sz w:val="28"/>
          <w:szCs w:val="28"/>
        </w:rPr>
        <w:t>ţ</w:t>
      </w:r>
      <w:r w:rsidR="00B057CF" w:rsidRPr="00651044">
        <w:rPr>
          <w:sz w:val="28"/>
          <w:szCs w:val="28"/>
        </w:rPr>
        <w:t>iuni este de 40,1</w:t>
      </w:r>
      <w:r w:rsidRPr="00651044">
        <w:rPr>
          <w:sz w:val="28"/>
          <w:szCs w:val="28"/>
        </w:rPr>
        <w:t xml:space="preserve">% (sau </w:t>
      </w:r>
      <w:r w:rsidR="00B057CF" w:rsidRPr="00651044">
        <w:rPr>
          <w:sz w:val="28"/>
          <w:szCs w:val="28"/>
        </w:rPr>
        <w:t>2 897,6</w:t>
      </w:r>
      <w:r w:rsidRPr="00651044">
        <w:rPr>
          <w:sz w:val="28"/>
          <w:szCs w:val="28"/>
        </w:rPr>
        <w:t xml:space="preserve"> mil. lei). Datoriile pe termen lung s-au majorat în perioada de gestiune cu </w:t>
      </w:r>
      <w:r w:rsidR="00B057CF" w:rsidRPr="00651044">
        <w:rPr>
          <w:sz w:val="28"/>
          <w:szCs w:val="28"/>
        </w:rPr>
        <w:t>544,8</w:t>
      </w:r>
      <w:r w:rsidRPr="00651044">
        <w:rPr>
          <w:sz w:val="28"/>
          <w:szCs w:val="28"/>
        </w:rPr>
        <w:t xml:space="preserve"> mil. lei, ca rezultat al creşterii considerabile a </w:t>
      </w:r>
      <w:r w:rsidR="00B057CF" w:rsidRPr="00651044">
        <w:rPr>
          <w:sz w:val="28"/>
          <w:szCs w:val="28"/>
        </w:rPr>
        <w:t xml:space="preserve">altor datorii pe termen lung – cu 478,5 mil. lei </w:t>
      </w:r>
      <w:r w:rsidRPr="00651044">
        <w:rPr>
          <w:sz w:val="28"/>
          <w:szCs w:val="28"/>
        </w:rPr>
        <w:t xml:space="preserve">şi a creditelor bancare pe termen lung – cu </w:t>
      </w:r>
      <w:r w:rsidR="00B057CF" w:rsidRPr="00651044">
        <w:rPr>
          <w:sz w:val="28"/>
          <w:szCs w:val="28"/>
        </w:rPr>
        <w:t>63,6 mil. lei.</w:t>
      </w:r>
    </w:p>
    <w:p w:rsidR="00D27CCD" w:rsidRPr="00651044" w:rsidRDefault="00763829" w:rsidP="00D27CCD">
      <w:pPr>
        <w:pStyle w:val="NoSpacing"/>
        <w:spacing w:line="312" w:lineRule="auto"/>
        <w:jc w:val="center"/>
        <w:rPr>
          <w:color w:val="FF0000"/>
        </w:rPr>
      </w:pPr>
      <w:r>
        <w:rPr>
          <w:noProof/>
          <w:color w:val="FF0000"/>
          <w:lang w:val="ru-RU"/>
        </w:rPr>
        <w:drawing>
          <wp:inline distT="0" distB="0" distL="0" distR="0">
            <wp:extent cx="5215255" cy="1515745"/>
            <wp:effectExtent l="0" t="0" r="0" b="0"/>
            <wp:docPr id="21" name="Object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27CCD" w:rsidRPr="00651044" w:rsidRDefault="00D27CCD" w:rsidP="00D27CCD">
      <w:pPr>
        <w:pStyle w:val="NoSpacing"/>
        <w:jc w:val="center"/>
        <w:rPr>
          <w:b/>
          <w:i/>
          <w:sz w:val="20"/>
          <w:szCs w:val="20"/>
        </w:rPr>
      </w:pPr>
      <w:r w:rsidRPr="00651044">
        <w:rPr>
          <w:b/>
          <w:i/>
          <w:sz w:val="20"/>
          <w:szCs w:val="20"/>
        </w:rPr>
        <w:t>Figura 3.10. Evoluţia datoriilor societăţilor pe acţiuni</w:t>
      </w:r>
    </w:p>
    <w:p w:rsidR="00D27CCD" w:rsidRPr="00651044" w:rsidRDefault="00B057CF" w:rsidP="00D27CCD">
      <w:pPr>
        <w:pStyle w:val="NoSpacing"/>
        <w:jc w:val="center"/>
        <w:rPr>
          <w:b/>
          <w:i/>
          <w:sz w:val="20"/>
          <w:szCs w:val="20"/>
        </w:rPr>
      </w:pPr>
      <w:r w:rsidRPr="00651044">
        <w:rPr>
          <w:b/>
          <w:i/>
          <w:sz w:val="20"/>
          <w:szCs w:val="20"/>
        </w:rPr>
        <w:t>pe parcursul anului 2015, mil. lei</w:t>
      </w:r>
    </w:p>
    <w:p w:rsidR="00336972" w:rsidRPr="00651044" w:rsidRDefault="00336972" w:rsidP="00D27CCD">
      <w:pPr>
        <w:pStyle w:val="NoSpacing"/>
        <w:jc w:val="center"/>
        <w:rPr>
          <w:b/>
          <w:i/>
          <w:sz w:val="20"/>
          <w:szCs w:val="20"/>
        </w:rPr>
      </w:pPr>
    </w:p>
    <w:p w:rsidR="00695318" w:rsidRPr="00651044" w:rsidRDefault="00D27CCD" w:rsidP="00695318">
      <w:pPr>
        <w:pStyle w:val="NoSpacing"/>
        <w:spacing w:line="276" w:lineRule="auto"/>
        <w:ind w:firstLine="567"/>
        <w:jc w:val="both"/>
        <w:rPr>
          <w:sz w:val="28"/>
          <w:szCs w:val="28"/>
        </w:rPr>
      </w:pPr>
      <w:r w:rsidRPr="00651044">
        <w:rPr>
          <w:sz w:val="28"/>
          <w:szCs w:val="28"/>
        </w:rPr>
        <w:t xml:space="preserve">Datoriile curente </w:t>
      </w:r>
      <w:r w:rsidR="006A4980" w:rsidRPr="00651044">
        <w:rPr>
          <w:sz w:val="28"/>
          <w:szCs w:val="28"/>
        </w:rPr>
        <w:t xml:space="preserve">ale societăţilor pe acţiuni </w:t>
      </w:r>
      <w:r w:rsidRPr="00651044">
        <w:rPr>
          <w:sz w:val="28"/>
          <w:szCs w:val="28"/>
        </w:rPr>
        <w:t xml:space="preserve">s-au </w:t>
      </w:r>
      <w:r w:rsidR="006A4980" w:rsidRPr="00651044">
        <w:rPr>
          <w:sz w:val="28"/>
          <w:szCs w:val="28"/>
        </w:rPr>
        <w:t>diminuat, per ansamblu,</w:t>
      </w:r>
      <w:r w:rsidRPr="00651044">
        <w:rPr>
          <w:sz w:val="28"/>
          <w:szCs w:val="28"/>
        </w:rPr>
        <w:t xml:space="preserve"> cu </w:t>
      </w:r>
      <w:r w:rsidR="00695318" w:rsidRPr="00651044">
        <w:rPr>
          <w:sz w:val="28"/>
          <w:szCs w:val="28"/>
        </w:rPr>
        <w:t>1 336,0</w:t>
      </w:r>
      <w:r w:rsidRPr="00651044">
        <w:rPr>
          <w:sz w:val="28"/>
          <w:szCs w:val="28"/>
        </w:rPr>
        <w:t xml:space="preserve"> mil. lei faţă de </w:t>
      </w:r>
      <w:r w:rsidR="006A4980" w:rsidRPr="00651044">
        <w:rPr>
          <w:sz w:val="28"/>
          <w:szCs w:val="28"/>
        </w:rPr>
        <w:t>începutul anului 2015</w:t>
      </w:r>
      <w:r w:rsidRPr="00651044">
        <w:rPr>
          <w:sz w:val="28"/>
          <w:szCs w:val="28"/>
        </w:rPr>
        <w:t xml:space="preserve"> şi </w:t>
      </w:r>
      <w:r w:rsidR="006A4980" w:rsidRPr="00651044">
        <w:rPr>
          <w:sz w:val="28"/>
          <w:szCs w:val="28"/>
        </w:rPr>
        <w:t xml:space="preserve">la data raportării constituie </w:t>
      </w:r>
      <w:r w:rsidR="008465A8" w:rsidRPr="00651044">
        <w:rPr>
          <w:sz w:val="28"/>
          <w:szCs w:val="28"/>
        </w:rPr>
        <w:t xml:space="preserve">          </w:t>
      </w:r>
      <w:r w:rsidR="006A4980" w:rsidRPr="00651044">
        <w:rPr>
          <w:sz w:val="28"/>
          <w:szCs w:val="28"/>
        </w:rPr>
        <w:t xml:space="preserve">4 323,5 </w:t>
      </w:r>
      <w:r w:rsidRPr="00651044">
        <w:rPr>
          <w:sz w:val="28"/>
          <w:szCs w:val="28"/>
        </w:rPr>
        <w:t xml:space="preserve">mil. lei sau </w:t>
      </w:r>
      <w:r w:rsidR="006A4980" w:rsidRPr="00651044">
        <w:rPr>
          <w:sz w:val="28"/>
          <w:szCs w:val="28"/>
        </w:rPr>
        <w:t>59,9</w:t>
      </w:r>
      <w:r w:rsidRPr="00651044">
        <w:rPr>
          <w:sz w:val="28"/>
          <w:szCs w:val="28"/>
        </w:rPr>
        <w:t>% din totalul datoriilor societăţilor pe acţiuni.</w:t>
      </w:r>
      <w:r w:rsidR="006A4980" w:rsidRPr="00651044">
        <w:rPr>
          <w:sz w:val="28"/>
          <w:szCs w:val="28"/>
        </w:rPr>
        <w:t xml:space="preserve"> </w:t>
      </w:r>
      <w:r w:rsidRPr="00651044">
        <w:rPr>
          <w:sz w:val="28"/>
          <w:szCs w:val="28"/>
        </w:rPr>
        <w:t xml:space="preserve">Această </w:t>
      </w:r>
      <w:r w:rsidR="006A4980" w:rsidRPr="00651044">
        <w:rPr>
          <w:sz w:val="28"/>
          <w:szCs w:val="28"/>
        </w:rPr>
        <w:t>diminuare</w:t>
      </w:r>
      <w:r w:rsidRPr="00651044">
        <w:rPr>
          <w:sz w:val="28"/>
          <w:szCs w:val="28"/>
        </w:rPr>
        <w:t xml:space="preserve"> a f</w:t>
      </w:r>
      <w:r w:rsidR="006A4980" w:rsidRPr="00651044">
        <w:rPr>
          <w:sz w:val="28"/>
          <w:szCs w:val="28"/>
        </w:rPr>
        <w:t>ost condiţionată în special de reducerea</w:t>
      </w:r>
      <w:r w:rsidRPr="00651044">
        <w:rPr>
          <w:sz w:val="28"/>
          <w:szCs w:val="28"/>
        </w:rPr>
        <w:t xml:space="preserve"> datoriilor comerciale cu </w:t>
      </w:r>
      <w:r w:rsidR="008465A8" w:rsidRPr="00651044">
        <w:rPr>
          <w:sz w:val="28"/>
          <w:szCs w:val="28"/>
        </w:rPr>
        <w:t xml:space="preserve">     </w:t>
      </w:r>
      <w:r w:rsidR="006A4980" w:rsidRPr="00651044">
        <w:rPr>
          <w:sz w:val="28"/>
          <w:szCs w:val="28"/>
        </w:rPr>
        <w:t>1 399,7</w:t>
      </w:r>
      <w:r w:rsidRPr="00651044">
        <w:rPr>
          <w:sz w:val="28"/>
          <w:szCs w:val="28"/>
        </w:rPr>
        <w:t xml:space="preserve"> mil. lei,</w:t>
      </w:r>
      <w:r w:rsidR="006A4980" w:rsidRPr="00651044">
        <w:rPr>
          <w:sz w:val="28"/>
          <w:szCs w:val="28"/>
        </w:rPr>
        <w:t xml:space="preserve"> a împrumuturilor pe termen scurt </w:t>
      </w:r>
      <w:r w:rsidR="00695318" w:rsidRPr="00651044">
        <w:rPr>
          <w:sz w:val="28"/>
          <w:szCs w:val="28"/>
        </w:rPr>
        <w:t xml:space="preserve">– </w:t>
      </w:r>
      <w:r w:rsidR="006A4980" w:rsidRPr="00651044">
        <w:rPr>
          <w:sz w:val="28"/>
          <w:szCs w:val="28"/>
        </w:rPr>
        <w:t>cu 30,7 mil. lei,</w:t>
      </w:r>
      <w:r w:rsidRPr="00651044">
        <w:rPr>
          <w:sz w:val="28"/>
          <w:szCs w:val="28"/>
        </w:rPr>
        <w:t xml:space="preserve"> precum şi a </w:t>
      </w:r>
      <w:r w:rsidR="006A4980" w:rsidRPr="00651044">
        <w:rPr>
          <w:sz w:val="28"/>
          <w:szCs w:val="28"/>
        </w:rPr>
        <w:t>datoriilor faţă de buget</w:t>
      </w:r>
      <w:r w:rsidR="00695318" w:rsidRPr="00651044">
        <w:rPr>
          <w:sz w:val="28"/>
          <w:szCs w:val="28"/>
        </w:rPr>
        <w:t xml:space="preserve"> – </w:t>
      </w:r>
    </w:p>
    <w:p w:rsidR="00D27CCD" w:rsidRPr="00651044" w:rsidRDefault="00D27CCD" w:rsidP="00695318">
      <w:pPr>
        <w:pStyle w:val="NoSpacing"/>
        <w:spacing w:line="276" w:lineRule="auto"/>
        <w:jc w:val="both"/>
        <w:rPr>
          <w:sz w:val="28"/>
          <w:szCs w:val="28"/>
        </w:rPr>
      </w:pPr>
      <w:r w:rsidRPr="00651044">
        <w:rPr>
          <w:sz w:val="28"/>
          <w:szCs w:val="28"/>
        </w:rPr>
        <w:t xml:space="preserve">cu </w:t>
      </w:r>
      <w:r w:rsidR="006A4980" w:rsidRPr="00651044">
        <w:rPr>
          <w:sz w:val="28"/>
          <w:szCs w:val="28"/>
        </w:rPr>
        <w:t>19,3</w:t>
      </w:r>
      <w:r w:rsidRPr="00651044">
        <w:rPr>
          <w:sz w:val="28"/>
          <w:szCs w:val="28"/>
        </w:rPr>
        <w:t xml:space="preserve"> mil. lei.</w:t>
      </w:r>
      <w:r w:rsidRPr="00651044">
        <w:rPr>
          <w:color w:val="FF0000"/>
          <w:sz w:val="28"/>
          <w:szCs w:val="28"/>
        </w:rPr>
        <w:t xml:space="preserve"> </w:t>
      </w:r>
      <w:r w:rsidR="006A4980" w:rsidRPr="00651044">
        <w:rPr>
          <w:sz w:val="28"/>
          <w:szCs w:val="28"/>
        </w:rPr>
        <w:t>Totodată, în componenţa datoriilor curente au fost înregistrate şi majorări valorice, cele mai semnificative fiind caracteristice creditelor bancare pe termen scurt – cu 66,5 mil. lei, avansurilor primite curente – cu 25,2 mil. lei şi altor datorii curente – cu 13,3 mil. lei.</w:t>
      </w:r>
    </w:p>
    <w:p w:rsidR="00D27CCD" w:rsidRPr="00651044" w:rsidRDefault="006A4980" w:rsidP="00D27CCD">
      <w:pPr>
        <w:pStyle w:val="NoSpacing"/>
        <w:spacing w:line="276" w:lineRule="auto"/>
        <w:ind w:firstLine="567"/>
        <w:jc w:val="both"/>
        <w:rPr>
          <w:sz w:val="28"/>
          <w:szCs w:val="28"/>
        </w:rPr>
      </w:pPr>
      <w:r w:rsidRPr="00651044">
        <w:rPr>
          <w:sz w:val="28"/>
          <w:szCs w:val="28"/>
        </w:rPr>
        <w:t>Suplimentar, se enunţă că</w:t>
      </w:r>
      <w:r w:rsidR="00D27CCD" w:rsidRPr="00651044">
        <w:rPr>
          <w:sz w:val="28"/>
          <w:szCs w:val="28"/>
        </w:rPr>
        <w:t xml:space="preserve"> cele mai mari majorări ale datoriilor, comparativ cu </w:t>
      </w:r>
      <w:r w:rsidRPr="00651044">
        <w:rPr>
          <w:sz w:val="28"/>
          <w:szCs w:val="28"/>
        </w:rPr>
        <w:t>începutul anului 2015</w:t>
      </w:r>
      <w:r w:rsidR="00D27CCD" w:rsidRPr="00651044">
        <w:rPr>
          <w:sz w:val="28"/>
          <w:szCs w:val="28"/>
        </w:rPr>
        <w:t xml:space="preserve">, se evidenţiază la societăţile pe acţiuni din </w:t>
      </w:r>
      <w:r w:rsidRPr="00651044">
        <w:rPr>
          <w:sz w:val="28"/>
          <w:szCs w:val="28"/>
        </w:rPr>
        <w:t>administrarea</w:t>
      </w:r>
      <w:r w:rsidR="00D27CCD" w:rsidRPr="00651044">
        <w:rPr>
          <w:sz w:val="28"/>
          <w:szCs w:val="28"/>
        </w:rPr>
        <w:t xml:space="preserve"> Agen</w:t>
      </w:r>
      <w:r w:rsidR="00253020" w:rsidRPr="00651044">
        <w:rPr>
          <w:sz w:val="28"/>
          <w:szCs w:val="28"/>
        </w:rPr>
        <w:t>ţ</w:t>
      </w:r>
      <w:r w:rsidR="00D27CCD" w:rsidRPr="00651044">
        <w:rPr>
          <w:sz w:val="28"/>
          <w:szCs w:val="28"/>
        </w:rPr>
        <w:t>iei Proprietă</w:t>
      </w:r>
      <w:r w:rsidR="00253020" w:rsidRPr="00651044">
        <w:rPr>
          <w:sz w:val="28"/>
          <w:szCs w:val="28"/>
        </w:rPr>
        <w:t>ţ</w:t>
      </w:r>
      <w:r w:rsidR="00D27CCD" w:rsidRPr="00651044">
        <w:rPr>
          <w:sz w:val="28"/>
          <w:szCs w:val="28"/>
        </w:rPr>
        <w:t xml:space="preserve">ii Publice (în special S.A. „Moldtelecom”) (cu </w:t>
      </w:r>
      <w:r w:rsidRPr="00651044">
        <w:rPr>
          <w:sz w:val="28"/>
          <w:szCs w:val="28"/>
        </w:rPr>
        <w:t>179,3</w:t>
      </w:r>
      <w:r w:rsidR="00D27CCD" w:rsidRPr="00651044">
        <w:rPr>
          <w:sz w:val="28"/>
          <w:szCs w:val="28"/>
        </w:rPr>
        <w:t xml:space="preserve"> mil. lei), </w:t>
      </w:r>
      <w:r w:rsidR="00D27CCD" w:rsidRPr="00651044">
        <w:rPr>
          <w:sz w:val="28"/>
          <w:szCs w:val="28"/>
        </w:rPr>
        <w:lastRenderedPageBreak/>
        <w:t xml:space="preserve">Ministerului Transporturilor şi Infrastructurii Drumurilor (cu </w:t>
      </w:r>
      <w:r w:rsidRPr="00651044">
        <w:rPr>
          <w:sz w:val="28"/>
          <w:szCs w:val="28"/>
        </w:rPr>
        <w:t>19,3</w:t>
      </w:r>
      <w:r w:rsidR="00D27CCD" w:rsidRPr="00651044">
        <w:rPr>
          <w:sz w:val="28"/>
          <w:szCs w:val="28"/>
        </w:rPr>
        <w:t xml:space="preserve"> mil lei)</w:t>
      </w:r>
      <w:r w:rsidRPr="00651044">
        <w:rPr>
          <w:sz w:val="28"/>
          <w:szCs w:val="28"/>
        </w:rPr>
        <w:t xml:space="preserve"> şi Ministerului Agriculturii şi Industriei Alimentare (cu 7,4 mil. lei)</w:t>
      </w:r>
      <w:r w:rsidR="00D27CCD" w:rsidRPr="00651044">
        <w:rPr>
          <w:sz w:val="28"/>
          <w:szCs w:val="28"/>
        </w:rPr>
        <w:t>.</w:t>
      </w:r>
    </w:p>
    <w:p w:rsidR="00D27CCD" w:rsidRPr="00651044" w:rsidRDefault="00D27CCD" w:rsidP="00D27CCD">
      <w:pPr>
        <w:spacing w:line="360" w:lineRule="auto"/>
        <w:ind w:firstLine="539"/>
        <w:jc w:val="right"/>
        <w:rPr>
          <w:sz w:val="20"/>
          <w:szCs w:val="20"/>
        </w:rPr>
      </w:pPr>
      <w:r w:rsidRPr="00651044">
        <w:rPr>
          <w:sz w:val="20"/>
          <w:szCs w:val="20"/>
        </w:rPr>
        <w:t>Tabelul 3.5</w:t>
      </w:r>
    </w:p>
    <w:p w:rsidR="00D27CCD" w:rsidRPr="00651044" w:rsidRDefault="00D27CCD" w:rsidP="00D27CCD">
      <w:pPr>
        <w:ind w:firstLine="539"/>
        <w:jc w:val="center"/>
        <w:rPr>
          <w:b/>
          <w:i/>
        </w:rPr>
      </w:pPr>
      <w:r w:rsidRPr="00651044">
        <w:rPr>
          <w:b/>
          <w:i/>
        </w:rPr>
        <w:t>Majorări şi diminuări ale dator</w:t>
      </w:r>
      <w:r w:rsidR="006A4980" w:rsidRPr="00651044">
        <w:rPr>
          <w:b/>
          <w:i/>
        </w:rPr>
        <w:t>iilor la situaţia din 31.12.2015</w:t>
      </w:r>
      <w:r w:rsidRPr="00651044">
        <w:rPr>
          <w:b/>
          <w:i/>
        </w:rPr>
        <w:t xml:space="preserve">, </w:t>
      </w:r>
    </w:p>
    <w:p w:rsidR="00D27CCD" w:rsidRPr="00651044" w:rsidRDefault="00D27CCD" w:rsidP="00D27CCD">
      <w:pPr>
        <w:ind w:firstLine="539"/>
        <w:jc w:val="center"/>
        <w:rPr>
          <w:b/>
          <w:i/>
        </w:rPr>
      </w:pPr>
      <w:r w:rsidRPr="00651044">
        <w:rPr>
          <w:b/>
          <w:i/>
        </w:rPr>
        <w:t xml:space="preserve">clasificate pe autorităţi ale administraţiei publice centrale </w:t>
      </w: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
        <w:gridCol w:w="2568"/>
        <w:gridCol w:w="1724"/>
        <w:gridCol w:w="544"/>
        <w:gridCol w:w="2126"/>
        <w:gridCol w:w="1895"/>
      </w:tblGrid>
      <w:tr w:rsidR="00D27CCD" w:rsidRPr="00651044" w:rsidTr="00A81C7D">
        <w:trPr>
          <w:jc w:val="center"/>
        </w:trPr>
        <w:tc>
          <w:tcPr>
            <w:tcW w:w="517" w:type="dxa"/>
            <w:vMerge w:val="restart"/>
          </w:tcPr>
          <w:p w:rsidR="00D27CCD" w:rsidRPr="00651044" w:rsidRDefault="00D27CCD" w:rsidP="00A81C7D">
            <w:pPr>
              <w:spacing w:line="276" w:lineRule="auto"/>
              <w:jc w:val="center"/>
              <w:rPr>
                <w:b/>
                <w:i/>
                <w:iCs/>
                <w:sz w:val="20"/>
                <w:szCs w:val="20"/>
              </w:rPr>
            </w:pPr>
          </w:p>
          <w:p w:rsidR="00D27CCD" w:rsidRPr="00651044" w:rsidRDefault="00D27CCD" w:rsidP="00A81C7D">
            <w:pPr>
              <w:spacing w:line="276" w:lineRule="auto"/>
              <w:jc w:val="center"/>
              <w:rPr>
                <w:b/>
                <w:i/>
                <w:iCs/>
                <w:sz w:val="20"/>
                <w:szCs w:val="20"/>
              </w:rPr>
            </w:pPr>
            <w:r w:rsidRPr="00651044">
              <w:rPr>
                <w:b/>
                <w:i/>
                <w:iCs/>
                <w:sz w:val="20"/>
                <w:szCs w:val="20"/>
              </w:rPr>
              <w:t>Nr.</w:t>
            </w:r>
          </w:p>
          <w:p w:rsidR="00D27CCD" w:rsidRPr="00651044" w:rsidRDefault="00D27CCD" w:rsidP="00A81C7D">
            <w:pPr>
              <w:spacing w:line="276" w:lineRule="auto"/>
              <w:jc w:val="center"/>
              <w:rPr>
                <w:b/>
                <w:i/>
                <w:iCs/>
                <w:sz w:val="20"/>
                <w:szCs w:val="20"/>
              </w:rPr>
            </w:pPr>
          </w:p>
        </w:tc>
        <w:tc>
          <w:tcPr>
            <w:tcW w:w="4292" w:type="dxa"/>
            <w:gridSpan w:val="2"/>
          </w:tcPr>
          <w:p w:rsidR="00D27CCD" w:rsidRPr="00651044" w:rsidRDefault="00D27CCD" w:rsidP="00A81C7D">
            <w:pPr>
              <w:jc w:val="center"/>
              <w:rPr>
                <w:b/>
                <w:i/>
                <w:iCs/>
                <w:sz w:val="20"/>
                <w:szCs w:val="20"/>
              </w:rPr>
            </w:pPr>
            <w:r w:rsidRPr="00651044">
              <w:rPr>
                <w:b/>
                <w:i/>
                <w:iCs/>
                <w:sz w:val="20"/>
                <w:szCs w:val="20"/>
              </w:rPr>
              <w:t xml:space="preserve">Majorări ale datoriilor </w:t>
            </w:r>
          </w:p>
          <w:p w:rsidR="00D27CCD" w:rsidRPr="00651044" w:rsidRDefault="006A4980" w:rsidP="00A81C7D">
            <w:pPr>
              <w:jc w:val="center"/>
              <w:rPr>
                <w:b/>
                <w:i/>
                <w:iCs/>
                <w:sz w:val="20"/>
                <w:szCs w:val="20"/>
              </w:rPr>
            </w:pPr>
            <w:r w:rsidRPr="00651044">
              <w:rPr>
                <w:b/>
                <w:i/>
                <w:iCs/>
                <w:sz w:val="20"/>
                <w:szCs w:val="20"/>
              </w:rPr>
              <w:t>comparativ cu 01.01.2015</w:t>
            </w:r>
          </w:p>
        </w:tc>
        <w:tc>
          <w:tcPr>
            <w:tcW w:w="544" w:type="dxa"/>
            <w:vMerge w:val="restart"/>
          </w:tcPr>
          <w:p w:rsidR="00D27CCD" w:rsidRPr="00651044" w:rsidRDefault="00D27CCD" w:rsidP="00A81C7D">
            <w:pPr>
              <w:jc w:val="center"/>
              <w:rPr>
                <w:b/>
                <w:i/>
                <w:iCs/>
                <w:sz w:val="20"/>
                <w:szCs w:val="20"/>
              </w:rPr>
            </w:pPr>
          </w:p>
          <w:p w:rsidR="00D27CCD" w:rsidRPr="00651044" w:rsidRDefault="00D27CCD" w:rsidP="00A81C7D">
            <w:pPr>
              <w:jc w:val="center"/>
              <w:rPr>
                <w:b/>
                <w:i/>
                <w:iCs/>
                <w:sz w:val="20"/>
                <w:szCs w:val="20"/>
              </w:rPr>
            </w:pPr>
            <w:r w:rsidRPr="00651044">
              <w:rPr>
                <w:b/>
                <w:i/>
                <w:iCs/>
                <w:sz w:val="20"/>
                <w:szCs w:val="20"/>
              </w:rPr>
              <w:t>Nr.</w:t>
            </w:r>
          </w:p>
          <w:p w:rsidR="00D27CCD" w:rsidRPr="00651044" w:rsidRDefault="00D27CCD" w:rsidP="00A81C7D">
            <w:pPr>
              <w:jc w:val="center"/>
              <w:rPr>
                <w:b/>
                <w:i/>
                <w:iCs/>
                <w:sz w:val="20"/>
                <w:szCs w:val="20"/>
              </w:rPr>
            </w:pPr>
          </w:p>
        </w:tc>
        <w:tc>
          <w:tcPr>
            <w:tcW w:w="4021" w:type="dxa"/>
            <w:gridSpan w:val="2"/>
          </w:tcPr>
          <w:p w:rsidR="00D27CCD" w:rsidRPr="00651044" w:rsidRDefault="00D27CCD" w:rsidP="00A81C7D">
            <w:pPr>
              <w:jc w:val="center"/>
              <w:rPr>
                <w:b/>
                <w:i/>
                <w:iCs/>
                <w:sz w:val="20"/>
                <w:szCs w:val="20"/>
              </w:rPr>
            </w:pPr>
            <w:r w:rsidRPr="00651044">
              <w:rPr>
                <w:b/>
                <w:i/>
                <w:iCs/>
                <w:sz w:val="20"/>
                <w:szCs w:val="20"/>
              </w:rPr>
              <w:t xml:space="preserve">Diminuări ale datoriilor </w:t>
            </w:r>
          </w:p>
          <w:p w:rsidR="00D27CCD" w:rsidRPr="00651044" w:rsidRDefault="00D27CCD" w:rsidP="00A81C7D">
            <w:pPr>
              <w:jc w:val="center"/>
              <w:rPr>
                <w:b/>
                <w:i/>
                <w:iCs/>
                <w:sz w:val="20"/>
                <w:szCs w:val="20"/>
              </w:rPr>
            </w:pPr>
            <w:r w:rsidRPr="00651044">
              <w:rPr>
                <w:b/>
                <w:i/>
                <w:iCs/>
                <w:sz w:val="20"/>
                <w:szCs w:val="20"/>
              </w:rPr>
              <w:t xml:space="preserve">comparativ cu </w:t>
            </w:r>
            <w:r w:rsidR="006A4980" w:rsidRPr="00651044">
              <w:rPr>
                <w:b/>
                <w:i/>
                <w:iCs/>
                <w:sz w:val="20"/>
                <w:szCs w:val="20"/>
              </w:rPr>
              <w:t>01.01.2015</w:t>
            </w:r>
          </w:p>
        </w:tc>
      </w:tr>
      <w:tr w:rsidR="00D27CCD" w:rsidRPr="00651044" w:rsidTr="00A81C7D">
        <w:trPr>
          <w:jc w:val="center"/>
        </w:trPr>
        <w:tc>
          <w:tcPr>
            <w:tcW w:w="517" w:type="dxa"/>
            <w:vMerge/>
          </w:tcPr>
          <w:p w:rsidR="00D27CCD" w:rsidRPr="00651044" w:rsidRDefault="00D27CCD" w:rsidP="00A81C7D">
            <w:pPr>
              <w:spacing w:line="276" w:lineRule="auto"/>
              <w:jc w:val="center"/>
              <w:rPr>
                <w:sz w:val="20"/>
                <w:szCs w:val="20"/>
              </w:rPr>
            </w:pPr>
          </w:p>
        </w:tc>
        <w:tc>
          <w:tcPr>
            <w:tcW w:w="2568" w:type="dxa"/>
          </w:tcPr>
          <w:p w:rsidR="00D27CCD" w:rsidRPr="00651044" w:rsidRDefault="00D27CCD" w:rsidP="00A81C7D">
            <w:pPr>
              <w:jc w:val="center"/>
              <w:rPr>
                <w:b/>
                <w:sz w:val="20"/>
                <w:szCs w:val="20"/>
              </w:rPr>
            </w:pPr>
            <w:r w:rsidRPr="00651044">
              <w:rPr>
                <w:b/>
                <w:sz w:val="20"/>
                <w:szCs w:val="20"/>
              </w:rPr>
              <w:t>Acţionar majoritar</w:t>
            </w:r>
          </w:p>
        </w:tc>
        <w:tc>
          <w:tcPr>
            <w:tcW w:w="1724" w:type="dxa"/>
          </w:tcPr>
          <w:p w:rsidR="00D27CCD" w:rsidRPr="00651044" w:rsidRDefault="00D27CCD" w:rsidP="00A81C7D">
            <w:pPr>
              <w:jc w:val="center"/>
              <w:rPr>
                <w:b/>
                <w:sz w:val="20"/>
                <w:szCs w:val="20"/>
              </w:rPr>
            </w:pPr>
            <w:r w:rsidRPr="00651044">
              <w:rPr>
                <w:b/>
                <w:sz w:val="20"/>
                <w:szCs w:val="20"/>
              </w:rPr>
              <w:t>Valoarea majorării, mil. lei</w:t>
            </w:r>
          </w:p>
        </w:tc>
        <w:tc>
          <w:tcPr>
            <w:tcW w:w="544" w:type="dxa"/>
            <w:vMerge/>
          </w:tcPr>
          <w:p w:rsidR="00D27CCD" w:rsidRPr="00651044" w:rsidRDefault="00D27CCD" w:rsidP="00A81C7D">
            <w:pPr>
              <w:jc w:val="center"/>
              <w:rPr>
                <w:b/>
                <w:sz w:val="20"/>
                <w:szCs w:val="20"/>
              </w:rPr>
            </w:pPr>
          </w:p>
        </w:tc>
        <w:tc>
          <w:tcPr>
            <w:tcW w:w="2126" w:type="dxa"/>
          </w:tcPr>
          <w:p w:rsidR="00D27CCD" w:rsidRPr="00651044" w:rsidRDefault="00D27CCD" w:rsidP="00A81C7D">
            <w:pPr>
              <w:jc w:val="center"/>
              <w:rPr>
                <w:b/>
                <w:sz w:val="20"/>
                <w:szCs w:val="20"/>
              </w:rPr>
            </w:pPr>
            <w:r w:rsidRPr="00651044">
              <w:rPr>
                <w:b/>
                <w:sz w:val="20"/>
                <w:szCs w:val="20"/>
              </w:rPr>
              <w:t>Acţionar majoritar</w:t>
            </w:r>
          </w:p>
        </w:tc>
        <w:tc>
          <w:tcPr>
            <w:tcW w:w="1895" w:type="dxa"/>
          </w:tcPr>
          <w:p w:rsidR="00D27CCD" w:rsidRPr="00651044" w:rsidRDefault="00D27CCD" w:rsidP="00A81C7D">
            <w:pPr>
              <w:jc w:val="center"/>
              <w:rPr>
                <w:b/>
                <w:sz w:val="20"/>
                <w:szCs w:val="20"/>
              </w:rPr>
            </w:pPr>
            <w:r w:rsidRPr="00651044">
              <w:rPr>
                <w:b/>
                <w:sz w:val="20"/>
                <w:szCs w:val="20"/>
              </w:rPr>
              <w:t>Valoarea diminuării, mil. lei</w:t>
            </w:r>
          </w:p>
        </w:tc>
      </w:tr>
      <w:tr w:rsidR="00D27CCD" w:rsidRPr="00651044" w:rsidTr="00A81C7D">
        <w:trPr>
          <w:jc w:val="center"/>
        </w:trPr>
        <w:tc>
          <w:tcPr>
            <w:tcW w:w="517" w:type="dxa"/>
          </w:tcPr>
          <w:p w:rsidR="00D27CCD" w:rsidRPr="00651044" w:rsidRDefault="00D27CCD" w:rsidP="00A81C7D">
            <w:pPr>
              <w:spacing w:line="276" w:lineRule="auto"/>
              <w:rPr>
                <w:b/>
                <w:sz w:val="20"/>
                <w:szCs w:val="20"/>
              </w:rPr>
            </w:pPr>
            <w:r w:rsidRPr="00651044">
              <w:rPr>
                <w:b/>
                <w:sz w:val="20"/>
                <w:szCs w:val="20"/>
              </w:rPr>
              <w:t>1.</w:t>
            </w:r>
          </w:p>
        </w:tc>
        <w:tc>
          <w:tcPr>
            <w:tcW w:w="2568" w:type="dxa"/>
          </w:tcPr>
          <w:p w:rsidR="00D27CCD" w:rsidRPr="00651044" w:rsidRDefault="006A4980" w:rsidP="00931A58">
            <w:r w:rsidRPr="00651044">
              <w:rPr>
                <w:sz w:val="20"/>
                <w:szCs w:val="20"/>
              </w:rPr>
              <w:t>Agenţia Proprietăţii Publice</w:t>
            </w:r>
          </w:p>
        </w:tc>
        <w:tc>
          <w:tcPr>
            <w:tcW w:w="1724" w:type="dxa"/>
          </w:tcPr>
          <w:p w:rsidR="00D27CCD" w:rsidRPr="00651044" w:rsidRDefault="006A4980" w:rsidP="00A81C7D">
            <w:pPr>
              <w:jc w:val="center"/>
              <w:rPr>
                <w:sz w:val="20"/>
                <w:szCs w:val="20"/>
              </w:rPr>
            </w:pPr>
            <w:r w:rsidRPr="00651044">
              <w:rPr>
                <w:sz w:val="20"/>
                <w:szCs w:val="20"/>
              </w:rPr>
              <w:t>179,3</w:t>
            </w:r>
          </w:p>
        </w:tc>
        <w:tc>
          <w:tcPr>
            <w:tcW w:w="544" w:type="dxa"/>
          </w:tcPr>
          <w:p w:rsidR="00D27CCD" w:rsidRPr="00651044" w:rsidRDefault="00D27CCD" w:rsidP="00931A58">
            <w:pPr>
              <w:rPr>
                <w:b/>
                <w:sz w:val="20"/>
                <w:szCs w:val="20"/>
              </w:rPr>
            </w:pPr>
            <w:r w:rsidRPr="00651044">
              <w:rPr>
                <w:b/>
                <w:sz w:val="20"/>
                <w:szCs w:val="20"/>
              </w:rPr>
              <w:t>1.</w:t>
            </w:r>
          </w:p>
        </w:tc>
        <w:tc>
          <w:tcPr>
            <w:tcW w:w="2126" w:type="dxa"/>
          </w:tcPr>
          <w:p w:rsidR="00D27CCD" w:rsidRPr="00651044" w:rsidRDefault="009128BB" w:rsidP="00931A58">
            <w:pPr>
              <w:rPr>
                <w:sz w:val="20"/>
                <w:szCs w:val="20"/>
              </w:rPr>
            </w:pPr>
            <w:r w:rsidRPr="00651044">
              <w:rPr>
                <w:sz w:val="20"/>
                <w:szCs w:val="20"/>
              </w:rPr>
              <w:t>Ministerul Economiei</w:t>
            </w:r>
          </w:p>
        </w:tc>
        <w:tc>
          <w:tcPr>
            <w:tcW w:w="1895" w:type="dxa"/>
          </w:tcPr>
          <w:p w:rsidR="00D27CCD" w:rsidRPr="00651044" w:rsidRDefault="009128BB" w:rsidP="00A81C7D">
            <w:pPr>
              <w:jc w:val="center"/>
              <w:rPr>
                <w:sz w:val="20"/>
                <w:szCs w:val="20"/>
              </w:rPr>
            </w:pPr>
            <w:r w:rsidRPr="00651044">
              <w:rPr>
                <w:sz w:val="20"/>
                <w:szCs w:val="20"/>
              </w:rPr>
              <w:t>997,5</w:t>
            </w:r>
          </w:p>
        </w:tc>
      </w:tr>
      <w:tr w:rsidR="006A4980" w:rsidRPr="00651044" w:rsidTr="00A81C7D">
        <w:trPr>
          <w:jc w:val="center"/>
        </w:trPr>
        <w:tc>
          <w:tcPr>
            <w:tcW w:w="517" w:type="dxa"/>
          </w:tcPr>
          <w:p w:rsidR="006A4980" w:rsidRPr="00651044" w:rsidRDefault="006A4980" w:rsidP="00A81C7D">
            <w:pPr>
              <w:spacing w:line="276" w:lineRule="auto"/>
              <w:rPr>
                <w:b/>
                <w:sz w:val="20"/>
                <w:szCs w:val="20"/>
              </w:rPr>
            </w:pPr>
            <w:r w:rsidRPr="00651044">
              <w:rPr>
                <w:b/>
                <w:sz w:val="20"/>
                <w:szCs w:val="20"/>
              </w:rPr>
              <w:t>2.</w:t>
            </w:r>
          </w:p>
        </w:tc>
        <w:tc>
          <w:tcPr>
            <w:tcW w:w="2568" w:type="dxa"/>
          </w:tcPr>
          <w:p w:rsidR="006A4980" w:rsidRPr="00651044" w:rsidRDefault="006A4980" w:rsidP="00931A58">
            <w:pPr>
              <w:rPr>
                <w:sz w:val="20"/>
                <w:szCs w:val="20"/>
              </w:rPr>
            </w:pPr>
            <w:r w:rsidRPr="00651044">
              <w:rPr>
                <w:sz w:val="20"/>
                <w:szCs w:val="20"/>
              </w:rPr>
              <w:t>Ministerul Transporturilor şi Infrastructurii Drumurilor</w:t>
            </w:r>
          </w:p>
        </w:tc>
        <w:tc>
          <w:tcPr>
            <w:tcW w:w="1724" w:type="dxa"/>
          </w:tcPr>
          <w:p w:rsidR="006A4980" w:rsidRPr="00651044" w:rsidRDefault="006A4980" w:rsidP="00A81C7D">
            <w:pPr>
              <w:jc w:val="center"/>
              <w:rPr>
                <w:sz w:val="20"/>
                <w:szCs w:val="20"/>
              </w:rPr>
            </w:pPr>
            <w:r w:rsidRPr="00651044">
              <w:rPr>
                <w:sz w:val="20"/>
                <w:szCs w:val="20"/>
              </w:rPr>
              <w:t>19,3</w:t>
            </w:r>
          </w:p>
        </w:tc>
        <w:tc>
          <w:tcPr>
            <w:tcW w:w="544" w:type="dxa"/>
          </w:tcPr>
          <w:p w:rsidR="006A4980" w:rsidRPr="00651044" w:rsidRDefault="009128BB" w:rsidP="00931A58">
            <w:pPr>
              <w:rPr>
                <w:b/>
                <w:sz w:val="20"/>
                <w:szCs w:val="20"/>
              </w:rPr>
            </w:pPr>
            <w:r w:rsidRPr="00651044">
              <w:rPr>
                <w:b/>
                <w:sz w:val="20"/>
                <w:szCs w:val="20"/>
              </w:rPr>
              <w:t>2.</w:t>
            </w:r>
          </w:p>
        </w:tc>
        <w:tc>
          <w:tcPr>
            <w:tcW w:w="2126" w:type="dxa"/>
          </w:tcPr>
          <w:p w:rsidR="006A4980" w:rsidRPr="00651044" w:rsidRDefault="009128BB" w:rsidP="00A81C7D">
            <w:r w:rsidRPr="00651044">
              <w:rPr>
                <w:sz w:val="20"/>
                <w:szCs w:val="20"/>
              </w:rPr>
              <w:t>Ministerul Sănătăţii</w:t>
            </w:r>
          </w:p>
        </w:tc>
        <w:tc>
          <w:tcPr>
            <w:tcW w:w="1895" w:type="dxa"/>
          </w:tcPr>
          <w:p w:rsidR="006A4980" w:rsidRPr="00651044" w:rsidRDefault="009128BB" w:rsidP="00A81C7D">
            <w:pPr>
              <w:jc w:val="center"/>
              <w:rPr>
                <w:sz w:val="20"/>
                <w:szCs w:val="20"/>
              </w:rPr>
            </w:pPr>
            <w:r w:rsidRPr="00651044">
              <w:rPr>
                <w:sz w:val="20"/>
                <w:szCs w:val="20"/>
              </w:rPr>
              <w:t>3,</w:t>
            </w:r>
            <w:r w:rsidR="00695318" w:rsidRPr="00651044">
              <w:rPr>
                <w:sz w:val="20"/>
                <w:szCs w:val="20"/>
              </w:rPr>
              <w:t>3</w:t>
            </w:r>
          </w:p>
        </w:tc>
      </w:tr>
      <w:tr w:rsidR="009128BB" w:rsidRPr="00651044" w:rsidTr="00A81C7D">
        <w:trPr>
          <w:jc w:val="center"/>
        </w:trPr>
        <w:tc>
          <w:tcPr>
            <w:tcW w:w="517" w:type="dxa"/>
          </w:tcPr>
          <w:p w:rsidR="009128BB" w:rsidRPr="00651044" w:rsidRDefault="009128BB" w:rsidP="00A81C7D">
            <w:pPr>
              <w:spacing w:line="276" w:lineRule="auto"/>
              <w:rPr>
                <w:b/>
                <w:sz w:val="20"/>
                <w:szCs w:val="20"/>
              </w:rPr>
            </w:pPr>
            <w:r w:rsidRPr="00651044">
              <w:rPr>
                <w:b/>
                <w:sz w:val="20"/>
                <w:szCs w:val="20"/>
              </w:rPr>
              <w:t>3.</w:t>
            </w:r>
          </w:p>
        </w:tc>
        <w:tc>
          <w:tcPr>
            <w:tcW w:w="2568" w:type="dxa"/>
          </w:tcPr>
          <w:p w:rsidR="009128BB" w:rsidRPr="00651044" w:rsidRDefault="009128BB" w:rsidP="00931A58">
            <w:pPr>
              <w:rPr>
                <w:sz w:val="20"/>
                <w:szCs w:val="20"/>
              </w:rPr>
            </w:pPr>
            <w:r w:rsidRPr="00651044">
              <w:rPr>
                <w:sz w:val="20"/>
                <w:szCs w:val="20"/>
              </w:rPr>
              <w:t>Ministerul Agriculturii şi Industriei Alimentare</w:t>
            </w:r>
          </w:p>
        </w:tc>
        <w:tc>
          <w:tcPr>
            <w:tcW w:w="1724" w:type="dxa"/>
          </w:tcPr>
          <w:p w:rsidR="009128BB" w:rsidRPr="00651044" w:rsidRDefault="009128BB" w:rsidP="00A81C7D">
            <w:pPr>
              <w:jc w:val="center"/>
              <w:rPr>
                <w:sz w:val="20"/>
                <w:szCs w:val="20"/>
              </w:rPr>
            </w:pPr>
            <w:r w:rsidRPr="00651044">
              <w:rPr>
                <w:sz w:val="20"/>
                <w:szCs w:val="20"/>
              </w:rPr>
              <w:t>7,4</w:t>
            </w:r>
          </w:p>
        </w:tc>
        <w:tc>
          <w:tcPr>
            <w:tcW w:w="544" w:type="dxa"/>
            <w:vMerge w:val="restart"/>
          </w:tcPr>
          <w:p w:rsidR="009128BB" w:rsidRPr="00651044" w:rsidRDefault="009128BB" w:rsidP="00931A58">
            <w:pPr>
              <w:rPr>
                <w:b/>
                <w:sz w:val="20"/>
                <w:szCs w:val="20"/>
              </w:rPr>
            </w:pPr>
            <w:r w:rsidRPr="00651044">
              <w:rPr>
                <w:b/>
                <w:sz w:val="20"/>
                <w:szCs w:val="20"/>
              </w:rPr>
              <w:t>3.</w:t>
            </w:r>
          </w:p>
        </w:tc>
        <w:tc>
          <w:tcPr>
            <w:tcW w:w="2126" w:type="dxa"/>
            <w:vMerge w:val="restart"/>
          </w:tcPr>
          <w:p w:rsidR="009128BB" w:rsidRPr="00651044" w:rsidRDefault="009128BB" w:rsidP="00A81C7D">
            <w:pPr>
              <w:rPr>
                <w:sz w:val="20"/>
                <w:szCs w:val="20"/>
              </w:rPr>
            </w:pPr>
            <w:r w:rsidRPr="00651044">
              <w:rPr>
                <w:sz w:val="20"/>
                <w:szCs w:val="20"/>
              </w:rPr>
              <w:t>Ministerul Culturii</w:t>
            </w:r>
          </w:p>
        </w:tc>
        <w:tc>
          <w:tcPr>
            <w:tcW w:w="1895" w:type="dxa"/>
            <w:vMerge w:val="restart"/>
          </w:tcPr>
          <w:p w:rsidR="009128BB" w:rsidRPr="00651044" w:rsidRDefault="009128BB" w:rsidP="00A81C7D">
            <w:pPr>
              <w:jc w:val="center"/>
              <w:rPr>
                <w:sz w:val="20"/>
                <w:szCs w:val="20"/>
              </w:rPr>
            </w:pPr>
            <w:r w:rsidRPr="00651044">
              <w:rPr>
                <w:sz w:val="20"/>
                <w:szCs w:val="20"/>
              </w:rPr>
              <w:t>0,3</w:t>
            </w:r>
          </w:p>
        </w:tc>
      </w:tr>
      <w:tr w:rsidR="009128BB" w:rsidRPr="00651044" w:rsidTr="00A81C7D">
        <w:trPr>
          <w:jc w:val="center"/>
        </w:trPr>
        <w:tc>
          <w:tcPr>
            <w:tcW w:w="517" w:type="dxa"/>
          </w:tcPr>
          <w:p w:rsidR="009128BB" w:rsidRPr="00651044" w:rsidRDefault="009128BB" w:rsidP="00A81C7D">
            <w:pPr>
              <w:spacing w:line="276" w:lineRule="auto"/>
              <w:rPr>
                <w:b/>
                <w:sz w:val="20"/>
                <w:szCs w:val="20"/>
              </w:rPr>
            </w:pPr>
            <w:r w:rsidRPr="00651044">
              <w:rPr>
                <w:b/>
                <w:sz w:val="20"/>
                <w:szCs w:val="20"/>
              </w:rPr>
              <w:t>4.</w:t>
            </w:r>
          </w:p>
        </w:tc>
        <w:tc>
          <w:tcPr>
            <w:tcW w:w="2568" w:type="dxa"/>
          </w:tcPr>
          <w:p w:rsidR="009128BB" w:rsidRPr="00651044" w:rsidRDefault="009128BB" w:rsidP="00931A58">
            <w:pPr>
              <w:rPr>
                <w:sz w:val="20"/>
                <w:szCs w:val="20"/>
              </w:rPr>
            </w:pPr>
            <w:r w:rsidRPr="00651044">
              <w:rPr>
                <w:sz w:val="20"/>
                <w:szCs w:val="20"/>
              </w:rPr>
              <w:t>Ministerul Finanţelor</w:t>
            </w:r>
          </w:p>
        </w:tc>
        <w:tc>
          <w:tcPr>
            <w:tcW w:w="1724" w:type="dxa"/>
          </w:tcPr>
          <w:p w:rsidR="009128BB" w:rsidRPr="00651044" w:rsidRDefault="009128BB" w:rsidP="00A81C7D">
            <w:pPr>
              <w:jc w:val="center"/>
              <w:rPr>
                <w:sz w:val="20"/>
                <w:szCs w:val="20"/>
              </w:rPr>
            </w:pPr>
            <w:r w:rsidRPr="00651044">
              <w:rPr>
                <w:sz w:val="20"/>
                <w:szCs w:val="20"/>
              </w:rPr>
              <w:t>3,3</w:t>
            </w:r>
          </w:p>
        </w:tc>
        <w:tc>
          <w:tcPr>
            <w:tcW w:w="544" w:type="dxa"/>
            <w:vMerge/>
          </w:tcPr>
          <w:p w:rsidR="009128BB" w:rsidRPr="00651044" w:rsidRDefault="009128BB" w:rsidP="00931A58">
            <w:pPr>
              <w:rPr>
                <w:b/>
                <w:sz w:val="20"/>
                <w:szCs w:val="20"/>
              </w:rPr>
            </w:pPr>
          </w:p>
        </w:tc>
        <w:tc>
          <w:tcPr>
            <w:tcW w:w="2126" w:type="dxa"/>
            <w:vMerge/>
          </w:tcPr>
          <w:p w:rsidR="009128BB" w:rsidRPr="00651044" w:rsidRDefault="009128BB" w:rsidP="00931A58">
            <w:pPr>
              <w:rPr>
                <w:sz w:val="20"/>
                <w:szCs w:val="20"/>
              </w:rPr>
            </w:pPr>
          </w:p>
        </w:tc>
        <w:tc>
          <w:tcPr>
            <w:tcW w:w="1895" w:type="dxa"/>
            <w:vMerge/>
          </w:tcPr>
          <w:p w:rsidR="009128BB" w:rsidRPr="00651044" w:rsidRDefault="009128BB" w:rsidP="00A81C7D">
            <w:pPr>
              <w:jc w:val="center"/>
              <w:rPr>
                <w:sz w:val="20"/>
                <w:szCs w:val="20"/>
              </w:rPr>
            </w:pPr>
          </w:p>
        </w:tc>
      </w:tr>
      <w:tr w:rsidR="009128BB" w:rsidRPr="00651044" w:rsidTr="00A81C7D">
        <w:trPr>
          <w:jc w:val="center"/>
        </w:trPr>
        <w:tc>
          <w:tcPr>
            <w:tcW w:w="517" w:type="dxa"/>
          </w:tcPr>
          <w:p w:rsidR="009128BB" w:rsidRPr="00651044" w:rsidRDefault="009128BB" w:rsidP="00A81C7D">
            <w:pPr>
              <w:spacing w:line="276" w:lineRule="auto"/>
              <w:rPr>
                <w:b/>
                <w:sz w:val="20"/>
                <w:szCs w:val="20"/>
              </w:rPr>
            </w:pPr>
            <w:r w:rsidRPr="00651044">
              <w:rPr>
                <w:b/>
                <w:sz w:val="20"/>
                <w:szCs w:val="20"/>
              </w:rPr>
              <w:t>5.</w:t>
            </w:r>
          </w:p>
        </w:tc>
        <w:tc>
          <w:tcPr>
            <w:tcW w:w="2568" w:type="dxa"/>
          </w:tcPr>
          <w:p w:rsidR="009128BB" w:rsidRPr="00651044" w:rsidRDefault="009128BB" w:rsidP="009128BB">
            <w:pPr>
              <w:rPr>
                <w:sz w:val="20"/>
                <w:szCs w:val="20"/>
              </w:rPr>
            </w:pPr>
            <w:r w:rsidRPr="00651044">
              <w:rPr>
                <w:sz w:val="20"/>
                <w:szCs w:val="20"/>
              </w:rPr>
              <w:t>Agenţia „Apele Moldovei”</w:t>
            </w:r>
          </w:p>
        </w:tc>
        <w:tc>
          <w:tcPr>
            <w:tcW w:w="1724" w:type="dxa"/>
          </w:tcPr>
          <w:p w:rsidR="009128BB" w:rsidRPr="00651044" w:rsidRDefault="009128BB" w:rsidP="00A81C7D">
            <w:pPr>
              <w:jc w:val="center"/>
              <w:rPr>
                <w:sz w:val="20"/>
                <w:szCs w:val="20"/>
              </w:rPr>
            </w:pPr>
            <w:r w:rsidRPr="00651044">
              <w:rPr>
                <w:sz w:val="20"/>
                <w:szCs w:val="20"/>
              </w:rPr>
              <w:t>0,6</w:t>
            </w:r>
          </w:p>
        </w:tc>
        <w:tc>
          <w:tcPr>
            <w:tcW w:w="544" w:type="dxa"/>
            <w:vMerge/>
          </w:tcPr>
          <w:p w:rsidR="009128BB" w:rsidRPr="00651044" w:rsidRDefault="009128BB" w:rsidP="00931A58">
            <w:pPr>
              <w:rPr>
                <w:sz w:val="20"/>
                <w:szCs w:val="20"/>
              </w:rPr>
            </w:pPr>
          </w:p>
        </w:tc>
        <w:tc>
          <w:tcPr>
            <w:tcW w:w="2126" w:type="dxa"/>
            <w:vMerge/>
          </w:tcPr>
          <w:p w:rsidR="009128BB" w:rsidRPr="00651044" w:rsidRDefault="009128BB" w:rsidP="00931A58">
            <w:pPr>
              <w:rPr>
                <w:sz w:val="20"/>
                <w:szCs w:val="20"/>
              </w:rPr>
            </w:pPr>
          </w:p>
        </w:tc>
        <w:tc>
          <w:tcPr>
            <w:tcW w:w="1895" w:type="dxa"/>
            <w:vMerge/>
          </w:tcPr>
          <w:p w:rsidR="009128BB" w:rsidRPr="00651044" w:rsidRDefault="009128BB" w:rsidP="00A81C7D">
            <w:pPr>
              <w:jc w:val="center"/>
              <w:rPr>
                <w:sz w:val="20"/>
                <w:szCs w:val="20"/>
              </w:rPr>
            </w:pPr>
          </w:p>
        </w:tc>
      </w:tr>
      <w:tr w:rsidR="009128BB" w:rsidRPr="00651044" w:rsidTr="00A81C7D">
        <w:trPr>
          <w:jc w:val="center"/>
        </w:trPr>
        <w:tc>
          <w:tcPr>
            <w:tcW w:w="3085" w:type="dxa"/>
            <w:gridSpan w:val="2"/>
          </w:tcPr>
          <w:p w:rsidR="009128BB" w:rsidRPr="00651044" w:rsidRDefault="009128BB" w:rsidP="00931A58">
            <w:pPr>
              <w:rPr>
                <w:b/>
                <w:sz w:val="20"/>
                <w:szCs w:val="20"/>
              </w:rPr>
            </w:pPr>
            <w:r w:rsidRPr="00651044">
              <w:rPr>
                <w:b/>
                <w:sz w:val="20"/>
                <w:szCs w:val="20"/>
              </w:rPr>
              <w:t>Total</w:t>
            </w:r>
          </w:p>
        </w:tc>
        <w:tc>
          <w:tcPr>
            <w:tcW w:w="1724" w:type="dxa"/>
          </w:tcPr>
          <w:p w:rsidR="009128BB" w:rsidRPr="00651044" w:rsidRDefault="009128BB" w:rsidP="00A81C7D">
            <w:pPr>
              <w:jc w:val="center"/>
              <w:rPr>
                <w:b/>
                <w:sz w:val="20"/>
                <w:szCs w:val="20"/>
              </w:rPr>
            </w:pPr>
            <w:r w:rsidRPr="00651044">
              <w:rPr>
                <w:b/>
                <w:sz w:val="20"/>
                <w:szCs w:val="20"/>
              </w:rPr>
              <w:t>209,9</w:t>
            </w:r>
          </w:p>
        </w:tc>
        <w:tc>
          <w:tcPr>
            <w:tcW w:w="2670" w:type="dxa"/>
            <w:gridSpan w:val="2"/>
          </w:tcPr>
          <w:p w:rsidR="009128BB" w:rsidRPr="00651044" w:rsidRDefault="009128BB" w:rsidP="00931A58">
            <w:pPr>
              <w:rPr>
                <w:b/>
                <w:sz w:val="20"/>
                <w:szCs w:val="20"/>
              </w:rPr>
            </w:pPr>
            <w:r w:rsidRPr="00651044">
              <w:rPr>
                <w:b/>
                <w:sz w:val="20"/>
                <w:szCs w:val="20"/>
              </w:rPr>
              <w:t>Total</w:t>
            </w:r>
          </w:p>
        </w:tc>
        <w:tc>
          <w:tcPr>
            <w:tcW w:w="1895" w:type="dxa"/>
          </w:tcPr>
          <w:p w:rsidR="009128BB" w:rsidRPr="00651044" w:rsidRDefault="00695318" w:rsidP="00A81C7D">
            <w:pPr>
              <w:jc w:val="center"/>
              <w:rPr>
                <w:b/>
                <w:sz w:val="20"/>
                <w:szCs w:val="20"/>
              </w:rPr>
            </w:pPr>
            <w:r w:rsidRPr="00651044">
              <w:rPr>
                <w:b/>
                <w:sz w:val="20"/>
                <w:szCs w:val="20"/>
              </w:rPr>
              <w:t>1 001,1</w:t>
            </w:r>
          </w:p>
        </w:tc>
      </w:tr>
    </w:tbl>
    <w:p w:rsidR="00D27CCD" w:rsidRPr="00651044" w:rsidRDefault="00D27CCD" w:rsidP="00D27CCD">
      <w:pPr>
        <w:pStyle w:val="NoSpacing"/>
        <w:spacing w:line="276" w:lineRule="auto"/>
        <w:ind w:firstLine="567"/>
        <w:jc w:val="both"/>
        <w:rPr>
          <w:color w:val="FF0000"/>
          <w:sz w:val="28"/>
          <w:szCs w:val="28"/>
        </w:rPr>
      </w:pPr>
    </w:p>
    <w:p w:rsidR="00D27CCD" w:rsidRPr="00651044" w:rsidRDefault="00D27CCD" w:rsidP="00D27CCD">
      <w:pPr>
        <w:pStyle w:val="NoSpacing"/>
        <w:spacing w:line="276" w:lineRule="auto"/>
        <w:ind w:firstLine="567"/>
        <w:jc w:val="both"/>
        <w:rPr>
          <w:sz w:val="28"/>
          <w:szCs w:val="28"/>
        </w:rPr>
      </w:pPr>
      <w:r w:rsidRPr="00651044">
        <w:rPr>
          <w:sz w:val="28"/>
          <w:szCs w:val="28"/>
        </w:rPr>
        <w:t xml:space="preserve">Totodată, </w:t>
      </w:r>
      <w:r w:rsidR="009128BB" w:rsidRPr="00651044">
        <w:rPr>
          <w:sz w:val="28"/>
          <w:szCs w:val="28"/>
        </w:rPr>
        <w:t>societăţile pe acţiuni din administrarea Ministerului Economiei înregistrează</w:t>
      </w:r>
      <w:r w:rsidRPr="00651044">
        <w:rPr>
          <w:sz w:val="28"/>
          <w:szCs w:val="28"/>
        </w:rPr>
        <w:t xml:space="preserve"> l</w:t>
      </w:r>
      <w:r w:rsidR="009128BB" w:rsidRPr="00651044">
        <w:rPr>
          <w:sz w:val="28"/>
          <w:szCs w:val="28"/>
        </w:rPr>
        <w:t xml:space="preserve">a situaţia din 31 decembrie 2015 </w:t>
      </w:r>
      <w:r w:rsidRPr="00651044">
        <w:rPr>
          <w:sz w:val="28"/>
          <w:szCs w:val="28"/>
        </w:rPr>
        <w:t xml:space="preserve">diminuări ale datoriilor în sumă de </w:t>
      </w:r>
      <w:r w:rsidR="009128BB" w:rsidRPr="00651044">
        <w:rPr>
          <w:sz w:val="28"/>
          <w:szCs w:val="28"/>
        </w:rPr>
        <w:t>997,5</w:t>
      </w:r>
      <w:r w:rsidRPr="00651044">
        <w:rPr>
          <w:sz w:val="28"/>
          <w:szCs w:val="28"/>
        </w:rPr>
        <w:t xml:space="preserve"> mil. lei.</w:t>
      </w:r>
    </w:p>
    <w:p w:rsidR="00D27CCD" w:rsidRPr="00651044" w:rsidRDefault="00D27CCD" w:rsidP="00A854A6">
      <w:pPr>
        <w:pStyle w:val="NoSpacing"/>
        <w:spacing w:line="276" w:lineRule="auto"/>
        <w:ind w:firstLine="567"/>
        <w:jc w:val="both"/>
        <w:rPr>
          <w:sz w:val="28"/>
          <w:szCs w:val="28"/>
        </w:rPr>
      </w:pPr>
      <w:r w:rsidRPr="00651044">
        <w:rPr>
          <w:sz w:val="28"/>
          <w:szCs w:val="28"/>
        </w:rPr>
        <w:t xml:space="preserve">Suplimentar aspectelor economice analizate anterior, </w:t>
      </w:r>
      <w:r w:rsidR="00A854A6">
        <w:rPr>
          <w:sz w:val="28"/>
          <w:szCs w:val="28"/>
        </w:rPr>
        <w:t>se enunţă că</w:t>
      </w:r>
      <w:r w:rsidRPr="00651044">
        <w:rPr>
          <w:sz w:val="28"/>
          <w:szCs w:val="28"/>
        </w:rPr>
        <w:t xml:space="preserve"> în conformitate cu alineatul (5), art. 12 din Legea nr. 419-XVI din 22 decembrie 2006 „Cu privire la datoria</w:t>
      </w:r>
      <w:r w:rsidR="00695318" w:rsidRPr="00651044">
        <w:rPr>
          <w:sz w:val="28"/>
          <w:szCs w:val="28"/>
        </w:rPr>
        <w:t xml:space="preserve"> sectorului public</w:t>
      </w:r>
      <w:r w:rsidRPr="00651044">
        <w:rPr>
          <w:sz w:val="28"/>
          <w:szCs w:val="28"/>
        </w:rPr>
        <w:t>, garanţiile de stat şi recreditarea de stat”, Ministerul Finanţelor generalizează datele statistice cu privire la datoria publică, garanţiile de stat şi recreditarea de stat.</w:t>
      </w:r>
      <w:r w:rsidR="00A854A6">
        <w:rPr>
          <w:sz w:val="28"/>
          <w:szCs w:val="28"/>
        </w:rPr>
        <w:t xml:space="preserve"> </w:t>
      </w:r>
      <w:r w:rsidRPr="00651044">
        <w:rPr>
          <w:sz w:val="28"/>
          <w:szCs w:val="28"/>
        </w:rPr>
        <w:t>Astfel, în temeiul Regulamentului privind raportarea dator</w:t>
      </w:r>
      <w:r w:rsidR="00EC2C5E" w:rsidRPr="00651044">
        <w:rPr>
          <w:sz w:val="28"/>
          <w:szCs w:val="28"/>
        </w:rPr>
        <w:t xml:space="preserve">iei </w:t>
      </w:r>
      <w:r w:rsidR="00A854A6">
        <w:rPr>
          <w:sz w:val="28"/>
          <w:szCs w:val="28"/>
        </w:rPr>
        <w:t>sectorului public</w:t>
      </w:r>
      <w:r w:rsidR="00EC2C5E" w:rsidRPr="00651044">
        <w:rPr>
          <w:sz w:val="28"/>
          <w:szCs w:val="28"/>
        </w:rPr>
        <w:t>, aprobat prin Hotăr</w:t>
      </w:r>
      <w:r w:rsidR="006E6FE5">
        <w:rPr>
          <w:sz w:val="28"/>
          <w:szCs w:val="28"/>
        </w:rPr>
        <w:t>î</w:t>
      </w:r>
      <w:r w:rsidRPr="00651044">
        <w:rPr>
          <w:sz w:val="28"/>
          <w:szCs w:val="28"/>
        </w:rPr>
        <w:t>rea Guvernului nr. 1136 din 18 octombrie 2007 „Cu privire la unele măsuri de executare a Legii nr. 419-XVI din 22 decembrie 2006 cu privire la datoria</w:t>
      </w:r>
      <w:r w:rsidR="00695318" w:rsidRPr="00651044">
        <w:rPr>
          <w:sz w:val="28"/>
          <w:szCs w:val="28"/>
        </w:rPr>
        <w:t xml:space="preserve"> sectorului public</w:t>
      </w:r>
      <w:r w:rsidRPr="00651044">
        <w:rPr>
          <w:sz w:val="28"/>
          <w:szCs w:val="28"/>
        </w:rPr>
        <w:t xml:space="preserve">, garanţiile de stat şi recreditarea de stat”, a fost generalizată informaţia privind împrumuturile interne şi externe ale agenţilor economici monitorizaţi, care sunt contractate pe un termen de un an şi mai mare.  </w:t>
      </w:r>
    </w:p>
    <w:p w:rsidR="00D27CCD" w:rsidRPr="00651044" w:rsidRDefault="00D27CCD" w:rsidP="00D27CCD">
      <w:pPr>
        <w:spacing w:line="276" w:lineRule="auto"/>
        <w:ind w:firstLine="567"/>
        <w:jc w:val="both"/>
        <w:rPr>
          <w:sz w:val="28"/>
          <w:szCs w:val="28"/>
        </w:rPr>
      </w:pPr>
      <w:r w:rsidRPr="00651044">
        <w:rPr>
          <w:sz w:val="28"/>
          <w:szCs w:val="28"/>
        </w:rPr>
        <w:t>Resp</w:t>
      </w:r>
      <w:r w:rsidR="00EC2C5E" w:rsidRPr="00651044">
        <w:rPr>
          <w:sz w:val="28"/>
          <w:szCs w:val="28"/>
        </w:rPr>
        <w:t>ectiv, se menţionează că</w:t>
      </w:r>
      <w:r w:rsidRPr="00651044">
        <w:rPr>
          <w:sz w:val="28"/>
          <w:szCs w:val="28"/>
        </w:rPr>
        <w:t xml:space="preserve"> potrivit datelor privind </w:t>
      </w:r>
      <w:r w:rsidRPr="00651044">
        <w:rPr>
          <w:i/>
          <w:sz w:val="28"/>
          <w:szCs w:val="28"/>
        </w:rPr>
        <w:t>fluxul şi stocul împrumuturilor interne</w:t>
      </w:r>
      <w:r w:rsidRPr="00651044">
        <w:rPr>
          <w:sz w:val="28"/>
          <w:szCs w:val="28"/>
        </w:rPr>
        <w:t xml:space="preserve">, </w:t>
      </w:r>
      <w:r w:rsidR="00EC2C5E" w:rsidRPr="00651044">
        <w:rPr>
          <w:sz w:val="28"/>
          <w:szCs w:val="28"/>
        </w:rPr>
        <w:t>la situaţia din 31.12.2015, societăţile pe acţiuni</w:t>
      </w:r>
      <w:r w:rsidRPr="00651044">
        <w:rPr>
          <w:sz w:val="28"/>
          <w:szCs w:val="28"/>
        </w:rPr>
        <w:t xml:space="preserve"> </w:t>
      </w:r>
      <w:r w:rsidR="00695318" w:rsidRPr="00651044">
        <w:rPr>
          <w:sz w:val="28"/>
          <w:szCs w:val="28"/>
        </w:rPr>
        <w:t xml:space="preserve">monitorizate </w:t>
      </w:r>
      <w:r w:rsidRPr="00651044">
        <w:rPr>
          <w:sz w:val="28"/>
          <w:szCs w:val="28"/>
        </w:rPr>
        <w:t xml:space="preserve">care au contractat credite de la băncile comerciale pe o perioadă de un an şi mai mare, au înregistrat un stoc al împrumuturilor în sumă de </w:t>
      </w:r>
      <w:r w:rsidR="00695318" w:rsidRPr="00651044">
        <w:rPr>
          <w:sz w:val="28"/>
          <w:szCs w:val="28"/>
        </w:rPr>
        <w:t>1 188,93</w:t>
      </w:r>
      <w:r w:rsidRPr="00651044">
        <w:rPr>
          <w:sz w:val="28"/>
          <w:szCs w:val="28"/>
        </w:rPr>
        <w:t xml:space="preserve"> mil. lei, dintre care </w:t>
      </w:r>
      <w:r w:rsidR="008465A8" w:rsidRPr="00651044">
        <w:rPr>
          <w:sz w:val="28"/>
          <w:szCs w:val="28"/>
        </w:rPr>
        <w:t xml:space="preserve">      </w:t>
      </w:r>
      <w:r w:rsidR="00695318" w:rsidRPr="00651044">
        <w:rPr>
          <w:sz w:val="28"/>
          <w:szCs w:val="28"/>
        </w:rPr>
        <w:t>3,52</w:t>
      </w:r>
      <w:r w:rsidRPr="00651044">
        <w:rPr>
          <w:sz w:val="28"/>
          <w:szCs w:val="28"/>
        </w:rPr>
        <w:t xml:space="preserve"> mil. lei constituie stocul de arierate, ce reprezintă suma restantă ce nu a fost achitată conform contractelor încheiate (tabelul 3.6).</w:t>
      </w:r>
    </w:p>
    <w:p w:rsidR="00D27CCD" w:rsidRPr="00651044" w:rsidRDefault="00D27CCD" w:rsidP="00D27CCD">
      <w:pPr>
        <w:spacing w:line="276" w:lineRule="auto"/>
        <w:ind w:firstLine="705"/>
        <w:jc w:val="right"/>
        <w:rPr>
          <w:sz w:val="20"/>
          <w:szCs w:val="20"/>
        </w:rPr>
      </w:pPr>
      <w:r w:rsidRPr="00651044">
        <w:rPr>
          <w:sz w:val="20"/>
          <w:szCs w:val="20"/>
        </w:rPr>
        <w:t>Tabelul 3.6</w:t>
      </w:r>
    </w:p>
    <w:p w:rsidR="00D27CCD" w:rsidRPr="00651044" w:rsidRDefault="00D27CCD" w:rsidP="00D27CCD">
      <w:pPr>
        <w:ind w:firstLine="705"/>
        <w:jc w:val="center"/>
        <w:rPr>
          <w:b/>
          <w:i/>
        </w:rPr>
      </w:pPr>
      <w:r w:rsidRPr="00651044">
        <w:rPr>
          <w:b/>
          <w:i/>
        </w:rPr>
        <w:t xml:space="preserve">Informaţia privind fluxul şi stocul împrumuturilor interne, </w:t>
      </w:r>
    </w:p>
    <w:p w:rsidR="00D27CCD" w:rsidRPr="00651044" w:rsidRDefault="00EC2C5E" w:rsidP="00D27CCD">
      <w:pPr>
        <w:ind w:firstLine="705"/>
        <w:jc w:val="center"/>
        <w:rPr>
          <w:b/>
          <w:i/>
        </w:rPr>
      </w:pPr>
      <w:r w:rsidRPr="00651044">
        <w:rPr>
          <w:b/>
          <w:i/>
        </w:rPr>
        <w:t>la situaţia din 31.12.2015</w:t>
      </w:r>
      <w:r w:rsidR="00D27CCD" w:rsidRPr="00651044">
        <w:rPr>
          <w:b/>
          <w:i/>
        </w:rPr>
        <w:t>, ale societăţilor pe acţiuni</w:t>
      </w:r>
    </w:p>
    <w:p w:rsidR="00D27CCD" w:rsidRPr="00651044" w:rsidRDefault="00D27CCD" w:rsidP="00D27CCD">
      <w:pPr>
        <w:ind w:firstLine="705"/>
        <w:jc w:val="center"/>
        <w:rPr>
          <w:sz w:val="20"/>
          <w:szCs w:val="20"/>
        </w:rPr>
      </w:pPr>
      <w:r w:rsidRPr="00651044">
        <w:t xml:space="preserve">                                                                                                                                    </w:t>
      </w:r>
      <w:r w:rsidRPr="00651044">
        <w:rPr>
          <w:sz w:val="20"/>
          <w:szCs w:val="20"/>
        </w:rPr>
        <w:t>(mil. lei)</w:t>
      </w: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3"/>
        <w:gridCol w:w="4041"/>
        <w:gridCol w:w="2049"/>
        <w:gridCol w:w="1647"/>
      </w:tblGrid>
      <w:tr w:rsidR="00D27CCD" w:rsidRPr="00651044" w:rsidTr="00613394">
        <w:trPr>
          <w:trHeight w:val="386"/>
          <w:jc w:val="center"/>
        </w:trPr>
        <w:tc>
          <w:tcPr>
            <w:tcW w:w="643" w:type="dxa"/>
            <w:noWrap/>
            <w:hideMark/>
          </w:tcPr>
          <w:p w:rsidR="00D27CCD" w:rsidRPr="00651044" w:rsidRDefault="00D27CCD" w:rsidP="00613394">
            <w:pPr>
              <w:jc w:val="center"/>
              <w:rPr>
                <w:b/>
                <w:bCs/>
                <w:i/>
                <w:iCs/>
                <w:sz w:val="20"/>
                <w:szCs w:val="20"/>
              </w:rPr>
            </w:pPr>
            <w:r w:rsidRPr="00651044">
              <w:rPr>
                <w:b/>
                <w:bCs/>
                <w:i/>
                <w:iCs/>
                <w:sz w:val="20"/>
                <w:szCs w:val="20"/>
              </w:rPr>
              <w:t>Nr.</w:t>
            </w:r>
          </w:p>
          <w:p w:rsidR="00D27CCD" w:rsidRPr="00651044" w:rsidRDefault="00D27CCD" w:rsidP="00613394">
            <w:pPr>
              <w:jc w:val="center"/>
              <w:rPr>
                <w:b/>
                <w:bCs/>
                <w:i/>
                <w:iCs/>
                <w:sz w:val="20"/>
                <w:szCs w:val="20"/>
              </w:rPr>
            </w:pPr>
          </w:p>
        </w:tc>
        <w:tc>
          <w:tcPr>
            <w:tcW w:w="4041" w:type="dxa"/>
            <w:hideMark/>
          </w:tcPr>
          <w:p w:rsidR="00D27CCD" w:rsidRPr="00651044" w:rsidRDefault="00D27CCD" w:rsidP="00613394">
            <w:pPr>
              <w:jc w:val="center"/>
              <w:rPr>
                <w:b/>
                <w:bCs/>
                <w:i/>
                <w:iCs/>
                <w:sz w:val="20"/>
                <w:szCs w:val="20"/>
              </w:rPr>
            </w:pPr>
            <w:r w:rsidRPr="00651044">
              <w:rPr>
                <w:b/>
                <w:bCs/>
                <w:i/>
                <w:iCs/>
                <w:sz w:val="20"/>
                <w:szCs w:val="20"/>
              </w:rPr>
              <w:t>Debitorul</w:t>
            </w:r>
          </w:p>
        </w:tc>
        <w:tc>
          <w:tcPr>
            <w:tcW w:w="2049" w:type="dxa"/>
          </w:tcPr>
          <w:p w:rsidR="00D27CCD" w:rsidRPr="00651044" w:rsidRDefault="00D27CCD" w:rsidP="00613394">
            <w:pPr>
              <w:jc w:val="center"/>
              <w:rPr>
                <w:b/>
                <w:bCs/>
                <w:i/>
                <w:iCs/>
                <w:sz w:val="20"/>
                <w:szCs w:val="20"/>
              </w:rPr>
            </w:pPr>
            <w:r w:rsidRPr="00651044">
              <w:rPr>
                <w:b/>
                <w:bCs/>
                <w:i/>
                <w:iCs/>
                <w:sz w:val="20"/>
                <w:szCs w:val="20"/>
              </w:rPr>
              <w:t>Stoc la</w:t>
            </w:r>
          </w:p>
          <w:p w:rsidR="00D27CCD" w:rsidRPr="00651044" w:rsidRDefault="00EC2C5E" w:rsidP="00613394">
            <w:pPr>
              <w:jc w:val="center"/>
              <w:rPr>
                <w:b/>
                <w:bCs/>
                <w:i/>
                <w:iCs/>
                <w:sz w:val="20"/>
                <w:szCs w:val="20"/>
              </w:rPr>
            </w:pPr>
            <w:r w:rsidRPr="00651044">
              <w:rPr>
                <w:b/>
                <w:bCs/>
                <w:i/>
                <w:iCs/>
                <w:sz w:val="20"/>
                <w:szCs w:val="20"/>
              </w:rPr>
              <w:t>31.12.2015</w:t>
            </w:r>
          </w:p>
        </w:tc>
        <w:tc>
          <w:tcPr>
            <w:tcW w:w="1647" w:type="dxa"/>
          </w:tcPr>
          <w:p w:rsidR="00D27CCD" w:rsidRPr="00651044" w:rsidRDefault="00D27CCD" w:rsidP="00613394">
            <w:pPr>
              <w:jc w:val="center"/>
              <w:rPr>
                <w:b/>
                <w:bCs/>
                <w:i/>
                <w:iCs/>
                <w:sz w:val="20"/>
                <w:szCs w:val="20"/>
              </w:rPr>
            </w:pPr>
            <w:r w:rsidRPr="00651044">
              <w:rPr>
                <w:b/>
                <w:bCs/>
                <w:i/>
                <w:iCs/>
                <w:sz w:val="20"/>
                <w:szCs w:val="20"/>
              </w:rPr>
              <w:t>Stoc</w:t>
            </w:r>
          </w:p>
          <w:p w:rsidR="00D27CCD" w:rsidRPr="00651044" w:rsidRDefault="00D27CCD" w:rsidP="00613394">
            <w:pPr>
              <w:jc w:val="center"/>
              <w:rPr>
                <w:b/>
                <w:bCs/>
                <w:i/>
                <w:iCs/>
                <w:sz w:val="20"/>
                <w:szCs w:val="20"/>
              </w:rPr>
            </w:pPr>
            <w:r w:rsidRPr="00651044">
              <w:rPr>
                <w:b/>
                <w:bCs/>
                <w:i/>
                <w:iCs/>
                <w:sz w:val="20"/>
                <w:szCs w:val="20"/>
              </w:rPr>
              <w:t>de arierate</w:t>
            </w:r>
          </w:p>
        </w:tc>
      </w:tr>
      <w:tr w:rsidR="00D27CCD" w:rsidRPr="00651044" w:rsidTr="00613394">
        <w:trPr>
          <w:trHeight w:val="163"/>
          <w:jc w:val="center"/>
        </w:trPr>
        <w:tc>
          <w:tcPr>
            <w:tcW w:w="643" w:type="dxa"/>
            <w:noWrap/>
            <w:hideMark/>
          </w:tcPr>
          <w:p w:rsidR="00D27CCD" w:rsidRPr="00A854A6" w:rsidRDefault="00695318" w:rsidP="00613394">
            <w:pPr>
              <w:jc w:val="center"/>
              <w:rPr>
                <w:b/>
                <w:sz w:val="20"/>
                <w:szCs w:val="20"/>
              </w:rPr>
            </w:pPr>
            <w:r w:rsidRPr="00A854A6">
              <w:rPr>
                <w:b/>
                <w:sz w:val="20"/>
                <w:szCs w:val="20"/>
              </w:rPr>
              <w:t>1.</w:t>
            </w:r>
          </w:p>
        </w:tc>
        <w:tc>
          <w:tcPr>
            <w:tcW w:w="4041" w:type="dxa"/>
            <w:hideMark/>
          </w:tcPr>
          <w:p w:rsidR="00D27CCD" w:rsidRPr="00651044" w:rsidRDefault="00D27CCD" w:rsidP="00931A58">
            <w:pPr>
              <w:rPr>
                <w:bCs/>
                <w:sz w:val="20"/>
                <w:szCs w:val="20"/>
              </w:rPr>
            </w:pPr>
            <w:r w:rsidRPr="00651044">
              <w:rPr>
                <w:bCs/>
                <w:sz w:val="20"/>
                <w:szCs w:val="20"/>
              </w:rPr>
              <w:t>S.A. „Răut”</w:t>
            </w:r>
          </w:p>
        </w:tc>
        <w:tc>
          <w:tcPr>
            <w:tcW w:w="2049" w:type="dxa"/>
          </w:tcPr>
          <w:p w:rsidR="00D27CCD" w:rsidRPr="00651044" w:rsidRDefault="00113F34" w:rsidP="00613394">
            <w:pPr>
              <w:jc w:val="center"/>
              <w:rPr>
                <w:bCs/>
                <w:sz w:val="20"/>
                <w:szCs w:val="20"/>
              </w:rPr>
            </w:pPr>
            <w:r w:rsidRPr="00651044">
              <w:rPr>
                <w:bCs/>
                <w:sz w:val="20"/>
                <w:szCs w:val="20"/>
              </w:rPr>
              <w:t>8,0</w:t>
            </w:r>
          </w:p>
        </w:tc>
        <w:tc>
          <w:tcPr>
            <w:tcW w:w="1647" w:type="dxa"/>
          </w:tcPr>
          <w:p w:rsidR="00D27CCD" w:rsidRPr="00651044" w:rsidRDefault="00113F34" w:rsidP="00613394">
            <w:pPr>
              <w:jc w:val="center"/>
              <w:rPr>
                <w:bCs/>
                <w:sz w:val="20"/>
                <w:szCs w:val="20"/>
              </w:rPr>
            </w:pPr>
            <w:r w:rsidRPr="00651044">
              <w:rPr>
                <w:bCs/>
                <w:sz w:val="20"/>
                <w:szCs w:val="20"/>
              </w:rPr>
              <w:t>0,0</w:t>
            </w:r>
            <w:r w:rsidR="00695318" w:rsidRPr="00651044">
              <w:rPr>
                <w:bCs/>
                <w:sz w:val="20"/>
                <w:szCs w:val="20"/>
              </w:rPr>
              <w:t>2</w:t>
            </w:r>
          </w:p>
        </w:tc>
      </w:tr>
      <w:tr w:rsidR="00113F34" w:rsidRPr="00651044" w:rsidTr="00613394">
        <w:trPr>
          <w:trHeight w:val="163"/>
          <w:jc w:val="center"/>
        </w:trPr>
        <w:tc>
          <w:tcPr>
            <w:tcW w:w="643" w:type="dxa"/>
            <w:noWrap/>
            <w:hideMark/>
          </w:tcPr>
          <w:p w:rsidR="00113F34" w:rsidRPr="00A854A6" w:rsidRDefault="00695318" w:rsidP="00613394">
            <w:pPr>
              <w:jc w:val="center"/>
              <w:rPr>
                <w:b/>
                <w:sz w:val="20"/>
                <w:szCs w:val="20"/>
              </w:rPr>
            </w:pPr>
            <w:r w:rsidRPr="00A854A6">
              <w:rPr>
                <w:b/>
                <w:sz w:val="20"/>
                <w:szCs w:val="20"/>
              </w:rPr>
              <w:t>2.</w:t>
            </w:r>
          </w:p>
        </w:tc>
        <w:tc>
          <w:tcPr>
            <w:tcW w:w="4041" w:type="dxa"/>
            <w:hideMark/>
          </w:tcPr>
          <w:p w:rsidR="00113F34" w:rsidRPr="00651044" w:rsidRDefault="00113F34" w:rsidP="00931A58">
            <w:pPr>
              <w:rPr>
                <w:bCs/>
                <w:sz w:val="20"/>
                <w:szCs w:val="20"/>
              </w:rPr>
            </w:pPr>
            <w:r w:rsidRPr="00651044">
              <w:rPr>
                <w:bCs/>
                <w:sz w:val="20"/>
                <w:szCs w:val="20"/>
              </w:rPr>
              <w:t>S.A. „FEE Nord”</w:t>
            </w:r>
          </w:p>
        </w:tc>
        <w:tc>
          <w:tcPr>
            <w:tcW w:w="2049" w:type="dxa"/>
          </w:tcPr>
          <w:p w:rsidR="00113F34" w:rsidRPr="00651044" w:rsidRDefault="00113F34" w:rsidP="00613394">
            <w:pPr>
              <w:jc w:val="center"/>
              <w:rPr>
                <w:bCs/>
                <w:sz w:val="20"/>
                <w:szCs w:val="20"/>
              </w:rPr>
            </w:pPr>
            <w:r w:rsidRPr="00651044">
              <w:rPr>
                <w:bCs/>
                <w:sz w:val="20"/>
                <w:szCs w:val="20"/>
              </w:rPr>
              <w:t>15,99</w:t>
            </w:r>
          </w:p>
        </w:tc>
        <w:tc>
          <w:tcPr>
            <w:tcW w:w="1647" w:type="dxa"/>
          </w:tcPr>
          <w:p w:rsidR="00113F34" w:rsidRPr="00651044" w:rsidRDefault="00113F34" w:rsidP="00613394">
            <w:pPr>
              <w:jc w:val="center"/>
              <w:rPr>
                <w:bCs/>
                <w:sz w:val="20"/>
                <w:szCs w:val="20"/>
              </w:rPr>
            </w:pPr>
            <w:r w:rsidRPr="00651044">
              <w:rPr>
                <w:bCs/>
                <w:sz w:val="20"/>
                <w:szCs w:val="20"/>
              </w:rPr>
              <w:t>-</w:t>
            </w:r>
          </w:p>
        </w:tc>
      </w:tr>
      <w:tr w:rsidR="00D27CCD" w:rsidRPr="00651044" w:rsidTr="00613394">
        <w:trPr>
          <w:trHeight w:val="163"/>
          <w:jc w:val="center"/>
        </w:trPr>
        <w:tc>
          <w:tcPr>
            <w:tcW w:w="643" w:type="dxa"/>
            <w:noWrap/>
            <w:hideMark/>
          </w:tcPr>
          <w:p w:rsidR="00D27CCD" w:rsidRPr="00A854A6" w:rsidRDefault="00695318" w:rsidP="00613394">
            <w:pPr>
              <w:jc w:val="center"/>
              <w:rPr>
                <w:b/>
                <w:sz w:val="20"/>
                <w:szCs w:val="20"/>
              </w:rPr>
            </w:pPr>
            <w:r w:rsidRPr="00A854A6">
              <w:rPr>
                <w:b/>
                <w:sz w:val="20"/>
                <w:szCs w:val="20"/>
              </w:rPr>
              <w:t>3.</w:t>
            </w:r>
          </w:p>
        </w:tc>
        <w:tc>
          <w:tcPr>
            <w:tcW w:w="4041" w:type="dxa"/>
            <w:hideMark/>
          </w:tcPr>
          <w:p w:rsidR="00D27CCD" w:rsidRPr="00651044" w:rsidRDefault="00D27CCD" w:rsidP="00931A58">
            <w:pPr>
              <w:rPr>
                <w:bCs/>
                <w:sz w:val="20"/>
                <w:szCs w:val="20"/>
              </w:rPr>
            </w:pPr>
            <w:r w:rsidRPr="00651044">
              <w:rPr>
                <w:bCs/>
                <w:sz w:val="20"/>
                <w:szCs w:val="20"/>
              </w:rPr>
              <w:t>S.A. „Tracom”</w:t>
            </w:r>
          </w:p>
        </w:tc>
        <w:tc>
          <w:tcPr>
            <w:tcW w:w="2049" w:type="dxa"/>
          </w:tcPr>
          <w:p w:rsidR="00D27CCD" w:rsidRPr="00651044" w:rsidRDefault="00D27CCD" w:rsidP="00613394">
            <w:pPr>
              <w:jc w:val="center"/>
              <w:rPr>
                <w:bCs/>
                <w:sz w:val="20"/>
                <w:szCs w:val="20"/>
              </w:rPr>
            </w:pPr>
            <w:r w:rsidRPr="00651044">
              <w:rPr>
                <w:bCs/>
                <w:sz w:val="20"/>
                <w:szCs w:val="20"/>
              </w:rPr>
              <w:t>4,5</w:t>
            </w:r>
          </w:p>
        </w:tc>
        <w:tc>
          <w:tcPr>
            <w:tcW w:w="1647" w:type="dxa"/>
          </w:tcPr>
          <w:p w:rsidR="00D27CCD" w:rsidRPr="00651044" w:rsidRDefault="00D27CCD" w:rsidP="00613394">
            <w:pPr>
              <w:jc w:val="center"/>
              <w:rPr>
                <w:bCs/>
                <w:sz w:val="20"/>
                <w:szCs w:val="20"/>
              </w:rPr>
            </w:pPr>
            <w:r w:rsidRPr="00651044">
              <w:rPr>
                <w:bCs/>
                <w:sz w:val="20"/>
                <w:szCs w:val="20"/>
              </w:rPr>
              <w:t>-</w:t>
            </w:r>
          </w:p>
        </w:tc>
      </w:tr>
      <w:tr w:rsidR="00D27CCD" w:rsidRPr="00651044" w:rsidTr="00613394">
        <w:trPr>
          <w:trHeight w:val="62"/>
          <w:jc w:val="center"/>
        </w:trPr>
        <w:tc>
          <w:tcPr>
            <w:tcW w:w="643" w:type="dxa"/>
            <w:noWrap/>
            <w:hideMark/>
          </w:tcPr>
          <w:p w:rsidR="00D27CCD" w:rsidRPr="00A854A6" w:rsidRDefault="00695318" w:rsidP="00613394">
            <w:pPr>
              <w:jc w:val="center"/>
              <w:rPr>
                <w:b/>
                <w:sz w:val="20"/>
                <w:szCs w:val="20"/>
              </w:rPr>
            </w:pPr>
            <w:r w:rsidRPr="00A854A6">
              <w:rPr>
                <w:b/>
                <w:sz w:val="20"/>
                <w:szCs w:val="20"/>
              </w:rPr>
              <w:t>4.</w:t>
            </w:r>
          </w:p>
        </w:tc>
        <w:tc>
          <w:tcPr>
            <w:tcW w:w="4041" w:type="dxa"/>
            <w:hideMark/>
          </w:tcPr>
          <w:p w:rsidR="00D27CCD" w:rsidRPr="00651044" w:rsidRDefault="00D27CCD" w:rsidP="00931A58">
            <w:pPr>
              <w:rPr>
                <w:bCs/>
                <w:sz w:val="20"/>
                <w:szCs w:val="20"/>
              </w:rPr>
            </w:pPr>
            <w:r w:rsidRPr="00651044">
              <w:rPr>
                <w:bCs/>
                <w:sz w:val="20"/>
                <w:szCs w:val="20"/>
              </w:rPr>
              <w:t>S.A. „Combinatul de Vinuri Cricova”</w:t>
            </w:r>
          </w:p>
        </w:tc>
        <w:tc>
          <w:tcPr>
            <w:tcW w:w="2049" w:type="dxa"/>
          </w:tcPr>
          <w:p w:rsidR="00D27CCD" w:rsidRPr="00651044" w:rsidRDefault="00113F34" w:rsidP="00613394">
            <w:pPr>
              <w:jc w:val="center"/>
              <w:rPr>
                <w:bCs/>
                <w:sz w:val="20"/>
                <w:szCs w:val="20"/>
              </w:rPr>
            </w:pPr>
            <w:r w:rsidRPr="00651044">
              <w:rPr>
                <w:bCs/>
                <w:sz w:val="20"/>
                <w:szCs w:val="20"/>
              </w:rPr>
              <w:t>244,4</w:t>
            </w:r>
          </w:p>
        </w:tc>
        <w:tc>
          <w:tcPr>
            <w:tcW w:w="1647" w:type="dxa"/>
          </w:tcPr>
          <w:p w:rsidR="00D27CCD" w:rsidRPr="00651044" w:rsidRDefault="00113F34" w:rsidP="00613394">
            <w:pPr>
              <w:jc w:val="center"/>
              <w:rPr>
                <w:bCs/>
                <w:sz w:val="20"/>
                <w:szCs w:val="20"/>
              </w:rPr>
            </w:pPr>
            <w:r w:rsidRPr="00651044">
              <w:rPr>
                <w:bCs/>
                <w:sz w:val="20"/>
                <w:szCs w:val="20"/>
              </w:rPr>
              <w:t>3,3</w:t>
            </w:r>
          </w:p>
        </w:tc>
      </w:tr>
      <w:tr w:rsidR="00D27CCD" w:rsidRPr="00651044" w:rsidTr="00613394">
        <w:trPr>
          <w:trHeight w:val="62"/>
          <w:jc w:val="center"/>
        </w:trPr>
        <w:tc>
          <w:tcPr>
            <w:tcW w:w="643" w:type="dxa"/>
            <w:noWrap/>
            <w:hideMark/>
          </w:tcPr>
          <w:p w:rsidR="00D27CCD" w:rsidRPr="00A854A6" w:rsidRDefault="00695318" w:rsidP="00613394">
            <w:pPr>
              <w:jc w:val="center"/>
              <w:rPr>
                <w:b/>
                <w:sz w:val="20"/>
                <w:szCs w:val="20"/>
              </w:rPr>
            </w:pPr>
            <w:r w:rsidRPr="00A854A6">
              <w:rPr>
                <w:b/>
                <w:sz w:val="20"/>
                <w:szCs w:val="20"/>
              </w:rPr>
              <w:lastRenderedPageBreak/>
              <w:t>5.</w:t>
            </w:r>
          </w:p>
        </w:tc>
        <w:tc>
          <w:tcPr>
            <w:tcW w:w="4041" w:type="dxa"/>
            <w:hideMark/>
          </w:tcPr>
          <w:p w:rsidR="00D27CCD" w:rsidRPr="00651044" w:rsidRDefault="00D27CCD" w:rsidP="00931A58">
            <w:pPr>
              <w:rPr>
                <w:bCs/>
                <w:sz w:val="20"/>
                <w:szCs w:val="20"/>
              </w:rPr>
            </w:pPr>
            <w:r w:rsidRPr="00651044">
              <w:rPr>
                <w:bCs/>
                <w:sz w:val="20"/>
                <w:szCs w:val="20"/>
              </w:rPr>
              <w:t>S.A. „Aqua-Prut”</w:t>
            </w:r>
          </w:p>
        </w:tc>
        <w:tc>
          <w:tcPr>
            <w:tcW w:w="2049" w:type="dxa"/>
          </w:tcPr>
          <w:p w:rsidR="00D27CCD" w:rsidRPr="00651044" w:rsidRDefault="00113F34" w:rsidP="00613394">
            <w:pPr>
              <w:jc w:val="center"/>
              <w:rPr>
                <w:bCs/>
                <w:sz w:val="20"/>
                <w:szCs w:val="20"/>
              </w:rPr>
            </w:pPr>
            <w:r w:rsidRPr="00651044">
              <w:rPr>
                <w:bCs/>
                <w:sz w:val="20"/>
                <w:szCs w:val="20"/>
              </w:rPr>
              <w:t>1,6</w:t>
            </w:r>
          </w:p>
        </w:tc>
        <w:tc>
          <w:tcPr>
            <w:tcW w:w="1647" w:type="dxa"/>
          </w:tcPr>
          <w:p w:rsidR="00D27CCD" w:rsidRPr="00651044" w:rsidRDefault="00D27CCD" w:rsidP="00613394">
            <w:pPr>
              <w:jc w:val="center"/>
              <w:rPr>
                <w:bCs/>
                <w:sz w:val="20"/>
                <w:szCs w:val="20"/>
              </w:rPr>
            </w:pPr>
            <w:r w:rsidRPr="00651044">
              <w:rPr>
                <w:bCs/>
                <w:sz w:val="20"/>
                <w:szCs w:val="20"/>
              </w:rPr>
              <w:t>-</w:t>
            </w:r>
          </w:p>
        </w:tc>
      </w:tr>
      <w:tr w:rsidR="00D27CCD" w:rsidRPr="00651044" w:rsidTr="00613394">
        <w:trPr>
          <w:trHeight w:val="62"/>
          <w:jc w:val="center"/>
        </w:trPr>
        <w:tc>
          <w:tcPr>
            <w:tcW w:w="643" w:type="dxa"/>
            <w:noWrap/>
            <w:hideMark/>
          </w:tcPr>
          <w:p w:rsidR="00D27CCD" w:rsidRPr="00A854A6" w:rsidRDefault="00695318" w:rsidP="00613394">
            <w:pPr>
              <w:jc w:val="center"/>
              <w:rPr>
                <w:b/>
                <w:sz w:val="20"/>
                <w:szCs w:val="20"/>
              </w:rPr>
            </w:pPr>
            <w:r w:rsidRPr="00A854A6">
              <w:rPr>
                <w:b/>
                <w:sz w:val="20"/>
                <w:szCs w:val="20"/>
              </w:rPr>
              <w:t>6.</w:t>
            </w:r>
          </w:p>
        </w:tc>
        <w:tc>
          <w:tcPr>
            <w:tcW w:w="4041" w:type="dxa"/>
            <w:hideMark/>
          </w:tcPr>
          <w:p w:rsidR="00D27CCD" w:rsidRPr="00651044" w:rsidRDefault="00D27CCD" w:rsidP="00931A58">
            <w:pPr>
              <w:rPr>
                <w:bCs/>
                <w:sz w:val="20"/>
                <w:szCs w:val="20"/>
              </w:rPr>
            </w:pPr>
            <w:r w:rsidRPr="00651044">
              <w:rPr>
                <w:bCs/>
                <w:sz w:val="20"/>
                <w:szCs w:val="20"/>
              </w:rPr>
              <w:t>S.A. „Barza Albă”</w:t>
            </w:r>
          </w:p>
        </w:tc>
        <w:tc>
          <w:tcPr>
            <w:tcW w:w="2049" w:type="dxa"/>
          </w:tcPr>
          <w:p w:rsidR="00D27CCD" w:rsidRPr="00651044" w:rsidRDefault="00113F34" w:rsidP="00613394">
            <w:pPr>
              <w:jc w:val="center"/>
              <w:rPr>
                <w:bCs/>
                <w:sz w:val="20"/>
                <w:szCs w:val="20"/>
              </w:rPr>
            </w:pPr>
            <w:r w:rsidRPr="00651044">
              <w:rPr>
                <w:bCs/>
                <w:sz w:val="20"/>
                <w:szCs w:val="20"/>
              </w:rPr>
              <w:t>3,7</w:t>
            </w:r>
          </w:p>
        </w:tc>
        <w:tc>
          <w:tcPr>
            <w:tcW w:w="1647" w:type="dxa"/>
          </w:tcPr>
          <w:p w:rsidR="00D27CCD" w:rsidRPr="00651044" w:rsidRDefault="00D27CCD" w:rsidP="00613394">
            <w:pPr>
              <w:jc w:val="center"/>
              <w:rPr>
                <w:bCs/>
                <w:sz w:val="20"/>
                <w:szCs w:val="20"/>
              </w:rPr>
            </w:pPr>
            <w:r w:rsidRPr="00651044">
              <w:rPr>
                <w:bCs/>
                <w:sz w:val="20"/>
                <w:szCs w:val="20"/>
              </w:rPr>
              <w:t>-</w:t>
            </w:r>
          </w:p>
        </w:tc>
      </w:tr>
      <w:tr w:rsidR="00D27CCD" w:rsidRPr="00651044" w:rsidTr="00613394">
        <w:trPr>
          <w:trHeight w:val="62"/>
          <w:jc w:val="center"/>
        </w:trPr>
        <w:tc>
          <w:tcPr>
            <w:tcW w:w="643" w:type="dxa"/>
            <w:noWrap/>
            <w:hideMark/>
          </w:tcPr>
          <w:p w:rsidR="00D27CCD" w:rsidRPr="00A854A6" w:rsidRDefault="00695318" w:rsidP="00613394">
            <w:pPr>
              <w:jc w:val="center"/>
              <w:rPr>
                <w:b/>
                <w:sz w:val="20"/>
                <w:szCs w:val="20"/>
              </w:rPr>
            </w:pPr>
            <w:r w:rsidRPr="00A854A6">
              <w:rPr>
                <w:b/>
                <w:sz w:val="20"/>
                <w:szCs w:val="20"/>
              </w:rPr>
              <w:t>7.</w:t>
            </w:r>
          </w:p>
        </w:tc>
        <w:tc>
          <w:tcPr>
            <w:tcW w:w="4041" w:type="dxa"/>
            <w:hideMark/>
          </w:tcPr>
          <w:p w:rsidR="00D27CCD" w:rsidRPr="00651044" w:rsidRDefault="00D27CCD" w:rsidP="00931A58">
            <w:pPr>
              <w:rPr>
                <w:bCs/>
                <w:sz w:val="20"/>
                <w:szCs w:val="20"/>
              </w:rPr>
            </w:pPr>
            <w:r w:rsidRPr="00651044">
              <w:rPr>
                <w:bCs/>
                <w:sz w:val="20"/>
                <w:szCs w:val="20"/>
              </w:rPr>
              <w:t>S.A. „Moldtelecom”</w:t>
            </w:r>
          </w:p>
        </w:tc>
        <w:tc>
          <w:tcPr>
            <w:tcW w:w="2049" w:type="dxa"/>
          </w:tcPr>
          <w:p w:rsidR="00D27CCD" w:rsidRPr="00651044" w:rsidRDefault="00113F34" w:rsidP="00613394">
            <w:pPr>
              <w:jc w:val="center"/>
              <w:rPr>
                <w:bCs/>
                <w:sz w:val="20"/>
                <w:szCs w:val="20"/>
              </w:rPr>
            </w:pPr>
            <w:r w:rsidRPr="00651044">
              <w:rPr>
                <w:bCs/>
                <w:sz w:val="20"/>
                <w:szCs w:val="20"/>
              </w:rPr>
              <w:t>695,6</w:t>
            </w:r>
          </w:p>
        </w:tc>
        <w:tc>
          <w:tcPr>
            <w:tcW w:w="1647" w:type="dxa"/>
          </w:tcPr>
          <w:p w:rsidR="00D27CCD" w:rsidRPr="00651044" w:rsidRDefault="00113F34" w:rsidP="00613394">
            <w:pPr>
              <w:jc w:val="center"/>
              <w:rPr>
                <w:bCs/>
                <w:sz w:val="20"/>
                <w:szCs w:val="20"/>
              </w:rPr>
            </w:pPr>
            <w:r w:rsidRPr="00651044">
              <w:rPr>
                <w:bCs/>
                <w:sz w:val="20"/>
                <w:szCs w:val="20"/>
              </w:rPr>
              <w:t>0,1</w:t>
            </w:r>
          </w:p>
        </w:tc>
      </w:tr>
      <w:tr w:rsidR="00D27CCD" w:rsidRPr="00651044" w:rsidTr="00613394">
        <w:trPr>
          <w:trHeight w:val="62"/>
          <w:jc w:val="center"/>
        </w:trPr>
        <w:tc>
          <w:tcPr>
            <w:tcW w:w="643" w:type="dxa"/>
            <w:noWrap/>
            <w:hideMark/>
          </w:tcPr>
          <w:p w:rsidR="00D27CCD" w:rsidRPr="00A854A6" w:rsidRDefault="00695318" w:rsidP="00613394">
            <w:pPr>
              <w:jc w:val="center"/>
              <w:rPr>
                <w:b/>
                <w:sz w:val="20"/>
                <w:szCs w:val="20"/>
              </w:rPr>
            </w:pPr>
            <w:r w:rsidRPr="00A854A6">
              <w:rPr>
                <w:b/>
                <w:sz w:val="20"/>
                <w:szCs w:val="20"/>
              </w:rPr>
              <w:t>8.</w:t>
            </w:r>
          </w:p>
        </w:tc>
        <w:tc>
          <w:tcPr>
            <w:tcW w:w="4041" w:type="dxa"/>
            <w:hideMark/>
          </w:tcPr>
          <w:p w:rsidR="00D27CCD" w:rsidRPr="00651044" w:rsidRDefault="00D27CCD" w:rsidP="00931A58">
            <w:pPr>
              <w:rPr>
                <w:bCs/>
                <w:sz w:val="20"/>
                <w:szCs w:val="20"/>
              </w:rPr>
            </w:pPr>
            <w:r w:rsidRPr="00651044">
              <w:rPr>
                <w:bCs/>
                <w:sz w:val="20"/>
                <w:szCs w:val="20"/>
              </w:rPr>
              <w:t>S.A. „Franzelu</w:t>
            </w:r>
            <w:r w:rsidR="00253020" w:rsidRPr="00651044">
              <w:rPr>
                <w:bCs/>
                <w:sz w:val="20"/>
                <w:szCs w:val="20"/>
              </w:rPr>
              <w:t>ţ</w:t>
            </w:r>
            <w:r w:rsidRPr="00651044">
              <w:rPr>
                <w:bCs/>
                <w:sz w:val="20"/>
                <w:szCs w:val="20"/>
              </w:rPr>
              <w:t>a”</w:t>
            </w:r>
          </w:p>
        </w:tc>
        <w:tc>
          <w:tcPr>
            <w:tcW w:w="2049" w:type="dxa"/>
          </w:tcPr>
          <w:p w:rsidR="00D27CCD" w:rsidRPr="00651044" w:rsidRDefault="00113F34" w:rsidP="00613394">
            <w:pPr>
              <w:jc w:val="center"/>
              <w:rPr>
                <w:bCs/>
                <w:sz w:val="20"/>
                <w:szCs w:val="20"/>
              </w:rPr>
            </w:pPr>
            <w:r w:rsidRPr="00651044">
              <w:rPr>
                <w:bCs/>
                <w:sz w:val="20"/>
                <w:szCs w:val="20"/>
              </w:rPr>
              <w:t>102,0</w:t>
            </w:r>
          </w:p>
        </w:tc>
        <w:tc>
          <w:tcPr>
            <w:tcW w:w="1647" w:type="dxa"/>
          </w:tcPr>
          <w:p w:rsidR="00D27CCD" w:rsidRPr="00651044" w:rsidRDefault="00D27CCD" w:rsidP="00613394">
            <w:pPr>
              <w:jc w:val="center"/>
              <w:rPr>
                <w:bCs/>
                <w:sz w:val="20"/>
                <w:szCs w:val="20"/>
              </w:rPr>
            </w:pPr>
            <w:r w:rsidRPr="00651044">
              <w:rPr>
                <w:bCs/>
                <w:sz w:val="20"/>
                <w:szCs w:val="20"/>
              </w:rPr>
              <w:t>-</w:t>
            </w:r>
          </w:p>
        </w:tc>
      </w:tr>
      <w:tr w:rsidR="00D27CCD" w:rsidRPr="00651044" w:rsidTr="00613394">
        <w:trPr>
          <w:trHeight w:val="62"/>
          <w:jc w:val="center"/>
        </w:trPr>
        <w:tc>
          <w:tcPr>
            <w:tcW w:w="643" w:type="dxa"/>
            <w:noWrap/>
            <w:hideMark/>
          </w:tcPr>
          <w:p w:rsidR="00D27CCD" w:rsidRPr="00A854A6" w:rsidRDefault="00695318" w:rsidP="00613394">
            <w:pPr>
              <w:jc w:val="center"/>
              <w:rPr>
                <w:b/>
                <w:sz w:val="20"/>
                <w:szCs w:val="20"/>
              </w:rPr>
            </w:pPr>
            <w:r w:rsidRPr="00A854A6">
              <w:rPr>
                <w:b/>
                <w:sz w:val="20"/>
                <w:szCs w:val="20"/>
              </w:rPr>
              <w:t>9.</w:t>
            </w:r>
          </w:p>
        </w:tc>
        <w:tc>
          <w:tcPr>
            <w:tcW w:w="4041" w:type="dxa"/>
            <w:hideMark/>
          </w:tcPr>
          <w:p w:rsidR="00D27CCD" w:rsidRPr="00651044" w:rsidRDefault="00D27CCD" w:rsidP="00931A58">
            <w:pPr>
              <w:rPr>
                <w:bCs/>
                <w:sz w:val="20"/>
                <w:szCs w:val="20"/>
              </w:rPr>
            </w:pPr>
            <w:r w:rsidRPr="00651044">
              <w:rPr>
                <w:bCs/>
                <w:sz w:val="20"/>
                <w:szCs w:val="20"/>
              </w:rPr>
              <w:t>S.A. „Moldova-Film”</w:t>
            </w:r>
          </w:p>
        </w:tc>
        <w:tc>
          <w:tcPr>
            <w:tcW w:w="2049" w:type="dxa"/>
          </w:tcPr>
          <w:p w:rsidR="00D27CCD" w:rsidRPr="00651044" w:rsidRDefault="00113F34" w:rsidP="00613394">
            <w:pPr>
              <w:jc w:val="center"/>
              <w:rPr>
                <w:bCs/>
                <w:sz w:val="20"/>
                <w:szCs w:val="20"/>
              </w:rPr>
            </w:pPr>
            <w:r w:rsidRPr="00651044">
              <w:rPr>
                <w:bCs/>
                <w:sz w:val="20"/>
                <w:szCs w:val="20"/>
              </w:rPr>
              <w:t>0,04</w:t>
            </w:r>
          </w:p>
        </w:tc>
        <w:tc>
          <w:tcPr>
            <w:tcW w:w="1647" w:type="dxa"/>
          </w:tcPr>
          <w:p w:rsidR="00D27CCD" w:rsidRPr="00651044" w:rsidRDefault="00D27CCD" w:rsidP="00613394">
            <w:pPr>
              <w:jc w:val="center"/>
              <w:rPr>
                <w:bCs/>
                <w:sz w:val="20"/>
                <w:szCs w:val="20"/>
              </w:rPr>
            </w:pPr>
            <w:r w:rsidRPr="00651044">
              <w:rPr>
                <w:bCs/>
                <w:sz w:val="20"/>
                <w:szCs w:val="20"/>
              </w:rPr>
              <w:t>-</w:t>
            </w:r>
          </w:p>
        </w:tc>
      </w:tr>
      <w:tr w:rsidR="00D27CCD" w:rsidRPr="00651044" w:rsidTr="00613394">
        <w:trPr>
          <w:trHeight w:val="62"/>
          <w:jc w:val="center"/>
        </w:trPr>
        <w:tc>
          <w:tcPr>
            <w:tcW w:w="643" w:type="dxa"/>
            <w:noWrap/>
            <w:hideMark/>
          </w:tcPr>
          <w:p w:rsidR="00D27CCD" w:rsidRPr="00A854A6" w:rsidRDefault="00695318" w:rsidP="00613394">
            <w:pPr>
              <w:jc w:val="center"/>
              <w:rPr>
                <w:b/>
                <w:sz w:val="20"/>
                <w:szCs w:val="20"/>
              </w:rPr>
            </w:pPr>
            <w:r w:rsidRPr="00A854A6">
              <w:rPr>
                <w:b/>
                <w:sz w:val="20"/>
                <w:szCs w:val="20"/>
              </w:rPr>
              <w:t>10.</w:t>
            </w:r>
          </w:p>
        </w:tc>
        <w:tc>
          <w:tcPr>
            <w:tcW w:w="4041" w:type="dxa"/>
            <w:hideMark/>
          </w:tcPr>
          <w:p w:rsidR="00D27CCD" w:rsidRPr="00651044" w:rsidRDefault="00D27CCD" w:rsidP="00931A58">
            <w:pPr>
              <w:rPr>
                <w:bCs/>
                <w:sz w:val="20"/>
                <w:szCs w:val="20"/>
              </w:rPr>
            </w:pPr>
            <w:r w:rsidRPr="00651044">
              <w:rPr>
                <w:bCs/>
                <w:sz w:val="20"/>
                <w:szCs w:val="20"/>
              </w:rPr>
              <w:t>S.A. „Sanfarm Prim”</w:t>
            </w:r>
          </w:p>
        </w:tc>
        <w:tc>
          <w:tcPr>
            <w:tcW w:w="2049" w:type="dxa"/>
          </w:tcPr>
          <w:p w:rsidR="00D27CCD" w:rsidRPr="00651044" w:rsidRDefault="00113F34" w:rsidP="00613394">
            <w:pPr>
              <w:jc w:val="center"/>
              <w:rPr>
                <w:bCs/>
                <w:sz w:val="20"/>
                <w:szCs w:val="20"/>
              </w:rPr>
            </w:pPr>
            <w:r w:rsidRPr="00651044">
              <w:rPr>
                <w:bCs/>
                <w:sz w:val="20"/>
                <w:szCs w:val="20"/>
              </w:rPr>
              <w:t>26,3</w:t>
            </w:r>
          </w:p>
        </w:tc>
        <w:tc>
          <w:tcPr>
            <w:tcW w:w="1647" w:type="dxa"/>
          </w:tcPr>
          <w:p w:rsidR="00D27CCD" w:rsidRPr="00651044" w:rsidRDefault="00D27CCD" w:rsidP="00613394">
            <w:pPr>
              <w:jc w:val="center"/>
              <w:rPr>
                <w:bCs/>
                <w:sz w:val="20"/>
                <w:szCs w:val="20"/>
              </w:rPr>
            </w:pPr>
            <w:r w:rsidRPr="00651044">
              <w:rPr>
                <w:bCs/>
                <w:sz w:val="20"/>
                <w:szCs w:val="20"/>
              </w:rPr>
              <w:t>-</w:t>
            </w:r>
          </w:p>
        </w:tc>
      </w:tr>
      <w:tr w:rsidR="00D27CCD" w:rsidRPr="00651044" w:rsidTr="00613394">
        <w:trPr>
          <w:trHeight w:val="62"/>
          <w:jc w:val="center"/>
        </w:trPr>
        <w:tc>
          <w:tcPr>
            <w:tcW w:w="643" w:type="dxa"/>
            <w:noWrap/>
            <w:hideMark/>
          </w:tcPr>
          <w:p w:rsidR="00D27CCD" w:rsidRPr="00A854A6" w:rsidRDefault="00695318" w:rsidP="00613394">
            <w:pPr>
              <w:jc w:val="center"/>
              <w:rPr>
                <w:b/>
                <w:sz w:val="20"/>
                <w:szCs w:val="20"/>
              </w:rPr>
            </w:pPr>
            <w:r w:rsidRPr="00A854A6">
              <w:rPr>
                <w:b/>
                <w:sz w:val="20"/>
                <w:szCs w:val="20"/>
              </w:rPr>
              <w:t>11.</w:t>
            </w:r>
          </w:p>
        </w:tc>
        <w:tc>
          <w:tcPr>
            <w:tcW w:w="4041" w:type="dxa"/>
            <w:hideMark/>
          </w:tcPr>
          <w:p w:rsidR="00D27CCD" w:rsidRPr="00651044" w:rsidRDefault="00D27CCD" w:rsidP="00931A58">
            <w:pPr>
              <w:rPr>
                <w:bCs/>
                <w:sz w:val="20"/>
                <w:szCs w:val="20"/>
              </w:rPr>
            </w:pPr>
            <w:r w:rsidRPr="00651044">
              <w:rPr>
                <w:bCs/>
                <w:sz w:val="20"/>
                <w:szCs w:val="20"/>
              </w:rPr>
              <w:t>S.A. „Floare-Carpet”</w:t>
            </w:r>
          </w:p>
        </w:tc>
        <w:tc>
          <w:tcPr>
            <w:tcW w:w="2049" w:type="dxa"/>
          </w:tcPr>
          <w:p w:rsidR="00D27CCD" w:rsidRPr="00651044" w:rsidRDefault="00113F34" w:rsidP="00613394">
            <w:pPr>
              <w:jc w:val="center"/>
              <w:rPr>
                <w:bCs/>
                <w:sz w:val="20"/>
                <w:szCs w:val="20"/>
              </w:rPr>
            </w:pPr>
            <w:r w:rsidRPr="00651044">
              <w:rPr>
                <w:bCs/>
                <w:sz w:val="20"/>
                <w:szCs w:val="20"/>
              </w:rPr>
              <w:t>1,5</w:t>
            </w:r>
          </w:p>
        </w:tc>
        <w:tc>
          <w:tcPr>
            <w:tcW w:w="1647" w:type="dxa"/>
          </w:tcPr>
          <w:p w:rsidR="00D27CCD" w:rsidRPr="00651044" w:rsidRDefault="00113F34" w:rsidP="00613394">
            <w:pPr>
              <w:jc w:val="center"/>
              <w:rPr>
                <w:bCs/>
                <w:sz w:val="20"/>
                <w:szCs w:val="20"/>
              </w:rPr>
            </w:pPr>
            <w:r w:rsidRPr="00651044">
              <w:rPr>
                <w:bCs/>
                <w:sz w:val="20"/>
                <w:szCs w:val="20"/>
              </w:rPr>
              <w:t>0,1</w:t>
            </w:r>
          </w:p>
        </w:tc>
      </w:tr>
      <w:tr w:rsidR="00D27CCD" w:rsidRPr="00651044" w:rsidTr="00613394">
        <w:trPr>
          <w:trHeight w:val="62"/>
          <w:jc w:val="center"/>
        </w:trPr>
        <w:tc>
          <w:tcPr>
            <w:tcW w:w="643" w:type="dxa"/>
            <w:noWrap/>
            <w:hideMark/>
          </w:tcPr>
          <w:p w:rsidR="00D27CCD" w:rsidRPr="00A854A6" w:rsidRDefault="00695318" w:rsidP="00613394">
            <w:pPr>
              <w:jc w:val="center"/>
              <w:rPr>
                <w:b/>
                <w:sz w:val="20"/>
                <w:szCs w:val="20"/>
              </w:rPr>
            </w:pPr>
            <w:r w:rsidRPr="00A854A6">
              <w:rPr>
                <w:b/>
                <w:sz w:val="20"/>
                <w:szCs w:val="20"/>
              </w:rPr>
              <w:t>12.</w:t>
            </w:r>
          </w:p>
        </w:tc>
        <w:tc>
          <w:tcPr>
            <w:tcW w:w="4041" w:type="dxa"/>
            <w:hideMark/>
          </w:tcPr>
          <w:p w:rsidR="00D27CCD" w:rsidRPr="00651044" w:rsidRDefault="00D27CCD" w:rsidP="00931A58">
            <w:pPr>
              <w:rPr>
                <w:bCs/>
                <w:sz w:val="20"/>
                <w:szCs w:val="20"/>
              </w:rPr>
            </w:pPr>
            <w:r w:rsidRPr="00651044">
              <w:rPr>
                <w:bCs/>
                <w:sz w:val="20"/>
                <w:szCs w:val="20"/>
              </w:rPr>
              <w:t>S.A. „Red Nord-Vest”</w:t>
            </w:r>
          </w:p>
        </w:tc>
        <w:tc>
          <w:tcPr>
            <w:tcW w:w="2049" w:type="dxa"/>
          </w:tcPr>
          <w:p w:rsidR="00D27CCD" w:rsidRPr="00651044" w:rsidRDefault="00113F34" w:rsidP="00613394">
            <w:pPr>
              <w:jc w:val="center"/>
              <w:rPr>
                <w:bCs/>
                <w:sz w:val="20"/>
                <w:szCs w:val="20"/>
              </w:rPr>
            </w:pPr>
            <w:r w:rsidRPr="00651044">
              <w:rPr>
                <w:bCs/>
                <w:sz w:val="20"/>
                <w:szCs w:val="20"/>
              </w:rPr>
              <w:t>33,3</w:t>
            </w:r>
          </w:p>
        </w:tc>
        <w:tc>
          <w:tcPr>
            <w:tcW w:w="1647" w:type="dxa"/>
          </w:tcPr>
          <w:p w:rsidR="00D27CCD" w:rsidRPr="00651044" w:rsidRDefault="00D27CCD" w:rsidP="00613394">
            <w:pPr>
              <w:jc w:val="center"/>
              <w:rPr>
                <w:bCs/>
                <w:sz w:val="20"/>
                <w:szCs w:val="20"/>
              </w:rPr>
            </w:pPr>
            <w:r w:rsidRPr="00651044">
              <w:rPr>
                <w:bCs/>
                <w:sz w:val="20"/>
                <w:szCs w:val="20"/>
              </w:rPr>
              <w:t>-</w:t>
            </w:r>
          </w:p>
        </w:tc>
      </w:tr>
      <w:tr w:rsidR="00113F34" w:rsidRPr="00651044" w:rsidTr="00613394">
        <w:trPr>
          <w:trHeight w:val="62"/>
          <w:jc w:val="center"/>
        </w:trPr>
        <w:tc>
          <w:tcPr>
            <w:tcW w:w="643" w:type="dxa"/>
            <w:noWrap/>
            <w:hideMark/>
          </w:tcPr>
          <w:p w:rsidR="00113F34" w:rsidRPr="00A854A6" w:rsidRDefault="00695318" w:rsidP="00613394">
            <w:pPr>
              <w:jc w:val="center"/>
              <w:rPr>
                <w:b/>
                <w:sz w:val="20"/>
                <w:szCs w:val="20"/>
              </w:rPr>
            </w:pPr>
            <w:r w:rsidRPr="00A854A6">
              <w:rPr>
                <w:b/>
                <w:sz w:val="20"/>
                <w:szCs w:val="20"/>
              </w:rPr>
              <w:t>13.</w:t>
            </w:r>
          </w:p>
        </w:tc>
        <w:tc>
          <w:tcPr>
            <w:tcW w:w="4041" w:type="dxa"/>
            <w:hideMark/>
          </w:tcPr>
          <w:p w:rsidR="00113F34" w:rsidRPr="00651044" w:rsidRDefault="00113F34" w:rsidP="00931A58">
            <w:pPr>
              <w:rPr>
                <w:bCs/>
                <w:sz w:val="20"/>
                <w:szCs w:val="20"/>
              </w:rPr>
            </w:pPr>
            <w:r w:rsidRPr="00651044">
              <w:rPr>
                <w:bCs/>
                <w:sz w:val="20"/>
                <w:szCs w:val="20"/>
              </w:rPr>
              <w:t>S.A. „Termoelectrica”</w:t>
            </w:r>
          </w:p>
        </w:tc>
        <w:tc>
          <w:tcPr>
            <w:tcW w:w="2049" w:type="dxa"/>
          </w:tcPr>
          <w:p w:rsidR="00113F34" w:rsidRPr="00651044" w:rsidRDefault="00113F34" w:rsidP="00613394">
            <w:pPr>
              <w:jc w:val="center"/>
              <w:rPr>
                <w:bCs/>
                <w:sz w:val="20"/>
                <w:szCs w:val="20"/>
              </w:rPr>
            </w:pPr>
            <w:r w:rsidRPr="00651044">
              <w:rPr>
                <w:bCs/>
                <w:sz w:val="20"/>
                <w:szCs w:val="20"/>
              </w:rPr>
              <w:t>52,0</w:t>
            </w:r>
          </w:p>
        </w:tc>
        <w:tc>
          <w:tcPr>
            <w:tcW w:w="1647" w:type="dxa"/>
          </w:tcPr>
          <w:p w:rsidR="00113F34" w:rsidRPr="00651044" w:rsidRDefault="00113F34" w:rsidP="00613394">
            <w:pPr>
              <w:jc w:val="center"/>
              <w:rPr>
                <w:bCs/>
                <w:sz w:val="20"/>
                <w:szCs w:val="20"/>
              </w:rPr>
            </w:pPr>
            <w:r w:rsidRPr="00651044">
              <w:rPr>
                <w:bCs/>
                <w:sz w:val="20"/>
                <w:szCs w:val="20"/>
              </w:rPr>
              <w:t>-</w:t>
            </w:r>
          </w:p>
        </w:tc>
      </w:tr>
      <w:tr w:rsidR="00652D12" w:rsidRPr="00651044" w:rsidTr="00613394">
        <w:trPr>
          <w:trHeight w:val="62"/>
          <w:jc w:val="center"/>
        </w:trPr>
        <w:tc>
          <w:tcPr>
            <w:tcW w:w="4684" w:type="dxa"/>
            <w:gridSpan w:val="2"/>
            <w:noWrap/>
            <w:hideMark/>
          </w:tcPr>
          <w:p w:rsidR="00652D12" w:rsidRPr="00651044" w:rsidRDefault="00652D12" w:rsidP="00931A58">
            <w:pPr>
              <w:rPr>
                <w:b/>
                <w:bCs/>
                <w:sz w:val="20"/>
                <w:szCs w:val="20"/>
              </w:rPr>
            </w:pPr>
            <w:r w:rsidRPr="00651044">
              <w:rPr>
                <w:b/>
                <w:bCs/>
                <w:sz w:val="20"/>
                <w:szCs w:val="20"/>
              </w:rPr>
              <w:t>Total</w:t>
            </w:r>
          </w:p>
        </w:tc>
        <w:tc>
          <w:tcPr>
            <w:tcW w:w="2049" w:type="dxa"/>
          </w:tcPr>
          <w:p w:rsidR="00652D12" w:rsidRPr="00651044" w:rsidRDefault="00695318" w:rsidP="00613394">
            <w:pPr>
              <w:jc w:val="center"/>
              <w:rPr>
                <w:b/>
                <w:bCs/>
                <w:sz w:val="20"/>
                <w:szCs w:val="20"/>
              </w:rPr>
            </w:pPr>
            <w:r w:rsidRPr="00651044">
              <w:rPr>
                <w:b/>
                <w:bCs/>
                <w:sz w:val="20"/>
                <w:szCs w:val="20"/>
              </w:rPr>
              <w:t>1 188,93</w:t>
            </w:r>
          </w:p>
        </w:tc>
        <w:tc>
          <w:tcPr>
            <w:tcW w:w="1647" w:type="dxa"/>
          </w:tcPr>
          <w:p w:rsidR="00652D12" w:rsidRPr="00651044" w:rsidRDefault="00695318" w:rsidP="00613394">
            <w:pPr>
              <w:jc w:val="center"/>
              <w:rPr>
                <w:b/>
                <w:bCs/>
                <w:sz w:val="20"/>
                <w:szCs w:val="20"/>
              </w:rPr>
            </w:pPr>
            <w:r w:rsidRPr="00651044">
              <w:rPr>
                <w:b/>
                <w:bCs/>
                <w:sz w:val="20"/>
                <w:szCs w:val="20"/>
              </w:rPr>
              <w:t>3,52</w:t>
            </w:r>
          </w:p>
        </w:tc>
      </w:tr>
    </w:tbl>
    <w:p w:rsidR="00D27CCD" w:rsidRPr="00651044" w:rsidRDefault="00D27CCD" w:rsidP="00D27CCD">
      <w:pPr>
        <w:spacing w:line="276" w:lineRule="auto"/>
        <w:ind w:firstLine="567"/>
        <w:jc w:val="both"/>
        <w:rPr>
          <w:color w:val="FF0000"/>
          <w:sz w:val="28"/>
          <w:szCs w:val="28"/>
        </w:rPr>
      </w:pPr>
    </w:p>
    <w:p w:rsidR="00D27CCD" w:rsidRPr="00651044" w:rsidRDefault="00D27CCD" w:rsidP="00D27CCD">
      <w:pPr>
        <w:spacing w:line="276" w:lineRule="auto"/>
        <w:ind w:firstLine="567"/>
        <w:jc w:val="both"/>
        <w:rPr>
          <w:bCs/>
          <w:sz w:val="28"/>
          <w:szCs w:val="28"/>
        </w:rPr>
      </w:pPr>
      <w:r w:rsidRPr="00651044">
        <w:rPr>
          <w:sz w:val="28"/>
          <w:szCs w:val="28"/>
        </w:rPr>
        <w:t xml:space="preserve">De asemenea, potrivit informaţiilor privind </w:t>
      </w:r>
      <w:r w:rsidRPr="00651044">
        <w:rPr>
          <w:i/>
          <w:sz w:val="28"/>
          <w:szCs w:val="28"/>
        </w:rPr>
        <w:t>fluxul şi stocul împrumuturilor externe</w:t>
      </w:r>
      <w:r w:rsidRPr="00651044">
        <w:rPr>
          <w:sz w:val="28"/>
          <w:szCs w:val="28"/>
        </w:rPr>
        <w:t xml:space="preserve"> ale societăţilor pe acţiuni</w:t>
      </w:r>
      <w:r w:rsidR="00695318" w:rsidRPr="00651044">
        <w:rPr>
          <w:sz w:val="28"/>
          <w:szCs w:val="28"/>
        </w:rPr>
        <w:t xml:space="preserve"> monitorizate</w:t>
      </w:r>
      <w:r w:rsidRPr="00651044">
        <w:rPr>
          <w:sz w:val="28"/>
          <w:szCs w:val="28"/>
        </w:rPr>
        <w:t xml:space="preserve">, </w:t>
      </w:r>
      <w:r w:rsidR="00EC2C5E" w:rsidRPr="00651044">
        <w:rPr>
          <w:sz w:val="28"/>
          <w:szCs w:val="28"/>
        </w:rPr>
        <w:t>la situaţia din 31.12.2015</w:t>
      </w:r>
      <w:r w:rsidRPr="00651044">
        <w:rPr>
          <w:sz w:val="28"/>
          <w:szCs w:val="28"/>
        </w:rPr>
        <w:t xml:space="preserve">, un sold al împrumuturilor externe în sumă de </w:t>
      </w:r>
      <w:r w:rsidR="00695318" w:rsidRPr="00651044">
        <w:rPr>
          <w:sz w:val="28"/>
          <w:szCs w:val="28"/>
        </w:rPr>
        <w:t>2,6</w:t>
      </w:r>
      <w:r w:rsidRPr="00651044">
        <w:rPr>
          <w:sz w:val="28"/>
          <w:szCs w:val="28"/>
        </w:rPr>
        <w:t xml:space="preserve"> mil. lei se înregistrează la S.A. </w:t>
      </w:r>
      <w:r w:rsidRPr="00651044">
        <w:rPr>
          <w:bCs/>
          <w:sz w:val="28"/>
          <w:szCs w:val="28"/>
        </w:rPr>
        <w:t xml:space="preserve">„Combinatul de Vinuri Cricova” şi </w:t>
      </w:r>
      <w:r w:rsidR="00695318" w:rsidRPr="00651044">
        <w:rPr>
          <w:bCs/>
          <w:sz w:val="28"/>
          <w:szCs w:val="28"/>
        </w:rPr>
        <w:t>55,3</w:t>
      </w:r>
      <w:r w:rsidR="00EC2C5E" w:rsidRPr="00651044">
        <w:rPr>
          <w:bCs/>
          <w:sz w:val="28"/>
          <w:szCs w:val="28"/>
        </w:rPr>
        <w:t xml:space="preserve"> mil. lei – la S.A. „Moldtelecom”</w:t>
      </w:r>
      <w:r w:rsidRPr="00651044">
        <w:rPr>
          <w:bCs/>
          <w:sz w:val="28"/>
          <w:szCs w:val="28"/>
        </w:rPr>
        <w:t>.</w:t>
      </w:r>
    </w:p>
    <w:p w:rsidR="00D27CCD" w:rsidRPr="00651044" w:rsidRDefault="00D27CCD" w:rsidP="00D27CCD">
      <w:pPr>
        <w:spacing w:line="276" w:lineRule="auto"/>
        <w:ind w:firstLine="567"/>
        <w:jc w:val="both"/>
        <w:rPr>
          <w:bCs/>
          <w:sz w:val="28"/>
          <w:szCs w:val="28"/>
        </w:rPr>
      </w:pPr>
      <w:r w:rsidRPr="00651044">
        <w:rPr>
          <w:sz w:val="28"/>
          <w:szCs w:val="28"/>
        </w:rPr>
        <w:t xml:space="preserve">La situaţia din </w:t>
      </w:r>
      <w:r w:rsidR="00EC2C5E" w:rsidRPr="00651044">
        <w:rPr>
          <w:sz w:val="28"/>
          <w:szCs w:val="28"/>
        </w:rPr>
        <w:t>31.12.2015</w:t>
      </w:r>
      <w:r w:rsidRPr="00651044">
        <w:rPr>
          <w:sz w:val="28"/>
          <w:szCs w:val="28"/>
        </w:rPr>
        <w:t>, faţă de Mi</w:t>
      </w:r>
      <w:r w:rsidR="00EC2C5E" w:rsidRPr="00651044">
        <w:rPr>
          <w:sz w:val="28"/>
          <w:szCs w:val="28"/>
        </w:rPr>
        <w:t>nisterul Finanţelor, S.A. „Termoelectrica</w:t>
      </w:r>
      <w:r w:rsidRPr="00651044">
        <w:rPr>
          <w:sz w:val="28"/>
          <w:szCs w:val="28"/>
        </w:rPr>
        <w:t>” dispune de datorii pe împrumuturi recreditate di</w:t>
      </w:r>
      <w:r w:rsidR="00113F34" w:rsidRPr="00651044">
        <w:rPr>
          <w:sz w:val="28"/>
          <w:szCs w:val="28"/>
        </w:rPr>
        <w:t xml:space="preserve">n surse externe în mărime de </w:t>
      </w:r>
      <w:r w:rsidR="008465A8" w:rsidRPr="00651044">
        <w:rPr>
          <w:sz w:val="28"/>
          <w:szCs w:val="28"/>
        </w:rPr>
        <w:t xml:space="preserve">            </w:t>
      </w:r>
      <w:r w:rsidR="00113F34" w:rsidRPr="00651044">
        <w:rPr>
          <w:sz w:val="28"/>
          <w:szCs w:val="28"/>
        </w:rPr>
        <w:t>2,0</w:t>
      </w:r>
      <w:r w:rsidRPr="00651044">
        <w:rPr>
          <w:sz w:val="28"/>
          <w:szCs w:val="28"/>
        </w:rPr>
        <w:t xml:space="preserve"> mil. dolari SUA. </w:t>
      </w:r>
    </w:p>
    <w:p w:rsidR="00D27CCD" w:rsidRPr="00651044" w:rsidRDefault="00D27CCD" w:rsidP="00D27CCD">
      <w:pPr>
        <w:pStyle w:val="BodyTextIndent2"/>
        <w:spacing w:line="276" w:lineRule="auto"/>
        <w:ind w:firstLine="539"/>
        <w:rPr>
          <w:szCs w:val="28"/>
        </w:rPr>
      </w:pPr>
      <w:r w:rsidRPr="00651044">
        <w:rPr>
          <w:szCs w:val="28"/>
        </w:rPr>
        <w:t xml:space="preserve">Neachitarea obligaţiilor faţă de instituţiile financiare pe creditele interne şi externe devine obligaţiune convenţională de stat, fapt ce creează o situaţie dificilă privind independenţa financiară a entităţilor economice. Totodată, neachitarea acestor obligaţiuni generează </w:t>
      </w:r>
      <w:r w:rsidRPr="00651044">
        <w:rPr>
          <w:i/>
          <w:szCs w:val="28"/>
        </w:rPr>
        <w:t>riscul financiar de stingere din contul surselor bugetului de stat</w:t>
      </w:r>
      <w:r w:rsidRPr="00651044">
        <w:rPr>
          <w:szCs w:val="28"/>
        </w:rPr>
        <w:t>.</w:t>
      </w:r>
    </w:p>
    <w:p w:rsidR="00DC4C81" w:rsidRPr="00651044" w:rsidRDefault="00DC4C81" w:rsidP="00DC4C81">
      <w:pPr>
        <w:pStyle w:val="BodyTextIndent2"/>
        <w:spacing w:line="276" w:lineRule="auto"/>
        <w:ind w:firstLine="0"/>
        <w:rPr>
          <w:color w:val="FF0000"/>
          <w:szCs w:val="28"/>
        </w:rPr>
      </w:pPr>
    </w:p>
    <w:p w:rsidR="00A23F03" w:rsidRPr="00651044" w:rsidRDefault="00A23F03" w:rsidP="00DC4C81">
      <w:pPr>
        <w:pStyle w:val="BodyTextIndent2"/>
        <w:spacing w:line="276" w:lineRule="auto"/>
        <w:ind w:firstLine="0"/>
        <w:rPr>
          <w:color w:val="FF0000"/>
          <w:szCs w:val="28"/>
        </w:rPr>
      </w:pPr>
    </w:p>
    <w:p w:rsidR="00AD31C8" w:rsidRPr="00651044" w:rsidRDefault="00AD31C8" w:rsidP="00136F34">
      <w:pPr>
        <w:pStyle w:val="Title"/>
        <w:numPr>
          <w:ilvl w:val="0"/>
          <w:numId w:val="11"/>
        </w:numPr>
        <w:rPr>
          <w:b/>
          <w:i/>
          <w:sz w:val="28"/>
          <w:szCs w:val="28"/>
          <w:lang w:val="ro-RO"/>
        </w:rPr>
      </w:pPr>
      <w:r w:rsidRPr="00651044">
        <w:rPr>
          <w:b/>
          <w:i/>
          <w:sz w:val="28"/>
          <w:szCs w:val="28"/>
          <w:lang w:val="ro-RO"/>
        </w:rPr>
        <w:t>Conexiunile întreprinderilor de stat şi societăţilor comerciale cu capital integral sau majoritar de stat cu sistemul bugetar</w:t>
      </w:r>
    </w:p>
    <w:p w:rsidR="00AD31C8" w:rsidRPr="00651044" w:rsidRDefault="00AD31C8" w:rsidP="008D3DB0">
      <w:pPr>
        <w:spacing w:line="360" w:lineRule="auto"/>
        <w:ind w:firstLine="540"/>
        <w:jc w:val="both"/>
        <w:rPr>
          <w:sz w:val="28"/>
          <w:szCs w:val="28"/>
        </w:rPr>
      </w:pPr>
    </w:p>
    <w:p w:rsidR="00BB33B2" w:rsidRPr="00651044" w:rsidRDefault="00F83737" w:rsidP="00BB33B2">
      <w:pPr>
        <w:spacing w:line="276" w:lineRule="auto"/>
        <w:ind w:firstLine="567"/>
        <w:jc w:val="both"/>
        <w:rPr>
          <w:sz w:val="28"/>
          <w:szCs w:val="28"/>
        </w:rPr>
      </w:pPr>
      <w:r w:rsidRPr="00651044">
        <w:rPr>
          <w:sz w:val="28"/>
          <w:szCs w:val="28"/>
        </w:rPr>
        <w:t>În baza datelor Inspectoratului Fiscal Principal de Stat, se enunţă că,</w:t>
      </w:r>
      <w:r w:rsidR="00670823" w:rsidRPr="00651044">
        <w:rPr>
          <w:sz w:val="28"/>
          <w:szCs w:val="28"/>
        </w:rPr>
        <w:t xml:space="preserve"> la situaţia din 31</w:t>
      </w:r>
      <w:r w:rsidRPr="00651044">
        <w:rPr>
          <w:sz w:val="28"/>
          <w:szCs w:val="28"/>
        </w:rPr>
        <w:t xml:space="preserve"> decembrie</w:t>
      </w:r>
      <w:r w:rsidR="006D3577" w:rsidRPr="00651044">
        <w:rPr>
          <w:sz w:val="28"/>
          <w:szCs w:val="28"/>
        </w:rPr>
        <w:t xml:space="preserve"> 2015</w:t>
      </w:r>
      <w:r w:rsidRPr="00651044">
        <w:rPr>
          <w:sz w:val="28"/>
          <w:szCs w:val="28"/>
        </w:rPr>
        <w:t xml:space="preserve">, întreprinderile de stat şi societăţile pe acţiuni aveau înregistrate datorii privind impozitele şi taxele faţă de bugetul public naţional în mărime totală de </w:t>
      </w:r>
      <w:r w:rsidR="004D4593" w:rsidRPr="00651044">
        <w:rPr>
          <w:sz w:val="28"/>
          <w:szCs w:val="28"/>
        </w:rPr>
        <w:t>140,0</w:t>
      </w:r>
      <w:r w:rsidRPr="00651044">
        <w:rPr>
          <w:sz w:val="28"/>
          <w:szCs w:val="28"/>
        </w:rPr>
        <w:t xml:space="preserve"> mil. lei inclusiv: datorii ale întreprinderilor de stat – </w:t>
      </w:r>
      <w:r w:rsidR="004D4593" w:rsidRPr="00651044">
        <w:rPr>
          <w:sz w:val="28"/>
          <w:szCs w:val="28"/>
        </w:rPr>
        <w:t>129,5</w:t>
      </w:r>
      <w:r w:rsidRPr="00651044">
        <w:rPr>
          <w:sz w:val="28"/>
          <w:szCs w:val="28"/>
        </w:rPr>
        <w:t xml:space="preserve"> mil. lei şi datorii ale societăţilor pe acţiuni – </w:t>
      </w:r>
      <w:r w:rsidR="004D4593" w:rsidRPr="00651044">
        <w:rPr>
          <w:sz w:val="28"/>
          <w:szCs w:val="28"/>
        </w:rPr>
        <w:t>10,5</w:t>
      </w:r>
      <w:r w:rsidRPr="00651044">
        <w:rPr>
          <w:sz w:val="28"/>
          <w:szCs w:val="28"/>
        </w:rPr>
        <w:t xml:space="preserve"> mil. lei.</w:t>
      </w:r>
    </w:p>
    <w:p w:rsidR="00F83737" w:rsidRPr="00651044" w:rsidRDefault="00F83737" w:rsidP="00BB33B2">
      <w:pPr>
        <w:spacing w:line="276" w:lineRule="auto"/>
        <w:ind w:firstLine="567"/>
        <w:jc w:val="both"/>
        <w:rPr>
          <w:sz w:val="28"/>
          <w:szCs w:val="28"/>
        </w:rPr>
      </w:pPr>
      <w:r w:rsidRPr="00651044">
        <w:rPr>
          <w:sz w:val="28"/>
          <w:szCs w:val="28"/>
        </w:rPr>
        <w:t xml:space="preserve">Din valoarea totală a </w:t>
      </w:r>
      <w:r w:rsidRPr="00651044">
        <w:rPr>
          <w:i/>
          <w:sz w:val="28"/>
          <w:szCs w:val="28"/>
        </w:rPr>
        <w:t>datoriilor întreprinderilor de stat</w:t>
      </w:r>
      <w:r w:rsidRPr="00651044">
        <w:rPr>
          <w:sz w:val="28"/>
          <w:szCs w:val="28"/>
        </w:rPr>
        <w:t>, datoriile privind plăţile de bază au const</w:t>
      </w:r>
      <w:r w:rsidR="00950383" w:rsidRPr="00651044">
        <w:rPr>
          <w:sz w:val="28"/>
          <w:szCs w:val="28"/>
        </w:rPr>
        <w:t xml:space="preserve">ituit </w:t>
      </w:r>
      <w:r w:rsidR="004D4593" w:rsidRPr="00651044">
        <w:rPr>
          <w:sz w:val="28"/>
          <w:szCs w:val="28"/>
        </w:rPr>
        <w:t>79,3</w:t>
      </w:r>
      <w:r w:rsidRPr="00651044">
        <w:rPr>
          <w:sz w:val="28"/>
          <w:szCs w:val="28"/>
        </w:rPr>
        <w:t xml:space="preserve"> mil. lei, datoriile aferente penalităţilor – </w:t>
      </w:r>
      <w:r w:rsidR="004D4593" w:rsidRPr="00651044">
        <w:rPr>
          <w:sz w:val="28"/>
          <w:szCs w:val="28"/>
        </w:rPr>
        <w:t>46,9</w:t>
      </w:r>
      <w:r w:rsidRPr="00651044">
        <w:rPr>
          <w:sz w:val="28"/>
          <w:szCs w:val="28"/>
        </w:rPr>
        <w:t xml:space="preserve"> mil. lei, iar datorii</w:t>
      </w:r>
      <w:r w:rsidR="00950383" w:rsidRPr="00651044">
        <w:rPr>
          <w:sz w:val="28"/>
          <w:szCs w:val="28"/>
        </w:rPr>
        <w:t xml:space="preserve">le privind amenzile – </w:t>
      </w:r>
      <w:r w:rsidR="004D4593" w:rsidRPr="00651044">
        <w:rPr>
          <w:sz w:val="28"/>
          <w:szCs w:val="28"/>
        </w:rPr>
        <w:t>3,3</w:t>
      </w:r>
      <w:r w:rsidR="008F08E8" w:rsidRPr="00651044">
        <w:rPr>
          <w:sz w:val="28"/>
          <w:szCs w:val="28"/>
        </w:rPr>
        <w:t xml:space="preserve"> mil. lei (</w:t>
      </w:r>
      <w:r w:rsidRPr="00651044">
        <w:rPr>
          <w:sz w:val="28"/>
          <w:szCs w:val="28"/>
        </w:rPr>
        <w:t xml:space="preserve">tabelul 4.1).  </w:t>
      </w:r>
    </w:p>
    <w:p w:rsidR="00895280" w:rsidRPr="00651044" w:rsidRDefault="00895280" w:rsidP="00F83737">
      <w:pPr>
        <w:jc w:val="right"/>
      </w:pPr>
    </w:p>
    <w:p w:rsidR="00F83737" w:rsidRPr="00651044" w:rsidRDefault="00F83737" w:rsidP="00F83737">
      <w:pPr>
        <w:jc w:val="right"/>
      </w:pPr>
      <w:r w:rsidRPr="00651044">
        <w:t>Tabelul 4.1</w:t>
      </w:r>
    </w:p>
    <w:p w:rsidR="00F83737" w:rsidRPr="00651044" w:rsidRDefault="00F83737" w:rsidP="00F83737">
      <w:pPr>
        <w:jc w:val="center"/>
        <w:rPr>
          <w:b/>
          <w:i/>
        </w:rPr>
      </w:pPr>
      <w:r w:rsidRPr="00651044">
        <w:rPr>
          <w:b/>
          <w:i/>
        </w:rPr>
        <w:t>Sinteza datoriilor întreprinderilor de stat faţă</w:t>
      </w:r>
    </w:p>
    <w:p w:rsidR="00F83737" w:rsidRPr="00651044" w:rsidRDefault="00F83737" w:rsidP="00F83737">
      <w:pPr>
        <w:jc w:val="center"/>
        <w:rPr>
          <w:b/>
          <w:i/>
        </w:rPr>
      </w:pPr>
      <w:r w:rsidRPr="00651044">
        <w:rPr>
          <w:b/>
          <w:i/>
        </w:rPr>
        <w:t xml:space="preserve">de bugetul public naţional </w:t>
      </w:r>
      <w:r w:rsidR="00670823" w:rsidRPr="00651044">
        <w:rPr>
          <w:b/>
          <w:i/>
        </w:rPr>
        <w:t>la situaţia din 31</w:t>
      </w:r>
      <w:r w:rsidRPr="00651044">
        <w:rPr>
          <w:b/>
          <w:i/>
        </w:rPr>
        <w:t xml:space="preserve"> </w:t>
      </w:r>
      <w:r w:rsidR="00670823" w:rsidRPr="00651044">
        <w:rPr>
          <w:b/>
          <w:i/>
        </w:rPr>
        <w:t>decembri</w:t>
      </w:r>
      <w:r w:rsidRPr="00651044">
        <w:rPr>
          <w:b/>
          <w:i/>
        </w:rPr>
        <w:t>e 201</w:t>
      </w:r>
      <w:r w:rsidR="004D4593" w:rsidRPr="00651044">
        <w:rPr>
          <w:b/>
          <w:i/>
        </w:rPr>
        <w:t>5</w:t>
      </w:r>
      <w:r w:rsidRPr="00651044">
        <w:t xml:space="preserve">                                                                                                                                                                              </w:t>
      </w:r>
    </w:p>
    <w:p w:rsidR="00F83737" w:rsidRPr="00651044" w:rsidRDefault="00F83737" w:rsidP="00F83737">
      <w:pPr>
        <w:jc w:val="right"/>
        <w:rPr>
          <w:b/>
          <w:i/>
        </w:rPr>
      </w:pPr>
      <w:r w:rsidRPr="00651044">
        <w:t>(mil. lei)</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1418"/>
        <w:gridCol w:w="1164"/>
        <w:gridCol w:w="1036"/>
        <w:gridCol w:w="1080"/>
      </w:tblGrid>
      <w:tr w:rsidR="00F83737" w:rsidRPr="00651044" w:rsidTr="0065265B">
        <w:trPr>
          <w:jc w:val="center"/>
        </w:trPr>
        <w:tc>
          <w:tcPr>
            <w:tcW w:w="4644" w:type="dxa"/>
            <w:vMerge w:val="restart"/>
          </w:tcPr>
          <w:p w:rsidR="00F83737" w:rsidRPr="00651044" w:rsidRDefault="00F83737" w:rsidP="0065265B">
            <w:pPr>
              <w:spacing w:line="23" w:lineRule="atLeast"/>
              <w:jc w:val="both"/>
              <w:rPr>
                <w:b/>
                <w:i/>
                <w:iCs/>
                <w:sz w:val="20"/>
                <w:szCs w:val="20"/>
              </w:rPr>
            </w:pPr>
          </w:p>
          <w:p w:rsidR="00F83737" w:rsidRPr="00651044" w:rsidRDefault="00F83737" w:rsidP="0065265B">
            <w:pPr>
              <w:spacing w:line="23" w:lineRule="atLeast"/>
              <w:jc w:val="both"/>
              <w:rPr>
                <w:b/>
                <w:i/>
                <w:iCs/>
                <w:sz w:val="20"/>
                <w:szCs w:val="20"/>
              </w:rPr>
            </w:pPr>
            <w:r w:rsidRPr="00651044">
              <w:rPr>
                <w:b/>
                <w:i/>
                <w:iCs/>
                <w:sz w:val="20"/>
                <w:szCs w:val="20"/>
              </w:rPr>
              <w:t>Verigile sistemului bugetar:</w:t>
            </w:r>
          </w:p>
        </w:tc>
        <w:tc>
          <w:tcPr>
            <w:tcW w:w="3618" w:type="dxa"/>
            <w:gridSpan w:val="3"/>
          </w:tcPr>
          <w:p w:rsidR="00F83737" w:rsidRPr="00651044" w:rsidRDefault="00F83737" w:rsidP="0065265B">
            <w:pPr>
              <w:spacing w:line="23" w:lineRule="atLeast"/>
              <w:jc w:val="center"/>
              <w:rPr>
                <w:b/>
                <w:i/>
                <w:iCs/>
                <w:sz w:val="20"/>
                <w:szCs w:val="20"/>
              </w:rPr>
            </w:pPr>
            <w:r w:rsidRPr="00651044">
              <w:rPr>
                <w:b/>
                <w:i/>
                <w:iCs/>
                <w:sz w:val="20"/>
                <w:szCs w:val="20"/>
              </w:rPr>
              <w:t>Inclusiv:</w:t>
            </w:r>
          </w:p>
        </w:tc>
        <w:tc>
          <w:tcPr>
            <w:tcW w:w="1080" w:type="dxa"/>
            <w:vMerge w:val="restart"/>
          </w:tcPr>
          <w:p w:rsidR="00F83737" w:rsidRPr="00651044" w:rsidRDefault="00F83737" w:rsidP="0065265B">
            <w:pPr>
              <w:spacing w:line="23" w:lineRule="atLeast"/>
              <w:jc w:val="center"/>
              <w:rPr>
                <w:b/>
                <w:bCs/>
                <w:sz w:val="20"/>
                <w:szCs w:val="20"/>
              </w:rPr>
            </w:pPr>
            <w:r w:rsidRPr="00651044">
              <w:rPr>
                <w:b/>
                <w:bCs/>
                <w:sz w:val="20"/>
                <w:szCs w:val="20"/>
              </w:rPr>
              <w:t>Total pe bugete</w:t>
            </w:r>
          </w:p>
        </w:tc>
      </w:tr>
      <w:tr w:rsidR="00F83737" w:rsidRPr="00651044" w:rsidTr="0065265B">
        <w:trPr>
          <w:trHeight w:val="244"/>
          <w:jc w:val="center"/>
        </w:trPr>
        <w:tc>
          <w:tcPr>
            <w:tcW w:w="4644" w:type="dxa"/>
            <w:vMerge/>
          </w:tcPr>
          <w:p w:rsidR="00F83737" w:rsidRPr="00651044" w:rsidRDefault="00F83737" w:rsidP="0065265B">
            <w:pPr>
              <w:spacing w:line="23" w:lineRule="atLeast"/>
              <w:rPr>
                <w:b/>
                <w:sz w:val="20"/>
                <w:szCs w:val="20"/>
              </w:rPr>
            </w:pPr>
          </w:p>
        </w:tc>
        <w:tc>
          <w:tcPr>
            <w:tcW w:w="1418" w:type="dxa"/>
          </w:tcPr>
          <w:p w:rsidR="00F83737" w:rsidRPr="00651044" w:rsidRDefault="00F83737" w:rsidP="0065265B">
            <w:pPr>
              <w:jc w:val="center"/>
              <w:rPr>
                <w:b/>
                <w:sz w:val="20"/>
                <w:szCs w:val="20"/>
              </w:rPr>
            </w:pPr>
            <w:r w:rsidRPr="00651044">
              <w:rPr>
                <w:b/>
                <w:sz w:val="20"/>
                <w:szCs w:val="20"/>
              </w:rPr>
              <w:t>plăţi de bază</w:t>
            </w:r>
          </w:p>
        </w:tc>
        <w:tc>
          <w:tcPr>
            <w:tcW w:w="1164" w:type="dxa"/>
          </w:tcPr>
          <w:p w:rsidR="00F83737" w:rsidRPr="00651044" w:rsidRDefault="00F83737" w:rsidP="0065265B">
            <w:pPr>
              <w:spacing w:line="23" w:lineRule="atLeast"/>
              <w:jc w:val="center"/>
              <w:rPr>
                <w:b/>
                <w:sz w:val="20"/>
                <w:szCs w:val="20"/>
              </w:rPr>
            </w:pPr>
            <w:r w:rsidRPr="00651044">
              <w:rPr>
                <w:b/>
                <w:sz w:val="20"/>
                <w:szCs w:val="20"/>
              </w:rPr>
              <w:t>penalităţi </w:t>
            </w:r>
          </w:p>
        </w:tc>
        <w:tc>
          <w:tcPr>
            <w:tcW w:w="1036" w:type="dxa"/>
          </w:tcPr>
          <w:p w:rsidR="00F83737" w:rsidRPr="00651044" w:rsidRDefault="00F83737" w:rsidP="0065265B">
            <w:pPr>
              <w:spacing w:line="23" w:lineRule="atLeast"/>
              <w:jc w:val="center"/>
              <w:rPr>
                <w:b/>
                <w:sz w:val="20"/>
                <w:szCs w:val="20"/>
              </w:rPr>
            </w:pPr>
            <w:r w:rsidRPr="00651044">
              <w:rPr>
                <w:b/>
                <w:sz w:val="20"/>
                <w:szCs w:val="20"/>
              </w:rPr>
              <w:t>amenzi</w:t>
            </w:r>
          </w:p>
        </w:tc>
        <w:tc>
          <w:tcPr>
            <w:tcW w:w="1080" w:type="dxa"/>
            <w:vMerge/>
          </w:tcPr>
          <w:p w:rsidR="00F83737" w:rsidRPr="00651044" w:rsidRDefault="00F83737" w:rsidP="0065265B">
            <w:pPr>
              <w:spacing w:line="23" w:lineRule="atLeast"/>
              <w:rPr>
                <w:b/>
                <w:bCs/>
                <w:sz w:val="20"/>
                <w:szCs w:val="20"/>
              </w:rPr>
            </w:pPr>
          </w:p>
        </w:tc>
      </w:tr>
      <w:tr w:rsidR="00F83737" w:rsidRPr="00651044" w:rsidTr="0065265B">
        <w:trPr>
          <w:trHeight w:val="155"/>
          <w:jc w:val="center"/>
        </w:trPr>
        <w:tc>
          <w:tcPr>
            <w:tcW w:w="4644" w:type="dxa"/>
          </w:tcPr>
          <w:p w:rsidR="00F83737" w:rsidRPr="00651044" w:rsidRDefault="00F83737" w:rsidP="0065265B">
            <w:pPr>
              <w:spacing w:line="23" w:lineRule="atLeast"/>
              <w:jc w:val="both"/>
              <w:rPr>
                <w:sz w:val="20"/>
                <w:szCs w:val="20"/>
              </w:rPr>
            </w:pPr>
            <w:r w:rsidRPr="00651044">
              <w:rPr>
                <w:sz w:val="20"/>
                <w:szCs w:val="20"/>
              </w:rPr>
              <w:t>Bugetul de stat</w:t>
            </w:r>
          </w:p>
        </w:tc>
        <w:tc>
          <w:tcPr>
            <w:tcW w:w="1418" w:type="dxa"/>
          </w:tcPr>
          <w:p w:rsidR="00F83737" w:rsidRPr="00651044" w:rsidRDefault="004D4593" w:rsidP="0065265B">
            <w:pPr>
              <w:spacing w:line="23" w:lineRule="atLeast"/>
              <w:jc w:val="center"/>
              <w:rPr>
                <w:sz w:val="20"/>
                <w:szCs w:val="20"/>
              </w:rPr>
            </w:pPr>
            <w:r w:rsidRPr="00651044">
              <w:rPr>
                <w:sz w:val="20"/>
                <w:szCs w:val="20"/>
              </w:rPr>
              <w:t>28,3</w:t>
            </w:r>
          </w:p>
        </w:tc>
        <w:tc>
          <w:tcPr>
            <w:tcW w:w="1164" w:type="dxa"/>
          </w:tcPr>
          <w:p w:rsidR="00F83737" w:rsidRPr="00651044" w:rsidRDefault="004D4593" w:rsidP="0065265B">
            <w:pPr>
              <w:spacing w:line="23" w:lineRule="atLeast"/>
              <w:jc w:val="center"/>
              <w:rPr>
                <w:sz w:val="20"/>
                <w:szCs w:val="20"/>
              </w:rPr>
            </w:pPr>
            <w:r w:rsidRPr="00651044">
              <w:rPr>
                <w:sz w:val="20"/>
                <w:szCs w:val="20"/>
              </w:rPr>
              <w:t>8,4</w:t>
            </w:r>
          </w:p>
        </w:tc>
        <w:tc>
          <w:tcPr>
            <w:tcW w:w="1036" w:type="dxa"/>
          </w:tcPr>
          <w:p w:rsidR="00F83737" w:rsidRPr="00651044" w:rsidRDefault="004D4593" w:rsidP="0065265B">
            <w:pPr>
              <w:spacing w:line="23" w:lineRule="atLeast"/>
              <w:jc w:val="center"/>
              <w:rPr>
                <w:sz w:val="20"/>
                <w:szCs w:val="20"/>
              </w:rPr>
            </w:pPr>
            <w:r w:rsidRPr="00651044">
              <w:rPr>
                <w:sz w:val="20"/>
                <w:szCs w:val="20"/>
              </w:rPr>
              <w:t>2,7</w:t>
            </w:r>
          </w:p>
        </w:tc>
        <w:tc>
          <w:tcPr>
            <w:tcW w:w="1080" w:type="dxa"/>
          </w:tcPr>
          <w:p w:rsidR="00F83737" w:rsidRPr="00651044" w:rsidRDefault="004D4593" w:rsidP="0065265B">
            <w:pPr>
              <w:spacing w:line="23" w:lineRule="atLeast"/>
              <w:jc w:val="center"/>
              <w:rPr>
                <w:b/>
                <w:bCs/>
                <w:sz w:val="20"/>
                <w:szCs w:val="20"/>
              </w:rPr>
            </w:pPr>
            <w:r w:rsidRPr="00651044">
              <w:rPr>
                <w:b/>
                <w:bCs/>
                <w:sz w:val="20"/>
                <w:szCs w:val="20"/>
              </w:rPr>
              <w:t>39,4</w:t>
            </w:r>
          </w:p>
        </w:tc>
      </w:tr>
      <w:tr w:rsidR="00F83737" w:rsidRPr="00651044" w:rsidTr="0065265B">
        <w:trPr>
          <w:trHeight w:val="171"/>
          <w:jc w:val="center"/>
        </w:trPr>
        <w:tc>
          <w:tcPr>
            <w:tcW w:w="4644" w:type="dxa"/>
          </w:tcPr>
          <w:p w:rsidR="00F83737" w:rsidRPr="00651044" w:rsidRDefault="00F83737" w:rsidP="0065265B">
            <w:pPr>
              <w:spacing w:line="23" w:lineRule="atLeast"/>
              <w:jc w:val="both"/>
              <w:rPr>
                <w:sz w:val="20"/>
                <w:szCs w:val="20"/>
              </w:rPr>
            </w:pPr>
            <w:r w:rsidRPr="00651044">
              <w:rPr>
                <w:sz w:val="20"/>
                <w:szCs w:val="20"/>
              </w:rPr>
              <w:t>Bugetele unităţilor administrativ-teritoriale</w:t>
            </w:r>
          </w:p>
        </w:tc>
        <w:tc>
          <w:tcPr>
            <w:tcW w:w="1418" w:type="dxa"/>
          </w:tcPr>
          <w:p w:rsidR="00F83737" w:rsidRPr="00651044" w:rsidRDefault="004D4593" w:rsidP="0065265B">
            <w:pPr>
              <w:spacing w:line="23" w:lineRule="atLeast"/>
              <w:jc w:val="center"/>
              <w:rPr>
                <w:sz w:val="20"/>
                <w:szCs w:val="20"/>
              </w:rPr>
            </w:pPr>
            <w:r w:rsidRPr="00651044">
              <w:rPr>
                <w:sz w:val="20"/>
                <w:szCs w:val="20"/>
              </w:rPr>
              <w:t>10,7</w:t>
            </w:r>
          </w:p>
        </w:tc>
        <w:tc>
          <w:tcPr>
            <w:tcW w:w="1164" w:type="dxa"/>
          </w:tcPr>
          <w:p w:rsidR="00F83737" w:rsidRPr="00651044" w:rsidRDefault="004D4593" w:rsidP="0065265B">
            <w:pPr>
              <w:spacing w:line="23" w:lineRule="atLeast"/>
              <w:jc w:val="center"/>
              <w:rPr>
                <w:sz w:val="20"/>
                <w:szCs w:val="20"/>
              </w:rPr>
            </w:pPr>
            <w:r w:rsidRPr="00651044">
              <w:rPr>
                <w:sz w:val="20"/>
                <w:szCs w:val="20"/>
              </w:rPr>
              <w:t>2,5</w:t>
            </w:r>
          </w:p>
        </w:tc>
        <w:tc>
          <w:tcPr>
            <w:tcW w:w="1036" w:type="dxa"/>
          </w:tcPr>
          <w:p w:rsidR="00F83737" w:rsidRPr="00651044" w:rsidRDefault="004D4593" w:rsidP="0065265B">
            <w:pPr>
              <w:spacing w:line="23" w:lineRule="atLeast"/>
              <w:jc w:val="center"/>
              <w:rPr>
                <w:sz w:val="20"/>
                <w:szCs w:val="20"/>
              </w:rPr>
            </w:pPr>
            <w:r w:rsidRPr="00651044">
              <w:rPr>
                <w:sz w:val="20"/>
                <w:szCs w:val="20"/>
              </w:rPr>
              <w:t>0,0</w:t>
            </w:r>
          </w:p>
        </w:tc>
        <w:tc>
          <w:tcPr>
            <w:tcW w:w="1080" w:type="dxa"/>
          </w:tcPr>
          <w:p w:rsidR="00F83737" w:rsidRPr="00651044" w:rsidRDefault="004D4593" w:rsidP="0065265B">
            <w:pPr>
              <w:spacing w:line="23" w:lineRule="atLeast"/>
              <w:jc w:val="center"/>
              <w:rPr>
                <w:b/>
                <w:bCs/>
                <w:sz w:val="20"/>
                <w:szCs w:val="20"/>
              </w:rPr>
            </w:pPr>
            <w:r w:rsidRPr="00651044">
              <w:rPr>
                <w:b/>
                <w:bCs/>
                <w:sz w:val="20"/>
                <w:szCs w:val="20"/>
              </w:rPr>
              <w:t>13,2</w:t>
            </w:r>
          </w:p>
        </w:tc>
      </w:tr>
      <w:tr w:rsidR="00F83737" w:rsidRPr="00651044" w:rsidTr="0065265B">
        <w:trPr>
          <w:jc w:val="center"/>
        </w:trPr>
        <w:tc>
          <w:tcPr>
            <w:tcW w:w="4644" w:type="dxa"/>
          </w:tcPr>
          <w:p w:rsidR="00F83737" w:rsidRPr="00651044" w:rsidRDefault="00F83737" w:rsidP="0065265B">
            <w:pPr>
              <w:spacing w:line="23" w:lineRule="atLeast"/>
              <w:jc w:val="both"/>
              <w:rPr>
                <w:sz w:val="20"/>
                <w:szCs w:val="20"/>
              </w:rPr>
            </w:pPr>
            <w:r w:rsidRPr="00651044">
              <w:rPr>
                <w:sz w:val="20"/>
                <w:szCs w:val="20"/>
              </w:rPr>
              <w:t>Bugetul asigurărilor sociale de stat</w:t>
            </w:r>
          </w:p>
        </w:tc>
        <w:tc>
          <w:tcPr>
            <w:tcW w:w="1418" w:type="dxa"/>
          </w:tcPr>
          <w:p w:rsidR="00F83737" w:rsidRPr="00651044" w:rsidRDefault="004D4593" w:rsidP="0065265B">
            <w:pPr>
              <w:spacing w:line="23" w:lineRule="atLeast"/>
              <w:jc w:val="center"/>
              <w:rPr>
                <w:sz w:val="20"/>
                <w:szCs w:val="20"/>
              </w:rPr>
            </w:pPr>
            <w:r w:rsidRPr="00651044">
              <w:rPr>
                <w:sz w:val="20"/>
                <w:szCs w:val="20"/>
              </w:rPr>
              <w:t>36,4</w:t>
            </w:r>
          </w:p>
        </w:tc>
        <w:tc>
          <w:tcPr>
            <w:tcW w:w="1164" w:type="dxa"/>
          </w:tcPr>
          <w:p w:rsidR="00F83737" w:rsidRPr="00651044" w:rsidRDefault="004D4593" w:rsidP="0065265B">
            <w:pPr>
              <w:spacing w:line="23" w:lineRule="atLeast"/>
              <w:jc w:val="center"/>
              <w:rPr>
                <w:sz w:val="20"/>
                <w:szCs w:val="20"/>
              </w:rPr>
            </w:pPr>
            <w:r w:rsidRPr="00651044">
              <w:rPr>
                <w:sz w:val="20"/>
                <w:szCs w:val="20"/>
              </w:rPr>
              <w:t>31,8</w:t>
            </w:r>
          </w:p>
        </w:tc>
        <w:tc>
          <w:tcPr>
            <w:tcW w:w="1036" w:type="dxa"/>
          </w:tcPr>
          <w:p w:rsidR="00F83737" w:rsidRPr="00651044" w:rsidRDefault="004D4593" w:rsidP="0065265B">
            <w:pPr>
              <w:spacing w:line="23" w:lineRule="atLeast"/>
              <w:jc w:val="center"/>
              <w:rPr>
                <w:sz w:val="20"/>
                <w:szCs w:val="20"/>
              </w:rPr>
            </w:pPr>
            <w:r w:rsidRPr="00651044">
              <w:rPr>
                <w:sz w:val="20"/>
                <w:szCs w:val="20"/>
              </w:rPr>
              <w:t>0,1</w:t>
            </w:r>
          </w:p>
        </w:tc>
        <w:tc>
          <w:tcPr>
            <w:tcW w:w="1080" w:type="dxa"/>
          </w:tcPr>
          <w:p w:rsidR="00F83737" w:rsidRPr="00651044" w:rsidRDefault="004D4593" w:rsidP="0065265B">
            <w:pPr>
              <w:spacing w:line="23" w:lineRule="atLeast"/>
              <w:jc w:val="center"/>
              <w:rPr>
                <w:b/>
                <w:bCs/>
                <w:sz w:val="20"/>
                <w:szCs w:val="20"/>
              </w:rPr>
            </w:pPr>
            <w:r w:rsidRPr="00651044">
              <w:rPr>
                <w:b/>
                <w:bCs/>
                <w:sz w:val="20"/>
                <w:szCs w:val="20"/>
              </w:rPr>
              <w:t>68,3</w:t>
            </w:r>
          </w:p>
        </w:tc>
      </w:tr>
      <w:tr w:rsidR="00F83737" w:rsidRPr="00651044" w:rsidTr="0065265B">
        <w:trPr>
          <w:jc w:val="center"/>
        </w:trPr>
        <w:tc>
          <w:tcPr>
            <w:tcW w:w="4644" w:type="dxa"/>
          </w:tcPr>
          <w:p w:rsidR="00F83737" w:rsidRPr="00651044" w:rsidRDefault="00F83737" w:rsidP="0065265B">
            <w:pPr>
              <w:spacing w:line="23" w:lineRule="atLeast"/>
              <w:jc w:val="both"/>
              <w:rPr>
                <w:sz w:val="20"/>
                <w:szCs w:val="20"/>
              </w:rPr>
            </w:pPr>
            <w:r w:rsidRPr="00651044">
              <w:rPr>
                <w:sz w:val="20"/>
                <w:szCs w:val="20"/>
              </w:rPr>
              <w:t>Fondurile asigurărilor obligatorii de asistenţă medicală</w:t>
            </w:r>
          </w:p>
        </w:tc>
        <w:tc>
          <w:tcPr>
            <w:tcW w:w="1418" w:type="dxa"/>
          </w:tcPr>
          <w:p w:rsidR="00F83737" w:rsidRPr="00651044" w:rsidRDefault="004D4593" w:rsidP="0065265B">
            <w:pPr>
              <w:spacing w:line="23" w:lineRule="atLeast"/>
              <w:jc w:val="center"/>
              <w:rPr>
                <w:sz w:val="20"/>
                <w:szCs w:val="20"/>
              </w:rPr>
            </w:pPr>
            <w:r w:rsidRPr="00651044">
              <w:rPr>
                <w:sz w:val="20"/>
                <w:szCs w:val="20"/>
              </w:rPr>
              <w:t>3,9</w:t>
            </w:r>
          </w:p>
        </w:tc>
        <w:tc>
          <w:tcPr>
            <w:tcW w:w="1164" w:type="dxa"/>
          </w:tcPr>
          <w:p w:rsidR="00F83737" w:rsidRPr="00651044" w:rsidRDefault="004D4593" w:rsidP="0065265B">
            <w:pPr>
              <w:spacing w:line="23" w:lineRule="atLeast"/>
              <w:jc w:val="center"/>
              <w:rPr>
                <w:sz w:val="20"/>
                <w:szCs w:val="20"/>
              </w:rPr>
            </w:pPr>
            <w:r w:rsidRPr="00651044">
              <w:rPr>
                <w:sz w:val="20"/>
                <w:szCs w:val="20"/>
              </w:rPr>
              <w:t>4,2</w:t>
            </w:r>
          </w:p>
        </w:tc>
        <w:tc>
          <w:tcPr>
            <w:tcW w:w="1036" w:type="dxa"/>
          </w:tcPr>
          <w:p w:rsidR="00F83737" w:rsidRPr="00651044" w:rsidRDefault="004D4593" w:rsidP="0065265B">
            <w:pPr>
              <w:spacing w:line="23" w:lineRule="atLeast"/>
              <w:jc w:val="center"/>
              <w:rPr>
                <w:sz w:val="20"/>
                <w:szCs w:val="20"/>
              </w:rPr>
            </w:pPr>
            <w:r w:rsidRPr="00651044">
              <w:rPr>
                <w:sz w:val="20"/>
                <w:szCs w:val="20"/>
              </w:rPr>
              <w:t>0,5</w:t>
            </w:r>
          </w:p>
        </w:tc>
        <w:tc>
          <w:tcPr>
            <w:tcW w:w="1080" w:type="dxa"/>
          </w:tcPr>
          <w:p w:rsidR="00F83737" w:rsidRPr="00651044" w:rsidRDefault="004D4593" w:rsidP="0065265B">
            <w:pPr>
              <w:spacing w:line="23" w:lineRule="atLeast"/>
              <w:jc w:val="center"/>
              <w:rPr>
                <w:b/>
                <w:bCs/>
                <w:sz w:val="20"/>
                <w:szCs w:val="20"/>
              </w:rPr>
            </w:pPr>
            <w:r w:rsidRPr="00651044">
              <w:rPr>
                <w:b/>
                <w:bCs/>
                <w:sz w:val="20"/>
                <w:szCs w:val="20"/>
              </w:rPr>
              <w:t>8,6</w:t>
            </w:r>
          </w:p>
        </w:tc>
      </w:tr>
      <w:tr w:rsidR="00F83737" w:rsidRPr="00651044" w:rsidTr="0065265B">
        <w:trPr>
          <w:trHeight w:val="305"/>
          <w:jc w:val="center"/>
        </w:trPr>
        <w:tc>
          <w:tcPr>
            <w:tcW w:w="4644" w:type="dxa"/>
          </w:tcPr>
          <w:p w:rsidR="00F83737" w:rsidRPr="00651044" w:rsidRDefault="00F83737" w:rsidP="0065265B">
            <w:pPr>
              <w:spacing w:line="23" w:lineRule="atLeast"/>
              <w:jc w:val="both"/>
              <w:rPr>
                <w:b/>
                <w:bCs/>
                <w:sz w:val="20"/>
                <w:szCs w:val="20"/>
              </w:rPr>
            </w:pPr>
            <w:r w:rsidRPr="00651044">
              <w:rPr>
                <w:b/>
                <w:bCs/>
                <w:sz w:val="20"/>
                <w:szCs w:val="20"/>
              </w:rPr>
              <w:lastRenderedPageBreak/>
              <w:t>TOTAL</w:t>
            </w:r>
          </w:p>
        </w:tc>
        <w:tc>
          <w:tcPr>
            <w:tcW w:w="1418" w:type="dxa"/>
          </w:tcPr>
          <w:p w:rsidR="00F83737" w:rsidRPr="00651044" w:rsidRDefault="004D4593" w:rsidP="0065265B">
            <w:pPr>
              <w:spacing w:line="23" w:lineRule="atLeast"/>
              <w:jc w:val="center"/>
              <w:rPr>
                <w:b/>
                <w:bCs/>
                <w:sz w:val="20"/>
                <w:szCs w:val="20"/>
              </w:rPr>
            </w:pPr>
            <w:r w:rsidRPr="00651044">
              <w:rPr>
                <w:b/>
                <w:bCs/>
                <w:sz w:val="20"/>
                <w:szCs w:val="20"/>
              </w:rPr>
              <w:t>79,3</w:t>
            </w:r>
          </w:p>
        </w:tc>
        <w:tc>
          <w:tcPr>
            <w:tcW w:w="1164" w:type="dxa"/>
          </w:tcPr>
          <w:p w:rsidR="00F83737" w:rsidRPr="00651044" w:rsidRDefault="004D4593" w:rsidP="0065265B">
            <w:pPr>
              <w:spacing w:line="23" w:lineRule="atLeast"/>
              <w:jc w:val="center"/>
              <w:rPr>
                <w:b/>
                <w:bCs/>
                <w:sz w:val="20"/>
                <w:szCs w:val="20"/>
              </w:rPr>
            </w:pPr>
            <w:r w:rsidRPr="00651044">
              <w:rPr>
                <w:b/>
                <w:bCs/>
                <w:sz w:val="20"/>
                <w:szCs w:val="20"/>
              </w:rPr>
              <w:t>46,9</w:t>
            </w:r>
          </w:p>
        </w:tc>
        <w:tc>
          <w:tcPr>
            <w:tcW w:w="1036" w:type="dxa"/>
          </w:tcPr>
          <w:p w:rsidR="00F83737" w:rsidRPr="00651044" w:rsidRDefault="004D4593" w:rsidP="0065265B">
            <w:pPr>
              <w:spacing w:line="23" w:lineRule="atLeast"/>
              <w:jc w:val="center"/>
              <w:rPr>
                <w:b/>
                <w:bCs/>
                <w:sz w:val="20"/>
                <w:szCs w:val="20"/>
              </w:rPr>
            </w:pPr>
            <w:r w:rsidRPr="00651044">
              <w:rPr>
                <w:b/>
                <w:bCs/>
                <w:sz w:val="20"/>
                <w:szCs w:val="20"/>
              </w:rPr>
              <w:t>3,3</w:t>
            </w:r>
          </w:p>
        </w:tc>
        <w:tc>
          <w:tcPr>
            <w:tcW w:w="1080" w:type="dxa"/>
          </w:tcPr>
          <w:p w:rsidR="00F83737" w:rsidRPr="00651044" w:rsidRDefault="004D4593" w:rsidP="0065265B">
            <w:pPr>
              <w:spacing w:line="23" w:lineRule="atLeast"/>
              <w:jc w:val="center"/>
              <w:rPr>
                <w:b/>
                <w:bCs/>
                <w:sz w:val="20"/>
                <w:szCs w:val="20"/>
              </w:rPr>
            </w:pPr>
            <w:r w:rsidRPr="00651044">
              <w:rPr>
                <w:b/>
                <w:bCs/>
                <w:sz w:val="20"/>
                <w:szCs w:val="20"/>
              </w:rPr>
              <w:t>129,5</w:t>
            </w:r>
          </w:p>
        </w:tc>
      </w:tr>
    </w:tbl>
    <w:p w:rsidR="00F83737" w:rsidRPr="00651044" w:rsidRDefault="00F83737" w:rsidP="008F08E8">
      <w:pPr>
        <w:jc w:val="both"/>
        <w:rPr>
          <w:b/>
          <w:color w:val="FF0000"/>
        </w:rPr>
      </w:pPr>
    </w:p>
    <w:p w:rsidR="00895280" w:rsidRPr="00651044" w:rsidRDefault="00895280" w:rsidP="008F08E8">
      <w:pPr>
        <w:jc w:val="both"/>
        <w:rPr>
          <w:b/>
          <w:color w:val="FF0000"/>
        </w:rPr>
      </w:pPr>
    </w:p>
    <w:p w:rsidR="00BB33B2" w:rsidRPr="00651044" w:rsidRDefault="00F83737" w:rsidP="00BB33B2">
      <w:pPr>
        <w:spacing w:line="276" w:lineRule="auto"/>
        <w:ind w:firstLine="567"/>
        <w:jc w:val="both"/>
        <w:rPr>
          <w:sz w:val="28"/>
          <w:szCs w:val="28"/>
        </w:rPr>
      </w:pPr>
      <w:r w:rsidRPr="00651044">
        <w:rPr>
          <w:sz w:val="28"/>
          <w:szCs w:val="28"/>
        </w:rPr>
        <w:t>După cum se observă, cele mai mari datorii (</w:t>
      </w:r>
      <w:r w:rsidR="00C90F83" w:rsidRPr="00651044">
        <w:rPr>
          <w:sz w:val="28"/>
          <w:szCs w:val="28"/>
        </w:rPr>
        <w:t>68,3</w:t>
      </w:r>
      <w:r w:rsidRPr="00651044">
        <w:rPr>
          <w:sz w:val="28"/>
          <w:szCs w:val="28"/>
        </w:rPr>
        <w:t xml:space="preserve"> mil. lei) au fost înregistrate faţă de bugetul </w:t>
      </w:r>
      <w:r w:rsidR="00E87B2D" w:rsidRPr="00651044">
        <w:rPr>
          <w:sz w:val="28"/>
          <w:szCs w:val="28"/>
        </w:rPr>
        <w:t>asigurărilor sociale de stat</w:t>
      </w:r>
      <w:r w:rsidRPr="00651044">
        <w:rPr>
          <w:sz w:val="28"/>
          <w:szCs w:val="28"/>
        </w:rPr>
        <w:t xml:space="preserve">, din valoarea acestora, </w:t>
      </w:r>
      <w:r w:rsidR="00C90F83" w:rsidRPr="00651044">
        <w:rPr>
          <w:sz w:val="28"/>
          <w:szCs w:val="28"/>
        </w:rPr>
        <w:t>36,4 mil. lei reprezent</w:t>
      </w:r>
      <w:r w:rsidR="006E6FE5">
        <w:rPr>
          <w:sz w:val="28"/>
          <w:szCs w:val="28"/>
        </w:rPr>
        <w:t>î</w:t>
      </w:r>
      <w:r w:rsidRPr="00651044">
        <w:rPr>
          <w:sz w:val="28"/>
          <w:szCs w:val="28"/>
        </w:rPr>
        <w:t>nd datorii aferente plăţilor de bază.</w:t>
      </w:r>
      <w:r w:rsidR="003F7B47" w:rsidRPr="00651044">
        <w:rPr>
          <w:sz w:val="28"/>
          <w:szCs w:val="28"/>
        </w:rPr>
        <w:t xml:space="preserve"> Totodată,</w:t>
      </w:r>
      <w:r w:rsidR="00C90F83" w:rsidRPr="00651044">
        <w:rPr>
          <w:sz w:val="28"/>
          <w:szCs w:val="28"/>
        </w:rPr>
        <w:t xml:space="preserve"> se enunţă că</w:t>
      </w:r>
      <w:r w:rsidR="003F7B47" w:rsidRPr="00651044">
        <w:rPr>
          <w:sz w:val="28"/>
          <w:szCs w:val="28"/>
        </w:rPr>
        <w:t xml:space="preserve"> datoriile </w:t>
      </w:r>
      <w:r w:rsidR="00C90F83" w:rsidRPr="00651044">
        <w:rPr>
          <w:sz w:val="28"/>
          <w:szCs w:val="28"/>
        </w:rPr>
        <w:t xml:space="preserve">aferente plăţilor de bază </w:t>
      </w:r>
      <w:r w:rsidR="003F7B47" w:rsidRPr="00651044">
        <w:rPr>
          <w:sz w:val="28"/>
          <w:szCs w:val="28"/>
        </w:rPr>
        <w:t>faţă de bugetul asigurărilor sociale de stat</w:t>
      </w:r>
      <w:r w:rsidR="00C90F83" w:rsidRPr="00651044">
        <w:rPr>
          <w:sz w:val="28"/>
          <w:szCs w:val="28"/>
        </w:rPr>
        <w:t xml:space="preserve"> </w:t>
      </w:r>
      <w:r w:rsidR="003F7B47" w:rsidRPr="00651044">
        <w:rPr>
          <w:sz w:val="28"/>
          <w:szCs w:val="28"/>
        </w:rPr>
        <w:t xml:space="preserve">includ şi datorii al căror termen de achitare nu a parvenit. </w:t>
      </w:r>
    </w:p>
    <w:p w:rsidR="00F83737" w:rsidRPr="00651044" w:rsidRDefault="00F83737" w:rsidP="002A37EB">
      <w:pPr>
        <w:spacing w:line="276" w:lineRule="auto"/>
        <w:ind w:firstLine="567"/>
        <w:jc w:val="both"/>
        <w:rPr>
          <w:sz w:val="28"/>
          <w:szCs w:val="28"/>
        </w:rPr>
      </w:pPr>
      <w:r w:rsidRPr="00651044">
        <w:rPr>
          <w:sz w:val="28"/>
          <w:szCs w:val="28"/>
        </w:rPr>
        <w:t xml:space="preserve">În partea ce ţine de </w:t>
      </w:r>
      <w:r w:rsidRPr="00651044">
        <w:rPr>
          <w:i/>
          <w:sz w:val="28"/>
          <w:szCs w:val="28"/>
        </w:rPr>
        <w:t>societăţile pe acţiuni</w:t>
      </w:r>
      <w:r w:rsidRPr="00651044">
        <w:rPr>
          <w:sz w:val="28"/>
          <w:szCs w:val="28"/>
        </w:rPr>
        <w:t xml:space="preserve">, menţionăm că, din valoarea totală </w:t>
      </w:r>
      <w:r w:rsidR="00695318" w:rsidRPr="00651044">
        <w:rPr>
          <w:sz w:val="28"/>
          <w:szCs w:val="28"/>
        </w:rPr>
        <w:t xml:space="preserve">a datoriilor </w:t>
      </w:r>
      <w:r w:rsidRPr="00651044">
        <w:rPr>
          <w:sz w:val="28"/>
          <w:szCs w:val="28"/>
        </w:rPr>
        <w:t xml:space="preserve">de </w:t>
      </w:r>
      <w:r w:rsidR="00C90F83" w:rsidRPr="00651044">
        <w:rPr>
          <w:sz w:val="28"/>
          <w:szCs w:val="28"/>
        </w:rPr>
        <w:t>10,5</w:t>
      </w:r>
      <w:r w:rsidRPr="00651044">
        <w:rPr>
          <w:sz w:val="28"/>
          <w:szCs w:val="28"/>
        </w:rPr>
        <w:t xml:space="preserve"> mil. lei, datoriile aferente plăţilor de bază au constituit </w:t>
      </w:r>
      <w:r w:rsidR="00C90F83" w:rsidRPr="00651044">
        <w:rPr>
          <w:sz w:val="28"/>
          <w:szCs w:val="28"/>
        </w:rPr>
        <w:t>7,0</w:t>
      </w:r>
      <w:r w:rsidRPr="00651044">
        <w:rPr>
          <w:sz w:val="28"/>
          <w:szCs w:val="28"/>
        </w:rPr>
        <w:t xml:space="preserve"> mil. lei, privind penalităţile – </w:t>
      </w:r>
      <w:r w:rsidR="00C90F83" w:rsidRPr="00651044">
        <w:rPr>
          <w:sz w:val="28"/>
          <w:szCs w:val="28"/>
        </w:rPr>
        <w:t>3,4</w:t>
      </w:r>
      <w:r w:rsidRPr="00651044">
        <w:rPr>
          <w:sz w:val="28"/>
          <w:szCs w:val="28"/>
        </w:rPr>
        <w:t xml:space="preserve"> mil.</w:t>
      </w:r>
      <w:r w:rsidR="003F7B47" w:rsidRPr="00651044">
        <w:rPr>
          <w:sz w:val="28"/>
          <w:szCs w:val="28"/>
        </w:rPr>
        <w:t xml:space="preserve"> lei, iar privind amenzile – </w:t>
      </w:r>
      <w:r w:rsidR="00F30BA3" w:rsidRPr="00651044">
        <w:rPr>
          <w:sz w:val="28"/>
          <w:szCs w:val="28"/>
        </w:rPr>
        <w:t>0</w:t>
      </w:r>
      <w:r w:rsidR="00C90F83" w:rsidRPr="00651044">
        <w:rPr>
          <w:sz w:val="28"/>
          <w:szCs w:val="28"/>
        </w:rPr>
        <w:t>,1</w:t>
      </w:r>
      <w:r w:rsidRPr="00651044">
        <w:rPr>
          <w:sz w:val="28"/>
          <w:szCs w:val="28"/>
        </w:rPr>
        <w:t xml:space="preserve"> mil. lei (tabelul 4.2).</w:t>
      </w:r>
    </w:p>
    <w:p w:rsidR="00DC4C81" w:rsidRPr="00651044" w:rsidRDefault="00DC4C81" w:rsidP="002A37EB">
      <w:pPr>
        <w:spacing w:line="276" w:lineRule="auto"/>
        <w:ind w:firstLine="567"/>
        <w:jc w:val="both"/>
        <w:rPr>
          <w:sz w:val="28"/>
          <w:szCs w:val="28"/>
        </w:rPr>
      </w:pPr>
    </w:p>
    <w:p w:rsidR="00F83737" w:rsidRPr="00651044" w:rsidRDefault="00F83737" w:rsidP="00F83737">
      <w:pPr>
        <w:spacing w:line="23" w:lineRule="atLeast"/>
        <w:ind w:left="720"/>
        <w:jc w:val="right"/>
      </w:pPr>
      <w:r w:rsidRPr="00651044">
        <w:t>Tabelul 4.2</w:t>
      </w:r>
    </w:p>
    <w:p w:rsidR="00F83737" w:rsidRPr="00651044" w:rsidRDefault="00F83737" w:rsidP="00F83737">
      <w:pPr>
        <w:jc w:val="center"/>
        <w:rPr>
          <w:b/>
          <w:i/>
        </w:rPr>
      </w:pPr>
      <w:r w:rsidRPr="00651044">
        <w:rPr>
          <w:b/>
          <w:i/>
        </w:rPr>
        <w:t>Sinteza datoriilor societăţilor pe acţiuni faţă</w:t>
      </w:r>
    </w:p>
    <w:p w:rsidR="00F83737" w:rsidRPr="00651044" w:rsidRDefault="00F83737" w:rsidP="00F83737">
      <w:pPr>
        <w:jc w:val="center"/>
        <w:rPr>
          <w:b/>
          <w:i/>
        </w:rPr>
      </w:pPr>
      <w:r w:rsidRPr="00651044">
        <w:rPr>
          <w:b/>
          <w:i/>
        </w:rPr>
        <w:t>de bugetul public naţional la situaţia din 3</w:t>
      </w:r>
      <w:r w:rsidR="00670823" w:rsidRPr="00651044">
        <w:rPr>
          <w:b/>
          <w:i/>
        </w:rPr>
        <w:t>1</w:t>
      </w:r>
      <w:r w:rsidRPr="00651044">
        <w:rPr>
          <w:b/>
          <w:i/>
        </w:rPr>
        <w:t xml:space="preserve"> </w:t>
      </w:r>
      <w:r w:rsidR="00670823" w:rsidRPr="00651044">
        <w:rPr>
          <w:b/>
          <w:i/>
        </w:rPr>
        <w:t>decembri</w:t>
      </w:r>
      <w:r w:rsidR="00C90F83" w:rsidRPr="00651044">
        <w:rPr>
          <w:b/>
          <w:i/>
        </w:rPr>
        <w:t>e 2015</w:t>
      </w:r>
    </w:p>
    <w:p w:rsidR="00F83737" w:rsidRPr="00651044" w:rsidRDefault="00F83737" w:rsidP="008F08E8">
      <w:pPr>
        <w:spacing w:line="23" w:lineRule="atLeast"/>
      </w:pPr>
      <w:r w:rsidRPr="00651044">
        <w:t xml:space="preserve">                                                                                                                                                   (mil. lei)</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1418"/>
        <w:gridCol w:w="1134"/>
        <w:gridCol w:w="992"/>
        <w:gridCol w:w="1049"/>
      </w:tblGrid>
      <w:tr w:rsidR="00F83737" w:rsidRPr="00651044" w:rsidTr="0065265B">
        <w:trPr>
          <w:jc w:val="center"/>
        </w:trPr>
        <w:tc>
          <w:tcPr>
            <w:tcW w:w="4678" w:type="dxa"/>
            <w:vMerge w:val="restart"/>
          </w:tcPr>
          <w:p w:rsidR="008F08E8" w:rsidRPr="00651044" w:rsidRDefault="008F08E8" w:rsidP="008F08E8">
            <w:pPr>
              <w:spacing w:line="23" w:lineRule="atLeast"/>
              <w:rPr>
                <w:b/>
                <w:i/>
                <w:iCs/>
                <w:sz w:val="20"/>
                <w:szCs w:val="20"/>
              </w:rPr>
            </w:pPr>
          </w:p>
          <w:p w:rsidR="00F83737" w:rsidRPr="00651044" w:rsidRDefault="00F83737" w:rsidP="008F08E8">
            <w:pPr>
              <w:spacing w:line="23" w:lineRule="atLeast"/>
              <w:rPr>
                <w:b/>
                <w:i/>
                <w:iCs/>
                <w:sz w:val="20"/>
                <w:szCs w:val="20"/>
              </w:rPr>
            </w:pPr>
            <w:r w:rsidRPr="00651044">
              <w:rPr>
                <w:b/>
                <w:i/>
                <w:iCs/>
                <w:sz w:val="20"/>
                <w:szCs w:val="20"/>
              </w:rPr>
              <w:t>Verigile sistemului bugetar:</w:t>
            </w:r>
          </w:p>
        </w:tc>
        <w:tc>
          <w:tcPr>
            <w:tcW w:w="3544" w:type="dxa"/>
            <w:gridSpan w:val="3"/>
          </w:tcPr>
          <w:p w:rsidR="00F83737" w:rsidRPr="00651044" w:rsidRDefault="00F83737" w:rsidP="0065265B">
            <w:pPr>
              <w:spacing w:line="23" w:lineRule="atLeast"/>
              <w:jc w:val="center"/>
              <w:rPr>
                <w:b/>
                <w:i/>
                <w:iCs/>
                <w:sz w:val="20"/>
                <w:szCs w:val="20"/>
              </w:rPr>
            </w:pPr>
            <w:r w:rsidRPr="00651044">
              <w:rPr>
                <w:b/>
                <w:i/>
                <w:iCs/>
                <w:sz w:val="20"/>
                <w:szCs w:val="20"/>
              </w:rPr>
              <w:t>Inclusiv:</w:t>
            </w:r>
          </w:p>
        </w:tc>
        <w:tc>
          <w:tcPr>
            <w:tcW w:w="1049" w:type="dxa"/>
            <w:vMerge w:val="restart"/>
          </w:tcPr>
          <w:p w:rsidR="00F83737" w:rsidRPr="00651044" w:rsidRDefault="00F83737" w:rsidP="0065265B">
            <w:pPr>
              <w:spacing w:line="23" w:lineRule="atLeast"/>
              <w:jc w:val="center"/>
              <w:rPr>
                <w:b/>
                <w:bCs/>
                <w:sz w:val="20"/>
                <w:szCs w:val="20"/>
              </w:rPr>
            </w:pPr>
            <w:r w:rsidRPr="00651044">
              <w:rPr>
                <w:b/>
                <w:bCs/>
                <w:sz w:val="20"/>
                <w:szCs w:val="20"/>
              </w:rPr>
              <w:t>Total pe bugete</w:t>
            </w:r>
          </w:p>
        </w:tc>
      </w:tr>
      <w:tr w:rsidR="00F83737" w:rsidRPr="00651044" w:rsidTr="0065265B">
        <w:trPr>
          <w:trHeight w:val="206"/>
          <w:jc w:val="center"/>
        </w:trPr>
        <w:tc>
          <w:tcPr>
            <w:tcW w:w="4678" w:type="dxa"/>
            <w:vMerge/>
          </w:tcPr>
          <w:p w:rsidR="00F83737" w:rsidRPr="00651044" w:rsidRDefault="00F83737" w:rsidP="0065265B">
            <w:pPr>
              <w:spacing w:line="23" w:lineRule="atLeast"/>
              <w:rPr>
                <w:b/>
                <w:sz w:val="20"/>
                <w:szCs w:val="20"/>
              </w:rPr>
            </w:pPr>
          </w:p>
        </w:tc>
        <w:tc>
          <w:tcPr>
            <w:tcW w:w="1418" w:type="dxa"/>
          </w:tcPr>
          <w:p w:rsidR="00F83737" w:rsidRPr="00651044" w:rsidRDefault="00F83737" w:rsidP="0065265B">
            <w:pPr>
              <w:jc w:val="center"/>
              <w:rPr>
                <w:b/>
                <w:sz w:val="20"/>
                <w:szCs w:val="20"/>
              </w:rPr>
            </w:pPr>
            <w:r w:rsidRPr="00651044">
              <w:rPr>
                <w:b/>
                <w:sz w:val="20"/>
                <w:szCs w:val="20"/>
              </w:rPr>
              <w:t>plăţi de bază</w:t>
            </w:r>
          </w:p>
        </w:tc>
        <w:tc>
          <w:tcPr>
            <w:tcW w:w="1134" w:type="dxa"/>
          </w:tcPr>
          <w:p w:rsidR="00F83737" w:rsidRPr="00651044" w:rsidRDefault="00F83737" w:rsidP="0065265B">
            <w:pPr>
              <w:spacing w:line="23" w:lineRule="atLeast"/>
              <w:jc w:val="center"/>
              <w:rPr>
                <w:b/>
                <w:sz w:val="20"/>
                <w:szCs w:val="20"/>
              </w:rPr>
            </w:pPr>
            <w:r w:rsidRPr="00651044">
              <w:rPr>
                <w:b/>
                <w:sz w:val="20"/>
                <w:szCs w:val="20"/>
              </w:rPr>
              <w:t>penalităţi </w:t>
            </w:r>
          </w:p>
        </w:tc>
        <w:tc>
          <w:tcPr>
            <w:tcW w:w="992" w:type="dxa"/>
          </w:tcPr>
          <w:p w:rsidR="00F83737" w:rsidRPr="00651044" w:rsidRDefault="00F83737" w:rsidP="0065265B">
            <w:pPr>
              <w:spacing w:line="23" w:lineRule="atLeast"/>
              <w:jc w:val="center"/>
              <w:rPr>
                <w:b/>
                <w:sz w:val="20"/>
                <w:szCs w:val="20"/>
              </w:rPr>
            </w:pPr>
            <w:r w:rsidRPr="00651044">
              <w:rPr>
                <w:b/>
                <w:sz w:val="20"/>
                <w:szCs w:val="20"/>
              </w:rPr>
              <w:t>amenzi</w:t>
            </w:r>
          </w:p>
        </w:tc>
        <w:tc>
          <w:tcPr>
            <w:tcW w:w="1049" w:type="dxa"/>
            <w:vMerge/>
          </w:tcPr>
          <w:p w:rsidR="00F83737" w:rsidRPr="00651044" w:rsidRDefault="00F83737" w:rsidP="0065265B">
            <w:pPr>
              <w:spacing w:line="23" w:lineRule="atLeast"/>
              <w:rPr>
                <w:b/>
                <w:bCs/>
                <w:sz w:val="20"/>
                <w:szCs w:val="20"/>
              </w:rPr>
            </w:pPr>
          </w:p>
        </w:tc>
      </w:tr>
      <w:tr w:rsidR="00F83737" w:rsidRPr="00651044" w:rsidTr="0065265B">
        <w:trPr>
          <w:trHeight w:val="155"/>
          <w:jc w:val="center"/>
        </w:trPr>
        <w:tc>
          <w:tcPr>
            <w:tcW w:w="4678" w:type="dxa"/>
          </w:tcPr>
          <w:p w:rsidR="00F83737" w:rsidRPr="00651044" w:rsidRDefault="00F83737" w:rsidP="0065265B">
            <w:pPr>
              <w:spacing w:line="23" w:lineRule="atLeast"/>
              <w:jc w:val="both"/>
              <w:rPr>
                <w:sz w:val="20"/>
                <w:szCs w:val="20"/>
              </w:rPr>
            </w:pPr>
            <w:r w:rsidRPr="00651044">
              <w:rPr>
                <w:sz w:val="20"/>
                <w:szCs w:val="20"/>
              </w:rPr>
              <w:t>Bugetul de stat</w:t>
            </w:r>
          </w:p>
        </w:tc>
        <w:tc>
          <w:tcPr>
            <w:tcW w:w="1418" w:type="dxa"/>
          </w:tcPr>
          <w:p w:rsidR="00F83737" w:rsidRPr="00651044" w:rsidRDefault="00C90F83" w:rsidP="0065265B">
            <w:pPr>
              <w:spacing w:line="23" w:lineRule="atLeast"/>
              <w:jc w:val="center"/>
              <w:rPr>
                <w:sz w:val="20"/>
                <w:szCs w:val="20"/>
              </w:rPr>
            </w:pPr>
            <w:r w:rsidRPr="00651044">
              <w:rPr>
                <w:sz w:val="20"/>
                <w:szCs w:val="20"/>
              </w:rPr>
              <w:t>2,</w:t>
            </w:r>
            <w:r w:rsidR="00695318" w:rsidRPr="00651044">
              <w:rPr>
                <w:sz w:val="20"/>
                <w:szCs w:val="20"/>
              </w:rPr>
              <w:t>8</w:t>
            </w:r>
          </w:p>
        </w:tc>
        <w:tc>
          <w:tcPr>
            <w:tcW w:w="1134" w:type="dxa"/>
          </w:tcPr>
          <w:p w:rsidR="00F83737" w:rsidRPr="00651044" w:rsidRDefault="00C90F83" w:rsidP="0065265B">
            <w:pPr>
              <w:spacing w:line="23" w:lineRule="atLeast"/>
              <w:jc w:val="center"/>
              <w:rPr>
                <w:sz w:val="20"/>
                <w:szCs w:val="20"/>
              </w:rPr>
            </w:pPr>
            <w:r w:rsidRPr="00651044">
              <w:rPr>
                <w:sz w:val="20"/>
                <w:szCs w:val="20"/>
              </w:rPr>
              <w:t>0,6</w:t>
            </w:r>
          </w:p>
        </w:tc>
        <w:tc>
          <w:tcPr>
            <w:tcW w:w="992" w:type="dxa"/>
          </w:tcPr>
          <w:p w:rsidR="00F83737" w:rsidRPr="00651044" w:rsidRDefault="00C90F83" w:rsidP="0065265B">
            <w:pPr>
              <w:spacing w:line="23" w:lineRule="atLeast"/>
              <w:jc w:val="center"/>
              <w:rPr>
                <w:sz w:val="20"/>
                <w:szCs w:val="20"/>
              </w:rPr>
            </w:pPr>
            <w:r w:rsidRPr="00651044">
              <w:rPr>
                <w:sz w:val="20"/>
                <w:szCs w:val="20"/>
              </w:rPr>
              <w:t>0,1</w:t>
            </w:r>
          </w:p>
        </w:tc>
        <w:tc>
          <w:tcPr>
            <w:tcW w:w="1049" w:type="dxa"/>
          </w:tcPr>
          <w:p w:rsidR="00F83737" w:rsidRPr="00651044" w:rsidRDefault="00C90F83" w:rsidP="0065265B">
            <w:pPr>
              <w:spacing w:line="23" w:lineRule="atLeast"/>
              <w:jc w:val="center"/>
              <w:rPr>
                <w:b/>
                <w:bCs/>
                <w:sz w:val="20"/>
                <w:szCs w:val="20"/>
              </w:rPr>
            </w:pPr>
            <w:r w:rsidRPr="00651044">
              <w:rPr>
                <w:b/>
                <w:bCs/>
                <w:sz w:val="20"/>
                <w:szCs w:val="20"/>
              </w:rPr>
              <w:t>3,5</w:t>
            </w:r>
          </w:p>
        </w:tc>
      </w:tr>
      <w:tr w:rsidR="00F83737" w:rsidRPr="00651044" w:rsidTr="0065265B">
        <w:trPr>
          <w:trHeight w:val="174"/>
          <w:jc w:val="center"/>
        </w:trPr>
        <w:tc>
          <w:tcPr>
            <w:tcW w:w="4678" w:type="dxa"/>
          </w:tcPr>
          <w:p w:rsidR="00F83737" w:rsidRPr="00651044" w:rsidRDefault="00F83737" w:rsidP="0065265B">
            <w:pPr>
              <w:spacing w:line="23" w:lineRule="atLeast"/>
              <w:jc w:val="both"/>
              <w:rPr>
                <w:sz w:val="20"/>
                <w:szCs w:val="20"/>
              </w:rPr>
            </w:pPr>
            <w:r w:rsidRPr="00651044">
              <w:rPr>
                <w:sz w:val="20"/>
                <w:szCs w:val="20"/>
              </w:rPr>
              <w:t>Bugetele unităţilor administrativ-teritoriale</w:t>
            </w:r>
          </w:p>
        </w:tc>
        <w:tc>
          <w:tcPr>
            <w:tcW w:w="1418" w:type="dxa"/>
          </w:tcPr>
          <w:p w:rsidR="00F83737" w:rsidRPr="00651044" w:rsidRDefault="00C90F83" w:rsidP="0065265B">
            <w:pPr>
              <w:spacing w:line="23" w:lineRule="atLeast"/>
              <w:jc w:val="center"/>
              <w:rPr>
                <w:sz w:val="20"/>
                <w:szCs w:val="20"/>
              </w:rPr>
            </w:pPr>
            <w:r w:rsidRPr="00651044">
              <w:rPr>
                <w:sz w:val="20"/>
                <w:szCs w:val="20"/>
              </w:rPr>
              <w:t>1,</w:t>
            </w:r>
            <w:r w:rsidR="00695318" w:rsidRPr="00651044">
              <w:rPr>
                <w:sz w:val="20"/>
                <w:szCs w:val="20"/>
              </w:rPr>
              <w:t>1</w:t>
            </w:r>
          </w:p>
        </w:tc>
        <w:tc>
          <w:tcPr>
            <w:tcW w:w="1134" w:type="dxa"/>
          </w:tcPr>
          <w:p w:rsidR="00F83737" w:rsidRPr="00651044" w:rsidRDefault="00C90F83" w:rsidP="0065265B">
            <w:pPr>
              <w:spacing w:line="23" w:lineRule="atLeast"/>
              <w:jc w:val="center"/>
              <w:rPr>
                <w:sz w:val="20"/>
                <w:szCs w:val="20"/>
              </w:rPr>
            </w:pPr>
            <w:r w:rsidRPr="00651044">
              <w:rPr>
                <w:sz w:val="20"/>
                <w:szCs w:val="20"/>
              </w:rPr>
              <w:t>0,1</w:t>
            </w:r>
          </w:p>
        </w:tc>
        <w:tc>
          <w:tcPr>
            <w:tcW w:w="992" w:type="dxa"/>
          </w:tcPr>
          <w:p w:rsidR="00F83737" w:rsidRPr="00651044" w:rsidRDefault="00C90F83" w:rsidP="0065265B">
            <w:pPr>
              <w:spacing w:line="23" w:lineRule="atLeast"/>
              <w:jc w:val="center"/>
              <w:rPr>
                <w:sz w:val="20"/>
                <w:szCs w:val="20"/>
              </w:rPr>
            </w:pPr>
            <w:r w:rsidRPr="00651044">
              <w:rPr>
                <w:sz w:val="20"/>
                <w:szCs w:val="20"/>
              </w:rPr>
              <w:t>0,0</w:t>
            </w:r>
          </w:p>
        </w:tc>
        <w:tc>
          <w:tcPr>
            <w:tcW w:w="1049" w:type="dxa"/>
          </w:tcPr>
          <w:p w:rsidR="00F83737" w:rsidRPr="00651044" w:rsidRDefault="00C90F83" w:rsidP="0065265B">
            <w:pPr>
              <w:spacing w:line="23" w:lineRule="atLeast"/>
              <w:jc w:val="center"/>
              <w:rPr>
                <w:b/>
                <w:bCs/>
                <w:sz w:val="20"/>
                <w:szCs w:val="20"/>
              </w:rPr>
            </w:pPr>
            <w:r w:rsidRPr="00651044">
              <w:rPr>
                <w:b/>
                <w:bCs/>
                <w:sz w:val="20"/>
                <w:szCs w:val="20"/>
              </w:rPr>
              <w:t>1,</w:t>
            </w:r>
            <w:r w:rsidR="00695318" w:rsidRPr="00651044">
              <w:rPr>
                <w:b/>
                <w:bCs/>
                <w:sz w:val="20"/>
                <w:szCs w:val="20"/>
              </w:rPr>
              <w:t>2</w:t>
            </w:r>
          </w:p>
        </w:tc>
      </w:tr>
      <w:tr w:rsidR="00F83737" w:rsidRPr="00651044" w:rsidTr="0065265B">
        <w:trPr>
          <w:jc w:val="center"/>
        </w:trPr>
        <w:tc>
          <w:tcPr>
            <w:tcW w:w="4678" w:type="dxa"/>
          </w:tcPr>
          <w:p w:rsidR="00F83737" w:rsidRPr="00651044" w:rsidRDefault="00F83737" w:rsidP="0065265B">
            <w:pPr>
              <w:spacing w:line="23" w:lineRule="atLeast"/>
              <w:jc w:val="both"/>
              <w:rPr>
                <w:sz w:val="20"/>
                <w:szCs w:val="20"/>
              </w:rPr>
            </w:pPr>
            <w:r w:rsidRPr="00651044">
              <w:rPr>
                <w:sz w:val="20"/>
                <w:szCs w:val="20"/>
              </w:rPr>
              <w:t>Bugetul asigurărilor sociale de stat</w:t>
            </w:r>
          </w:p>
        </w:tc>
        <w:tc>
          <w:tcPr>
            <w:tcW w:w="1418" w:type="dxa"/>
          </w:tcPr>
          <w:p w:rsidR="00F83737" w:rsidRPr="00651044" w:rsidRDefault="00C90F83" w:rsidP="0065265B">
            <w:pPr>
              <w:spacing w:line="23" w:lineRule="atLeast"/>
              <w:jc w:val="center"/>
              <w:rPr>
                <w:sz w:val="20"/>
                <w:szCs w:val="20"/>
              </w:rPr>
            </w:pPr>
            <w:r w:rsidRPr="00651044">
              <w:rPr>
                <w:sz w:val="20"/>
                <w:szCs w:val="20"/>
              </w:rPr>
              <w:t>3,0</w:t>
            </w:r>
          </w:p>
        </w:tc>
        <w:tc>
          <w:tcPr>
            <w:tcW w:w="1134" w:type="dxa"/>
          </w:tcPr>
          <w:p w:rsidR="00F83737" w:rsidRPr="00651044" w:rsidRDefault="00C90F83" w:rsidP="0065265B">
            <w:pPr>
              <w:spacing w:line="23" w:lineRule="atLeast"/>
              <w:jc w:val="center"/>
              <w:rPr>
                <w:sz w:val="20"/>
                <w:szCs w:val="20"/>
              </w:rPr>
            </w:pPr>
            <w:r w:rsidRPr="00651044">
              <w:rPr>
                <w:sz w:val="20"/>
                <w:szCs w:val="20"/>
              </w:rPr>
              <w:t>2,2</w:t>
            </w:r>
          </w:p>
        </w:tc>
        <w:tc>
          <w:tcPr>
            <w:tcW w:w="992" w:type="dxa"/>
          </w:tcPr>
          <w:p w:rsidR="00F83737" w:rsidRPr="00651044" w:rsidRDefault="00C90F83" w:rsidP="0065265B">
            <w:pPr>
              <w:spacing w:line="23" w:lineRule="atLeast"/>
              <w:jc w:val="center"/>
              <w:rPr>
                <w:sz w:val="20"/>
                <w:szCs w:val="20"/>
              </w:rPr>
            </w:pPr>
            <w:r w:rsidRPr="00651044">
              <w:rPr>
                <w:sz w:val="20"/>
                <w:szCs w:val="20"/>
              </w:rPr>
              <w:t>0,0</w:t>
            </w:r>
          </w:p>
        </w:tc>
        <w:tc>
          <w:tcPr>
            <w:tcW w:w="1049" w:type="dxa"/>
          </w:tcPr>
          <w:p w:rsidR="00F83737" w:rsidRPr="00651044" w:rsidRDefault="00C90F83" w:rsidP="0065265B">
            <w:pPr>
              <w:spacing w:line="23" w:lineRule="atLeast"/>
              <w:jc w:val="center"/>
              <w:rPr>
                <w:b/>
                <w:bCs/>
                <w:sz w:val="20"/>
                <w:szCs w:val="20"/>
              </w:rPr>
            </w:pPr>
            <w:r w:rsidRPr="00651044">
              <w:rPr>
                <w:b/>
                <w:bCs/>
                <w:sz w:val="20"/>
                <w:szCs w:val="20"/>
              </w:rPr>
              <w:t>5,2</w:t>
            </w:r>
          </w:p>
        </w:tc>
      </w:tr>
      <w:tr w:rsidR="00F83737" w:rsidRPr="00651044" w:rsidTr="0065265B">
        <w:trPr>
          <w:jc w:val="center"/>
        </w:trPr>
        <w:tc>
          <w:tcPr>
            <w:tcW w:w="4678" w:type="dxa"/>
          </w:tcPr>
          <w:p w:rsidR="00F83737" w:rsidRPr="00651044" w:rsidRDefault="00F83737" w:rsidP="0065265B">
            <w:pPr>
              <w:spacing w:line="23" w:lineRule="atLeast"/>
              <w:jc w:val="both"/>
              <w:rPr>
                <w:sz w:val="20"/>
                <w:szCs w:val="20"/>
              </w:rPr>
            </w:pPr>
            <w:r w:rsidRPr="00651044">
              <w:rPr>
                <w:sz w:val="20"/>
                <w:szCs w:val="20"/>
              </w:rPr>
              <w:t>Fondurile asigurărilor obligatorii de asistenţă medicală</w:t>
            </w:r>
          </w:p>
        </w:tc>
        <w:tc>
          <w:tcPr>
            <w:tcW w:w="1418" w:type="dxa"/>
          </w:tcPr>
          <w:p w:rsidR="00F83737" w:rsidRPr="00651044" w:rsidRDefault="00C90F83" w:rsidP="0065265B">
            <w:pPr>
              <w:spacing w:line="23" w:lineRule="atLeast"/>
              <w:jc w:val="center"/>
              <w:rPr>
                <w:sz w:val="20"/>
                <w:szCs w:val="20"/>
              </w:rPr>
            </w:pPr>
            <w:r w:rsidRPr="00651044">
              <w:rPr>
                <w:sz w:val="20"/>
                <w:szCs w:val="20"/>
              </w:rPr>
              <w:t>0,1</w:t>
            </w:r>
          </w:p>
        </w:tc>
        <w:tc>
          <w:tcPr>
            <w:tcW w:w="1134" w:type="dxa"/>
          </w:tcPr>
          <w:p w:rsidR="00F83737" w:rsidRPr="00651044" w:rsidRDefault="00C90F83" w:rsidP="0065265B">
            <w:pPr>
              <w:spacing w:line="23" w:lineRule="atLeast"/>
              <w:jc w:val="center"/>
              <w:rPr>
                <w:sz w:val="20"/>
                <w:szCs w:val="20"/>
              </w:rPr>
            </w:pPr>
            <w:r w:rsidRPr="00651044">
              <w:rPr>
                <w:sz w:val="20"/>
                <w:szCs w:val="20"/>
              </w:rPr>
              <w:t>0,5</w:t>
            </w:r>
          </w:p>
        </w:tc>
        <w:tc>
          <w:tcPr>
            <w:tcW w:w="992" w:type="dxa"/>
          </w:tcPr>
          <w:p w:rsidR="00F83737" w:rsidRPr="00651044" w:rsidRDefault="00C90F83" w:rsidP="0065265B">
            <w:pPr>
              <w:spacing w:line="23" w:lineRule="atLeast"/>
              <w:jc w:val="center"/>
              <w:rPr>
                <w:sz w:val="20"/>
                <w:szCs w:val="20"/>
              </w:rPr>
            </w:pPr>
            <w:r w:rsidRPr="00651044">
              <w:rPr>
                <w:sz w:val="20"/>
                <w:szCs w:val="20"/>
              </w:rPr>
              <w:t>0,0</w:t>
            </w:r>
          </w:p>
        </w:tc>
        <w:tc>
          <w:tcPr>
            <w:tcW w:w="1049" w:type="dxa"/>
          </w:tcPr>
          <w:p w:rsidR="00F83737" w:rsidRPr="00651044" w:rsidRDefault="00C90F83" w:rsidP="0065265B">
            <w:pPr>
              <w:spacing w:line="23" w:lineRule="atLeast"/>
              <w:jc w:val="center"/>
              <w:rPr>
                <w:b/>
                <w:bCs/>
                <w:sz w:val="20"/>
                <w:szCs w:val="20"/>
              </w:rPr>
            </w:pPr>
            <w:r w:rsidRPr="00651044">
              <w:rPr>
                <w:b/>
                <w:bCs/>
                <w:sz w:val="20"/>
                <w:szCs w:val="20"/>
              </w:rPr>
              <w:t>0,6</w:t>
            </w:r>
          </w:p>
        </w:tc>
      </w:tr>
      <w:tr w:rsidR="00F83737" w:rsidRPr="00651044" w:rsidTr="0065265B">
        <w:trPr>
          <w:trHeight w:val="128"/>
          <w:jc w:val="center"/>
        </w:trPr>
        <w:tc>
          <w:tcPr>
            <w:tcW w:w="4678" w:type="dxa"/>
          </w:tcPr>
          <w:p w:rsidR="00F83737" w:rsidRPr="00651044" w:rsidRDefault="00F83737" w:rsidP="0065265B">
            <w:pPr>
              <w:spacing w:line="23" w:lineRule="atLeast"/>
              <w:jc w:val="both"/>
              <w:rPr>
                <w:b/>
                <w:bCs/>
                <w:sz w:val="20"/>
                <w:szCs w:val="20"/>
              </w:rPr>
            </w:pPr>
            <w:r w:rsidRPr="00651044">
              <w:rPr>
                <w:b/>
                <w:bCs/>
                <w:sz w:val="20"/>
                <w:szCs w:val="20"/>
              </w:rPr>
              <w:t>TOTAL</w:t>
            </w:r>
          </w:p>
        </w:tc>
        <w:tc>
          <w:tcPr>
            <w:tcW w:w="1418" w:type="dxa"/>
          </w:tcPr>
          <w:p w:rsidR="00F83737" w:rsidRPr="00651044" w:rsidRDefault="00C90F83" w:rsidP="0065265B">
            <w:pPr>
              <w:spacing w:line="23" w:lineRule="atLeast"/>
              <w:jc w:val="center"/>
              <w:rPr>
                <w:b/>
                <w:bCs/>
                <w:sz w:val="20"/>
                <w:szCs w:val="20"/>
              </w:rPr>
            </w:pPr>
            <w:r w:rsidRPr="00651044">
              <w:rPr>
                <w:b/>
                <w:bCs/>
                <w:sz w:val="20"/>
                <w:szCs w:val="20"/>
              </w:rPr>
              <w:t>7,0</w:t>
            </w:r>
          </w:p>
        </w:tc>
        <w:tc>
          <w:tcPr>
            <w:tcW w:w="1134" w:type="dxa"/>
          </w:tcPr>
          <w:p w:rsidR="00F83737" w:rsidRPr="00651044" w:rsidRDefault="00C90F83" w:rsidP="0065265B">
            <w:pPr>
              <w:spacing w:line="23" w:lineRule="atLeast"/>
              <w:jc w:val="center"/>
              <w:rPr>
                <w:b/>
                <w:bCs/>
                <w:sz w:val="20"/>
                <w:szCs w:val="20"/>
              </w:rPr>
            </w:pPr>
            <w:r w:rsidRPr="00651044">
              <w:rPr>
                <w:b/>
                <w:bCs/>
                <w:sz w:val="20"/>
                <w:szCs w:val="20"/>
              </w:rPr>
              <w:t>3,4</w:t>
            </w:r>
          </w:p>
        </w:tc>
        <w:tc>
          <w:tcPr>
            <w:tcW w:w="992" w:type="dxa"/>
          </w:tcPr>
          <w:p w:rsidR="00F83737" w:rsidRPr="00651044" w:rsidRDefault="00C90F83" w:rsidP="0065265B">
            <w:pPr>
              <w:spacing w:line="23" w:lineRule="atLeast"/>
              <w:jc w:val="center"/>
              <w:rPr>
                <w:b/>
                <w:bCs/>
                <w:sz w:val="20"/>
                <w:szCs w:val="20"/>
              </w:rPr>
            </w:pPr>
            <w:r w:rsidRPr="00651044">
              <w:rPr>
                <w:b/>
                <w:bCs/>
                <w:sz w:val="20"/>
                <w:szCs w:val="20"/>
              </w:rPr>
              <w:t>0,1</w:t>
            </w:r>
          </w:p>
        </w:tc>
        <w:tc>
          <w:tcPr>
            <w:tcW w:w="1049" w:type="dxa"/>
          </w:tcPr>
          <w:p w:rsidR="00F83737" w:rsidRPr="00651044" w:rsidRDefault="00C90F83" w:rsidP="0065265B">
            <w:pPr>
              <w:spacing w:line="23" w:lineRule="atLeast"/>
              <w:jc w:val="center"/>
              <w:rPr>
                <w:b/>
                <w:bCs/>
                <w:sz w:val="20"/>
                <w:szCs w:val="20"/>
              </w:rPr>
            </w:pPr>
            <w:r w:rsidRPr="00651044">
              <w:rPr>
                <w:b/>
                <w:bCs/>
                <w:sz w:val="20"/>
                <w:szCs w:val="20"/>
              </w:rPr>
              <w:t>10,5</w:t>
            </w:r>
          </w:p>
        </w:tc>
      </w:tr>
    </w:tbl>
    <w:p w:rsidR="006953C7" w:rsidRPr="00651044" w:rsidRDefault="006953C7" w:rsidP="008F08E8">
      <w:pPr>
        <w:ind w:firstLine="708"/>
        <w:jc w:val="both"/>
        <w:rPr>
          <w:color w:val="FF0000"/>
          <w:sz w:val="28"/>
          <w:szCs w:val="28"/>
        </w:rPr>
      </w:pPr>
    </w:p>
    <w:p w:rsidR="00895280" w:rsidRPr="00651044" w:rsidRDefault="00895280" w:rsidP="008F08E8">
      <w:pPr>
        <w:ind w:firstLine="708"/>
        <w:jc w:val="both"/>
        <w:rPr>
          <w:color w:val="FF0000"/>
          <w:sz w:val="28"/>
          <w:szCs w:val="28"/>
        </w:rPr>
      </w:pPr>
    </w:p>
    <w:p w:rsidR="00BB33B2" w:rsidRPr="00651044" w:rsidRDefault="00F83737" w:rsidP="00695318">
      <w:pPr>
        <w:spacing w:line="276" w:lineRule="auto"/>
        <w:ind w:firstLine="567"/>
        <w:jc w:val="both"/>
        <w:rPr>
          <w:sz w:val="28"/>
          <w:szCs w:val="28"/>
        </w:rPr>
      </w:pPr>
      <w:r w:rsidRPr="00651044">
        <w:rPr>
          <w:sz w:val="28"/>
          <w:szCs w:val="28"/>
        </w:rPr>
        <w:t>Datoriile societăţilor pe acţiuni faţă de bugetul asigurărilo</w:t>
      </w:r>
      <w:r w:rsidR="00085F9A" w:rsidRPr="00651044">
        <w:rPr>
          <w:sz w:val="28"/>
          <w:szCs w:val="28"/>
        </w:rPr>
        <w:t xml:space="preserve">r sociale de stat constituie </w:t>
      </w:r>
      <w:r w:rsidR="002A37EB" w:rsidRPr="00651044">
        <w:rPr>
          <w:sz w:val="28"/>
          <w:szCs w:val="28"/>
        </w:rPr>
        <w:t>5,2</w:t>
      </w:r>
      <w:r w:rsidRPr="00651044">
        <w:rPr>
          <w:sz w:val="28"/>
          <w:szCs w:val="28"/>
        </w:rPr>
        <w:t xml:space="preserve"> mil. lei, dintre care plăţi de bază – </w:t>
      </w:r>
      <w:r w:rsidR="002A37EB" w:rsidRPr="00651044">
        <w:rPr>
          <w:sz w:val="28"/>
          <w:szCs w:val="28"/>
        </w:rPr>
        <w:t>3,0 mil. lei, acestea incluz</w:t>
      </w:r>
      <w:r w:rsidR="006E6FE5">
        <w:rPr>
          <w:sz w:val="28"/>
          <w:szCs w:val="28"/>
        </w:rPr>
        <w:t>î</w:t>
      </w:r>
      <w:r w:rsidR="002A37EB" w:rsidRPr="00651044">
        <w:rPr>
          <w:sz w:val="28"/>
          <w:szCs w:val="28"/>
        </w:rPr>
        <w:t>nd</w:t>
      </w:r>
      <w:r w:rsidRPr="00651044">
        <w:rPr>
          <w:sz w:val="28"/>
          <w:szCs w:val="28"/>
        </w:rPr>
        <w:t xml:space="preserve"> şi plăţi a</w:t>
      </w:r>
      <w:r w:rsidR="00085F9A" w:rsidRPr="00651044">
        <w:rPr>
          <w:sz w:val="28"/>
          <w:szCs w:val="28"/>
        </w:rPr>
        <w:t>l</w:t>
      </w:r>
      <w:r w:rsidRPr="00651044">
        <w:rPr>
          <w:sz w:val="28"/>
          <w:szCs w:val="28"/>
        </w:rPr>
        <w:t xml:space="preserve"> căror termen de achitare nu a parvenit.</w:t>
      </w:r>
    </w:p>
    <w:p w:rsidR="00BB33B2" w:rsidRPr="00651044" w:rsidRDefault="00F83737" w:rsidP="002A37EB">
      <w:pPr>
        <w:spacing w:line="276" w:lineRule="auto"/>
        <w:ind w:firstLine="567"/>
        <w:jc w:val="both"/>
        <w:rPr>
          <w:sz w:val="28"/>
          <w:szCs w:val="28"/>
        </w:rPr>
      </w:pPr>
      <w:r w:rsidRPr="00651044">
        <w:rPr>
          <w:sz w:val="28"/>
          <w:szCs w:val="28"/>
        </w:rPr>
        <w:t xml:space="preserve">De asemenea, conform datelor Inspectoratului Fiscal Principal de Stat, în              </w:t>
      </w:r>
      <w:r w:rsidR="002A37EB" w:rsidRPr="00651044">
        <w:rPr>
          <w:sz w:val="28"/>
          <w:szCs w:val="28"/>
        </w:rPr>
        <w:t>anul 2015</w:t>
      </w:r>
      <w:r w:rsidRPr="00651044">
        <w:rPr>
          <w:sz w:val="28"/>
          <w:szCs w:val="28"/>
        </w:rPr>
        <w:t xml:space="preserve">, entităţile au efectuat achitări la bugetul public naţional în cuantum total de </w:t>
      </w:r>
      <w:r w:rsidR="002A37EB" w:rsidRPr="00651044">
        <w:rPr>
          <w:sz w:val="28"/>
          <w:szCs w:val="28"/>
        </w:rPr>
        <w:t>2 180,2</w:t>
      </w:r>
      <w:r w:rsidRPr="00651044">
        <w:rPr>
          <w:sz w:val="28"/>
          <w:szCs w:val="28"/>
        </w:rPr>
        <w:t xml:space="preserve"> mil. lei, </w:t>
      </w:r>
      <w:r w:rsidR="002A37EB" w:rsidRPr="00651044">
        <w:rPr>
          <w:sz w:val="28"/>
          <w:szCs w:val="28"/>
        </w:rPr>
        <w:t>acestea cuprinz</w:t>
      </w:r>
      <w:r w:rsidR="006E6FE5">
        <w:rPr>
          <w:sz w:val="28"/>
          <w:szCs w:val="28"/>
        </w:rPr>
        <w:t>î</w:t>
      </w:r>
      <w:r w:rsidRPr="00651044">
        <w:rPr>
          <w:sz w:val="28"/>
          <w:szCs w:val="28"/>
        </w:rPr>
        <w:t>nd achitări</w:t>
      </w:r>
      <w:r w:rsidR="002A37EB" w:rsidRPr="00651044">
        <w:rPr>
          <w:sz w:val="28"/>
          <w:szCs w:val="28"/>
        </w:rPr>
        <w:t>le</w:t>
      </w:r>
      <w:r w:rsidRPr="00651044">
        <w:rPr>
          <w:sz w:val="28"/>
          <w:szCs w:val="28"/>
        </w:rPr>
        <w:t xml:space="preserve"> efectua</w:t>
      </w:r>
      <w:r w:rsidR="002A37EB" w:rsidRPr="00651044">
        <w:rPr>
          <w:sz w:val="28"/>
          <w:szCs w:val="28"/>
        </w:rPr>
        <w:t>te de întreprinderile de stat – 1 191,2</w:t>
      </w:r>
      <w:r w:rsidRPr="00651044">
        <w:rPr>
          <w:sz w:val="28"/>
          <w:szCs w:val="28"/>
        </w:rPr>
        <w:t xml:space="preserve"> mil. lei şi achitări</w:t>
      </w:r>
      <w:r w:rsidR="002A37EB" w:rsidRPr="00651044">
        <w:rPr>
          <w:sz w:val="28"/>
          <w:szCs w:val="28"/>
        </w:rPr>
        <w:t>le</w:t>
      </w:r>
      <w:r w:rsidRPr="00651044">
        <w:rPr>
          <w:sz w:val="28"/>
          <w:szCs w:val="28"/>
        </w:rPr>
        <w:t xml:space="preserve"> efectuate de către societăţile pe acţiuni – </w:t>
      </w:r>
      <w:r w:rsidR="002A37EB" w:rsidRPr="00651044">
        <w:rPr>
          <w:sz w:val="28"/>
          <w:szCs w:val="28"/>
        </w:rPr>
        <w:t>989,0</w:t>
      </w:r>
      <w:r w:rsidRPr="00651044">
        <w:rPr>
          <w:sz w:val="28"/>
          <w:szCs w:val="28"/>
        </w:rPr>
        <w:t xml:space="preserve"> mil. lei.</w:t>
      </w:r>
    </w:p>
    <w:p w:rsidR="00F83737" w:rsidRPr="00651044" w:rsidRDefault="00F83737" w:rsidP="002A37EB">
      <w:pPr>
        <w:spacing w:line="276" w:lineRule="auto"/>
        <w:ind w:firstLine="567"/>
        <w:jc w:val="both"/>
        <w:rPr>
          <w:sz w:val="28"/>
          <w:szCs w:val="28"/>
        </w:rPr>
      </w:pPr>
      <w:r w:rsidRPr="00651044">
        <w:rPr>
          <w:sz w:val="28"/>
          <w:szCs w:val="28"/>
        </w:rPr>
        <w:t xml:space="preserve">Cele mai mari </w:t>
      </w:r>
      <w:r w:rsidRPr="00651044">
        <w:rPr>
          <w:i/>
          <w:sz w:val="28"/>
          <w:szCs w:val="28"/>
        </w:rPr>
        <w:t>achitări ale întreprinderilor de stat</w:t>
      </w:r>
      <w:r w:rsidRPr="00651044">
        <w:rPr>
          <w:sz w:val="28"/>
          <w:szCs w:val="28"/>
        </w:rPr>
        <w:t xml:space="preserve"> au fost efectuate în bugetul asigurărilor sociale de stat – </w:t>
      </w:r>
      <w:r w:rsidR="002A37EB" w:rsidRPr="00651044">
        <w:rPr>
          <w:sz w:val="28"/>
          <w:szCs w:val="28"/>
        </w:rPr>
        <w:t>562,3</w:t>
      </w:r>
      <w:r w:rsidRPr="00651044">
        <w:rPr>
          <w:sz w:val="28"/>
          <w:szCs w:val="28"/>
        </w:rPr>
        <w:t xml:space="preserve"> mil. lei</w:t>
      </w:r>
      <w:r w:rsidR="002A37EB" w:rsidRPr="00651044">
        <w:rPr>
          <w:sz w:val="28"/>
          <w:szCs w:val="28"/>
        </w:rPr>
        <w:t xml:space="preserve"> (figura 4.1)</w:t>
      </w:r>
      <w:r w:rsidRPr="00651044">
        <w:rPr>
          <w:sz w:val="28"/>
          <w:szCs w:val="28"/>
        </w:rPr>
        <w:t xml:space="preserve">. </w:t>
      </w:r>
    </w:p>
    <w:p w:rsidR="002A37EB" w:rsidRPr="00651044" w:rsidRDefault="005F3028" w:rsidP="002A37EB">
      <w:pPr>
        <w:spacing w:line="276" w:lineRule="auto"/>
        <w:ind w:firstLine="567"/>
        <w:jc w:val="both"/>
        <w:rPr>
          <w:color w:val="FF0000"/>
          <w:sz w:val="28"/>
          <w:szCs w:val="28"/>
        </w:rPr>
      </w:pPr>
      <w:r w:rsidRPr="005F3028">
        <w:rPr>
          <w:noProof/>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35" type="#_x0000_t102" style="position:absolute;left:0;text-align:left;margin-left:212.45pt;margin-top:-157.45pt;width:20.65pt;height:361.55pt;rotation:90;z-index:251654144"/>
        </w:pict>
      </w:r>
    </w:p>
    <w:p w:rsidR="002A37EB" w:rsidRPr="00651044" w:rsidRDefault="002A37EB" w:rsidP="002A37EB">
      <w:pPr>
        <w:spacing w:line="360" w:lineRule="auto"/>
        <w:ind w:firstLine="708"/>
        <w:jc w:val="both"/>
      </w:pPr>
    </w:p>
    <w:p w:rsidR="002A37EB" w:rsidRPr="00651044" w:rsidRDefault="005F3028" w:rsidP="002A37EB">
      <w:pPr>
        <w:spacing w:line="360" w:lineRule="auto"/>
        <w:ind w:firstLine="708"/>
        <w:jc w:val="both"/>
      </w:pPr>
      <w:r w:rsidRPr="005F3028">
        <w:rPr>
          <w:noProof/>
        </w:rPr>
        <w:pict>
          <v:shape id="_x0000_s1033" type="#_x0000_t102" style="position:absolute;left:0;text-align:left;margin-left:15.25pt;margin-top:17.3pt;width:20pt;height:94pt;z-index:251652096"/>
        </w:pict>
      </w:r>
      <w:r w:rsidRPr="005F3028">
        <w:rPr>
          <w:noProof/>
        </w:rPr>
        <w:pict>
          <v:roundrect id="_x0000_s1029" style="position:absolute;left:0;text-align:left;margin-left:333pt;margin-top:8.7pt;width:108pt;height:45pt;z-index:251648000" arcsize="10923f">
            <v:shadow on="t" opacity=".5" offset="-6pt,-6pt"/>
            <v:textbox style="mso-next-textbox:#_x0000_s1029">
              <w:txbxContent>
                <w:p w:rsidR="00E4660A" w:rsidRPr="00676D1B" w:rsidRDefault="00E4660A" w:rsidP="002A37EB">
                  <w:pPr>
                    <w:jc w:val="center"/>
                    <w:rPr>
                      <w:sz w:val="20"/>
                      <w:szCs w:val="20"/>
                    </w:rPr>
                  </w:pPr>
                  <w:r w:rsidRPr="00676D1B">
                    <w:rPr>
                      <w:sz w:val="20"/>
                      <w:szCs w:val="20"/>
                    </w:rPr>
                    <w:t>Bugetul de stat</w:t>
                  </w:r>
                </w:p>
                <w:p w:rsidR="00E4660A" w:rsidRPr="00676D1B" w:rsidRDefault="00E4660A" w:rsidP="002A37EB">
                  <w:pPr>
                    <w:jc w:val="center"/>
                    <w:rPr>
                      <w:b/>
                      <w:i/>
                      <w:sz w:val="20"/>
                      <w:szCs w:val="20"/>
                    </w:rPr>
                  </w:pPr>
                  <w:r>
                    <w:rPr>
                      <w:b/>
                      <w:i/>
                      <w:sz w:val="20"/>
                      <w:szCs w:val="20"/>
                    </w:rPr>
                    <w:t>351,4</w:t>
                  </w:r>
                </w:p>
                <w:p w:rsidR="00E4660A" w:rsidRPr="00676D1B" w:rsidRDefault="00E4660A" w:rsidP="002A37EB">
                  <w:pPr>
                    <w:jc w:val="center"/>
                    <w:rPr>
                      <w:b/>
                      <w:sz w:val="20"/>
                      <w:szCs w:val="20"/>
                    </w:rPr>
                  </w:pPr>
                </w:p>
              </w:txbxContent>
            </v:textbox>
          </v:roundrect>
        </w:pict>
      </w:r>
      <w:r w:rsidRPr="005F3028">
        <w:rPr>
          <w:noProof/>
        </w:rPr>
        <w:pict>
          <v:roundrect id="_x0000_s1030" style="position:absolute;left:0;text-align:left;margin-left:42pt;margin-top:3.45pt;width:99pt;height:56.4pt;z-index:251649024" arcsize="10923f">
            <v:shadow on="t" opacity=".5" offset="6pt,-6pt"/>
            <v:textbox style="mso-next-textbox:#_x0000_s1030">
              <w:txbxContent>
                <w:p w:rsidR="00E4660A" w:rsidRPr="00676D1B" w:rsidRDefault="00E4660A" w:rsidP="002A37EB">
                  <w:pPr>
                    <w:jc w:val="center"/>
                    <w:rPr>
                      <w:sz w:val="20"/>
                      <w:szCs w:val="20"/>
                    </w:rPr>
                  </w:pPr>
                  <w:r>
                    <w:rPr>
                      <w:sz w:val="20"/>
                      <w:szCs w:val="20"/>
                    </w:rPr>
                    <w:t>Bugetul unităţilor</w:t>
                  </w:r>
                  <w:r w:rsidRPr="00676D1B">
                    <w:rPr>
                      <w:sz w:val="20"/>
                      <w:szCs w:val="20"/>
                    </w:rPr>
                    <w:t xml:space="preserve"> administrativ</w:t>
                  </w:r>
                  <w:r w:rsidRPr="00676D1B">
                    <w:rPr>
                      <w:sz w:val="20"/>
                      <w:szCs w:val="20"/>
                      <w:lang w:val="en-US"/>
                    </w:rPr>
                    <w:t>-</w:t>
                  </w:r>
                  <w:r w:rsidRPr="00676D1B">
                    <w:rPr>
                      <w:sz w:val="20"/>
                      <w:szCs w:val="20"/>
                    </w:rPr>
                    <w:t>teritoriale</w:t>
                  </w:r>
                </w:p>
                <w:p w:rsidR="00E4660A" w:rsidRPr="00676D1B" w:rsidRDefault="00E4660A" w:rsidP="002A37EB">
                  <w:pPr>
                    <w:jc w:val="center"/>
                    <w:rPr>
                      <w:b/>
                      <w:i/>
                      <w:sz w:val="20"/>
                      <w:szCs w:val="20"/>
                    </w:rPr>
                  </w:pPr>
                  <w:r>
                    <w:rPr>
                      <w:b/>
                      <w:i/>
                      <w:sz w:val="20"/>
                      <w:szCs w:val="20"/>
                    </w:rPr>
                    <w:t>107,1</w:t>
                  </w:r>
                </w:p>
              </w:txbxContent>
            </v:textbox>
          </v:roundrect>
        </w:pict>
      </w:r>
      <w:r w:rsidRPr="005F3028">
        <w:rPr>
          <w:noProof/>
        </w:rPr>
        <w:pict>
          <v:shape id="_x0000_s1037" type="#_x0000_t102" style="position:absolute;left:0;text-align:left;margin-left:452.4pt;margin-top:16.4pt;width:20.8pt;height:94.9pt;rotation:11556241fd;z-index:251656192"/>
        </w:pict>
      </w:r>
      <w:r w:rsidRPr="005F3028">
        <w:rPr>
          <w:noProof/>
        </w:rPr>
        <w:pict>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1036" type="#_x0000_t83" style="position:absolute;left:0;text-align:left;margin-left:164.95pt;margin-top:4.2pt;width:133.35pt;height:130.1pt;rotation:-2916373fd;z-index:251655168">
            <o:extrusion v:ext="view" on="t"/>
            <v:textbox>
              <w:txbxContent>
                <w:p w:rsidR="00E4660A" w:rsidRPr="00676D1B" w:rsidRDefault="00E4660A" w:rsidP="002A37EB">
                  <w:pPr>
                    <w:jc w:val="center"/>
                    <w:rPr>
                      <w:b/>
                      <w:sz w:val="20"/>
                      <w:szCs w:val="20"/>
                    </w:rPr>
                  </w:pPr>
                  <w:r w:rsidRPr="00676D1B">
                    <w:rPr>
                      <w:b/>
                      <w:sz w:val="20"/>
                      <w:szCs w:val="20"/>
                    </w:rPr>
                    <w:t>Bugetul Public Naţional</w:t>
                  </w:r>
                </w:p>
                <w:p w:rsidR="00E4660A" w:rsidRPr="00676D1B" w:rsidRDefault="00E4660A" w:rsidP="002A37EB">
                  <w:pPr>
                    <w:spacing w:line="120" w:lineRule="auto"/>
                    <w:jc w:val="center"/>
                    <w:rPr>
                      <w:b/>
                      <w:sz w:val="20"/>
                      <w:szCs w:val="20"/>
                    </w:rPr>
                  </w:pPr>
                </w:p>
                <w:p w:rsidR="00E4660A" w:rsidRPr="00676D1B" w:rsidRDefault="00E4660A" w:rsidP="002A37EB">
                  <w:pPr>
                    <w:jc w:val="center"/>
                    <w:rPr>
                      <w:b/>
                      <w:sz w:val="20"/>
                      <w:szCs w:val="20"/>
                    </w:rPr>
                  </w:pPr>
                  <w:r>
                    <w:rPr>
                      <w:b/>
                      <w:sz w:val="20"/>
                      <w:szCs w:val="20"/>
                    </w:rPr>
                    <w:t>1 191,2</w:t>
                  </w:r>
                </w:p>
              </w:txbxContent>
            </v:textbox>
          </v:shape>
        </w:pict>
      </w:r>
    </w:p>
    <w:p w:rsidR="002A37EB" w:rsidRPr="00651044" w:rsidRDefault="002A37EB" w:rsidP="002A37EB"/>
    <w:p w:rsidR="002A37EB" w:rsidRPr="00651044" w:rsidRDefault="002A37EB" w:rsidP="002A37EB">
      <w:pPr>
        <w:tabs>
          <w:tab w:val="left" w:pos="7620"/>
        </w:tabs>
      </w:pPr>
    </w:p>
    <w:p w:rsidR="002A37EB" w:rsidRPr="00651044" w:rsidRDefault="005F3028" w:rsidP="002A37EB">
      <w:pPr>
        <w:tabs>
          <w:tab w:val="left" w:pos="7620"/>
        </w:tabs>
      </w:pPr>
      <w:r w:rsidRPr="005F3028">
        <w:rPr>
          <w:noProof/>
        </w:rPr>
        <w:pict>
          <v:roundrect id="_x0000_s1031" style="position:absolute;margin-left:333pt;margin-top:11.55pt;width:108pt;height:58pt;z-index:251650048" arcsize="10923f">
            <v:shadow on="t" opacity=".5" offset="6pt,6pt"/>
            <v:textbox style="mso-next-textbox:#_x0000_s1031">
              <w:txbxContent>
                <w:p w:rsidR="00E4660A" w:rsidRPr="00676D1B" w:rsidRDefault="00E4660A" w:rsidP="002A37EB">
                  <w:pPr>
                    <w:jc w:val="center"/>
                    <w:rPr>
                      <w:sz w:val="20"/>
                      <w:szCs w:val="20"/>
                      <w:lang w:val="en-GB"/>
                    </w:rPr>
                  </w:pPr>
                  <w:r w:rsidRPr="00676D1B">
                    <w:rPr>
                      <w:sz w:val="20"/>
                      <w:szCs w:val="20"/>
                      <w:lang w:val="en-GB"/>
                    </w:rPr>
                    <w:t xml:space="preserve">Fondurile asigurărilor obligatorii de </w:t>
                  </w:r>
                </w:p>
                <w:p w:rsidR="00E4660A" w:rsidRPr="00676D1B" w:rsidRDefault="00E4660A" w:rsidP="002A37EB">
                  <w:pPr>
                    <w:jc w:val="center"/>
                    <w:rPr>
                      <w:sz w:val="20"/>
                      <w:szCs w:val="20"/>
                      <w:lang w:val="en-GB"/>
                    </w:rPr>
                  </w:pPr>
                  <w:r w:rsidRPr="00676D1B">
                    <w:rPr>
                      <w:sz w:val="20"/>
                      <w:szCs w:val="20"/>
                      <w:lang w:val="en-GB"/>
                    </w:rPr>
                    <w:t>asistenţă medicală</w:t>
                  </w:r>
                </w:p>
                <w:p w:rsidR="00E4660A" w:rsidRPr="00676D1B" w:rsidRDefault="00E4660A" w:rsidP="002A37EB">
                  <w:pPr>
                    <w:jc w:val="center"/>
                    <w:rPr>
                      <w:b/>
                      <w:i/>
                      <w:sz w:val="20"/>
                      <w:szCs w:val="20"/>
                    </w:rPr>
                  </w:pPr>
                  <w:r>
                    <w:rPr>
                      <w:b/>
                      <w:i/>
                      <w:sz w:val="20"/>
                      <w:szCs w:val="20"/>
                    </w:rPr>
                    <w:t>170,4</w:t>
                  </w:r>
                  <w:r w:rsidRPr="00676D1B">
                    <w:rPr>
                      <w:b/>
                      <w:i/>
                      <w:sz w:val="20"/>
                      <w:szCs w:val="20"/>
                    </w:rPr>
                    <w:t xml:space="preserve"> </w:t>
                  </w:r>
                </w:p>
              </w:txbxContent>
            </v:textbox>
          </v:roundrect>
        </w:pict>
      </w:r>
    </w:p>
    <w:p w:rsidR="002A37EB" w:rsidRPr="00651044" w:rsidRDefault="005F3028" w:rsidP="002A37EB">
      <w:r w:rsidRPr="005F3028">
        <w:rPr>
          <w:noProof/>
        </w:rPr>
        <w:pict>
          <v:roundrect id="_x0000_s1032" style="position:absolute;margin-left:44.5pt;margin-top:7.65pt;width:99.5pt;height:45.25pt;z-index:251651072" arcsize="10923f">
            <v:shadow on="t" opacity=".5" offset="-6pt,6pt"/>
            <v:textbox style="mso-next-textbox:#_x0000_s1032">
              <w:txbxContent>
                <w:p w:rsidR="00E4660A" w:rsidRPr="00676D1B" w:rsidRDefault="00E4660A" w:rsidP="002A37EB">
                  <w:pPr>
                    <w:jc w:val="center"/>
                    <w:rPr>
                      <w:sz w:val="20"/>
                      <w:szCs w:val="20"/>
                      <w:lang w:val="en-GB"/>
                    </w:rPr>
                  </w:pPr>
                  <w:r w:rsidRPr="00676D1B">
                    <w:rPr>
                      <w:sz w:val="20"/>
                      <w:szCs w:val="20"/>
                      <w:lang w:val="en-GB"/>
                    </w:rPr>
                    <w:t>Bugetul asigurărilor sociale de stat</w:t>
                  </w:r>
                </w:p>
                <w:p w:rsidR="00E4660A" w:rsidRPr="00676D1B" w:rsidRDefault="00E4660A" w:rsidP="002A37EB">
                  <w:pPr>
                    <w:jc w:val="center"/>
                    <w:rPr>
                      <w:b/>
                      <w:i/>
                      <w:sz w:val="20"/>
                      <w:szCs w:val="20"/>
                      <w:lang w:val="en-GB"/>
                    </w:rPr>
                  </w:pPr>
                  <w:r>
                    <w:rPr>
                      <w:b/>
                      <w:i/>
                      <w:sz w:val="20"/>
                      <w:szCs w:val="20"/>
                      <w:lang w:val="en-GB"/>
                    </w:rPr>
                    <w:t>562,3</w:t>
                  </w:r>
                </w:p>
                <w:p w:rsidR="00E4660A" w:rsidRPr="00676D1B" w:rsidRDefault="00E4660A" w:rsidP="002A37EB">
                  <w:pPr>
                    <w:jc w:val="center"/>
                    <w:rPr>
                      <w:b/>
                      <w:sz w:val="20"/>
                      <w:szCs w:val="20"/>
                      <w:lang w:val="en-GB"/>
                    </w:rPr>
                  </w:pPr>
                </w:p>
              </w:txbxContent>
            </v:textbox>
          </v:roundrect>
        </w:pict>
      </w:r>
    </w:p>
    <w:p w:rsidR="002A37EB" w:rsidRPr="00651044" w:rsidRDefault="002A37EB" w:rsidP="002A37EB"/>
    <w:p w:rsidR="002A37EB" w:rsidRPr="00651044" w:rsidRDefault="002A37EB" w:rsidP="002A37EB"/>
    <w:p w:rsidR="002A37EB" w:rsidRPr="00651044" w:rsidRDefault="002A37EB" w:rsidP="002A37EB"/>
    <w:p w:rsidR="002A37EB" w:rsidRPr="00651044" w:rsidRDefault="005F3028" w:rsidP="002A37EB">
      <w:r w:rsidRPr="005F3028">
        <w:rPr>
          <w:noProof/>
        </w:rPr>
        <w:pict>
          <v:shape id="_x0000_s1034" type="#_x0000_t102" style="position:absolute;margin-left:244.15pt;margin-top:-166.8pt;width:18pt;height:375.7pt;rotation:270;z-index:251653120"/>
        </w:pict>
      </w:r>
    </w:p>
    <w:p w:rsidR="002A37EB" w:rsidRPr="00651044" w:rsidRDefault="002A37EB" w:rsidP="002A37EB"/>
    <w:p w:rsidR="00F83737" w:rsidRPr="00651044" w:rsidRDefault="00F83737" w:rsidP="00F83737">
      <w:pPr>
        <w:jc w:val="center"/>
        <w:rPr>
          <w:b/>
          <w:color w:val="FF0000"/>
        </w:rPr>
      </w:pPr>
    </w:p>
    <w:p w:rsidR="00F83737" w:rsidRPr="00651044" w:rsidRDefault="00F83737" w:rsidP="00F83737">
      <w:pPr>
        <w:tabs>
          <w:tab w:val="left" w:pos="180"/>
        </w:tabs>
        <w:spacing w:line="23" w:lineRule="atLeast"/>
        <w:jc w:val="center"/>
        <w:rPr>
          <w:b/>
          <w:i/>
          <w:sz w:val="20"/>
          <w:szCs w:val="20"/>
        </w:rPr>
      </w:pPr>
      <w:r w:rsidRPr="00651044">
        <w:rPr>
          <w:b/>
          <w:i/>
          <w:sz w:val="20"/>
          <w:szCs w:val="20"/>
        </w:rPr>
        <w:t>Figura 4.1. Structura achitărilor impozitelor şi taxelor în bugetul public naţional de către</w:t>
      </w:r>
    </w:p>
    <w:p w:rsidR="00F83737" w:rsidRPr="00651044" w:rsidRDefault="00F83737" w:rsidP="00F83737">
      <w:pPr>
        <w:tabs>
          <w:tab w:val="left" w:pos="180"/>
        </w:tabs>
        <w:spacing w:line="23" w:lineRule="atLeast"/>
        <w:jc w:val="center"/>
        <w:rPr>
          <w:b/>
          <w:i/>
          <w:sz w:val="20"/>
          <w:szCs w:val="20"/>
        </w:rPr>
      </w:pPr>
      <w:r w:rsidRPr="00651044">
        <w:rPr>
          <w:b/>
          <w:i/>
          <w:sz w:val="20"/>
          <w:szCs w:val="20"/>
        </w:rPr>
        <w:t xml:space="preserve">întreprinderile de stat, </w:t>
      </w:r>
      <w:r w:rsidR="00670823" w:rsidRPr="00651044">
        <w:rPr>
          <w:b/>
          <w:i/>
          <w:sz w:val="20"/>
          <w:szCs w:val="20"/>
        </w:rPr>
        <w:t>în</w:t>
      </w:r>
      <w:r w:rsidRPr="00651044">
        <w:rPr>
          <w:b/>
          <w:i/>
          <w:sz w:val="20"/>
          <w:szCs w:val="20"/>
        </w:rPr>
        <w:t xml:space="preserve"> </w:t>
      </w:r>
      <w:r w:rsidR="00670823" w:rsidRPr="00651044">
        <w:rPr>
          <w:b/>
          <w:i/>
          <w:sz w:val="20"/>
          <w:szCs w:val="20"/>
        </w:rPr>
        <w:t>anul</w:t>
      </w:r>
      <w:r w:rsidR="002A37EB" w:rsidRPr="00651044">
        <w:rPr>
          <w:b/>
          <w:i/>
          <w:sz w:val="20"/>
          <w:szCs w:val="20"/>
        </w:rPr>
        <w:t xml:space="preserve"> 2015, mil. lei</w:t>
      </w:r>
    </w:p>
    <w:p w:rsidR="00F83737" w:rsidRPr="00651044" w:rsidRDefault="00F83737" w:rsidP="00F83737">
      <w:pPr>
        <w:spacing w:line="276" w:lineRule="auto"/>
        <w:ind w:firstLine="708"/>
        <w:jc w:val="both"/>
        <w:rPr>
          <w:color w:val="FF0000"/>
          <w:sz w:val="28"/>
          <w:szCs w:val="28"/>
        </w:rPr>
      </w:pPr>
    </w:p>
    <w:p w:rsidR="00BB33B2" w:rsidRPr="00651044" w:rsidRDefault="00F83737" w:rsidP="00BB33B2">
      <w:pPr>
        <w:spacing w:line="276" w:lineRule="auto"/>
        <w:ind w:firstLine="567"/>
        <w:jc w:val="both"/>
        <w:rPr>
          <w:sz w:val="28"/>
          <w:szCs w:val="28"/>
        </w:rPr>
      </w:pPr>
      <w:r w:rsidRPr="00651044">
        <w:rPr>
          <w:sz w:val="28"/>
          <w:szCs w:val="28"/>
        </w:rPr>
        <w:t xml:space="preserve">Totodată, </w:t>
      </w:r>
      <w:r w:rsidR="002A37EB" w:rsidRPr="00651044">
        <w:rPr>
          <w:sz w:val="28"/>
          <w:szCs w:val="28"/>
        </w:rPr>
        <w:t xml:space="preserve">întreprinderile de stat au achitat </w:t>
      </w:r>
      <w:r w:rsidRPr="00651044">
        <w:rPr>
          <w:sz w:val="28"/>
          <w:szCs w:val="28"/>
        </w:rPr>
        <w:t>în bugetul de stat</w:t>
      </w:r>
      <w:r w:rsidR="002A37EB" w:rsidRPr="00651044">
        <w:rPr>
          <w:sz w:val="28"/>
          <w:szCs w:val="28"/>
        </w:rPr>
        <w:t xml:space="preserve"> </w:t>
      </w:r>
      <w:r w:rsidRPr="00651044">
        <w:rPr>
          <w:sz w:val="28"/>
          <w:szCs w:val="28"/>
        </w:rPr>
        <w:t xml:space="preserve">impozite şi taxe în mărime de </w:t>
      </w:r>
      <w:r w:rsidR="002A37EB" w:rsidRPr="00651044">
        <w:rPr>
          <w:sz w:val="28"/>
          <w:szCs w:val="28"/>
        </w:rPr>
        <w:t>351,4</w:t>
      </w:r>
      <w:r w:rsidRPr="00651044">
        <w:rPr>
          <w:sz w:val="28"/>
          <w:szCs w:val="28"/>
        </w:rPr>
        <w:t xml:space="preserve"> mil. lei; </w:t>
      </w:r>
      <w:r w:rsidR="002A37EB" w:rsidRPr="00651044">
        <w:rPr>
          <w:sz w:val="28"/>
          <w:szCs w:val="28"/>
        </w:rPr>
        <w:t>în fondurile asigurărilor obligatorii de asistenţă medicală – 170,4 mil. lei</w:t>
      </w:r>
      <w:r w:rsidRPr="00651044">
        <w:rPr>
          <w:sz w:val="28"/>
          <w:szCs w:val="28"/>
        </w:rPr>
        <w:t>; iar</w:t>
      </w:r>
      <w:r w:rsidR="002A37EB" w:rsidRPr="00651044">
        <w:rPr>
          <w:sz w:val="28"/>
          <w:szCs w:val="28"/>
        </w:rPr>
        <w:t xml:space="preserve"> în bugetele unităţilor administrativ-teritoriale – 107,1 mil. lei</w:t>
      </w:r>
      <w:r w:rsidRPr="00651044">
        <w:rPr>
          <w:sz w:val="28"/>
          <w:szCs w:val="28"/>
        </w:rPr>
        <w:t>.</w:t>
      </w:r>
    </w:p>
    <w:p w:rsidR="00F83737" w:rsidRPr="00651044" w:rsidRDefault="00F83737" w:rsidP="00BB33B2">
      <w:pPr>
        <w:spacing w:line="276" w:lineRule="auto"/>
        <w:ind w:firstLine="567"/>
        <w:jc w:val="both"/>
        <w:rPr>
          <w:sz w:val="28"/>
          <w:szCs w:val="28"/>
        </w:rPr>
      </w:pPr>
      <w:r w:rsidRPr="00651044">
        <w:rPr>
          <w:sz w:val="28"/>
          <w:szCs w:val="28"/>
        </w:rPr>
        <w:t xml:space="preserve">Cu privire la </w:t>
      </w:r>
      <w:r w:rsidRPr="00651044">
        <w:rPr>
          <w:i/>
          <w:sz w:val="28"/>
          <w:szCs w:val="28"/>
        </w:rPr>
        <w:t>achitările societăţilor pe acţiuni în bugetul public naţional</w:t>
      </w:r>
      <w:r w:rsidRPr="00651044">
        <w:rPr>
          <w:sz w:val="28"/>
          <w:szCs w:val="28"/>
        </w:rPr>
        <w:t xml:space="preserve">, </w:t>
      </w:r>
      <w:r w:rsidR="004406B8" w:rsidRPr="00651044">
        <w:rPr>
          <w:sz w:val="28"/>
          <w:szCs w:val="28"/>
        </w:rPr>
        <w:t xml:space="preserve">se enunţă că </w:t>
      </w:r>
      <w:r w:rsidRPr="00651044">
        <w:rPr>
          <w:sz w:val="28"/>
          <w:szCs w:val="28"/>
        </w:rPr>
        <w:t xml:space="preserve">acestea au transferat către bugetul de stat </w:t>
      </w:r>
      <w:r w:rsidR="004406B8" w:rsidRPr="00651044">
        <w:rPr>
          <w:sz w:val="28"/>
          <w:szCs w:val="28"/>
        </w:rPr>
        <w:t>483,2</w:t>
      </w:r>
      <w:r w:rsidRPr="00651044">
        <w:rPr>
          <w:sz w:val="28"/>
          <w:szCs w:val="28"/>
        </w:rPr>
        <w:t xml:space="preserve"> mil. lei; către bugetele unităţilor administrativ–teritoriale – </w:t>
      </w:r>
      <w:r w:rsidR="004406B8" w:rsidRPr="00651044">
        <w:rPr>
          <w:sz w:val="28"/>
          <w:szCs w:val="28"/>
        </w:rPr>
        <w:t>72,0</w:t>
      </w:r>
      <w:r w:rsidRPr="00651044">
        <w:rPr>
          <w:sz w:val="28"/>
          <w:szCs w:val="28"/>
        </w:rPr>
        <w:t xml:space="preserve"> mil. lei; către bugetul asigurărilor sociale de stat – </w:t>
      </w:r>
      <w:r w:rsidR="004406B8" w:rsidRPr="00651044">
        <w:rPr>
          <w:sz w:val="28"/>
          <w:szCs w:val="28"/>
        </w:rPr>
        <w:t>331,6</w:t>
      </w:r>
      <w:r w:rsidRPr="00651044">
        <w:rPr>
          <w:sz w:val="28"/>
          <w:szCs w:val="28"/>
        </w:rPr>
        <w:t xml:space="preserve"> mil. lei şi către fondurile asigurărilor obligatorii de asistenţă medicală – </w:t>
      </w:r>
      <w:r w:rsidR="004406B8" w:rsidRPr="00651044">
        <w:rPr>
          <w:sz w:val="28"/>
          <w:szCs w:val="28"/>
        </w:rPr>
        <w:t>102,2</w:t>
      </w:r>
      <w:r w:rsidRPr="00651044">
        <w:rPr>
          <w:sz w:val="28"/>
          <w:szCs w:val="28"/>
        </w:rPr>
        <w:t xml:space="preserve"> mil. lei. </w:t>
      </w:r>
    </w:p>
    <w:p w:rsidR="004406B8" w:rsidRPr="00651044" w:rsidRDefault="005F3028" w:rsidP="004406B8">
      <w:pPr>
        <w:spacing w:line="276" w:lineRule="auto"/>
        <w:ind w:firstLine="567"/>
        <w:jc w:val="both"/>
        <w:rPr>
          <w:color w:val="FF0000"/>
          <w:sz w:val="28"/>
          <w:szCs w:val="28"/>
        </w:rPr>
      </w:pPr>
      <w:r w:rsidRPr="005F3028">
        <w:rPr>
          <w:noProof/>
        </w:rPr>
        <w:pict>
          <v:shape id="_x0000_s1044" type="#_x0000_t102" style="position:absolute;left:0;text-align:left;margin-left:212.45pt;margin-top:-157.45pt;width:20.65pt;height:361.55pt;rotation:90;z-index:251663360"/>
        </w:pict>
      </w:r>
    </w:p>
    <w:p w:rsidR="004406B8" w:rsidRPr="00651044" w:rsidRDefault="004406B8" w:rsidP="004406B8">
      <w:pPr>
        <w:spacing w:line="360" w:lineRule="auto"/>
        <w:ind w:firstLine="708"/>
        <w:jc w:val="both"/>
      </w:pPr>
    </w:p>
    <w:p w:rsidR="004406B8" w:rsidRPr="00651044" w:rsidRDefault="005F3028" w:rsidP="004406B8">
      <w:pPr>
        <w:spacing w:line="360" w:lineRule="auto"/>
        <w:ind w:firstLine="708"/>
        <w:jc w:val="both"/>
      </w:pPr>
      <w:r w:rsidRPr="005F3028">
        <w:rPr>
          <w:noProof/>
        </w:rPr>
        <w:pict>
          <v:shape id="_x0000_s1042" type="#_x0000_t102" style="position:absolute;left:0;text-align:left;margin-left:15.25pt;margin-top:17.3pt;width:20pt;height:94pt;z-index:251661312"/>
        </w:pict>
      </w:r>
      <w:r w:rsidRPr="005F3028">
        <w:rPr>
          <w:noProof/>
        </w:rPr>
        <w:pict>
          <v:roundrect id="_x0000_s1038" style="position:absolute;left:0;text-align:left;margin-left:333pt;margin-top:8.7pt;width:108pt;height:45pt;z-index:251657216" arcsize="10923f">
            <v:shadow on="t" opacity=".5" offset="-6pt,-6pt"/>
            <v:textbox style="mso-next-textbox:#_x0000_s1038">
              <w:txbxContent>
                <w:p w:rsidR="00E4660A" w:rsidRPr="00676D1B" w:rsidRDefault="00E4660A" w:rsidP="004406B8">
                  <w:pPr>
                    <w:jc w:val="center"/>
                    <w:rPr>
                      <w:sz w:val="20"/>
                      <w:szCs w:val="20"/>
                    </w:rPr>
                  </w:pPr>
                  <w:r w:rsidRPr="00676D1B">
                    <w:rPr>
                      <w:sz w:val="20"/>
                      <w:szCs w:val="20"/>
                    </w:rPr>
                    <w:t>Bugetul de stat</w:t>
                  </w:r>
                </w:p>
                <w:p w:rsidR="00E4660A" w:rsidRPr="00676D1B" w:rsidRDefault="00E4660A" w:rsidP="004406B8">
                  <w:pPr>
                    <w:jc w:val="center"/>
                    <w:rPr>
                      <w:b/>
                      <w:i/>
                      <w:sz w:val="20"/>
                      <w:szCs w:val="20"/>
                    </w:rPr>
                  </w:pPr>
                  <w:r>
                    <w:rPr>
                      <w:b/>
                      <w:i/>
                      <w:sz w:val="20"/>
                      <w:szCs w:val="20"/>
                    </w:rPr>
                    <w:t>483,2</w:t>
                  </w:r>
                </w:p>
                <w:p w:rsidR="00E4660A" w:rsidRPr="00676D1B" w:rsidRDefault="00E4660A" w:rsidP="004406B8">
                  <w:pPr>
                    <w:jc w:val="center"/>
                    <w:rPr>
                      <w:b/>
                      <w:sz w:val="20"/>
                      <w:szCs w:val="20"/>
                    </w:rPr>
                  </w:pPr>
                </w:p>
              </w:txbxContent>
            </v:textbox>
          </v:roundrect>
        </w:pict>
      </w:r>
      <w:r w:rsidRPr="005F3028">
        <w:rPr>
          <w:noProof/>
        </w:rPr>
        <w:pict>
          <v:roundrect id="_x0000_s1039" style="position:absolute;left:0;text-align:left;margin-left:42pt;margin-top:3.45pt;width:99pt;height:56.4pt;z-index:251658240" arcsize="10923f">
            <v:shadow on="t" opacity=".5" offset="6pt,-6pt"/>
            <v:textbox style="mso-next-textbox:#_x0000_s1039">
              <w:txbxContent>
                <w:p w:rsidR="00E4660A" w:rsidRPr="00676D1B" w:rsidRDefault="00E4660A" w:rsidP="004406B8">
                  <w:pPr>
                    <w:jc w:val="center"/>
                    <w:rPr>
                      <w:sz w:val="20"/>
                      <w:szCs w:val="20"/>
                    </w:rPr>
                  </w:pPr>
                  <w:r>
                    <w:rPr>
                      <w:sz w:val="20"/>
                      <w:szCs w:val="20"/>
                    </w:rPr>
                    <w:t>Bugetul unităţilor</w:t>
                  </w:r>
                  <w:r w:rsidRPr="00676D1B">
                    <w:rPr>
                      <w:sz w:val="20"/>
                      <w:szCs w:val="20"/>
                    </w:rPr>
                    <w:t xml:space="preserve"> administrativ</w:t>
                  </w:r>
                  <w:r w:rsidRPr="00676D1B">
                    <w:rPr>
                      <w:sz w:val="20"/>
                      <w:szCs w:val="20"/>
                      <w:lang w:val="en-US"/>
                    </w:rPr>
                    <w:t>-</w:t>
                  </w:r>
                  <w:r w:rsidRPr="00676D1B">
                    <w:rPr>
                      <w:sz w:val="20"/>
                      <w:szCs w:val="20"/>
                    </w:rPr>
                    <w:t>teritoriale</w:t>
                  </w:r>
                </w:p>
                <w:p w:rsidR="00E4660A" w:rsidRPr="00676D1B" w:rsidRDefault="00E4660A" w:rsidP="004406B8">
                  <w:pPr>
                    <w:jc w:val="center"/>
                    <w:rPr>
                      <w:b/>
                      <w:i/>
                      <w:sz w:val="20"/>
                      <w:szCs w:val="20"/>
                    </w:rPr>
                  </w:pPr>
                  <w:r>
                    <w:rPr>
                      <w:b/>
                      <w:i/>
                      <w:sz w:val="20"/>
                      <w:szCs w:val="20"/>
                    </w:rPr>
                    <w:t>72,0</w:t>
                  </w:r>
                </w:p>
              </w:txbxContent>
            </v:textbox>
          </v:roundrect>
        </w:pict>
      </w:r>
      <w:r w:rsidRPr="005F3028">
        <w:rPr>
          <w:noProof/>
        </w:rPr>
        <w:pict>
          <v:shape id="_x0000_s1046" type="#_x0000_t102" style="position:absolute;left:0;text-align:left;margin-left:452.4pt;margin-top:16.4pt;width:20.8pt;height:94.9pt;rotation:11556241fd;z-index:251665408"/>
        </w:pict>
      </w:r>
      <w:r w:rsidRPr="005F3028">
        <w:rPr>
          <w:noProof/>
        </w:rPr>
        <w:pict>
          <v:shape id="_x0000_s1045" type="#_x0000_t83" style="position:absolute;left:0;text-align:left;margin-left:164.95pt;margin-top:4.2pt;width:133.35pt;height:130.1pt;rotation:-2916373fd;z-index:251664384">
            <o:extrusion v:ext="view" on="t"/>
            <v:textbox>
              <w:txbxContent>
                <w:p w:rsidR="00E4660A" w:rsidRPr="00676D1B" w:rsidRDefault="00E4660A" w:rsidP="004406B8">
                  <w:pPr>
                    <w:jc w:val="center"/>
                    <w:rPr>
                      <w:b/>
                      <w:sz w:val="20"/>
                      <w:szCs w:val="20"/>
                    </w:rPr>
                  </w:pPr>
                  <w:r w:rsidRPr="00676D1B">
                    <w:rPr>
                      <w:b/>
                      <w:sz w:val="20"/>
                      <w:szCs w:val="20"/>
                    </w:rPr>
                    <w:t>Bugetul Public Naţional</w:t>
                  </w:r>
                </w:p>
                <w:p w:rsidR="00E4660A" w:rsidRPr="00676D1B" w:rsidRDefault="00E4660A" w:rsidP="004406B8">
                  <w:pPr>
                    <w:spacing w:line="120" w:lineRule="auto"/>
                    <w:jc w:val="center"/>
                    <w:rPr>
                      <w:b/>
                      <w:sz w:val="20"/>
                      <w:szCs w:val="20"/>
                    </w:rPr>
                  </w:pPr>
                </w:p>
                <w:p w:rsidR="00E4660A" w:rsidRPr="00676D1B" w:rsidRDefault="00E4660A" w:rsidP="004406B8">
                  <w:pPr>
                    <w:jc w:val="center"/>
                    <w:rPr>
                      <w:b/>
                      <w:sz w:val="20"/>
                      <w:szCs w:val="20"/>
                    </w:rPr>
                  </w:pPr>
                  <w:r>
                    <w:rPr>
                      <w:b/>
                      <w:sz w:val="20"/>
                      <w:szCs w:val="20"/>
                    </w:rPr>
                    <w:t>989,0</w:t>
                  </w:r>
                </w:p>
              </w:txbxContent>
            </v:textbox>
          </v:shape>
        </w:pict>
      </w:r>
    </w:p>
    <w:p w:rsidR="004406B8" w:rsidRPr="00651044" w:rsidRDefault="004406B8" w:rsidP="004406B8"/>
    <w:p w:rsidR="004406B8" w:rsidRPr="00651044" w:rsidRDefault="004406B8" w:rsidP="004406B8">
      <w:pPr>
        <w:tabs>
          <w:tab w:val="left" w:pos="7620"/>
        </w:tabs>
      </w:pPr>
    </w:p>
    <w:p w:rsidR="004406B8" w:rsidRPr="00651044" w:rsidRDefault="005F3028" w:rsidP="004406B8">
      <w:pPr>
        <w:tabs>
          <w:tab w:val="left" w:pos="7620"/>
        </w:tabs>
      </w:pPr>
      <w:r w:rsidRPr="005F3028">
        <w:rPr>
          <w:noProof/>
        </w:rPr>
        <w:pict>
          <v:roundrect id="_x0000_s1040" style="position:absolute;margin-left:333pt;margin-top:11.55pt;width:108pt;height:58pt;z-index:251659264" arcsize="10923f">
            <v:shadow on="t" opacity=".5" offset="6pt,6pt"/>
            <v:textbox style="mso-next-textbox:#_x0000_s1040">
              <w:txbxContent>
                <w:p w:rsidR="00E4660A" w:rsidRPr="00676D1B" w:rsidRDefault="00E4660A" w:rsidP="004406B8">
                  <w:pPr>
                    <w:jc w:val="center"/>
                    <w:rPr>
                      <w:sz w:val="20"/>
                      <w:szCs w:val="20"/>
                      <w:lang w:val="en-GB"/>
                    </w:rPr>
                  </w:pPr>
                  <w:r w:rsidRPr="00676D1B">
                    <w:rPr>
                      <w:sz w:val="20"/>
                      <w:szCs w:val="20"/>
                      <w:lang w:val="en-GB"/>
                    </w:rPr>
                    <w:t xml:space="preserve">Fondurile asigurărilor obligatorii de </w:t>
                  </w:r>
                </w:p>
                <w:p w:rsidR="00E4660A" w:rsidRPr="00676D1B" w:rsidRDefault="00E4660A" w:rsidP="004406B8">
                  <w:pPr>
                    <w:jc w:val="center"/>
                    <w:rPr>
                      <w:sz w:val="20"/>
                      <w:szCs w:val="20"/>
                      <w:lang w:val="en-GB"/>
                    </w:rPr>
                  </w:pPr>
                  <w:r w:rsidRPr="00676D1B">
                    <w:rPr>
                      <w:sz w:val="20"/>
                      <w:szCs w:val="20"/>
                      <w:lang w:val="en-GB"/>
                    </w:rPr>
                    <w:t>asistenţă medicală</w:t>
                  </w:r>
                </w:p>
                <w:p w:rsidR="00E4660A" w:rsidRPr="00676D1B" w:rsidRDefault="00E4660A" w:rsidP="004406B8">
                  <w:pPr>
                    <w:jc w:val="center"/>
                    <w:rPr>
                      <w:b/>
                      <w:i/>
                      <w:sz w:val="20"/>
                      <w:szCs w:val="20"/>
                    </w:rPr>
                  </w:pPr>
                  <w:r>
                    <w:rPr>
                      <w:b/>
                      <w:i/>
                      <w:sz w:val="20"/>
                      <w:szCs w:val="20"/>
                    </w:rPr>
                    <w:t>102,2</w:t>
                  </w:r>
                  <w:r w:rsidRPr="00676D1B">
                    <w:rPr>
                      <w:b/>
                      <w:i/>
                      <w:sz w:val="20"/>
                      <w:szCs w:val="20"/>
                    </w:rPr>
                    <w:t xml:space="preserve"> </w:t>
                  </w:r>
                </w:p>
              </w:txbxContent>
            </v:textbox>
          </v:roundrect>
        </w:pict>
      </w:r>
    </w:p>
    <w:p w:rsidR="004406B8" w:rsidRPr="00651044" w:rsidRDefault="005F3028" w:rsidP="004406B8">
      <w:r w:rsidRPr="005F3028">
        <w:rPr>
          <w:noProof/>
        </w:rPr>
        <w:pict>
          <v:roundrect id="_x0000_s1041" style="position:absolute;margin-left:44.5pt;margin-top:7.65pt;width:99.5pt;height:45.25pt;z-index:251660288" arcsize="10923f">
            <v:shadow on="t" opacity=".5" offset="-6pt,6pt"/>
            <v:textbox style="mso-next-textbox:#_x0000_s1041">
              <w:txbxContent>
                <w:p w:rsidR="00E4660A" w:rsidRPr="00676D1B" w:rsidRDefault="00E4660A" w:rsidP="004406B8">
                  <w:pPr>
                    <w:jc w:val="center"/>
                    <w:rPr>
                      <w:sz w:val="20"/>
                      <w:szCs w:val="20"/>
                      <w:lang w:val="en-GB"/>
                    </w:rPr>
                  </w:pPr>
                  <w:r w:rsidRPr="00676D1B">
                    <w:rPr>
                      <w:sz w:val="20"/>
                      <w:szCs w:val="20"/>
                      <w:lang w:val="en-GB"/>
                    </w:rPr>
                    <w:t>Bugetul asigurărilor sociale de stat</w:t>
                  </w:r>
                </w:p>
                <w:p w:rsidR="00E4660A" w:rsidRPr="00676D1B" w:rsidRDefault="00E4660A" w:rsidP="004406B8">
                  <w:pPr>
                    <w:jc w:val="center"/>
                    <w:rPr>
                      <w:b/>
                      <w:i/>
                      <w:sz w:val="20"/>
                      <w:szCs w:val="20"/>
                      <w:lang w:val="en-GB"/>
                    </w:rPr>
                  </w:pPr>
                  <w:r>
                    <w:rPr>
                      <w:b/>
                      <w:i/>
                      <w:sz w:val="20"/>
                      <w:szCs w:val="20"/>
                      <w:lang w:val="en-GB"/>
                    </w:rPr>
                    <w:t>331,6</w:t>
                  </w:r>
                </w:p>
                <w:p w:rsidR="00E4660A" w:rsidRPr="00676D1B" w:rsidRDefault="00E4660A" w:rsidP="004406B8">
                  <w:pPr>
                    <w:jc w:val="center"/>
                    <w:rPr>
                      <w:b/>
                      <w:sz w:val="20"/>
                      <w:szCs w:val="20"/>
                      <w:lang w:val="en-GB"/>
                    </w:rPr>
                  </w:pPr>
                </w:p>
              </w:txbxContent>
            </v:textbox>
          </v:roundrect>
        </w:pict>
      </w:r>
    </w:p>
    <w:p w:rsidR="004406B8" w:rsidRPr="00651044" w:rsidRDefault="004406B8" w:rsidP="004406B8"/>
    <w:p w:rsidR="004406B8" w:rsidRPr="00651044" w:rsidRDefault="004406B8" w:rsidP="004406B8"/>
    <w:p w:rsidR="004406B8" w:rsidRPr="00651044" w:rsidRDefault="004406B8" w:rsidP="004406B8"/>
    <w:p w:rsidR="004406B8" w:rsidRPr="00651044" w:rsidRDefault="005F3028" w:rsidP="004406B8">
      <w:r w:rsidRPr="005F3028">
        <w:rPr>
          <w:noProof/>
        </w:rPr>
        <w:pict>
          <v:shape id="_x0000_s1043" type="#_x0000_t102" style="position:absolute;margin-left:244.15pt;margin-top:-166.8pt;width:18pt;height:375.7pt;rotation:270;z-index:251662336"/>
        </w:pict>
      </w:r>
    </w:p>
    <w:p w:rsidR="004406B8" w:rsidRPr="00651044" w:rsidRDefault="004406B8" w:rsidP="004406B8"/>
    <w:p w:rsidR="00F83737" w:rsidRPr="00651044" w:rsidRDefault="00F83737" w:rsidP="004406B8">
      <w:pPr>
        <w:spacing w:line="23" w:lineRule="atLeast"/>
        <w:rPr>
          <w:color w:val="FF0000"/>
          <w:sz w:val="28"/>
          <w:szCs w:val="28"/>
        </w:rPr>
      </w:pPr>
    </w:p>
    <w:p w:rsidR="00F83737" w:rsidRPr="00651044" w:rsidRDefault="00F83737" w:rsidP="00F83737">
      <w:pPr>
        <w:tabs>
          <w:tab w:val="left" w:pos="180"/>
        </w:tabs>
        <w:spacing w:line="23" w:lineRule="atLeast"/>
        <w:ind w:left="360"/>
        <w:jc w:val="center"/>
        <w:rPr>
          <w:b/>
          <w:i/>
          <w:sz w:val="20"/>
          <w:szCs w:val="20"/>
        </w:rPr>
      </w:pPr>
      <w:r w:rsidRPr="00651044">
        <w:rPr>
          <w:b/>
          <w:i/>
          <w:sz w:val="20"/>
          <w:szCs w:val="20"/>
        </w:rPr>
        <w:t>Figura 4.2. Structura achitărilor impozitelor şi taxelor în bugetul public naţional de către</w:t>
      </w:r>
    </w:p>
    <w:p w:rsidR="00F83737" w:rsidRPr="00651044" w:rsidRDefault="00F83737" w:rsidP="004406B8">
      <w:pPr>
        <w:tabs>
          <w:tab w:val="left" w:pos="180"/>
        </w:tabs>
        <w:spacing w:line="23" w:lineRule="atLeast"/>
        <w:ind w:left="360"/>
        <w:jc w:val="center"/>
        <w:rPr>
          <w:b/>
          <w:i/>
          <w:sz w:val="20"/>
          <w:szCs w:val="20"/>
        </w:rPr>
      </w:pPr>
      <w:r w:rsidRPr="00651044">
        <w:rPr>
          <w:b/>
          <w:i/>
          <w:sz w:val="20"/>
          <w:szCs w:val="20"/>
        </w:rPr>
        <w:t xml:space="preserve">societăţile pe acţiuni, </w:t>
      </w:r>
      <w:r w:rsidR="00670823" w:rsidRPr="00651044">
        <w:rPr>
          <w:b/>
          <w:i/>
          <w:sz w:val="20"/>
          <w:szCs w:val="20"/>
        </w:rPr>
        <w:t>în anul</w:t>
      </w:r>
      <w:r w:rsidR="004406B8" w:rsidRPr="00651044">
        <w:rPr>
          <w:b/>
          <w:i/>
          <w:sz w:val="20"/>
          <w:szCs w:val="20"/>
        </w:rPr>
        <w:t xml:space="preserve"> 2015, mil. lei</w:t>
      </w:r>
    </w:p>
    <w:p w:rsidR="00895280" w:rsidRPr="00651044" w:rsidRDefault="00895280" w:rsidP="00BB33B2">
      <w:pPr>
        <w:spacing w:line="276" w:lineRule="auto"/>
        <w:ind w:firstLine="567"/>
        <w:jc w:val="both"/>
        <w:rPr>
          <w:sz w:val="28"/>
          <w:szCs w:val="28"/>
        </w:rPr>
      </w:pPr>
    </w:p>
    <w:p w:rsidR="00BB33B2" w:rsidRPr="00651044" w:rsidRDefault="00F83737" w:rsidP="00BB33B2">
      <w:pPr>
        <w:spacing w:line="276" w:lineRule="auto"/>
        <w:ind w:firstLine="567"/>
        <w:jc w:val="both"/>
        <w:rPr>
          <w:sz w:val="28"/>
          <w:szCs w:val="28"/>
        </w:rPr>
      </w:pPr>
      <w:r w:rsidRPr="00651044">
        <w:rPr>
          <w:sz w:val="28"/>
          <w:szCs w:val="28"/>
        </w:rPr>
        <w:t xml:space="preserve">Totodată, conform legislaţiei în vigoare, entităţile beneficiază de înlesniri şi facilităţi fiscale la </w:t>
      </w:r>
      <w:r w:rsidR="00604BA8" w:rsidRPr="00651044">
        <w:rPr>
          <w:sz w:val="28"/>
          <w:szCs w:val="28"/>
        </w:rPr>
        <w:t>plata principalelor</w:t>
      </w:r>
      <w:r w:rsidRPr="00651044">
        <w:rPr>
          <w:sz w:val="28"/>
          <w:szCs w:val="28"/>
        </w:rPr>
        <w:t xml:space="preserve"> tipuri de impozite.</w:t>
      </w:r>
    </w:p>
    <w:p w:rsidR="00F83737" w:rsidRPr="00651044" w:rsidRDefault="00F83737" w:rsidP="00BB33B2">
      <w:pPr>
        <w:spacing w:line="276" w:lineRule="auto"/>
        <w:ind w:firstLine="567"/>
        <w:jc w:val="both"/>
        <w:rPr>
          <w:sz w:val="28"/>
          <w:szCs w:val="28"/>
        </w:rPr>
      </w:pPr>
      <w:r w:rsidRPr="00651044">
        <w:rPr>
          <w:sz w:val="28"/>
          <w:szCs w:val="28"/>
        </w:rPr>
        <w:t xml:space="preserve">Prin urmare, </w:t>
      </w:r>
      <w:r w:rsidR="00670823" w:rsidRPr="00651044">
        <w:rPr>
          <w:sz w:val="28"/>
          <w:szCs w:val="28"/>
        </w:rPr>
        <w:t>în anul</w:t>
      </w:r>
      <w:r w:rsidR="004406B8" w:rsidRPr="00651044">
        <w:rPr>
          <w:sz w:val="28"/>
          <w:szCs w:val="28"/>
        </w:rPr>
        <w:t xml:space="preserve"> 2015</w:t>
      </w:r>
      <w:r w:rsidRPr="00651044">
        <w:rPr>
          <w:sz w:val="28"/>
          <w:szCs w:val="28"/>
        </w:rPr>
        <w:t xml:space="preserve">, </w:t>
      </w:r>
      <w:r w:rsidRPr="00651044">
        <w:rPr>
          <w:i/>
          <w:sz w:val="28"/>
          <w:szCs w:val="28"/>
        </w:rPr>
        <w:t>întreprinderile de stat au beneficiat de înlesniri şi facilităţi fiscale la plata unor impozite şi taxe</w:t>
      </w:r>
      <w:r w:rsidRPr="00651044">
        <w:rPr>
          <w:sz w:val="28"/>
          <w:szCs w:val="28"/>
        </w:rPr>
        <w:t xml:space="preserve"> în mărime de </w:t>
      </w:r>
      <w:r w:rsidR="003C336E" w:rsidRPr="00651044">
        <w:rPr>
          <w:sz w:val="28"/>
          <w:szCs w:val="28"/>
        </w:rPr>
        <w:t>17,963</w:t>
      </w:r>
      <w:r w:rsidRPr="00651044">
        <w:rPr>
          <w:sz w:val="28"/>
          <w:szCs w:val="28"/>
        </w:rPr>
        <w:t xml:space="preserve"> mil. lei, inclusiv:</w:t>
      </w:r>
    </w:p>
    <w:p w:rsidR="00F83737" w:rsidRPr="00651044" w:rsidRDefault="00F83737" w:rsidP="00F83737">
      <w:pPr>
        <w:tabs>
          <w:tab w:val="left" w:pos="720"/>
        </w:tabs>
        <w:spacing w:line="276" w:lineRule="auto"/>
        <w:jc w:val="both"/>
        <w:rPr>
          <w:sz w:val="28"/>
          <w:szCs w:val="28"/>
        </w:rPr>
      </w:pPr>
      <w:r w:rsidRPr="00651044">
        <w:rPr>
          <w:color w:val="FF0000"/>
          <w:sz w:val="28"/>
          <w:szCs w:val="28"/>
        </w:rPr>
        <w:tab/>
      </w:r>
      <w:r w:rsidRPr="00651044">
        <w:rPr>
          <w:sz w:val="28"/>
          <w:szCs w:val="28"/>
        </w:rPr>
        <w:t xml:space="preserve">- </w:t>
      </w:r>
      <w:r w:rsidR="003C336E" w:rsidRPr="00651044">
        <w:rPr>
          <w:sz w:val="28"/>
          <w:szCs w:val="28"/>
        </w:rPr>
        <w:t>16,33</w:t>
      </w:r>
      <w:r w:rsidRPr="00651044">
        <w:rPr>
          <w:sz w:val="28"/>
          <w:szCs w:val="28"/>
        </w:rPr>
        <w:t xml:space="preserve"> mil. lei </w:t>
      </w:r>
      <w:r w:rsidR="008F08E8" w:rsidRPr="00651044">
        <w:rPr>
          <w:sz w:val="28"/>
          <w:szCs w:val="28"/>
        </w:rPr>
        <w:t>la plata</w:t>
      </w:r>
      <w:r w:rsidRPr="00651044">
        <w:rPr>
          <w:sz w:val="28"/>
          <w:szCs w:val="28"/>
        </w:rPr>
        <w:t xml:space="preserve"> impozitul</w:t>
      </w:r>
      <w:r w:rsidR="008F08E8" w:rsidRPr="00651044">
        <w:rPr>
          <w:sz w:val="28"/>
          <w:szCs w:val="28"/>
        </w:rPr>
        <w:t>ui</w:t>
      </w:r>
      <w:r w:rsidRPr="00651044">
        <w:rPr>
          <w:sz w:val="28"/>
          <w:szCs w:val="28"/>
        </w:rPr>
        <w:t xml:space="preserve"> bunurilor imobiliare, în conformitate cu prevederile art. </w:t>
      </w:r>
      <w:r w:rsidR="00E87B2D" w:rsidRPr="00651044">
        <w:rPr>
          <w:sz w:val="28"/>
          <w:szCs w:val="28"/>
        </w:rPr>
        <w:t xml:space="preserve">282, </w:t>
      </w:r>
      <w:r w:rsidRPr="00651044">
        <w:rPr>
          <w:sz w:val="28"/>
          <w:szCs w:val="28"/>
        </w:rPr>
        <w:t xml:space="preserve">283, 284 ale Codului Fiscal şi prevederile Legii pentru punerea în aplicare a titlului VI al Codului Fiscal nr. 1056-XIV din 16 iunie 2000; </w:t>
      </w:r>
    </w:p>
    <w:p w:rsidR="00F83737" w:rsidRPr="00651044" w:rsidRDefault="00F83737" w:rsidP="00F83737">
      <w:pPr>
        <w:spacing w:line="276" w:lineRule="auto"/>
        <w:ind w:firstLine="708"/>
        <w:jc w:val="both"/>
        <w:rPr>
          <w:sz w:val="28"/>
          <w:szCs w:val="28"/>
        </w:rPr>
      </w:pPr>
      <w:r w:rsidRPr="00651044">
        <w:rPr>
          <w:sz w:val="28"/>
          <w:szCs w:val="28"/>
        </w:rPr>
        <w:t xml:space="preserve">- </w:t>
      </w:r>
      <w:r w:rsidR="005E443C" w:rsidRPr="00651044">
        <w:rPr>
          <w:sz w:val="28"/>
          <w:szCs w:val="28"/>
        </w:rPr>
        <w:t>1,12</w:t>
      </w:r>
      <w:r w:rsidRPr="00651044">
        <w:rPr>
          <w:sz w:val="28"/>
          <w:szCs w:val="28"/>
        </w:rPr>
        <w:t xml:space="preserve"> mil. lei – </w:t>
      </w:r>
      <w:r w:rsidR="008F08E8" w:rsidRPr="00651044">
        <w:rPr>
          <w:sz w:val="28"/>
          <w:szCs w:val="28"/>
        </w:rPr>
        <w:t>la plata taxei</w:t>
      </w:r>
      <w:r w:rsidRPr="00651044">
        <w:rPr>
          <w:sz w:val="28"/>
          <w:szCs w:val="28"/>
        </w:rPr>
        <w:t xml:space="preserve"> pentru apă, în conformitate cu prevederile art. 306 al Codului Fiscal şi prevederile Legii pentru punerea în aplicare a titlului VIII al Codului Fiscal nr. 68 -XVI din 5 mai 2005;</w:t>
      </w:r>
    </w:p>
    <w:p w:rsidR="00F83737" w:rsidRPr="00651044" w:rsidRDefault="00B95158" w:rsidP="00F83737">
      <w:pPr>
        <w:spacing w:line="276" w:lineRule="auto"/>
        <w:ind w:firstLine="708"/>
        <w:jc w:val="both"/>
        <w:rPr>
          <w:sz w:val="28"/>
          <w:szCs w:val="28"/>
        </w:rPr>
      </w:pPr>
      <w:r w:rsidRPr="00651044">
        <w:rPr>
          <w:sz w:val="28"/>
          <w:szCs w:val="28"/>
        </w:rPr>
        <w:t>- 0,4</w:t>
      </w:r>
      <w:r w:rsidR="005E443C" w:rsidRPr="00651044">
        <w:rPr>
          <w:sz w:val="28"/>
          <w:szCs w:val="28"/>
        </w:rPr>
        <w:t>7</w:t>
      </w:r>
      <w:r w:rsidR="00F83737" w:rsidRPr="00651044">
        <w:rPr>
          <w:sz w:val="28"/>
          <w:szCs w:val="28"/>
        </w:rPr>
        <w:t xml:space="preserve"> mil. lei – </w:t>
      </w:r>
      <w:r w:rsidR="008F08E8" w:rsidRPr="00651044">
        <w:rPr>
          <w:sz w:val="28"/>
          <w:szCs w:val="28"/>
        </w:rPr>
        <w:t>la plata taxei</w:t>
      </w:r>
      <w:r w:rsidR="00F83737" w:rsidRPr="00651044">
        <w:rPr>
          <w:sz w:val="28"/>
          <w:szCs w:val="28"/>
        </w:rPr>
        <w:t xml:space="preserve"> pentru extragerea mineralelor utile, în conformitate cu prevederile art. 319 al Codului Fiscal şi prevederile Legii pentru punerea în aplicare a titlului VIII al Codului Fiscal nr. 68-XVI din 5 mai 2005; </w:t>
      </w:r>
    </w:p>
    <w:p w:rsidR="00F83737" w:rsidRPr="00651044" w:rsidRDefault="00B95158" w:rsidP="00F83737">
      <w:pPr>
        <w:spacing w:line="276" w:lineRule="auto"/>
        <w:ind w:firstLine="708"/>
        <w:jc w:val="both"/>
        <w:rPr>
          <w:sz w:val="28"/>
          <w:szCs w:val="28"/>
        </w:rPr>
      </w:pPr>
      <w:r w:rsidRPr="00651044">
        <w:rPr>
          <w:sz w:val="28"/>
          <w:szCs w:val="28"/>
        </w:rPr>
        <w:lastRenderedPageBreak/>
        <w:t>- 0,003</w:t>
      </w:r>
      <w:r w:rsidR="00F83737" w:rsidRPr="00651044">
        <w:rPr>
          <w:sz w:val="28"/>
          <w:szCs w:val="28"/>
        </w:rPr>
        <w:t xml:space="preserve"> mil. lei – </w:t>
      </w:r>
      <w:r w:rsidR="008F08E8" w:rsidRPr="00651044">
        <w:rPr>
          <w:sz w:val="28"/>
          <w:szCs w:val="28"/>
        </w:rPr>
        <w:t>la plata taxei locale</w:t>
      </w:r>
      <w:r w:rsidR="00F83737" w:rsidRPr="00651044">
        <w:rPr>
          <w:sz w:val="28"/>
          <w:szCs w:val="28"/>
        </w:rPr>
        <w:t xml:space="preserve">, în conformitate cu prevederile art. 295, 296  ale Codului Fiscal şi prevederile Legii pentru punerea în aplicare a titlului VII al Codului Fiscal nr. 94 -XV din 1 aprilie 2004. </w:t>
      </w:r>
    </w:p>
    <w:p w:rsidR="00B95158" w:rsidRPr="00651044" w:rsidRDefault="0035429F" w:rsidP="00F83737">
      <w:pPr>
        <w:spacing w:line="276" w:lineRule="auto"/>
        <w:ind w:firstLine="708"/>
        <w:jc w:val="both"/>
        <w:rPr>
          <w:sz w:val="28"/>
          <w:szCs w:val="28"/>
        </w:rPr>
      </w:pPr>
      <w:r w:rsidRPr="00651044">
        <w:rPr>
          <w:sz w:val="28"/>
          <w:szCs w:val="28"/>
        </w:rPr>
        <w:t>- 0,0</w:t>
      </w:r>
      <w:r w:rsidR="003C336E" w:rsidRPr="00651044">
        <w:rPr>
          <w:sz w:val="28"/>
          <w:szCs w:val="28"/>
        </w:rPr>
        <w:t>4</w:t>
      </w:r>
      <w:r w:rsidR="00B95158" w:rsidRPr="00651044">
        <w:rPr>
          <w:sz w:val="28"/>
          <w:szCs w:val="28"/>
        </w:rPr>
        <w:t xml:space="preserve"> mil.lei – </w:t>
      </w:r>
      <w:r w:rsidR="008F08E8" w:rsidRPr="00651044">
        <w:rPr>
          <w:sz w:val="28"/>
          <w:szCs w:val="28"/>
        </w:rPr>
        <w:t>la plata taxei</w:t>
      </w:r>
      <w:r w:rsidR="00B95158" w:rsidRPr="00651044">
        <w:rPr>
          <w:sz w:val="28"/>
          <w:szCs w:val="28"/>
        </w:rPr>
        <w:t xml:space="preserve"> pentru folosirea drumurilor</w:t>
      </w:r>
      <w:r w:rsidR="008F08E8" w:rsidRPr="00651044">
        <w:rPr>
          <w:sz w:val="28"/>
          <w:szCs w:val="28"/>
        </w:rPr>
        <w:t xml:space="preserve"> de către autovehiculele înmatriculate în Republica Moldova</w:t>
      </w:r>
      <w:r w:rsidR="00B95158" w:rsidRPr="00651044">
        <w:rPr>
          <w:sz w:val="28"/>
          <w:szCs w:val="28"/>
        </w:rPr>
        <w:t>, în conformitate cu prevederile art.343 al Codului fiscal şi prevederile Legii pentru punerea în aplicare a titlului IX al Codului Fiscal nr.317-XVI din 02 noiembrie 2006.</w:t>
      </w:r>
    </w:p>
    <w:p w:rsidR="00F83737" w:rsidRPr="00651044" w:rsidRDefault="00F83737" w:rsidP="00BB33B2">
      <w:pPr>
        <w:spacing w:line="276" w:lineRule="auto"/>
        <w:ind w:firstLine="567"/>
        <w:jc w:val="both"/>
        <w:rPr>
          <w:sz w:val="28"/>
          <w:szCs w:val="28"/>
        </w:rPr>
      </w:pPr>
      <w:r w:rsidRPr="00651044">
        <w:rPr>
          <w:i/>
          <w:sz w:val="28"/>
          <w:szCs w:val="28"/>
        </w:rPr>
        <w:t xml:space="preserve">Suma înlesnirilor şi facilităţilor fiscale </w:t>
      </w:r>
      <w:r w:rsidRPr="00651044">
        <w:rPr>
          <w:bCs/>
          <w:i/>
          <w:sz w:val="28"/>
          <w:szCs w:val="28"/>
        </w:rPr>
        <w:t>acordate societăţilor pe acţiuni</w:t>
      </w:r>
      <w:r w:rsidRPr="00651044">
        <w:rPr>
          <w:bCs/>
          <w:sz w:val="28"/>
          <w:szCs w:val="28"/>
        </w:rPr>
        <w:t xml:space="preserve"> la principalele tipuri de impozite </w:t>
      </w:r>
      <w:r w:rsidR="0035429F" w:rsidRPr="00651044">
        <w:rPr>
          <w:sz w:val="28"/>
          <w:szCs w:val="28"/>
        </w:rPr>
        <w:t xml:space="preserve">constituie </w:t>
      </w:r>
      <w:r w:rsidR="008145D3" w:rsidRPr="00651044">
        <w:rPr>
          <w:sz w:val="28"/>
          <w:szCs w:val="28"/>
        </w:rPr>
        <w:t>0,022</w:t>
      </w:r>
      <w:r w:rsidRPr="00651044">
        <w:rPr>
          <w:sz w:val="28"/>
          <w:szCs w:val="28"/>
        </w:rPr>
        <w:t xml:space="preserve"> mil. lei, inclusiv:</w:t>
      </w:r>
    </w:p>
    <w:p w:rsidR="00F83737" w:rsidRPr="00651044" w:rsidRDefault="008145D3" w:rsidP="00F83737">
      <w:pPr>
        <w:tabs>
          <w:tab w:val="left" w:pos="900"/>
        </w:tabs>
        <w:spacing w:line="276" w:lineRule="auto"/>
        <w:ind w:firstLine="540"/>
        <w:jc w:val="both"/>
        <w:rPr>
          <w:sz w:val="28"/>
          <w:szCs w:val="28"/>
        </w:rPr>
      </w:pPr>
      <w:r w:rsidRPr="00651044">
        <w:rPr>
          <w:sz w:val="28"/>
          <w:szCs w:val="28"/>
        </w:rPr>
        <w:t>- 0,019</w:t>
      </w:r>
      <w:r w:rsidR="00F83737" w:rsidRPr="00651044">
        <w:rPr>
          <w:sz w:val="28"/>
          <w:szCs w:val="28"/>
        </w:rPr>
        <w:t xml:space="preserve"> mil. lei – </w:t>
      </w:r>
      <w:r w:rsidR="008F08E8" w:rsidRPr="00651044">
        <w:rPr>
          <w:sz w:val="28"/>
          <w:szCs w:val="28"/>
        </w:rPr>
        <w:t xml:space="preserve">la plata </w:t>
      </w:r>
      <w:r w:rsidR="00F83737" w:rsidRPr="00651044">
        <w:rPr>
          <w:sz w:val="28"/>
          <w:szCs w:val="28"/>
        </w:rPr>
        <w:t>impozitul</w:t>
      </w:r>
      <w:r w:rsidR="008F08E8" w:rsidRPr="00651044">
        <w:rPr>
          <w:sz w:val="28"/>
          <w:szCs w:val="28"/>
        </w:rPr>
        <w:t>ui</w:t>
      </w:r>
      <w:r w:rsidR="00F83737" w:rsidRPr="00651044">
        <w:rPr>
          <w:sz w:val="28"/>
          <w:szCs w:val="28"/>
        </w:rPr>
        <w:t xml:space="preserve"> pe bunuri</w:t>
      </w:r>
      <w:r w:rsidR="00695318" w:rsidRPr="00651044">
        <w:rPr>
          <w:sz w:val="28"/>
          <w:szCs w:val="28"/>
        </w:rPr>
        <w:t>le</w:t>
      </w:r>
      <w:r w:rsidR="00F83737" w:rsidRPr="00651044">
        <w:rPr>
          <w:sz w:val="28"/>
          <w:szCs w:val="28"/>
        </w:rPr>
        <w:t xml:space="preserve"> imobiliare, în conformitate cu prevederile art. </w:t>
      </w:r>
      <w:r w:rsidRPr="00651044">
        <w:rPr>
          <w:sz w:val="28"/>
          <w:szCs w:val="28"/>
        </w:rPr>
        <w:t xml:space="preserve">282, </w:t>
      </w:r>
      <w:r w:rsidR="00F83737" w:rsidRPr="00651044">
        <w:rPr>
          <w:sz w:val="28"/>
          <w:szCs w:val="28"/>
        </w:rPr>
        <w:t>283, 284 ale Codului Fiscal şi prevederile Legii pentru punerea în aplicare a titlului VI al Codului Fiscal nr. 1056-XIV din 16 iunie 2000;</w:t>
      </w:r>
    </w:p>
    <w:p w:rsidR="00F83737" w:rsidRPr="00651044" w:rsidRDefault="0035429F" w:rsidP="00136F34">
      <w:pPr>
        <w:numPr>
          <w:ilvl w:val="0"/>
          <w:numId w:val="6"/>
        </w:numPr>
        <w:tabs>
          <w:tab w:val="clear" w:pos="800"/>
          <w:tab w:val="left" w:pos="0"/>
        </w:tabs>
        <w:spacing w:line="276" w:lineRule="auto"/>
        <w:ind w:left="0" w:firstLine="440"/>
        <w:jc w:val="both"/>
        <w:rPr>
          <w:sz w:val="28"/>
          <w:szCs w:val="28"/>
        </w:rPr>
      </w:pPr>
      <w:r w:rsidRPr="00651044">
        <w:rPr>
          <w:sz w:val="28"/>
          <w:szCs w:val="28"/>
        </w:rPr>
        <w:t>0,003</w:t>
      </w:r>
      <w:r w:rsidR="00F83737" w:rsidRPr="00651044">
        <w:rPr>
          <w:sz w:val="28"/>
          <w:szCs w:val="28"/>
        </w:rPr>
        <w:t xml:space="preserve"> mil. lei – </w:t>
      </w:r>
      <w:r w:rsidR="008F08E8" w:rsidRPr="00651044">
        <w:rPr>
          <w:sz w:val="28"/>
          <w:szCs w:val="28"/>
        </w:rPr>
        <w:t>la plata taxei</w:t>
      </w:r>
      <w:r w:rsidR="00F83737" w:rsidRPr="00651044">
        <w:rPr>
          <w:sz w:val="28"/>
          <w:szCs w:val="28"/>
        </w:rPr>
        <w:t xml:space="preserve"> pentru apă, în conformitate cu prevederile art. 306 al Codului Fiscal şi prevederile Legii pentru punerea în aplicare a titlului VIII al Codului Fiscal nr. 68 -XVI din 5 mai 2005.</w:t>
      </w:r>
    </w:p>
    <w:p w:rsidR="00BB33B2" w:rsidRPr="00651044" w:rsidRDefault="00F83737" w:rsidP="00BB33B2">
      <w:pPr>
        <w:spacing w:line="276" w:lineRule="auto"/>
        <w:ind w:firstLine="567"/>
        <w:jc w:val="both"/>
        <w:rPr>
          <w:sz w:val="28"/>
          <w:szCs w:val="28"/>
        </w:rPr>
      </w:pPr>
      <w:r w:rsidRPr="00651044">
        <w:rPr>
          <w:sz w:val="28"/>
          <w:szCs w:val="28"/>
        </w:rPr>
        <w:t xml:space="preserve">Pe lîngă acestea, în temeiul prevederilor art. 96, 103 şi 104 al Codului Fiscal nr. 1163-XIII din 24 aprilie 1997, în </w:t>
      </w:r>
      <w:r w:rsidR="0035429F" w:rsidRPr="00651044">
        <w:rPr>
          <w:sz w:val="28"/>
          <w:szCs w:val="28"/>
        </w:rPr>
        <w:t>anul 201</w:t>
      </w:r>
      <w:r w:rsidR="00695318" w:rsidRPr="00651044">
        <w:rPr>
          <w:sz w:val="28"/>
          <w:szCs w:val="28"/>
        </w:rPr>
        <w:t>5</w:t>
      </w:r>
      <w:r w:rsidRPr="00651044">
        <w:rPr>
          <w:sz w:val="28"/>
          <w:szCs w:val="28"/>
        </w:rPr>
        <w:t>, entităţile au efectuat livrări de mărfuri şi servicii scutite de taxa pe valoarea adăugată (TVA), livrări de mărfuri şi servicii la cota redusă a TVA şi de livrări la cota „0” a TVA.</w:t>
      </w:r>
    </w:p>
    <w:p w:rsidR="00BB33B2" w:rsidRPr="00651044" w:rsidRDefault="00F83737" w:rsidP="00BB33B2">
      <w:pPr>
        <w:spacing w:line="276" w:lineRule="auto"/>
        <w:ind w:firstLine="567"/>
        <w:jc w:val="both"/>
        <w:rPr>
          <w:sz w:val="28"/>
          <w:szCs w:val="28"/>
        </w:rPr>
      </w:pPr>
      <w:r w:rsidRPr="00651044">
        <w:rPr>
          <w:sz w:val="28"/>
          <w:szCs w:val="28"/>
        </w:rPr>
        <w:t xml:space="preserve">Astfel, </w:t>
      </w:r>
      <w:r w:rsidRPr="00651044">
        <w:rPr>
          <w:i/>
          <w:sz w:val="28"/>
          <w:szCs w:val="28"/>
        </w:rPr>
        <w:t>livrările de mărfuri, servicii la cota redusă a TVA efectuate de întreprinderile de stat</w:t>
      </w:r>
      <w:r w:rsidRPr="00651044">
        <w:rPr>
          <w:sz w:val="28"/>
          <w:szCs w:val="28"/>
        </w:rPr>
        <w:t xml:space="preserve"> au înregistrat valoarea de </w:t>
      </w:r>
      <w:r w:rsidR="008145D3" w:rsidRPr="00651044">
        <w:rPr>
          <w:sz w:val="28"/>
          <w:szCs w:val="28"/>
        </w:rPr>
        <w:t>45,6</w:t>
      </w:r>
      <w:r w:rsidRPr="00651044">
        <w:rPr>
          <w:sz w:val="28"/>
          <w:szCs w:val="28"/>
        </w:rPr>
        <w:t xml:space="preserve"> mil. lei. Cele mai considerabile livrări de mărfuri şi servicii la cotă redusă a TVA au fost înregistrate la întreprinderile din </w:t>
      </w:r>
      <w:r w:rsidR="008145D3" w:rsidRPr="00651044">
        <w:rPr>
          <w:sz w:val="28"/>
          <w:szCs w:val="28"/>
        </w:rPr>
        <w:t>administrarea</w:t>
      </w:r>
      <w:r w:rsidRPr="00651044">
        <w:rPr>
          <w:sz w:val="28"/>
          <w:szCs w:val="28"/>
        </w:rPr>
        <w:t xml:space="preserve"> Ministerului Agriculturii şi Industriei Alimentare – </w:t>
      </w:r>
      <w:r w:rsidR="008145D3" w:rsidRPr="00651044">
        <w:rPr>
          <w:sz w:val="28"/>
          <w:szCs w:val="28"/>
        </w:rPr>
        <w:t>29,8 mil. lei,</w:t>
      </w:r>
      <w:r w:rsidRPr="00651044">
        <w:rPr>
          <w:sz w:val="28"/>
          <w:szCs w:val="28"/>
        </w:rPr>
        <w:t xml:space="preserve"> </w:t>
      </w:r>
      <w:r w:rsidR="0035429F" w:rsidRPr="00651044">
        <w:rPr>
          <w:sz w:val="28"/>
          <w:szCs w:val="28"/>
        </w:rPr>
        <w:t xml:space="preserve">Agenţiei „Moldsilva” – </w:t>
      </w:r>
      <w:r w:rsidR="008145D3" w:rsidRPr="00651044">
        <w:rPr>
          <w:sz w:val="28"/>
          <w:szCs w:val="28"/>
        </w:rPr>
        <w:t>2,8</w:t>
      </w:r>
      <w:r w:rsidRPr="00651044">
        <w:rPr>
          <w:sz w:val="28"/>
          <w:szCs w:val="28"/>
        </w:rPr>
        <w:t xml:space="preserve"> mil. lei</w:t>
      </w:r>
      <w:r w:rsidR="008145D3" w:rsidRPr="00651044">
        <w:rPr>
          <w:sz w:val="28"/>
          <w:szCs w:val="28"/>
        </w:rPr>
        <w:t xml:space="preserve"> şi la cele administrate de Ministerul Transporturilor şi Infrastructurii Drumurilor – 1,4 mil. lei</w:t>
      </w:r>
      <w:r w:rsidRPr="00651044">
        <w:rPr>
          <w:sz w:val="28"/>
          <w:szCs w:val="28"/>
        </w:rPr>
        <w:t xml:space="preserve">. </w:t>
      </w:r>
    </w:p>
    <w:p w:rsidR="00BB33B2" w:rsidRPr="00651044" w:rsidRDefault="00F83737" w:rsidP="00BB33B2">
      <w:pPr>
        <w:spacing w:line="276" w:lineRule="auto"/>
        <w:ind w:firstLine="567"/>
        <w:jc w:val="both"/>
        <w:rPr>
          <w:sz w:val="28"/>
          <w:szCs w:val="28"/>
        </w:rPr>
      </w:pPr>
      <w:r w:rsidRPr="00651044">
        <w:rPr>
          <w:sz w:val="28"/>
          <w:szCs w:val="28"/>
        </w:rPr>
        <w:t xml:space="preserve">Valoarea </w:t>
      </w:r>
      <w:r w:rsidRPr="00651044">
        <w:rPr>
          <w:i/>
          <w:sz w:val="28"/>
          <w:szCs w:val="28"/>
        </w:rPr>
        <w:t>livrărilor de mărfuri şi servicii la cota redusă a TVA, acordate societăţilor pe acţiuni</w:t>
      </w:r>
      <w:r w:rsidRPr="00651044">
        <w:rPr>
          <w:sz w:val="28"/>
          <w:szCs w:val="28"/>
        </w:rPr>
        <w:t xml:space="preserve"> a înregistrat </w:t>
      </w:r>
      <w:r w:rsidR="008145D3" w:rsidRPr="00651044">
        <w:rPr>
          <w:sz w:val="28"/>
          <w:szCs w:val="28"/>
        </w:rPr>
        <w:t>546,6</w:t>
      </w:r>
      <w:r w:rsidRPr="00651044">
        <w:rPr>
          <w:sz w:val="28"/>
          <w:szCs w:val="28"/>
        </w:rPr>
        <w:t xml:space="preserve"> mil. lei, dintre care cele mai considerabile fiind înregistrate de societăţile</w:t>
      </w:r>
      <w:r w:rsidR="008F08E8" w:rsidRPr="00651044">
        <w:rPr>
          <w:sz w:val="28"/>
          <w:szCs w:val="28"/>
        </w:rPr>
        <w:t xml:space="preserve"> pe ac</w:t>
      </w:r>
      <w:r w:rsidR="00253020" w:rsidRPr="00651044">
        <w:rPr>
          <w:sz w:val="28"/>
          <w:szCs w:val="28"/>
        </w:rPr>
        <w:t>ţ</w:t>
      </w:r>
      <w:r w:rsidR="008F08E8" w:rsidRPr="00651044">
        <w:rPr>
          <w:sz w:val="28"/>
          <w:szCs w:val="28"/>
        </w:rPr>
        <w:t>iuni</w:t>
      </w:r>
      <w:r w:rsidRPr="00651044">
        <w:rPr>
          <w:sz w:val="28"/>
          <w:szCs w:val="28"/>
        </w:rPr>
        <w:t xml:space="preserve"> din </w:t>
      </w:r>
      <w:r w:rsidR="008145D3" w:rsidRPr="00651044">
        <w:rPr>
          <w:sz w:val="28"/>
          <w:szCs w:val="28"/>
        </w:rPr>
        <w:t>administrarea</w:t>
      </w:r>
      <w:r w:rsidRPr="00651044">
        <w:rPr>
          <w:sz w:val="28"/>
          <w:szCs w:val="28"/>
        </w:rPr>
        <w:t xml:space="preserve"> Ministerului Agriculturii şi Industriei Alimentare – </w:t>
      </w:r>
      <w:r w:rsidR="008145D3" w:rsidRPr="00651044">
        <w:rPr>
          <w:sz w:val="28"/>
          <w:szCs w:val="28"/>
        </w:rPr>
        <w:t xml:space="preserve">437,8 mil. lei, </w:t>
      </w:r>
      <w:r w:rsidRPr="00651044">
        <w:rPr>
          <w:sz w:val="28"/>
          <w:szCs w:val="28"/>
        </w:rPr>
        <w:t xml:space="preserve">Ministerului Sănătăţii – </w:t>
      </w:r>
      <w:r w:rsidR="008145D3" w:rsidRPr="00651044">
        <w:rPr>
          <w:sz w:val="28"/>
          <w:szCs w:val="28"/>
        </w:rPr>
        <w:t>100,4</w:t>
      </w:r>
      <w:r w:rsidRPr="00651044">
        <w:rPr>
          <w:sz w:val="28"/>
          <w:szCs w:val="28"/>
        </w:rPr>
        <w:t xml:space="preserve"> mil. lei</w:t>
      </w:r>
      <w:r w:rsidR="008145D3" w:rsidRPr="00651044">
        <w:rPr>
          <w:sz w:val="28"/>
          <w:szCs w:val="28"/>
        </w:rPr>
        <w:t xml:space="preserve"> şi Ministerului Economiei – 7,8 mil. lei</w:t>
      </w:r>
      <w:r w:rsidRPr="00651044">
        <w:rPr>
          <w:sz w:val="28"/>
          <w:szCs w:val="28"/>
        </w:rPr>
        <w:t xml:space="preserve">.   </w:t>
      </w:r>
    </w:p>
    <w:p w:rsidR="004A10A5" w:rsidRPr="00651044" w:rsidRDefault="00763829" w:rsidP="004A10A5">
      <w:pPr>
        <w:spacing w:line="276" w:lineRule="auto"/>
        <w:jc w:val="both"/>
        <w:rPr>
          <w:sz w:val="28"/>
          <w:szCs w:val="28"/>
        </w:rPr>
      </w:pPr>
      <w:r>
        <w:rPr>
          <w:noProof/>
          <w:sz w:val="28"/>
          <w:szCs w:val="28"/>
          <w:lang w:val="ru-RU"/>
        </w:rPr>
        <w:drawing>
          <wp:inline distT="0" distB="0" distL="0" distR="0">
            <wp:extent cx="6104255" cy="1549400"/>
            <wp:effectExtent l="0" t="0" r="0" b="0"/>
            <wp:docPr id="22" name="Object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A10A5" w:rsidRPr="00651044" w:rsidRDefault="004A10A5" w:rsidP="004A10A5">
      <w:pPr>
        <w:tabs>
          <w:tab w:val="left" w:pos="180"/>
        </w:tabs>
        <w:spacing w:line="23" w:lineRule="atLeast"/>
        <w:ind w:left="360"/>
        <w:jc w:val="center"/>
        <w:rPr>
          <w:b/>
          <w:i/>
          <w:sz w:val="20"/>
          <w:szCs w:val="20"/>
        </w:rPr>
      </w:pPr>
      <w:r w:rsidRPr="00651044">
        <w:rPr>
          <w:b/>
          <w:i/>
          <w:sz w:val="20"/>
          <w:szCs w:val="20"/>
        </w:rPr>
        <w:t xml:space="preserve">Figura 4.3. Facilităţi </w:t>
      </w:r>
      <w:r w:rsidR="00695318" w:rsidRPr="00651044">
        <w:rPr>
          <w:b/>
          <w:i/>
          <w:sz w:val="20"/>
          <w:szCs w:val="20"/>
        </w:rPr>
        <w:t xml:space="preserve">la plata TVA </w:t>
      </w:r>
      <w:r w:rsidRPr="00651044">
        <w:rPr>
          <w:b/>
          <w:i/>
          <w:sz w:val="20"/>
          <w:szCs w:val="20"/>
        </w:rPr>
        <w:t xml:space="preserve">în procesul de livrare a mărfurilor şi serviciilor de către întreprinderile de stat şi societăţile pe </w:t>
      </w:r>
      <w:r w:rsidR="00D763D9" w:rsidRPr="00651044">
        <w:rPr>
          <w:b/>
          <w:i/>
          <w:sz w:val="20"/>
          <w:szCs w:val="20"/>
        </w:rPr>
        <w:t>acţiuni în anul</w:t>
      </w:r>
      <w:r w:rsidRPr="00651044">
        <w:rPr>
          <w:b/>
          <w:i/>
          <w:sz w:val="20"/>
          <w:szCs w:val="20"/>
        </w:rPr>
        <w:t xml:space="preserve"> 2015, mil.</w:t>
      </w:r>
      <w:r w:rsidR="00D763D9" w:rsidRPr="00651044">
        <w:rPr>
          <w:b/>
          <w:i/>
          <w:sz w:val="20"/>
          <w:szCs w:val="20"/>
        </w:rPr>
        <w:t xml:space="preserve"> </w:t>
      </w:r>
      <w:r w:rsidRPr="00651044">
        <w:rPr>
          <w:b/>
          <w:i/>
          <w:sz w:val="20"/>
          <w:szCs w:val="20"/>
        </w:rPr>
        <w:t>lei</w:t>
      </w:r>
    </w:p>
    <w:p w:rsidR="004A10A5" w:rsidRPr="00651044" w:rsidRDefault="004A10A5" w:rsidP="00BB33B2">
      <w:pPr>
        <w:spacing w:line="276" w:lineRule="auto"/>
        <w:ind w:firstLine="567"/>
        <w:jc w:val="both"/>
        <w:rPr>
          <w:sz w:val="28"/>
          <w:szCs w:val="28"/>
        </w:rPr>
      </w:pPr>
    </w:p>
    <w:p w:rsidR="00F83737" w:rsidRPr="00651044" w:rsidRDefault="00F83737" w:rsidP="00BB33B2">
      <w:pPr>
        <w:spacing w:line="276" w:lineRule="auto"/>
        <w:ind w:firstLine="567"/>
        <w:jc w:val="both"/>
        <w:rPr>
          <w:sz w:val="28"/>
          <w:szCs w:val="28"/>
        </w:rPr>
      </w:pPr>
      <w:r w:rsidRPr="00651044">
        <w:rPr>
          <w:sz w:val="28"/>
          <w:szCs w:val="28"/>
        </w:rPr>
        <w:lastRenderedPageBreak/>
        <w:t xml:space="preserve">Totodată, </w:t>
      </w:r>
      <w:r w:rsidRPr="00651044">
        <w:rPr>
          <w:i/>
          <w:sz w:val="28"/>
          <w:szCs w:val="28"/>
        </w:rPr>
        <w:t>valoarea livrărilor de mărfuri şi servicii scutite de TVA ale întreprinderilor de stat</w:t>
      </w:r>
      <w:r w:rsidRPr="00651044">
        <w:rPr>
          <w:sz w:val="28"/>
          <w:szCs w:val="28"/>
        </w:rPr>
        <w:t xml:space="preserve"> constituie </w:t>
      </w:r>
      <w:r w:rsidR="008145D3" w:rsidRPr="00651044">
        <w:rPr>
          <w:sz w:val="28"/>
          <w:szCs w:val="28"/>
        </w:rPr>
        <w:t>749,1</w:t>
      </w:r>
      <w:r w:rsidRPr="00651044">
        <w:rPr>
          <w:sz w:val="28"/>
          <w:szCs w:val="28"/>
        </w:rPr>
        <w:t xml:space="preserve"> mil. lei, c</w:t>
      </w:r>
      <w:r w:rsidR="008145D3" w:rsidRPr="00651044">
        <w:rPr>
          <w:sz w:val="28"/>
          <w:szCs w:val="28"/>
        </w:rPr>
        <w:t>ele mai semnificative înregistr</w:t>
      </w:r>
      <w:r w:rsidR="006E6FE5">
        <w:rPr>
          <w:sz w:val="28"/>
          <w:szCs w:val="28"/>
        </w:rPr>
        <w:t>î</w:t>
      </w:r>
      <w:r w:rsidRPr="00651044">
        <w:rPr>
          <w:sz w:val="28"/>
          <w:szCs w:val="28"/>
        </w:rPr>
        <w:t xml:space="preserve">ndu-se la întreprinderile </w:t>
      </w:r>
      <w:r w:rsidR="008145D3" w:rsidRPr="00651044">
        <w:rPr>
          <w:sz w:val="28"/>
          <w:szCs w:val="28"/>
        </w:rPr>
        <w:t>administrate de</w:t>
      </w:r>
      <w:r w:rsidR="00A84074" w:rsidRPr="00651044">
        <w:rPr>
          <w:sz w:val="28"/>
          <w:szCs w:val="28"/>
        </w:rPr>
        <w:t xml:space="preserve"> </w:t>
      </w:r>
      <w:r w:rsidR="008145D3" w:rsidRPr="00651044">
        <w:rPr>
          <w:sz w:val="28"/>
          <w:szCs w:val="28"/>
        </w:rPr>
        <w:t>Ministerul</w:t>
      </w:r>
      <w:r w:rsidRPr="00651044">
        <w:rPr>
          <w:sz w:val="28"/>
          <w:szCs w:val="28"/>
        </w:rPr>
        <w:t xml:space="preserve"> Tehnologiei Informaţiei şi Comunicaţiilor – </w:t>
      </w:r>
      <w:r w:rsidR="00D60EE7" w:rsidRPr="00651044">
        <w:rPr>
          <w:sz w:val="28"/>
          <w:szCs w:val="28"/>
        </w:rPr>
        <w:t>338,1</w:t>
      </w:r>
      <w:r w:rsidRPr="00651044">
        <w:rPr>
          <w:sz w:val="28"/>
          <w:szCs w:val="28"/>
        </w:rPr>
        <w:t xml:space="preserve"> mil. lei</w:t>
      </w:r>
      <w:r w:rsidR="00A84074" w:rsidRPr="00651044">
        <w:rPr>
          <w:sz w:val="28"/>
          <w:szCs w:val="28"/>
        </w:rPr>
        <w:t>,</w:t>
      </w:r>
      <w:r w:rsidRPr="00651044">
        <w:rPr>
          <w:sz w:val="28"/>
          <w:szCs w:val="28"/>
        </w:rPr>
        <w:t xml:space="preserve"> </w:t>
      </w:r>
      <w:r w:rsidR="00D60EE7" w:rsidRPr="00651044">
        <w:rPr>
          <w:sz w:val="28"/>
          <w:szCs w:val="28"/>
        </w:rPr>
        <w:t xml:space="preserve">Ministerul </w:t>
      </w:r>
      <w:r w:rsidRPr="00651044">
        <w:rPr>
          <w:sz w:val="28"/>
          <w:szCs w:val="28"/>
        </w:rPr>
        <w:t xml:space="preserve">Dezvoltării Regionale şi Construcţiilor – </w:t>
      </w:r>
      <w:r w:rsidR="00D60EE7" w:rsidRPr="00651044">
        <w:rPr>
          <w:sz w:val="28"/>
          <w:szCs w:val="28"/>
        </w:rPr>
        <w:t>116,8</w:t>
      </w:r>
      <w:r w:rsidRPr="00651044">
        <w:rPr>
          <w:sz w:val="28"/>
          <w:szCs w:val="28"/>
        </w:rPr>
        <w:t xml:space="preserve"> mil. lei</w:t>
      </w:r>
      <w:r w:rsidR="00A84074" w:rsidRPr="00651044">
        <w:rPr>
          <w:sz w:val="28"/>
          <w:szCs w:val="28"/>
        </w:rPr>
        <w:t xml:space="preserve"> şi</w:t>
      </w:r>
      <w:r w:rsidR="00D60EE7" w:rsidRPr="00651044">
        <w:rPr>
          <w:sz w:val="28"/>
          <w:szCs w:val="28"/>
        </w:rPr>
        <w:t xml:space="preserve"> Ministerul</w:t>
      </w:r>
      <w:r w:rsidR="00A84074" w:rsidRPr="00651044">
        <w:rPr>
          <w:sz w:val="28"/>
          <w:szCs w:val="28"/>
        </w:rPr>
        <w:t xml:space="preserve"> Transporturilor şi I</w:t>
      </w:r>
      <w:r w:rsidR="00D60EE7" w:rsidRPr="00651044">
        <w:rPr>
          <w:sz w:val="28"/>
          <w:szCs w:val="28"/>
        </w:rPr>
        <w:t>nfrastructurii Drumurilor – 63,5</w:t>
      </w:r>
      <w:r w:rsidR="00A84074" w:rsidRPr="00651044">
        <w:rPr>
          <w:sz w:val="28"/>
          <w:szCs w:val="28"/>
        </w:rPr>
        <w:t xml:space="preserve"> mil. lei</w:t>
      </w:r>
      <w:r w:rsidRPr="00651044">
        <w:rPr>
          <w:sz w:val="28"/>
          <w:szCs w:val="28"/>
        </w:rPr>
        <w:t xml:space="preserve">. </w:t>
      </w:r>
    </w:p>
    <w:p w:rsidR="00BB33B2" w:rsidRPr="00651044" w:rsidRDefault="00F83737" w:rsidP="00BB33B2">
      <w:pPr>
        <w:spacing w:line="276" w:lineRule="auto"/>
        <w:ind w:firstLine="567"/>
        <w:jc w:val="both"/>
        <w:rPr>
          <w:sz w:val="28"/>
          <w:szCs w:val="28"/>
        </w:rPr>
      </w:pPr>
      <w:r w:rsidRPr="00651044">
        <w:rPr>
          <w:sz w:val="28"/>
          <w:szCs w:val="28"/>
        </w:rPr>
        <w:t xml:space="preserve">Referitor la </w:t>
      </w:r>
      <w:r w:rsidRPr="00651044">
        <w:rPr>
          <w:i/>
          <w:sz w:val="28"/>
          <w:szCs w:val="28"/>
        </w:rPr>
        <w:t>societăţile pe acţiuni</w:t>
      </w:r>
      <w:r w:rsidRPr="00651044">
        <w:rPr>
          <w:sz w:val="28"/>
          <w:szCs w:val="28"/>
        </w:rPr>
        <w:t xml:space="preserve">, enunţăm că, acestea au înregistrat, </w:t>
      </w:r>
      <w:r w:rsidR="00A84074" w:rsidRPr="00651044">
        <w:rPr>
          <w:sz w:val="28"/>
          <w:szCs w:val="28"/>
        </w:rPr>
        <w:t>în anul</w:t>
      </w:r>
      <w:r w:rsidR="00695318" w:rsidRPr="00651044">
        <w:rPr>
          <w:sz w:val="28"/>
          <w:szCs w:val="28"/>
        </w:rPr>
        <w:t xml:space="preserve"> 2015</w:t>
      </w:r>
      <w:r w:rsidRPr="00651044">
        <w:rPr>
          <w:sz w:val="28"/>
          <w:szCs w:val="28"/>
        </w:rPr>
        <w:t xml:space="preserve">, </w:t>
      </w:r>
      <w:r w:rsidRPr="00651044">
        <w:rPr>
          <w:i/>
          <w:sz w:val="28"/>
          <w:szCs w:val="28"/>
        </w:rPr>
        <w:t>livrări de mărfuri şi servicii scutite de TVA</w:t>
      </w:r>
      <w:r w:rsidRPr="00651044">
        <w:rPr>
          <w:sz w:val="28"/>
          <w:szCs w:val="28"/>
        </w:rPr>
        <w:t xml:space="preserve"> în sumă de </w:t>
      </w:r>
      <w:r w:rsidR="00D60EE7" w:rsidRPr="00651044">
        <w:rPr>
          <w:sz w:val="28"/>
          <w:szCs w:val="28"/>
        </w:rPr>
        <w:t>4 926,0</w:t>
      </w:r>
      <w:r w:rsidRPr="00651044">
        <w:rPr>
          <w:sz w:val="28"/>
          <w:szCs w:val="28"/>
        </w:rPr>
        <w:t xml:space="preserve"> mil. lei, dintre care cele mai considerabile livrări scutite de TVA fiind înregistrate de societăţile pe acţiuni </w:t>
      </w:r>
      <w:r w:rsidR="00D60EE7" w:rsidRPr="00651044">
        <w:rPr>
          <w:sz w:val="28"/>
          <w:szCs w:val="28"/>
        </w:rPr>
        <w:t>administrate de Ministerul</w:t>
      </w:r>
      <w:r w:rsidRPr="00651044">
        <w:rPr>
          <w:sz w:val="28"/>
          <w:szCs w:val="28"/>
        </w:rPr>
        <w:t xml:space="preserve"> Economiei – </w:t>
      </w:r>
      <w:r w:rsidR="00D60EE7" w:rsidRPr="00651044">
        <w:rPr>
          <w:sz w:val="28"/>
          <w:szCs w:val="28"/>
        </w:rPr>
        <w:t>4 911,3</w:t>
      </w:r>
      <w:r w:rsidRPr="00651044">
        <w:rPr>
          <w:sz w:val="28"/>
          <w:szCs w:val="28"/>
        </w:rPr>
        <w:t xml:space="preserve"> mil. lei.</w:t>
      </w:r>
    </w:p>
    <w:p w:rsidR="00BB33B2" w:rsidRPr="00651044" w:rsidRDefault="00F83737" w:rsidP="00BB33B2">
      <w:pPr>
        <w:spacing w:line="276" w:lineRule="auto"/>
        <w:ind w:firstLine="567"/>
        <w:jc w:val="both"/>
        <w:rPr>
          <w:sz w:val="28"/>
          <w:szCs w:val="28"/>
        </w:rPr>
      </w:pPr>
      <w:r w:rsidRPr="00651044">
        <w:rPr>
          <w:sz w:val="28"/>
          <w:szCs w:val="28"/>
        </w:rPr>
        <w:t xml:space="preserve">În partea ce ţine de </w:t>
      </w:r>
      <w:r w:rsidRPr="00651044">
        <w:rPr>
          <w:i/>
          <w:sz w:val="28"/>
          <w:szCs w:val="28"/>
        </w:rPr>
        <w:t>livrările la cota „0” a TVA</w:t>
      </w:r>
      <w:r w:rsidR="00D60EE7" w:rsidRPr="00651044">
        <w:rPr>
          <w:i/>
          <w:sz w:val="28"/>
          <w:szCs w:val="28"/>
        </w:rPr>
        <w:t xml:space="preserve"> a întreprinderilor de stat</w:t>
      </w:r>
      <w:r w:rsidR="00D60EE7" w:rsidRPr="00651044">
        <w:rPr>
          <w:sz w:val="28"/>
          <w:szCs w:val="28"/>
        </w:rPr>
        <w:t>, se enunţă că</w:t>
      </w:r>
      <w:r w:rsidRPr="00651044">
        <w:rPr>
          <w:sz w:val="28"/>
          <w:szCs w:val="28"/>
        </w:rPr>
        <w:t xml:space="preserve"> valoarea acestora, pentru </w:t>
      </w:r>
      <w:r w:rsidR="00D60EE7" w:rsidRPr="00651044">
        <w:rPr>
          <w:sz w:val="28"/>
          <w:szCs w:val="28"/>
        </w:rPr>
        <w:t>anul 2015</w:t>
      </w:r>
      <w:r w:rsidR="00A84074" w:rsidRPr="00651044">
        <w:rPr>
          <w:sz w:val="28"/>
          <w:szCs w:val="28"/>
        </w:rPr>
        <w:t xml:space="preserve"> constituie </w:t>
      </w:r>
      <w:r w:rsidR="00D60EE7" w:rsidRPr="00651044">
        <w:rPr>
          <w:sz w:val="28"/>
          <w:szCs w:val="28"/>
        </w:rPr>
        <w:t>3 806,0</w:t>
      </w:r>
      <w:r w:rsidRPr="00651044">
        <w:rPr>
          <w:sz w:val="28"/>
          <w:szCs w:val="28"/>
        </w:rPr>
        <w:t xml:space="preserve"> mil. lei, cuantumurile cele mai mari fiind înregistrate la întreprinderile de stat din </w:t>
      </w:r>
      <w:r w:rsidR="00D60EE7" w:rsidRPr="00651044">
        <w:rPr>
          <w:sz w:val="28"/>
          <w:szCs w:val="28"/>
        </w:rPr>
        <w:t>administrarea</w:t>
      </w:r>
      <w:r w:rsidRPr="00651044">
        <w:rPr>
          <w:sz w:val="28"/>
          <w:szCs w:val="28"/>
        </w:rPr>
        <w:t xml:space="preserve"> Ministerului Transporturilor şi Infrastructurii Drumurilor – </w:t>
      </w:r>
      <w:r w:rsidR="00D60EE7" w:rsidRPr="00651044">
        <w:rPr>
          <w:sz w:val="28"/>
          <w:szCs w:val="28"/>
        </w:rPr>
        <w:t>3 538,4</w:t>
      </w:r>
      <w:r w:rsidRPr="00651044">
        <w:rPr>
          <w:sz w:val="28"/>
          <w:szCs w:val="28"/>
        </w:rPr>
        <w:t xml:space="preserve"> mil. lei şi întreprinderile </w:t>
      </w:r>
      <w:r w:rsidR="00D60EE7" w:rsidRPr="00651044">
        <w:rPr>
          <w:sz w:val="28"/>
          <w:szCs w:val="28"/>
        </w:rPr>
        <w:t>administrate de Ministerul</w:t>
      </w:r>
      <w:r w:rsidRPr="00651044">
        <w:rPr>
          <w:sz w:val="28"/>
          <w:szCs w:val="28"/>
        </w:rPr>
        <w:t xml:space="preserve"> Economiei – </w:t>
      </w:r>
      <w:r w:rsidR="00DB5D5B" w:rsidRPr="00651044">
        <w:rPr>
          <w:sz w:val="28"/>
          <w:szCs w:val="28"/>
        </w:rPr>
        <w:t>194,4</w:t>
      </w:r>
      <w:r w:rsidRPr="00651044">
        <w:rPr>
          <w:sz w:val="28"/>
          <w:szCs w:val="28"/>
        </w:rPr>
        <w:t xml:space="preserve"> mil. lei (în special Î.S. „Fabrica de Sticlă din Chişinău” – </w:t>
      </w:r>
      <w:r w:rsidR="00DB5D5B" w:rsidRPr="00651044">
        <w:rPr>
          <w:sz w:val="28"/>
          <w:szCs w:val="28"/>
        </w:rPr>
        <w:t>187,1</w:t>
      </w:r>
      <w:r w:rsidRPr="00651044">
        <w:rPr>
          <w:sz w:val="28"/>
          <w:szCs w:val="28"/>
        </w:rPr>
        <w:t xml:space="preserve"> mil. lei). </w:t>
      </w:r>
    </w:p>
    <w:p w:rsidR="00336972" w:rsidRPr="00651044" w:rsidRDefault="00F83737" w:rsidP="00336972">
      <w:pPr>
        <w:spacing w:line="276" w:lineRule="auto"/>
        <w:ind w:firstLine="567"/>
        <w:jc w:val="both"/>
        <w:rPr>
          <w:sz w:val="28"/>
          <w:szCs w:val="28"/>
        </w:rPr>
      </w:pPr>
      <w:r w:rsidRPr="00651044">
        <w:rPr>
          <w:sz w:val="28"/>
          <w:szCs w:val="28"/>
        </w:rPr>
        <w:t xml:space="preserve">În aceeaşi perioadă a anului </w:t>
      </w:r>
      <w:r w:rsidR="00A84074" w:rsidRPr="00651044">
        <w:rPr>
          <w:sz w:val="28"/>
          <w:szCs w:val="28"/>
        </w:rPr>
        <w:t>analizat</w:t>
      </w:r>
      <w:r w:rsidRPr="00651044">
        <w:rPr>
          <w:sz w:val="28"/>
          <w:szCs w:val="28"/>
        </w:rPr>
        <w:t xml:space="preserve">, </w:t>
      </w:r>
      <w:r w:rsidRPr="00651044">
        <w:rPr>
          <w:i/>
          <w:sz w:val="28"/>
          <w:szCs w:val="28"/>
        </w:rPr>
        <w:t>societăţile pe acţiuni au beneficiat de livrări la cota „0” a TVA</w:t>
      </w:r>
      <w:r w:rsidRPr="00651044">
        <w:rPr>
          <w:sz w:val="28"/>
          <w:szCs w:val="28"/>
        </w:rPr>
        <w:t xml:space="preserve"> în sumă totală de </w:t>
      </w:r>
      <w:r w:rsidR="00DB5D5B" w:rsidRPr="00651044">
        <w:rPr>
          <w:sz w:val="28"/>
          <w:szCs w:val="28"/>
        </w:rPr>
        <w:t>2 830,3</w:t>
      </w:r>
      <w:r w:rsidRPr="00651044">
        <w:rPr>
          <w:sz w:val="28"/>
          <w:szCs w:val="28"/>
        </w:rPr>
        <w:t xml:space="preserve"> mil. lei, dintre care cele mai semnificative fiind înregistrate de societăţile pe acţiuni din </w:t>
      </w:r>
      <w:r w:rsidR="00DB5D5B" w:rsidRPr="00651044">
        <w:rPr>
          <w:sz w:val="28"/>
          <w:szCs w:val="28"/>
        </w:rPr>
        <w:t>administrarea</w:t>
      </w:r>
      <w:r w:rsidRPr="00651044">
        <w:rPr>
          <w:sz w:val="28"/>
          <w:szCs w:val="28"/>
        </w:rPr>
        <w:t xml:space="preserve"> Ministerului Economiei – </w:t>
      </w:r>
      <w:r w:rsidR="00DB5D5B" w:rsidRPr="00651044">
        <w:rPr>
          <w:sz w:val="28"/>
          <w:szCs w:val="28"/>
        </w:rPr>
        <w:t>2 633,9</w:t>
      </w:r>
      <w:r w:rsidRPr="00651044">
        <w:rPr>
          <w:sz w:val="28"/>
          <w:szCs w:val="28"/>
        </w:rPr>
        <w:t xml:space="preserve"> mil. lei şi societăţile din gestiunea Ministerului Agriculturii şi Industriei Alimentare – </w:t>
      </w:r>
      <w:r w:rsidR="00DB5D5B" w:rsidRPr="00651044">
        <w:rPr>
          <w:sz w:val="28"/>
          <w:szCs w:val="28"/>
        </w:rPr>
        <w:t>174,2</w:t>
      </w:r>
      <w:r w:rsidRPr="00651044">
        <w:rPr>
          <w:sz w:val="28"/>
          <w:szCs w:val="28"/>
        </w:rPr>
        <w:t xml:space="preserve"> mil. lei.</w:t>
      </w:r>
    </w:p>
    <w:p w:rsidR="00336972" w:rsidRPr="00651044" w:rsidRDefault="00144765" w:rsidP="00336972">
      <w:pPr>
        <w:spacing w:line="276" w:lineRule="auto"/>
        <w:ind w:firstLine="567"/>
        <w:jc w:val="both"/>
        <w:rPr>
          <w:sz w:val="28"/>
          <w:szCs w:val="28"/>
        </w:rPr>
      </w:pPr>
      <w:r w:rsidRPr="00651044">
        <w:rPr>
          <w:sz w:val="28"/>
          <w:szCs w:val="28"/>
        </w:rPr>
        <w:t xml:space="preserve">Suplimentar, se enunţă că,  </w:t>
      </w:r>
      <w:r w:rsidRPr="00651044">
        <w:rPr>
          <w:noProof/>
          <w:sz w:val="28"/>
          <w:szCs w:val="28"/>
        </w:rPr>
        <w:t>dat</w:t>
      </w:r>
      <w:r w:rsidRPr="00651044">
        <w:rPr>
          <w:sz w:val="28"/>
          <w:szCs w:val="28"/>
        </w:rPr>
        <w:t xml:space="preserve"> fiind conjunctura economică naţională, situaţia creată pe piaţa financiar-bancară autohtonă, evoluţia comerţului exterior determinată de circumstanţele pe plan extern etc.,</w:t>
      </w:r>
      <w:r w:rsidRPr="00651044">
        <w:rPr>
          <w:noProof/>
          <w:sz w:val="28"/>
          <w:szCs w:val="28"/>
        </w:rPr>
        <w:t xml:space="preserve"> în trimestrul </w:t>
      </w:r>
      <w:r w:rsidR="00695318" w:rsidRPr="00651044">
        <w:rPr>
          <w:noProof/>
          <w:sz w:val="28"/>
          <w:szCs w:val="28"/>
        </w:rPr>
        <w:t>I al anului 2015 a fost aprobată</w:t>
      </w:r>
      <w:r w:rsidRPr="00651044">
        <w:rPr>
          <w:noProof/>
          <w:sz w:val="28"/>
          <w:szCs w:val="28"/>
        </w:rPr>
        <w:t xml:space="preserve"> </w:t>
      </w:r>
      <w:r w:rsidR="00695318" w:rsidRPr="00651044">
        <w:rPr>
          <w:sz w:val="28"/>
          <w:szCs w:val="28"/>
        </w:rPr>
        <w:t>Hotăr</w:t>
      </w:r>
      <w:r w:rsidR="006E6FE5">
        <w:rPr>
          <w:sz w:val="28"/>
          <w:szCs w:val="28"/>
        </w:rPr>
        <w:t>î</w:t>
      </w:r>
      <w:r w:rsidR="00695318" w:rsidRPr="00651044">
        <w:rPr>
          <w:sz w:val="28"/>
          <w:szCs w:val="28"/>
        </w:rPr>
        <w:t>rea</w:t>
      </w:r>
      <w:r w:rsidRPr="00651044">
        <w:rPr>
          <w:sz w:val="28"/>
          <w:szCs w:val="28"/>
        </w:rPr>
        <w:t xml:space="preserve"> Guvernului </w:t>
      </w:r>
      <w:r w:rsidR="00695318" w:rsidRPr="00651044">
        <w:rPr>
          <w:sz w:val="28"/>
          <w:szCs w:val="28"/>
        </w:rPr>
        <w:t xml:space="preserve">nr. 193 din 22 aprilie 2015 </w:t>
      </w:r>
      <w:r w:rsidRPr="00651044">
        <w:rPr>
          <w:sz w:val="28"/>
          <w:szCs w:val="28"/>
        </w:rPr>
        <w:t>cu privire la repartizarea profitului net obţinut în anul 2014 de către societăţile pe acţiuni cu cotă de participare a statului şi întreprinderile de stat, potrivit căreia consiliile de administraţie a întreprinderilor de stat şi adunările generale a acţionarilor societăţilor pe acţiuni cu cotă de participare a statului urmau să promoveze decizii de repartizare a profitului net obţinut de către entităţi în anul 2014, sub formă de dividende şi defalcări în bugetul de stat, în proporţie nu mai mică de 50% din valoarea totală a acestuia, indiferent de categoria entităţilor economice (pasibile sau nepasibile de privatizare).</w:t>
      </w:r>
    </w:p>
    <w:p w:rsidR="00336972" w:rsidRPr="00651044" w:rsidRDefault="00144765" w:rsidP="00336972">
      <w:pPr>
        <w:spacing w:line="276" w:lineRule="auto"/>
        <w:ind w:firstLine="567"/>
        <w:jc w:val="both"/>
        <w:rPr>
          <w:sz w:val="28"/>
          <w:szCs w:val="28"/>
        </w:rPr>
      </w:pPr>
      <w:r w:rsidRPr="00651044">
        <w:rPr>
          <w:sz w:val="28"/>
          <w:szCs w:val="28"/>
        </w:rPr>
        <w:t>În Legea bugetului de stat pe anul 2015 nr.72 din 12 aprilie 2015,</w:t>
      </w:r>
      <w:r w:rsidRPr="00651044">
        <w:t xml:space="preserve"> </w:t>
      </w:r>
      <w:r w:rsidRPr="00651044">
        <w:rPr>
          <w:sz w:val="28"/>
          <w:szCs w:val="28"/>
        </w:rPr>
        <w:t>pentru rezultatele obţinute în anul 2014, au fost prevăzute venituri ce urmează a fi încasate la bugetul de stat sub formă de defalcări din profitul net al întreprinderilor de stat în mărime de 35,2 mil.lei şi dividende aferente cotei de participare a statului în societăţile pe acţiuni, în mărime de 73,0 mil.lei.</w:t>
      </w:r>
    </w:p>
    <w:p w:rsidR="00336972" w:rsidRPr="00651044" w:rsidRDefault="00144765" w:rsidP="00336972">
      <w:pPr>
        <w:spacing w:line="276" w:lineRule="auto"/>
        <w:ind w:firstLine="567"/>
        <w:jc w:val="both"/>
        <w:rPr>
          <w:sz w:val="28"/>
          <w:szCs w:val="28"/>
        </w:rPr>
      </w:pPr>
      <w:r w:rsidRPr="00651044">
        <w:rPr>
          <w:sz w:val="28"/>
          <w:szCs w:val="28"/>
        </w:rPr>
        <w:t xml:space="preserve">Totodată, conform prevederilor Legii nr.200 din 20 noiembrie 2015 pentru modificarea şi completarea Legii bugetului de stat pe anul 2015 nr.72 din 12 aprilie </w:t>
      </w:r>
      <w:r w:rsidRPr="00651044">
        <w:rPr>
          <w:sz w:val="28"/>
          <w:szCs w:val="28"/>
        </w:rPr>
        <w:lastRenderedPageBreak/>
        <w:t>2015, entităţile urmau să transfere defalcări şi dividende în bugetul de stat pentru rezultatele obţinute în anul 2014 în sumă de 62,675 mil.lei şi respectiv, 70,65 mil.lei.</w:t>
      </w:r>
    </w:p>
    <w:p w:rsidR="00144765" w:rsidRPr="00651044" w:rsidRDefault="00144765" w:rsidP="00336972">
      <w:pPr>
        <w:spacing w:line="276" w:lineRule="auto"/>
        <w:ind w:firstLine="567"/>
        <w:jc w:val="both"/>
        <w:rPr>
          <w:sz w:val="28"/>
          <w:szCs w:val="28"/>
        </w:rPr>
      </w:pPr>
      <w:r w:rsidRPr="00651044">
        <w:rPr>
          <w:sz w:val="28"/>
          <w:szCs w:val="28"/>
        </w:rPr>
        <w:t>Astfel, conform datelor Trezore</w:t>
      </w:r>
      <w:r w:rsidR="009C45E0" w:rsidRPr="00651044">
        <w:rPr>
          <w:sz w:val="28"/>
          <w:szCs w:val="28"/>
        </w:rPr>
        <w:t>riei de Stat</w:t>
      </w:r>
      <w:r w:rsidRPr="00651044">
        <w:rPr>
          <w:sz w:val="28"/>
          <w:szCs w:val="28"/>
        </w:rPr>
        <w:t xml:space="preserve">, pentru rezultatele obţinute în anul 2014, întreprinderile de stat au transferat </w:t>
      </w:r>
      <w:r w:rsidR="009C45E0" w:rsidRPr="00651044">
        <w:rPr>
          <w:sz w:val="28"/>
          <w:szCs w:val="28"/>
        </w:rPr>
        <w:t>în anul 2015</w:t>
      </w:r>
      <w:r w:rsidR="00604BA8" w:rsidRPr="00651044">
        <w:rPr>
          <w:sz w:val="28"/>
          <w:szCs w:val="28"/>
        </w:rPr>
        <w:t xml:space="preserve"> </w:t>
      </w:r>
      <w:r w:rsidRPr="00651044">
        <w:rPr>
          <w:sz w:val="28"/>
          <w:szCs w:val="28"/>
        </w:rPr>
        <w:t xml:space="preserve">la bugetul de stat defalcări în valoare totală de </w:t>
      </w:r>
      <w:r w:rsidR="004A10A5" w:rsidRPr="00651044">
        <w:rPr>
          <w:sz w:val="28"/>
          <w:szCs w:val="28"/>
        </w:rPr>
        <w:t>63,2</w:t>
      </w:r>
      <w:r w:rsidRPr="00651044">
        <w:rPr>
          <w:sz w:val="28"/>
          <w:szCs w:val="28"/>
        </w:rPr>
        <w:t xml:space="preserve"> mil.lei, conform rectificărilor la Legea bugetului de stat pe anul 2015 </w:t>
      </w:r>
      <w:r w:rsidR="004A10A5" w:rsidRPr="00651044">
        <w:rPr>
          <w:sz w:val="28"/>
          <w:szCs w:val="28"/>
        </w:rPr>
        <w:t>rata îndeplinirii fiind de 100,8</w:t>
      </w:r>
      <w:r w:rsidRPr="00651044">
        <w:rPr>
          <w:sz w:val="28"/>
          <w:szCs w:val="28"/>
        </w:rPr>
        <w:t>%, iar societăţile pe acţiuni au transferat dividende în mărime de 70,6</w:t>
      </w:r>
      <w:r w:rsidR="004A10A5" w:rsidRPr="00651044">
        <w:rPr>
          <w:sz w:val="28"/>
          <w:szCs w:val="28"/>
        </w:rPr>
        <w:t>7</w:t>
      </w:r>
      <w:r w:rsidRPr="00651044">
        <w:rPr>
          <w:sz w:val="28"/>
          <w:szCs w:val="28"/>
        </w:rPr>
        <w:t xml:space="preserve"> mil.lei, conform rectificărilor prenotate </w:t>
      </w:r>
      <w:r w:rsidR="004A10A5" w:rsidRPr="00651044">
        <w:rPr>
          <w:sz w:val="28"/>
          <w:szCs w:val="28"/>
        </w:rPr>
        <w:t>rata îndeplinirii fiind de 100,01</w:t>
      </w:r>
      <w:r w:rsidRPr="00651044">
        <w:rPr>
          <w:sz w:val="28"/>
          <w:szCs w:val="28"/>
        </w:rPr>
        <w:t xml:space="preserve"> la sută.</w:t>
      </w:r>
    </w:p>
    <w:p w:rsidR="00336972" w:rsidRPr="00651044" w:rsidRDefault="00336972" w:rsidP="00032A0E">
      <w:pPr>
        <w:spacing w:line="276" w:lineRule="auto"/>
        <w:ind w:firstLine="539"/>
        <w:jc w:val="both"/>
        <w:rPr>
          <w:color w:val="FF0000"/>
          <w:sz w:val="28"/>
          <w:szCs w:val="28"/>
        </w:rPr>
      </w:pPr>
    </w:p>
    <w:p w:rsidR="00FD613C" w:rsidRPr="00651044" w:rsidRDefault="00FD613C" w:rsidP="00136F34">
      <w:pPr>
        <w:pStyle w:val="Title"/>
        <w:numPr>
          <w:ilvl w:val="0"/>
          <w:numId w:val="11"/>
        </w:numPr>
        <w:rPr>
          <w:b/>
          <w:i/>
          <w:sz w:val="28"/>
          <w:szCs w:val="28"/>
          <w:lang w:val="ro-RO"/>
        </w:rPr>
      </w:pPr>
      <w:r w:rsidRPr="00651044">
        <w:rPr>
          <w:b/>
          <w:i/>
          <w:sz w:val="28"/>
          <w:szCs w:val="28"/>
          <w:lang w:val="ro-RO"/>
        </w:rPr>
        <w:t>Circula</w:t>
      </w:r>
      <w:r w:rsidR="00EF6BF4" w:rsidRPr="00651044">
        <w:rPr>
          <w:b/>
          <w:i/>
          <w:sz w:val="28"/>
          <w:szCs w:val="28"/>
          <w:lang w:val="ro-RO"/>
        </w:rPr>
        <w:t>ţ</w:t>
      </w:r>
      <w:r w:rsidRPr="00651044">
        <w:rPr>
          <w:b/>
          <w:i/>
          <w:sz w:val="28"/>
          <w:szCs w:val="28"/>
          <w:lang w:val="ro-RO"/>
        </w:rPr>
        <w:t>ia proprietăţii statului</w:t>
      </w:r>
    </w:p>
    <w:p w:rsidR="002B64ED" w:rsidRPr="00651044" w:rsidRDefault="002B64ED" w:rsidP="00F253D5">
      <w:pPr>
        <w:spacing w:line="276" w:lineRule="auto"/>
        <w:ind w:firstLine="567"/>
        <w:jc w:val="both"/>
        <w:rPr>
          <w:color w:val="FF0000"/>
          <w:sz w:val="28"/>
          <w:szCs w:val="28"/>
        </w:rPr>
      </w:pPr>
    </w:p>
    <w:p w:rsidR="001B1BC2" w:rsidRPr="00651044" w:rsidRDefault="00F33AF7" w:rsidP="00E8500C">
      <w:pPr>
        <w:spacing w:line="276" w:lineRule="auto"/>
        <w:ind w:firstLine="540"/>
        <w:jc w:val="both"/>
        <w:rPr>
          <w:sz w:val="28"/>
          <w:szCs w:val="28"/>
        </w:rPr>
      </w:pPr>
      <w:r w:rsidRPr="00651044">
        <w:rPr>
          <w:sz w:val="28"/>
          <w:szCs w:val="28"/>
        </w:rPr>
        <w:t>Pe parcursul anului 201</w:t>
      </w:r>
      <w:r w:rsidR="00E05163" w:rsidRPr="00651044">
        <w:rPr>
          <w:sz w:val="28"/>
          <w:szCs w:val="28"/>
        </w:rPr>
        <w:t>5</w:t>
      </w:r>
      <w:r w:rsidRPr="00651044">
        <w:rPr>
          <w:sz w:val="28"/>
          <w:szCs w:val="28"/>
        </w:rPr>
        <w:t xml:space="preserve">, </w:t>
      </w:r>
      <w:r w:rsidRPr="00651044">
        <w:rPr>
          <w:sz w:val="28"/>
          <w:szCs w:val="28"/>
          <w:lang w:eastAsia="ro-RO"/>
        </w:rPr>
        <w:t xml:space="preserve">în conformitate cu Legea </w:t>
      </w:r>
      <w:r w:rsidR="009C45E0" w:rsidRPr="00651044">
        <w:rPr>
          <w:sz w:val="28"/>
          <w:szCs w:val="28"/>
          <w:lang w:eastAsia="ro-RO"/>
        </w:rPr>
        <w:t xml:space="preserve">nr. 121-XVI din 4 mai 2007 </w:t>
      </w:r>
      <w:r w:rsidRPr="00651044">
        <w:rPr>
          <w:sz w:val="28"/>
          <w:szCs w:val="28"/>
          <w:lang w:eastAsia="ro-RO"/>
        </w:rPr>
        <w:t>privind administrarea şi deetatizarea proprietăţii publice şi Hotărîrea Guvern</w:t>
      </w:r>
      <w:r w:rsidR="001B1BC2" w:rsidRPr="00651044">
        <w:rPr>
          <w:sz w:val="28"/>
          <w:szCs w:val="28"/>
          <w:lang w:eastAsia="ro-RO"/>
        </w:rPr>
        <w:t xml:space="preserve">ului </w:t>
      </w:r>
      <w:r w:rsidR="008465A8" w:rsidRPr="00651044">
        <w:rPr>
          <w:sz w:val="28"/>
          <w:szCs w:val="28"/>
          <w:lang w:eastAsia="ro-RO"/>
        </w:rPr>
        <w:t xml:space="preserve">      </w:t>
      </w:r>
      <w:r w:rsidR="001B1BC2" w:rsidRPr="00651044">
        <w:rPr>
          <w:sz w:val="28"/>
          <w:szCs w:val="28"/>
          <w:lang w:eastAsia="ro-RO"/>
        </w:rPr>
        <w:t>nr. 945 din 20 august 2007</w:t>
      </w:r>
      <w:r w:rsidRPr="00651044">
        <w:rPr>
          <w:sz w:val="28"/>
          <w:szCs w:val="28"/>
          <w:lang w:eastAsia="ro-RO"/>
        </w:rPr>
        <w:t xml:space="preserve"> </w:t>
      </w:r>
      <w:r w:rsidR="001B1BC2" w:rsidRPr="00651044">
        <w:rPr>
          <w:sz w:val="28"/>
          <w:szCs w:val="28"/>
          <w:lang w:eastAsia="ro-RO"/>
        </w:rPr>
        <w:t>„C</w:t>
      </w:r>
      <w:r w:rsidRPr="00651044">
        <w:rPr>
          <w:sz w:val="28"/>
          <w:szCs w:val="28"/>
          <w:lang w:eastAsia="ro-RO"/>
        </w:rPr>
        <w:t xml:space="preserve">u privire la măsurile de realizare a Legii nr. 121-XVI din </w:t>
      </w:r>
      <w:r w:rsidR="008465A8" w:rsidRPr="00651044">
        <w:rPr>
          <w:sz w:val="28"/>
          <w:szCs w:val="28"/>
          <w:lang w:eastAsia="ro-RO"/>
        </w:rPr>
        <w:t xml:space="preserve">    </w:t>
      </w:r>
      <w:r w:rsidRPr="00651044">
        <w:rPr>
          <w:sz w:val="28"/>
          <w:szCs w:val="28"/>
          <w:lang w:eastAsia="ro-RO"/>
        </w:rPr>
        <w:t>4 mai 2007 privind administrarea şi deetatizarea proprietăţii</w:t>
      </w:r>
      <w:r w:rsidR="00393506" w:rsidRPr="00651044">
        <w:rPr>
          <w:sz w:val="28"/>
          <w:szCs w:val="28"/>
          <w:lang w:eastAsia="ro-RO"/>
        </w:rPr>
        <w:t xml:space="preserve"> publice</w:t>
      </w:r>
      <w:r w:rsidR="001B1BC2" w:rsidRPr="00651044">
        <w:rPr>
          <w:sz w:val="28"/>
          <w:szCs w:val="28"/>
          <w:lang w:eastAsia="ro-RO"/>
        </w:rPr>
        <w:t>”</w:t>
      </w:r>
      <w:r w:rsidRPr="00651044">
        <w:rPr>
          <w:sz w:val="28"/>
          <w:szCs w:val="28"/>
          <w:lang w:eastAsia="ro-RO"/>
        </w:rPr>
        <w:t>,</w:t>
      </w:r>
      <w:r w:rsidRPr="00651044">
        <w:rPr>
          <w:lang w:eastAsia="ro-RO"/>
        </w:rPr>
        <w:t xml:space="preserve"> </w:t>
      </w:r>
      <w:r w:rsidRPr="00651044">
        <w:rPr>
          <w:sz w:val="28"/>
          <w:szCs w:val="28"/>
        </w:rPr>
        <w:t xml:space="preserve">pe piaţa valorilor mobiliare au fost efectuate tranzacţii cu acţiunile statului. </w:t>
      </w:r>
    </w:p>
    <w:p w:rsidR="00F253D5" w:rsidRPr="00651044" w:rsidRDefault="00F33AF7" w:rsidP="00C31552">
      <w:pPr>
        <w:spacing w:line="276" w:lineRule="auto"/>
        <w:ind w:firstLine="540"/>
        <w:jc w:val="both"/>
        <w:rPr>
          <w:sz w:val="28"/>
          <w:szCs w:val="28"/>
        </w:rPr>
      </w:pPr>
      <w:r w:rsidRPr="00651044">
        <w:rPr>
          <w:sz w:val="28"/>
          <w:szCs w:val="28"/>
        </w:rPr>
        <w:t xml:space="preserve">Astfel, </w:t>
      </w:r>
      <w:r w:rsidR="009C45E0" w:rsidRPr="00651044">
        <w:rPr>
          <w:sz w:val="28"/>
          <w:szCs w:val="28"/>
        </w:rPr>
        <w:t xml:space="preserve">în anul 2015, </w:t>
      </w:r>
      <w:r w:rsidRPr="00651044">
        <w:rPr>
          <w:sz w:val="28"/>
          <w:szCs w:val="28"/>
        </w:rPr>
        <w:t>au fost v</w:t>
      </w:r>
      <w:r w:rsidR="006E6FE5">
        <w:rPr>
          <w:sz w:val="28"/>
          <w:szCs w:val="28"/>
        </w:rPr>
        <w:t>î</w:t>
      </w:r>
      <w:r w:rsidRPr="00651044">
        <w:rPr>
          <w:sz w:val="28"/>
          <w:szCs w:val="28"/>
        </w:rPr>
        <w:t xml:space="preserve">ndute la licitaţiile cu strigare </w:t>
      </w:r>
      <w:smartTag w:uri="urn:schemas-microsoft-com:office:smarttags" w:element="PersonName">
        <w:smartTagPr>
          <w:attr w:name="ProductID" w:val="la Bursa"/>
        </w:smartTagPr>
        <w:r w:rsidRPr="00651044">
          <w:rPr>
            <w:sz w:val="28"/>
            <w:szCs w:val="28"/>
          </w:rPr>
          <w:t>la Bursa</w:t>
        </w:r>
      </w:smartTag>
      <w:r w:rsidRPr="00651044">
        <w:rPr>
          <w:sz w:val="28"/>
          <w:szCs w:val="28"/>
        </w:rPr>
        <w:t xml:space="preserve"> de Valori</w:t>
      </w:r>
      <w:r w:rsidR="00E05163" w:rsidRPr="00651044">
        <w:rPr>
          <w:sz w:val="28"/>
          <w:szCs w:val="28"/>
        </w:rPr>
        <w:t xml:space="preserve"> a Moldovei</w:t>
      </w:r>
      <w:r w:rsidR="00B959BD" w:rsidRPr="00651044">
        <w:rPr>
          <w:sz w:val="28"/>
          <w:szCs w:val="28"/>
        </w:rPr>
        <w:t xml:space="preserve">, </w:t>
      </w:r>
      <w:r w:rsidR="001B1BC2" w:rsidRPr="00651044">
        <w:rPr>
          <w:sz w:val="28"/>
          <w:szCs w:val="28"/>
        </w:rPr>
        <w:t>valori mobiliare</w:t>
      </w:r>
      <w:r w:rsidR="007A2CD8" w:rsidRPr="00651044">
        <w:rPr>
          <w:sz w:val="28"/>
          <w:szCs w:val="28"/>
        </w:rPr>
        <w:t>-</w:t>
      </w:r>
      <w:r w:rsidR="00B959BD" w:rsidRPr="00651044">
        <w:rPr>
          <w:sz w:val="28"/>
          <w:szCs w:val="28"/>
        </w:rPr>
        <w:t>proprietate</w:t>
      </w:r>
      <w:r w:rsidRPr="00651044">
        <w:rPr>
          <w:sz w:val="28"/>
          <w:szCs w:val="28"/>
        </w:rPr>
        <w:t xml:space="preserve"> publică a </w:t>
      </w:r>
      <w:r w:rsidR="00E2712F" w:rsidRPr="00651044">
        <w:rPr>
          <w:sz w:val="28"/>
          <w:szCs w:val="28"/>
        </w:rPr>
        <w:t>3</w:t>
      </w:r>
      <w:r w:rsidRPr="00651044">
        <w:rPr>
          <w:sz w:val="28"/>
          <w:szCs w:val="28"/>
        </w:rPr>
        <w:t xml:space="preserve"> societăţi pe acţiuni cu cot</w:t>
      </w:r>
      <w:r w:rsidR="001B1BC2" w:rsidRPr="00651044">
        <w:rPr>
          <w:sz w:val="28"/>
          <w:szCs w:val="28"/>
        </w:rPr>
        <w:t>a statului</w:t>
      </w:r>
      <w:r w:rsidRPr="00651044">
        <w:rPr>
          <w:sz w:val="28"/>
          <w:szCs w:val="28"/>
        </w:rPr>
        <w:t xml:space="preserve"> mai mică de 50% (S.A. „</w:t>
      </w:r>
      <w:r w:rsidR="00E05163" w:rsidRPr="00651044">
        <w:rPr>
          <w:sz w:val="28"/>
          <w:szCs w:val="28"/>
        </w:rPr>
        <w:t>Combinatul de Industrializare a Laptelui din Cupcini ,,Inlac</w:t>
      </w:r>
      <w:r w:rsidR="007D0A68" w:rsidRPr="00651044">
        <w:rPr>
          <w:sz w:val="28"/>
          <w:szCs w:val="28"/>
        </w:rPr>
        <w:t>”, S.A. „</w:t>
      </w:r>
      <w:r w:rsidR="00E05163" w:rsidRPr="00651044">
        <w:rPr>
          <w:sz w:val="28"/>
          <w:szCs w:val="28"/>
        </w:rPr>
        <w:t>Carmez” şi</w:t>
      </w:r>
      <w:r w:rsidR="007D0A68" w:rsidRPr="00651044">
        <w:rPr>
          <w:sz w:val="28"/>
          <w:szCs w:val="28"/>
        </w:rPr>
        <w:t xml:space="preserve"> S.A. „</w:t>
      </w:r>
      <w:r w:rsidR="00E05163" w:rsidRPr="00651044">
        <w:rPr>
          <w:sz w:val="28"/>
          <w:szCs w:val="28"/>
        </w:rPr>
        <w:t>Prot-Cantemir”) la preţul de 0,081</w:t>
      </w:r>
      <w:r w:rsidRPr="00651044">
        <w:rPr>
          <w:sz w:val="28"/>
          <w:szCs w:val="28"/>
        </w:rPr>
        <w:t xml:space="preserve"> mil. lei.</w:t>
      </w:r>
    </w:p>
    <w:p w:rsidR="007648AB" w:rsidRPr="00651044" w:rsidRDefault="00F33AF7" w:rsidP="007648AB">
      <w:pPr>
        <w:spacing w:line="276" w:lineRule="auto"/>
        <w:ind w:firstLine="567"/>
        <w:jc w:val="both"/>
        <w:rPr>
          <w:sz w:val="28"/>
          <w:szCs w:val="28"/>
        </w:rPr>
      </w:pPr>
      <w:r w:rsidRPr="00651044">
        <w:rPr>
          <w:sz w:val="28"/>
          <w:szCs w:val="28"/>
        </w:rPr>
        <w:t xml:space="preserve">Totodată, </w:t>
      </w:r>
      <w:r w:rsidR="009C45E0" w:rsidRPr="00651044">
        <w:rPr>
          <w:sz w:val="28"/>
          <w:szCs w:val="28"/>
        </w:rPr>
        <w:t xml:space="preserve">în anul 2015, </w:t>
      </w:r>
      <w:r w:rsidRPr="00651044">
        <w:rPr>
          <w:sz w:val="28"/>
          <w:szCs w:val="28"/>
        </w:rPr>
        <w:t xml:space="preserve">a fost înregistrată emisiunea suplimentară a acţiunilor proprietate de stat, la 11 societăţi pe acţiuni, numărul total de valori mobiliare emise fiind de </w:t>
      </w:r>
      <w:r w:rsidR="009C45E0" w:rsidRPr="00651044">
        <w:rPr>
          <w:sz w:val="28"/>
          <w:szCs w:val="28"/>
        </w:rPr>
        <w:t>7 644 072</w:t>
      </w:r>
      <w:r w:rsidR="00B30144" w:rsidRPr="00651044">
        <w:rPr>
          <w:sz w:val="28"/>
          <w:szCs w:val="28"/>
        </w:rPr>
        <w:t xml:space="preserve"> </w:t>
      </w:r>
      <w:r w:rsidRPr="00651044">
        <w:rPr>
          <w:sz w:val="28"/>
          <w:szCs w:val="28"/>
        </w:rPr>
        <w:t>acţiuni ordinare nominat</w:t>
      </w:r>
      <w:r w:rsidR="008B70D1" w:rsidRPr="00651044">
        <w:rPr>
          <w:sz w:val="28"/>
          <w:szCs w:val="28"/>
        </w:rPr>
        <w:t xml:space="preserve">ive. Suma emisiei constituie </w:t>
      </w:r>
      <w:r w:rsidR="009C45E0" w:rsidRPr="00651044">
        <w:rPr>
          <w:sz w:val="28"/>
          <w:szCs w:val="28"/>
        </w:rPr>
        <w:t>22,0</w:t>
      </w:r>
      <w:r w:rsidRPr="00651044">
        <w:rPr>
          <w:sz w:val="28"/>
          <w:szCs w:val="28"/>
        </w:rPr>
        <w:t xml:space="preserve"> mil. lei. Ca rezultat al acestor emisiuni s-a înregistrat majorarea capitalului social al societăţilor pe acţiuni</w:t>
      </w:r>
      <w:r w:rsidR="00250E0F" w:rsidRPr="00651044">
        <w:rPr>
          <w:sz w:val="28"/>
          <w:szCs w:val="28"/>
        </w:rPr>
        <w:t xml:space="preserve"> respective</w:t>
      </w:r>
      <w:r w:rsidR="008B70D1" w:rsidRPr="00651044">
        <w:rPr>
          <w:sz w:val="28"/>
          <w:szCs w:val="28"/>
        </w:rPr>
        <w:t xml:space="preserve">, din care: </w:t>
      </w:r>
    </w:p>
    <w:p w:rsidR="00D77E1E" w:rsidRPr="00651044" w:rsidRDefault="00B30144" w:rsidP="00136F34">
      <w:pPr>
        <w:numPr>
          <w:ilvl w:val="0"/>
          <w:numId w:val="9"/>
        </w:numPr>
        <w:tabs>
          <w:tab w:val="left" w:pos="993"/>
        </w:tabs>
        <w:spacing w:line="276" w:lineRule="auto"/>
        <w:ind w:left="0" w:firstLine="780"/>
        <w:jc w:val="both"/>
        <w:rPr>
          <w:sz w:val="28"/>
          <w:szCs w:val="28"/>
        </w:rPr>
      </w:pPr>
      <w:r w:rsidRPr="00651044">
        <w:rPr>
          <w:sz w:val="28"/>
          <w:szCs w:val="28"/>
        </w:rPr>
        <w:t>S.A. Centrul internaţional de expoziţii</w:t>
      </w:r>
      <w:r w:rsidR="000801A9" w:rsidRPr="00651044">
        <w:rPr>
          <w:sz w:val="28"/>
          <w:szCs w:val="28"/>
        </w:rPr>
        <w:t xml:space="preserve"> „</w:t>
      </w:r>
      <w:r w:rsidRPr="00651044">
        <w:rPr>
          <w:sz w:val="28"/>
          <w:szCs w:val="28"/>
        </w:rPr>
        <w:t>Moldexpo</w:t>
      </w:r>
      <w:r w:rsidR="000801A9" w:rsidRPr="00651044">
        <w:rPr>
          <w:sz w:val="28"/>
          <w:szCs w:val="28"/>
        </w:rPr>
        <w:t>” -  suma emisiei în contul</w:t>
      </w:r>
      <w:r w:rsidR="001F5C67" w:rsidRPr="00651044">
        <w:rPr>
          <w:sz w:val="28"/>
          <w:szCs w:val="28"/>
        </w:rPr>
        <w:t xml:space="preserve"> capitalului social constituie 0,7 </w:t>
      </w:r>
      <w:r w:rsidR="000801A9" w:rsidRPr="00651044">
        <w:rPr>
          <w:sz w:val="28"/>
          <w:szCs w:val="28"/>
        </w:rPr>
        <w:t xml:space="preserve">mil. lei </w:t>
      </w:r>
      <w:r w:rsidR="00253020" w:rsidRPr="00651044">
        <w:rPr>
          <w:sz w:val="28"/>
          <w:szCs w:val="28"/>
        </w:rPr>
        <w:t>ş</w:t>
      </w:r>
      <w:r w:rsidR="000801A9" w:rsidRPr="00651044">
        <w:rPr>
          <w:sz w:val="28"/>
          <w:szCs w:val="28"/>
        </w:rPr>
        <w:t xml:space="preserve">i </w:t>
      </w:r>
      <w:r w:rsidR="001F5C67" w:rsidRPr="00651044">
        <w:rPr>
          <w:sz w:val="28"/>
          <w:szCs w:val="28"/>
        </w:rPr>
        <w:t>26 790</w:t>
      </w:r>
      <w:r w:rsidR="000801A9" w:rsidRPr="00651044">
        <w:rPr>
          <w:sz w:val="28"/>
          <w:szCs w:val="28"/>
        </w:rPr>
        <w:t xml:space="preserve"> ac</w:t>
      </w:r>
      <w:r w:rsidR="00253020" w:rsidRPr="00651044">
        <w:rPr>
          <w:sz w:val="28"/>
          <w:szCs w:val="28"/>
        </w:rPr>
        <w:t>ţ</w:t>
      </w:r>
      <w:r w:rsidR="000801A9" w:rsidRPr="00651044">
        <w:rPr>
          <w:sz w:val="28"/>
          <w:szCs w:val="28"/>
        </w:rPr>
        <w:t>iuni, valoarea nominală a unei ac</w:t>
      </w:r>
      <w:r w:rsidR="00253020" w:rsidRPr="00651044">
        <w:rPr>
          <w:sz w:val="28"/>
          <w:szCs w:val="28"/>
        </w:rPr>
        <w:t>ţ</w:t>
      </w:r>
      <w:r w:rsidR="001F5C67" w:rsidRPr="00651044">
        <w:rPr>
          <w:sz w:val="28"/>
          <w:szCs w:val="28"/>
        </w:rPr>
        <w:t>iuni - 295</w:t>
      </w:r>
      <w:r w:rsidR="000801A9" w:rsidRPr="00651044">
        <w:rPr>
          <w:sz w:val="28"/>
          <w:szCs w:val="28"/>
        </w:rPr>
        <w:t xml:space="preserve"> lei;</w:t>
      </w:r>
    </w:p>
    <w:p w:rsidR="00D77E1E" w:rsidRPr="00651044" w:rsidRDefault="000801A9" w:rsidP="00136F34">
      <w:pPr>
        <w:numPr>
          <w:ilvl w:val="0"/>
          <w:numId w:val="9"/>
        </w:numPr>
        <w:tabs>
          <w:tab w:val="left" w:pos="993"/>
        </w:tabs>
        <w:spacing w:line="276" w:lineRule="auto"/>
        <w:ind w:left="0" w:firstLine="780"/>
        <w:jc w:val="both"/>
        <w:rPr>
          <w:sz w:val="28"/>
          <w:szCs w:val="28"/>
        </w:rPr>
      </w:pPr>
      <w:r w:rsidRPr="00651044">
        <w:rPr>
          <w:sz w:val="28"/>
          <w:szCs w:val="28"/>
        </w:rPr>
        <w:t>S.A. „</w:t>
      </w:r>
      <w:r w:rsidR="001F5C67" w:rsidRPr="00651044">
        <w:rPr>
          <w:sz w:val="28"/>
          <w:szCs w:val="28"/>
        </w:rPr>
        <w:t>Floare-Carpet</w:t>
      </w:r>
      <w:r w:rsidRPr="00651044">
        <w:rPr>
          <w:sz w:val="28"/>
          <w:szCs w:val="28"/>
        </w:rPr>
        <w:t xml:space="preserve">” -  suma emisiei în contul capitalului social constituie </w:t>
      </w:r>
      <w:r w:rsidR="008465A8" w:rsidRPr="00651044">
        <w:rPr>
          <w:sz w:val="28"/>
          <w:szCs w:val="28"/>
        </w:rPr>
        <w:t xml:space="preserve">  </w:t>
      </w:r>
      <w:r w:rsidR="001F5C67" w:rsidRPr="00651044">
        <w:rPr>
          <w:sz w:val="28"/>
          <w:szCs w:val="28"/>
        </w:rPr>
        <w:t>6,1</w:t>
      </w:r>
      <w:r w:rsidRPr="00651044">
        <w:rPr>
          <w:sz w:val="28"/>
          <w:szCs w:val="28"/>
        </w:rPr>
        <w:t xml:space="preserve"> mil. lei </w:t>
      </w:r>
      <w:r w:rsidR="00253020" w:rsidRPr="00651044">
        <w:rPr>
          <w:sz w:val="28"/>
          <w:szCs w:val="28"/>
        </w:rPr>
        <w:t>ş</w:t>
      </w:r>
      <w:r w:rsidRPr="00651044">
        <w:rPr>
          <w:sz w:val="28"/>
          <w:szCs w:val="28"/>
        </w:rPr>
        <w:t xml:space="preserve">i </w:t>
      </w:r>
      <w:r w:rsidR="001F5C67" w:rsidRPr="00651044">
        <w:rPr>
          <w:sz w:val="28"/>
          <w:szCs w:val="28"/>
        </w:rPr>
        <w:t>6 086 209</w:t>
      </w:r>
      <w:r w:rsidRPr="00651044">
        <w:rPr>
          <w:sz w:val="28"/>
          <w:szCs w:val="28"/>
        </w:rPr>
        <w:t xml:space="preserve"> ac</w:t>
      </w:r>
      <w:r w:rsidR="00253020" w:rsidRPr="00651044">
        <w:rPr>
          <w:sz w:val="28"/>
          <w:szCs w:val="28"/>
        </w:rPr>
        <w:t>ţ</w:t>
      </w:r>
      <w:r w:rsidRPr="00651044">
        <w:rPr>
          <w:sz w:val="28"/>
          <w:szCs w:val="28"/>
        </w:rPr>
        <w:t>iuni, valoarea nominală a unei ac</w:t>
      </w:r>
      <w:r w:rsidR="00253020" w:rsidRPr="00651044">
        <w:rPr>
          <w:sz w:val="28"/>
          <w:szCs w:val="28"/>
        </w:rPr>
        <w:t>ţ</w:t>
      </w:r>
      <w:r w:rsidR="001F5C67" w:rsidRPr="00651044">
        <w:rPr>
          <w:sz w:val="28"/>
          <w:szCs w:val="28"/>
        </w:rPr>
        <w:t>iuni - 11</w:t>
      </w:r>
      <w:r w:rsidRPr="00651044">
        <w:rPr>
          <w:sz w:val="28"/>
          <w:szCs w:val="28"/>
        </w:rPr>
        <w:t xml:space="preserve"> lei;</w:t>
      </w:r>
    </w:p>
    <w:p w:rsidR="00D77E1E" w:rsidRPr="00651044" w:rsidRDefault="000801A9" w:rsidP="00136F34">
      <w:pPr>
        <w:numPr>
          <w:ilvl w:val="0"/>
          <w:numId w:val="9"/>
        </w:numPr>
        <w:tabs>
          <w:tab w:val="left" w:pos="993"/>
        </w:tabs>
        <w:spacing w:line="276" w:lineRule="auto"/>
        <w:ind w:left="0" w:firstLine="780"/>
        <w:jc w:val="both"/>
        <w:rPr>
          <w:sz w:val="28"/>
          <w:szCs w:val="28"/>
        </w:rPr>
      </w:pPr>
      <w:r w:rsidRPr="00651044">
        <w:rPr>
          <w:sz w:val="28"/>
          <w:szCs w:val="28"/>
        </w:rPr>
        <w:t>S.A. „</w:t>
      </w:r>
      <w:r w:rsidR="001F5C67" w:rsidRPr="00651044">
        <w:rPr>
          <w:sz w:val="28"/>
          <w:szCs w:val="28"/>
        </w:rPr>
        <w:t>Drumuri Cimişlia</w:t>
      </w:r>
      <w:r w:rsidRPr="00651044">
        <w:rPr>
          <w:sz w:val="28"/>
          <w:szCs w:val="28"/>
        </w:rPr>
        <w:t xml:space="preserve">” - suma emisiei în contul capitalului social constituie </w:t>
      </w:r>
      <w:r w:rsidR="001F5C67" w:rsidRPr="00651044">
        <w:rPr>
          <w:sz w:val="28"/>
          <w:szCs w:val="28"/>
        </w:rPr>
        <w:t>1,7</w:t>
      </w:r>
      <w:r w:rsidRPr="00651044">
        <w:rPr>
          <w:sz w:val="28"/>
          <w:szCs w:val="28"/>
        </w:rPr>
        <w:t xml:space="preserve"> mil. lei </w:t>
      </w:r>
      <w:r w:rsidR="00253020" w:rsidRPr="00651044">
        <w:rPr>
          <w:sz w:val="28"/>
          <w:szCs w:val="28"/>
        </w:rPr>
        <w:t>ş</w:t>
      </w:r>
      <w:r w:rsidRPr="00651044">
        <w:rPr>
          <w:sz w:val="28"/>
          <w:szCs w:val="28"/>
        </w:rPr>
        <w:t xml:space="preserve">i </w:t>
      </w:r>
      <w:r w:rsidR="001F5C67" w:rsidRPr="00651044">
        <w:rPr>
          <w:sz w:val="28"/>
          <w:szCs w:val="28"/>
        </w:rPr>
        <w:t>174 567</w:t>
      </w:r>
      <w:r w:rsidRPr="00651044">
        <w:rPr>
          <w:sz w:val="28"/>
          <w:szCs w:val="28"/>
        </w:rPr>
        <w:t xml:space="preserve"> ac</w:t>
      </w:r>
      <w:r w:rsidR="00253020" w:rsidRPr="00651044">
        <w:rPr>
          <w:sz w:val="28"/>
          <w:szCs w:val="28"/>
        </w:rPr>
        <w:t>ţ</w:t>
      </w:r>
      <w:r w:rsidRPr="00651044">
        <w:rPr>
          <w:sz w:val="28"/>
          <w:szCs w:val="28"/>
        </w:rPr>
        <w:t>iuni, valoarea nominală a unei ac</w:t>
      </w:r>
      <w:r w:rsidR="00253020" w:rsidRPr="00651044">
        <w:rPr>
          <w:sz w:val="28"/>
          <w:szCs w:val="28"/>
        </w:rPr>
        <w:t>ţ</w:t>
      </w:r>
      <w:r w:rsidRPr="00651044">
        <w:rPr>
          <w:sz w:val="28"/>
          <w:szCs w:val="28"/>
        </w:rPr>
        <w:t>iuni -</w:t>
      </w:r>
      <w:r w:rsidR="001F5C67" w:rsidRPr="00651044">
        <w:rPr>
          <w:sz w:val="28"/>
          <w:szCs w:val="28"/>
        </w:rPr>
        <w:t xml:space="preserve"> </w:t>
      </w:r>
      <w:r w:rsidRPr="00651044">
        <w:rPr>
          <w:sz w:val="28"/>
          <w:szCs w:val="28"/>
        </w:rPr>
        <w:t>10 lei;</w:t>
      </w:r>
    </w:p>
    <w:p w:rsidR="001F5C67" w:rsidRPr="00651044" w:rsidRDefault="001F5C67" w:rsidP="00136F34">
      <w:pPr>
        <w:numPr>
          <w:ilvl w:val="0"/>
          <w:numId w:val="9"/>
        </w:numPr>
        <w:tabs>
          <w:tab w:val="left" w:pos="993"/>
        </w:tabs>
        <w:spacing w:line="276" w:lineRule="auto"/>
        <w:ind w:left="0" w:firstLine="780"/>
        <w:jc w:val="both"/>
        <w:rPr>
          <w:sz w:val="28"/>
          <w:szCs w:val="28"/>
        </w:rPr>
      </w:pPr>
      <w:r w:rsidRPr="00651044">
        <w:rPr>
          <w:sz w:val="28"/>
          <w:szCs w:val="28"/>
        </w:rPr>
        <w:t>S.A. „Drumuri Ialoveni” - suma emisiei în contul capitalului social constituie 1,5 mil. lei şi 149 800 acţiuni, valoarea nominală a unei acţiuni - 10 lei;</w:t>
      </w:r>
    </w:p>
    <w:p w:rsidR="001F5C67" w:rsidRPr="00651044" w:rsidRDefault="001F5C67" w:rsidP="00136F34">
      <w:pPr>
        <w:numPr>
          <w:ilvl w:val="0"/>
          <w:numId w:val="9"/>
        </w:numPr>
        <w:tabs>
          <w:tab w:val="left" w:pos="993"/>
        </w:tabs>
        <w:spacing w:line="276" w:lineRule="auto"/>
        <w:ind w:left="0" w:firstLine="780"/>
        <w:jc w:val="both"/>
        <w:rPr>
          <w:sz w:val="28"/>
          <w:szCs w:val="28"/>
        </w:rPr>
      </w:pPr>
      <w:r w:rsidRPr="00651044">
        <w:rPr>
          <w:sz w:val="28"/>
          <w:szCs w:val="28"/>
        </w:rPr>
        <w:t>S.A. „Drumuri Căuşeni” - suma emisiei în contul capitalului social constituie 1,5 mil. lei şi 149 800 acţiuni, valoarea nominală a unei acţiuni - 10 lei;</w:t>
      </w:r>
    </w:p>
    <w:p w:rsidR="001F5C67" w:rsidRPr="00651044" w:rsidRDefault="001F5C67" w:rsidP="00136F34">
      <w:pPr>
        <w:numPr>
          <w:ilvl w:val="0"/>
          <w:numId w:val="9"/>
        </w:numPr>
        <w:tabs>
          <w:tab w:val="left" w:pos="993"/>
        </w:tabs>
        <w:spacing w:line="276" w:lineRule="auto"/>
        <w:ind w:left="0" w:firstLine="780"/>
        <w:jc w:val="both"/>
        <w:rPr>
          <w:sz w:val="28"/>
          <w:szCs w:val="28"/>
        </w:rPr>
      </w:pPr>
      <w:r w:rsidRPr="00651044">
        <w:rPr>
          <w:sz w:val="28"/>
          <w:szCs w:val="28"/>
        </w:rPr>
        <w:t>S.A. „Drumuri Criuleni” - suma emisiei în contul capitalului social constituie 1,7 mil. lei şi 173 112 acţiuni, valoarea nominală a unei acţiuni - 10 lei;</w:t>
      </w:r>
    </w:p>
    <w:p w:rsidR="001F5C67" w:rsidRPr="00651044" w:rsidRDefault="001F5C67" w:rsidP="00136F34">
      <w:pPr>
        <w:numPr>
          <w:ilvl w:val="0"/>
          <w:numId w:val="9"/>
        </w:numPr>
        <w:tabs>
          <w:tab w:val="left" w:pos="993"/>
        </w:tabs>
        <w:spacing w:line="276" w:lineRule="auto"/>
        <w:ind w:left="0" w:firstLine="780"/>
        <w:jc w:val="both"/>
        <w:rPr>
          <w:sz w:val="28"/>
          <w:szCs w:val="28"/>
        </w:rPr>
      </w:pPr>
      <w:r w:rsidRPr="00651044">
        <w:rPr>
          <w:sz w:val="28"/>
          <w:szCs w:val="28"/>
        </w:rPr>
        <w:lastRenderedPageBreak/>
        <w:t>S.A. „Drumuri Soroca” - suma emisiei în contul capitalului social constituie 1,5 mil. lei şi 151 320 acţiuni, valoarea nominală a unei acţiuni - 10 lei;</w:t>
      </w:r>
    </w:p>
    <w:p w:rsidR="001F5C67" w:rsidRPr="00651044" w:rsidRDefault="001F5C67" w:rsidP="00136F34">
      <w:pPr>
        <w:numPr>
          <w:ilvl w:val="0"/>
          <w:numId w:val="9"/>
        </w:numPr>
        <w:tabs>
          <w:tab w:val="left" w:pos="993"/>
        </w:tabs>
        <w:spacing w:line="276" w:lineRule="auto"/>
        <w:ind w:left="0" w:firstLine="780"/>
        <w:jc w:val="both"/>
        <w:rPr>
          <w:sz w:val="28"/>
          <w:szCs w:val="28"/>
        </w:rPr>
      </w:pPr>
      <w:r w:rsidRPr="00651044">
        <w:rPr>
          <w:sz w:val="28"/>
          <w:szCs w:val="28"/>
        </w:rPr>
        <w:t>S.A. „Drumuri Orhei” - suma emisiei în contul capitalului social constituie 1,5 mil. lei şi 149 800 acţiuni, valoarea nominală a unei acţiuni - 10 lei;</w:t>
      </w:r>
    </w:p>
    <w:p w:rsidR="001F5C67" w:rsidRPr="00651044" w:rsidRDefault="001F5C67" w:rsidP="00136F34">
      <w:pPr>
        <w:numPr>
          <w:ilvl w:val="0"/>
          <w:numId w:val="9"/>
        </w:numPr>
        <w:tabs>
          <w:tab w:val="left" w:pos="993"/>
        </w:tabs>
        <w:spacing w:line="276" w:lineRule="auto"/>
        <w:ind w:left="0" w:firstLine="780"/>
        <w:jc w:val="both"/>
        <w:rPr>
          <w:sz w:val="28"/>
          <w:szCs w:val="28"/>
        </w:rPr>
      </w:pPr>
      <w:r w:rsidRPr="00651044">
        <w:rPr>
          <w:sz w:val="28"/>
          <w:szCs w:val="28"/>
        </w:rPr>
        <w:t>S.A. „Drumuri Străşeni” - suma emisiei în contul capitalului social constituie 1,5 mil. lei şi 149 800 acţiuni, valoarea nominală a unei acţiuni - 10 lei;</w:t>
      </w:r>
    </w:p>
    <w:p w:rsidR="001F5C67" w:rsidRPr="00651044" w:rsidRDefault="001F5C67" w:rsidP="00136F34">
      <w:pPr>
        <w:numPr>
          <w:ilvl w:val="0"/>
          <w:numId w:val="9"/>
        </w:numPr>
        <w:tabs>
          <w:tab w:val="left" w:pos="993"/>
        </w:tabs>
        <w:spacing w:line="276" w:lineRule="auto"/>
        <w:ind w:left="0" w:firstLine="780"/>
        <w:jc w:val="both"/>
        <w:rPr>
          <w:sz w:val="28"/>
          <w:szCs w:val="28"/>
        </w:rPr>
      </w:pPr>
      <w:r w:rsidRPr="00651044">
        <w:rPr>
          <w:sz w:val="28"/>
          <w:szCs w:val="28"/>
        </w:rPr>
        <w:t>S.A. „Drumuri Cahul” - suma emisiei în contul capitalului social constituie 1,5 mil. lei şi 149 800 acţiuni, valoarea nominală a unei acţiuni - 10 lei;</w:t>
      </w:r>
    </w:p>
    <w:p w:rsidR="001F5C67" w:rsidRPr="00651044" w:rsidRDefault="001F5C67" w:rsidP="00136F34">
      <w:pPr>
        <w:numPr>
          <w:ilvl w:val="0"/>
          <w:numId w:val="9"/>
        </w:numPr>
        <w:tabs>
          <w:tab w:val="left" w:pos="993"/>
        </w:tabs>
        <w:spacing w:line="276" w:lineRule="auto"/>
        <w:ind w:left="0" w:firstLine="780"/>
        <w:jc w:val="both"/>
        <w:rPr>
          <w:sz w:val="28"/>
          <w:szCs w:val="28"/>
        </w:rPr>
      </w:pPr>
      <w:r w:rsidRPr="00651044">
        <w:rPr>
          <w:sz w:val="28"/>
          <w:szCs w:val="28"/>
        </w:rPr>
        <w:t>S.A. „Drumuri Rîşcani” - suma emisiei în contul capitalului social constituie 2,8 mil. lei şi 283 074 acţiuni, valoarea nominală a unei acţiuni - 10 lei.</w:t>
      </w:r>
    </w:p>
    <w:p w:rsidR="00A90ABA" w:rsidRPr="00651044" w:rsidRDefault="001F5C67" w:rsidP="00A90ABA">
      <w:pPr>
        <w:spacing w:line="276" w:lineRule="auto"/>
        <w:ind w:firstLine="567"/>
        <w:jc w:val="both"/>
        <w:rPr>
          <w:sz w:val="28"/>
          <w:szCs w:val="28"/>
        </w:rPr>
      </w:pPr>
      <w:r w:rsidRPr="00651044">
        <w:rPr>
          <w:sz w:val="28"/>
          <w:szCs w:val="28"/>
          <w:lang w:eastAsia="ro-RO"/>
        </w:rPr>
        <w:t xml:space="preserve">De asemenea, în conformitate cu prevederile Legii </w:t>
      </w:r>
      <w:r w:rsidR="009C45E0" w:rsidRPr="00651044">
        <w:rPr>
          <w:sz w:val="28"/>
          <w:szCs w:val="28"/>
          <w:lang w:eastAsia="ro-RO"/>
        </w:rPr>
        <w:t xml:space="preserve">nr.121-XVI din 4 mai 2007 </w:t>
      </w:r>
      <w:r w:rsidRPr="00651044">
        <w:rPr>
          <w:sz w:val="28"/>
          <w:szCs w:val="28"/>
          <w:lang w:eastAsia="ro-RO"/>
        </w:rPr>
        <w:t>privind administrarea şi deetatizarea proprietăţii publice şi Hotăr</w:t>
      </w:r>
      <w:r w:rsidR="006E6FE5">
        <w:rPr>
          <w:sz w:val="28"/>
          <w:szCs w:val="28"/>
          <w:lang w:eastAsia="ro-RO"/>
        </w:rPr>
        <w:t>î</w:t>
      </w:r>
      <w:r w:rsidRPr="00651044">
        <w:rPr>
          <w:sz w:val="28"/>
          <w:szCs w:val="28"/>
          <w:lang w:eastAsia="ro-RO"/>
        </w:rPr>
        <w:t>rii Guvernului nr.172 din 05 aprilie 2015 privind iniţierea  reorganizării unor societăţi pe acţiuni din contul patrimoniului S.A. „Reţele Electrice de Distribuţie Nord” şi S.A. „Reţele Electrice de Distribuţie  Nord-Vest”,</w:t>
      </w:r>
      <w:r w:rsidRPr="00651044">
        <w:rPr>
          <w:lang w:eastAsia="ro-RO"/>
        </w:rPr>
        <w:t xml:space="preserve"> </w:t>
      </w:r>
      <w:r w:rsidRPr="00651044">
        <w:rPr>
          <w:sz w:val="28"/>
          <w:szCs w:val="28"/>
        </w:rPr>
        <w:t xml:space="preserve">a fost fondată S.A. „Furnizarea Energiei Electrice Nord”, aceasta fiind înregistrată la Î.S. „Camera Înregistrării de Stat” în luna iulie a anului </w:t>
      </w:r>
      <w:r w:rsidR="009C45E0" w:rsidRPr="00651044">
        <w:rPr>
          <w:sz w:val="28"/>
          <w:szCs w:val="28"/>
        </w:rPr>
        <w:t>2015</w:t>
      </w:r>
      <w:r w:rsidRPr="00651044">
        <w:rPr>
          <w:sz w:val="28"/>
          <w:szCs w:val="28"/>
        </w:rPr>
        <w:t xml:space="preserve"> cu un capital social în mărime de 30,0 mii lei.</w:t>
      </w:r>
    </w:p>
    <w:p w:rsidR="00A90ABA" w:rsidRPr="00651044" w:rsidRDefault="001F5C67" w:rsidP="00A90ABA">
      <w:pPr>
        <w:spacing w:line="276" w:lineRule="auto"/>
        <w:ind w:firstLine="567"/>
        <w:jc w:val="both"/>
        <w:rPr>
          <w:sz w:val="28"/>
          <w:szCs w:val="28"/>
        </w:rPr>
      </w:pPr>
      <w:r w:rsidRPr="00651044">
        <w:rPr>
          <w:sz w:val="28"/>
          <w:szCs w:val="28"/>
        </w:rPr>
        <w:t xml:space="preserve">În acelaşi timp, se enunţă că, în baza Legii nr.114 din 3 iulie 2014 cu privire la Agenţia de Stat pentru Proprietate Intelectuală (art.6), Agenţia de Stat pentru Proprietate Intelectuală a fost înregistrată, în perioada trimestrului III al anului </w:t>
      </w:r>
      <w:r w:rsidR="009C45E0" w:rsidRPr="00651044">
        <w:rPr>
          <w:sz w:val="28"/>
          <w:szCs w:val="28"/>
        </w:rPr>
        <w:t>2015</w:t>
      </w:r>
      <w:r w:rsidRPr="00651044">
        <w:rPr>
          <w:sz w:val="28"/>
          <w:szCs w:val="28"/>
        </w:rPr>
        <w:t>, la Î.S. ,,Camera Înregistrării de Stat” în calitate de instituţie publică.</w:t>
      </w:r>
    </w:p>
    <w:p w:rsidR="00A90ABA" w:rsidRPr="00651044" w:rsidRDefault="001F5C67" w:rsidP="00A90ABA">
      <w:pPr>
        <w:spacing w:line="276" w:lineRule="auto"/>
        <w:ind w:firstLine="567"/>
        <w:jc w:val="both"/>
        <w:rPr>
          <w:sz w:val="28"/>
          <w:szCs w:val="28"/>
        </w:rPr>
      </w:pPr>
      <w:r w:rsidRPr="00651044">
        <w:rPr>
          <w:sz w:val="28"/>
          <w:szCs w:val="28"/>
        </w:rPr>
        <w:t>Pe l</w:t>
      </w:r>
      <w:r w:rsidR="006E6FE5">
        <w:rPr>
          <w:sz w:val="28"/>
          <w:szCs w:val="28"/>
        </w:rPr>
        <w:t>î</w:t>
      </w:r>
      <w:r w:rsidRPr="00651044">
        <w:rPr>
          <w:sz w:val="28"/>
          <w:szCs w:val="28"/>
        </w:rPr>
        <w:t>ngă acestea, conform Hotăr</w:t>
      </w:r>
      <w:r w:rsidR="006E6FE5">
        <w:rPr>
          <w:sz w:val="28"/>
          <w:szCs w:val="28"/>
        </w:rPr>
        <w:t>î</w:t>
      </w:r>
      <w:r w:rsidRPr="00651044">
        <w:rPr>
          <w:sz w:val="28"/>
          <w:szCs w:val="28"/>
        </w:rPr>
        <w:t>rii Guvernului nr.651 din 18 septembrie 2015 şi nr.652 din 18 septembrie 2015, a fost iniţiat procesul de dizolvare a Î.S. Publicaţia periodică ziarul „Moldova Suverană” şi</w:t>
      </w:r>
      <w:r w:rsidRPr="00651044">
        <w:rPr>
          <w:i/>
          <w:sz w:val="28"/>
          <w:szCs w:val="28"/>
        </w:rPr>
        <w:t xml:space="preserve"> </w:t>
      </w:r>
      <w:r w:rsidRPr="00651044">
        <w:rPr>
          <w:sz w:val="28"/>
          <w:szCs w:val="28"/>
        </w:rPr>
        <w:t>Î.S. Publicaţia periodică Ziarul „Nezavisimaia Moldova”</w:t>
      </w:r>
      <w:r w:rsidRPr="00651044">
        <w:rPr>
          <w:i/>
          <w:sz w:val="28"/>
          <w:szCs w:val="28"/>
        </w:rPr>
        <w:t xml:space="preserve"> </w:t>
      </w:r>
      <w:r w:rsidRPr="00651044">
        <w:rPr>
          <w:sz w:val="28"/>
          <w:szCs w:val="28"/>
        </w:rPr>
        <w:t xml:space="preserve">din administrarea Cancelariei de Stat, cu deschiderea procedurii de lichidare. </w:t>
      </w:r>
    </w:p>
    <w:p w:rsidR="00A90ABA" w:rsidRPr="00651044" w:rsidRDefault="001F5C67" w:rsidP="00A90ABA">
      <w:pPr>
        <w:spacing w:line="276" w:lineRule="auto"/>
        <w:ind w:firstLine="567"/>
        <w:jc w:val="both"/>
        <w:rPr>
          <w:sz w:val="28"/>
          <w:szCs w:val="28"/>
        </w:rPr>
      </w:pPr>
      <w:r w:rsidRPr="00651044">
        <w:rPr>
          <w:sz w:val="28"/>
          <w:szCs w:val="28"/>
        </w:rPr>
        <w:t xml:space="preserve">De altfel, </w:t>
      </w:r>
      <w:r w:rsidR="007D4250" w:rsidRPr="00651044">
        <w:rPr>
          <w:sz w:val="28"/>
          <w:szCs w:val="28"/>
        </w:rPr>
        <w:t xml:space="preserve">potrivit </w:t>
      </w:r>
      <w:r w:rsidRPr="00651044">
        <w:rPr>
          <w:sz w:val="28"/>
          <w:szCs w:val="28"/>
        </w:rPr>
        <w:t>Hotăr</w:t>
      </w:r>
      <w:r w:rsidR="006E6FE5">
        <w:rPr>
          <w:sz w:val="28"/>
          <w:szCs w:val="28"/>
        </w:rPr>
        <w:t>î</w:t>
      </w:r>
      <w:r w:rsidRPr="00651044">
        <w:rPr>
          <w:sz w:val="28"/>
          <w:szCs w:val="28"/>
        </w:rPr>
        <w:t xml:space="preserve">rii Guvernului nr.711 din 12 octombrie 2015, </w:t>
      </w:r>
      <w:r w:rsidR="008465A8" w:rsidRPr="00651044">
        <w:rPr>
          <w:sz w:val="28"/>
          <w:szCs w:val="28"/>
        </w:rPr>
        <w:t xml:space="preserve">               </w:t>
      </w:r>
      <w:r w:rsidRPr="00651044">
        <w:rPr>
          <w:sz w:val="28"/>
          <w:szCs w:val="28"/>
        </w:rPr>
        <w:t>Î.S. „Centrul de Carantină, Identificare, Expertize de Arbitraj şi Dezinfectare a Producţiei” urmează a fi reorganizată prin fuziune (absorbţie) a Î.S. „Centrul de Stat pentru Certificarea Materialului Semincer”, Î.S. „Centrul Republican de Pedologie Aplicată” şi Î.S. „Centrul de Standardizare şi Stabilire a Calităţii Nutreţurilor şi Produselor Cerealiere”, cu modificarea denumirii întreprinderii absorbante în Î.S. „Centrul Naţional de Verificare şi Certificare a Producţiei Vegetale şi Solului”.</w:t>
      </w:r>
    </w:p>
    <w:p w:rsidR="00336972" w:rsidRPr="00651044" w:rsidRDefault="00336972" w:rsidP="00DC4C81">
      <w:pPr>
        <w:spacing w:line="276" w:lineRule="auto"/>
        <w:jc w:val="both"/>
        <w:rPr>
          <w:color w:val="FF0000"/>
          <w:sz w:val="28"/>
          <w:szCs w:val="28"/>
        </w:rPr>
      </w:pPr>
    </w:p>
    <w:p w:rsidR="00E72302" w:rsidRPr="00651044" w:rsidRDefault="00E72302" w:rsidP="00136F34">
      <w:pPr>
        <w:pStyle w:val="Title"/>
        <w:numPr>
          <w:ilvl w:val="0"/>
          <w:numId w:val="11"/>
        </w:numPr>
        <w:rPr>
          <w:b/>
          <w:i/>
          <w:sz w:val="28"/>
          <w:szCs w:val="28"/>
          <w:lang w:val="ro-RO"/>
        </w:rPr>
      </w:pPr>
      <w:r w:rsidRPr="00651044">
        <w:rPr>
          <w:b/>
          <w:i/>
          <w:sz w:val="28"/>
          <w:szCs w:val="28"/>
          <w:lang w:val="ro-RO"/>
        </w:rPr>
        <w:t>Audit extern şi inspecţie financiară</w:t>
      </w:r>
    </w:p>
    <w:p w:rsidR="00E72302" w:rsidRPr="00651044" w:rsidRDefault="00E72302" w:rsidP="00E72302">
      <w:pPr>
        <w:pStyle w:val="Title"/>
        <w:spacing w:line="120" w:lineRule="auto"/>
        <w:ind w:left="539"/>
        <w:jc w:val="left"/>
        <w:rPr>
          <w:b/>
          <w:i/>
          <w:sz w:val="28"/>
          <w:szCs w:val="28"/>
          <w:lang w:val="ro-RO"/>
        </w:rPr>
      </w:pPr>
    </w:p>
    <w:p w:rsidR="00541D55" w:rsidRPr="00651044" w:rsidRDefault="00E72302" w:rsidP="00541D55">
      <w:pPr>
        <w:spacing w:line="276" w:lineRule="auto"/>
        <w:ind w:firstLine="567"/>
        <w:jc w:val="both"/>
        <w:rPr>
          <w:sz w:val="28"/>
          <w:szCs w:val="28"/>
        </w:rPr>
      </w:pPr>
      <w:r w:rsidRPr="00651044">
        <w:rPr>
          <w:sz w:val="28"/>
          <w:szCs w:val="28"/>
        </w:rPr>
        <w:t xml:space="preserve">Cu referire la inspectarea financiară a activităţii economico-financiare a entităţilor economice cu proprietate de stat, menţionăm că în anul 2015, conform planului de activitate, Inspecţia Financiară a efectuat inspectări financiare complexe şi tematice a </w:t>
      </w:r>
      <w:r w:rsidRPr="00651044">
        <w:rPr>
          <w:sz w:val="28"/>
          <w:szCs w:val="28"/>
        </w:rPr>
        <w:lastRenderedPageBreak/>
        <w:t xml:space="preserve">întreprinderilor de stat şi societăţilor pe acţiuni, în cadrul cărora au fost depistate unele neajunsuri şi încălcări ale legislaţiei în vigoare </w:t>
      </w:r>
      <w:r w:rsidR="00DC4C81" w:rsidRPr="00651044">
        <w:rPr>
          <w:sz w:val="28"/>
          <w:szCs w:val="28"/>
        </w:rPr>
        <w:t>din domeniul financiar-contabil</w:t>
      </w:r>
      <w:r w:rsidRPr="00651044">
        <w:rPr>
          <w:sz w:val="28"/>
          <w:szCs w:val="28"/>
        </w:rPr>
        <w:t>.</w:t>
      </w:r>
    </w:p>
    <w:p w:rsidR="00541D55" w:rsidRPr="00651044" w:rsidRDefault="00E72302" w:rsidP="00541D55">
      <w:pPr>
        <w:spacing w:line="276" w:lineRule="auto"/>
        <w:ind w:firstLine="567"/>
        <w:jc w:val="both"/>
        <w:rPr>
          <w:sz w:val="28"/>
          <w:szCs w:val="28"/>
        </w:rPr>
      </w:pPr>
      <w:r w:rsidRPr="00651044">
        <w:rPr>
          <w:sz w:val="28"/>
          <w:szCs w:val="28"/>
        </w:rPr>
        <w:t xml:space="preserve">Adiţional, enunţăm că, în </w:t>
      </w:r>
      <w:r w:rsidR="00541D55" w:rsidRPr="00651044">
        <w:rPr>
          <w:sz w:val="28"/>
          <w:szCs w:val="28"/>
        </w:rPr>
        <w:t>anul</w:t>
      </w:r>
      <w:r w:rsidRPr="00651044">
        <w:rPr>
          <w:sz w:val="28"/>
          <w:szCs w:val="28"/>
        </w:rPr>
        <w:t xml:space="preserve"> 2015, a fost aprobată Hotăr</w:t>
      </w:r>
      <w:r w:rsidR="006E6FE5">
        <w:rPr>
          <w:sz w:val="28"/>
          <w:szCs w:val="28"/>
        </w:rPr>
        <w:t>î</w:t>
      </w:r>
      <w:r w:rsidRPr="00651044">
        <w:rPr>
          <w:sz w:val="28"/>
          <w:szCs w:val="28"/>
        </w:rPr>
        <w:t>rea Curţii de Conturi cu privire la Raportul de audit privind urmărirea ulterioară a acţiunilor întreprinse de entităţile audiate în vederea executării cerinţelor şi implementării recomandărilor din Raportul auditului performanţei efectuat de Curtea de Conturi în anul 2012 „Activitatea desfăşurată de reprezentanţii statului, membrii consiliilor societăţilor comerciale şi administratorii acestora este comensurabilă cu remunerarea lor?” (Hotăr</w:t>
      </w:r>
      <w:r w:rsidR="006E6FE5">
        <w:rPr>
          <w:sz w:val="28"/>
          <w:szCs w:val="28"/>
        </w:rPr>
        <w:t>î</w:t>
      </w:r>
      <w:r w:rsidRPr="00651044">
        <w:rPr>
          <w:sz w:val="28"/>
          <w:szCs w:val="28"/>
        </w:rPr>
        <w:t>rea nr.17 din 19 iunie 2015). Raportul prenotat conţine o analiză a gradului de implementare, de către autorităţile administraţiei publice centrale ce deţin calitatea de fondator/ acţionar majoritar în entităţile cu capital de stat, a recomandărilor emise de către Curtea de Conturi ca rezultat al auditului efectuat în anul 2012.</w:t>
      </w:r>
    </w:p>
    <w:p w:rsidR="00541D55" w:rsidRPr="00651044" w:rsidRDefault="00E72302" w:rsidP="00541D55">
      <w:pPr>
        <w:spacing w:line="276" w:lineRule="auto"/>
        <w:ind w:firstLine="567"/>
        <w:jc w:val="both"/>
        <w:rPr>
          <w:sz w:val="28"/>
          <w:szCs w:val="28"/>
        </w:rPr>
      </w:pPr>
      <w:r w:rsidRPr="00651044">
        <w:rPr>
          <w:sz w:val="28"/>
          <w:szCs w:val="28"/>
        </w:rPr>
        <w:t xml:space="preserve">De asemenea, în </w:t>
      </w:r>
      <w:r w:rsidR="00541D55" w:rsidRPr="00651044">
        <w:rPr>
          <w:sz w:val="28"/>
          <w:szCs w:val="28"/>
        </w:rPr>
        <w:t>anul</w:t>
      </w:r>
      <w:r w:rsidRPr="00651044">
        <w:rPr>
          <w:sz w:val="28"/>
          <w:szCs w:val="28"/>
        </w:rPr>
        <w:t xml:space="preserve"> 2015, Curtea de Conturi a efectuat auditul conformităţii gestionării fondurilor publice de către Ministerul Tehnologiei Informaţiei şi Comunicaţiilor şi întreprinderilor de stat în care exercită funcţia de fondator pentru perioada anului 2014</w:t>
      </w:r>
      <w:r w:rsidRPr="00651044">
        <w:t xml:space="preserve"> </w:t>
      </w:r>
      <w:r w:rsidR="00541D55" w:rsidRPr="00651044">
        <w:rPr>
          <w:sz w:val="28"/>
          <w:szCs w:val="28"/>
        </w:rPr>
        <w:t>(Hotăr</w:t>
      </w:r>
      <w:r w:rsidR="006E6FE5">
        <w:rPr>
          <w:sz w:val="28"/>
          <w:szCs w:val="28"/>
        </w:rPr>
        <w:t>î</w:t>
      </w:r>
      <w:r w:rsidRPr="00651044">
        <w:rPr>
          <w:sz w:val="28"/>
          <w:szCs w:val="28"/>
        </w:rPr>
        <w:t>rea Curţii de Conturi nr.29 din 20 iulie 2015), în rezultatul căruia s-au înaintat recomandări de înlăturare a încălcărilor şi deficienţelor depistate.</w:t>
      </w:r>
    </w:p>
    <w:p w:rsidR="00E72302" w:rsidRPr="00651044" w:rsidRDefault="00E72302" w:rsidP="00541D55">
      <w:pPr>
        <w:spacing w:line="276" w:lineRule="auto"/>
        <w:ind w:firstLine="567"/>
        <w:jc w:val="both"/>
        <w:rPr>
          <w:sz w:val="28"/>
          <w:szCs w:val="28"/>
        </w:rPr>
      </w:pPr>
      <w:r w:rsidRPr="00651044">
        <w:rPr>
          <w:sz w:val="28"/>
          <w:szCs w:val="28"/>
        </w:rPr>
        <w:t>Suplimentar, enunţăm că, în conformitate cu art.13</w:t>
      </w:r>
      <w:r w:rsidRPr="00651044">
        <w:rPr>
          <w:sz w:val="28"/>
          <w:szCs w:val="28"/>
          <w:vertAlign w:val="superscript"/>
        </w:rPr>
        <w:t>1</w:t>
      </w:r>
      <w:r w:rsidRPr="00651044">
        <w:rPr>
          <w:sz w:val="28"/>
          <w:szCs w:val="28"/>
        </w:rPr>
        <w:t xml:space="preserve"> al Legii nr.146-XIII din 16 iunie 1994 cu privire la întreprinderea de stat, auditul obligatoriu al situaţiilor financiare anuale se efectuează la întreprinderile care depăşesc, pentru ultimile două perioade consecutive de gestiune precedente, limitele a două din următoarele criterii:</w:t>
      </w:r>
    </w:p>
    <w:p w:rsidR="00E72302" w:rsidRPr="00651044" w:rsidRDefault="00E72302" w:rsidP="00136F34">
      <w:pPr>
        <w:pStyle w:val="ListParagraph"/>
        <w:numPr>
          <w:ilvl w:val="0"/>
          <w:numId w:val="10"/>
        </w:numPr>
        <w:spacing w:line="276" w:lineRule="auto"/>
        <w:jc w:val="both"/>
        <w:rPr>
          <w:sz w:val="28"/>
          <w:szCs w:val="28"/>
        </w:rPr>
      </w:pPr>
      <w:r w:rsidRPr="00651044">
        <w:rPr>
          <w:sz w:val="28"/>
          <w:szCs w:val="28"/>
        </w:rPr>
        <w:t>capital social – 500,0 mii lei;</w:t>
      </w:r>
    </w:p>
    <w:p w:rsidR="00E72302" w:rsidRPr="00651044" w:rsidRDefault="00E72302" w:rsidP="00136F34">
      <w:pPr>
        <w:pStyle w:val="ListParagraph"/>
        <w:numPr>
          <w:ilvl w:val="0"/>
          <w:numId w:val="10"/>
        </w:numPr>
        <w:spacing w:line="276" w:lineRule="auto"/>
        <w:jc w:val="both"/>
        <w:rPr>
          <w:sz w:val="28"/>
          <w:szCs w:val="28"/>
        </w:rPr>
      </w:pPr>
      <w:r w:rsidRPr="00651044">
        <w:rPr>
          <w:sz w:val="28"/>
          <w:szCs w:val="28"/>
        </w:rPr>
        <w:t>total venituri – 10000,0 mii lei;</w:t>
      </w:r>
    </w:p>
    <w:p w:rsidR="00E72302" w:rsidRPr="00651044" w:rsidRDefault="00E72302" w:rsidP="00136F34">
      <w:pPr>
        <w:pStyle w:val="ListParagraph"/>
        <w:numPr>
          <w:ilvl w:val="0"/>
          <w:numId w:val="10"/>
        </w:numPr>
        <w:spacing w:line="276" w:lineRule="auto"/>
        <w:jc w:val="both"/>
        <w:rPr>
          <w:sz w:val="28"/>
          <w:szCs w:val="28"/>
        </w:rPr>
      </w:pPr>
      <w:r w:rsidRPr="00651044">
        <w:rPr>
          <w:sz w:val="28"/>
          <w:szCs w:val="28"/>
        </w:rPr>
        <w:t xml:space="preserve">numărul mediu scriptic al personalului în perioada de gestiune – 100 persoane. </w:t>
      </w:r>
    </w:p>
    <w:p w:rsidR="00541D55" w:rsidRPr="00651044" w:rsidRDefault="00E72302" w:rsidP="00541D55">
      <w:pPr>
        <w:spacing w:line="276" w:lineRule="auto"/>
        <w:ind w:firstLine="567"/>
        <w:jc w:val="both"/>
        <w:rPr>
          <w:sz w:val="28"/>
          <w:szCs w:val="28"/>
        </w:rPr>
      </w:pPr>
      <w:r w:rsidRPr="00651044">
        <w:rPr>
          <w:sz w:val="28"/>
          <w:szCs w:val="28"/>
        </w:rPr>
        <w:t>Totodată, potrivit art. 89 alin.(1) al Legii nr.1134-XIII din 2 aprilie 1997 privind societăţile pe acţiuni, auditul obligatoriu al situaţiilor financiare anuale se efectuează la societatea în care cota statului depăşeşte 50% din capitalul social.</w:t>
      </w:r>
    </w:p>
    <w:p w:rsidR="00541D55" w:rsidRPr="00651044" w:rsidRDefault="00E72302" w:rsidP="00541D55">
      <w:pPr>
        <w:spacing w:line="276" w:lineRule="auto"/>
        <w:ind w:firstLine="567"/>
        <w:jc w:val="both"/>
        <w:rPr>
          <w:sz w:val="28"/>
          <w:szCs w:val="28"/>
        </w:rPr>
      </w:pPr>
      <w:r w:rsidRPr="00651044">
        <w:rPr>
          <w:sz w:val="28"/>
          <w:szCs w:val="28"/>
        </w:rPr>
        <w:t>Analiz</w:t>
      </w:r>
      <w:r w:rsidR="006E6FE5">
        <w:rPr>
          <w:sz w:val="28"/>
          <w:szCs w:val="28"/>
        </w:rPr>
        <w:t>î</w:t>
      </w:r>
      <w:r w:rsidRPr="00651044">
        <w:rPr>
          <w:sz w:val="28"/>
          <w:szCs w:val="28"/>
        </w:rPr>
        <w:t>nd criteriile prenotate, Ministerul Finanţelor a efectuat o analiză a întreprinderilor de stat şi societăţilor pe acţiuni a căror situaţii financiare aferente anului 2014 urmau a fi supuse auditului obligatoriu. Astfel, s-a estimat că auditului obligatoriu urmau a fi supuse 72 întreprinderi de stat sau 35,8% din întreprinderile de stat care activează şi sunt supuse monitoringului economico-financiar şi 44 societăţi pe acţiuni, respectiv 100% societăţi pe acţiun</w:t>
      </w:r>
      <w:r w:rsidR="00895280" w:rsidRPr="00651044">
        <w:rPr>
          <w:sz w:val="28"/>
          <w:szCs w:val="28"/>
        </w:rPr>
        <w:t>i în care cota statului depăşeș</w:t>
      </w:r>
      <w:r w:rsidRPr="00651044">
        <w:rPr>
          <w:sz w:val="28"/>
          <w:szCs w:val="28"/>
        </w:rPr>
        <w:t>te 50% din capitalul social, care la fel activează şi sunt supuse monitoringului financiar efectuat de către Ministerul Finanţelor.</w:t>
      </w:r>
    </w:p>
    <w:p w:rsidR="00E72302" w:rsidRPr="00651044" w:rsidRDefault="00E72302" w:rsidP="00A854A6">
      <w:pPr>
        <w:spacing w:line="276" w:lineRule="auto"/>
        <w:ind w:firstLine="567"/>
        <w:jc w:val="both"/>
        <w:rPr>
          <w:sz w:val="28"/>
          <w:szCs w:val="28"/>
        </w:rPr>
      </w:pPr>
      <w:r w:rsidRPr="00651044">
        <w:rPr>
          <w:sz w:val="28"/>
          <w:szCs w:val="28"/>
        </w:rPr>
        <w:t xml:space="preserve">De asemenea, comunicăm că în conformitate cu lit.e) din art.8 al Legii nr.146-XIII din 16 iunie 1994 cu privire la întreprinderea de stat şi în conformitate cu alin.(6) din art.69 al Legii nr.1134-XIII din 2 aprilie 1997 privind societăţile pe acţiuni, </w:t>
      </w:r>
      <w:r w:rsidRPr="00651044">
        <w:rPr>
          <w:sz w:val="28"/>
          <w:szCs w:val="28"/>
        </w:rPr>
        <w:lastRenderedPageBreak/>
        <w:t>administratorul întreprinderii de stat şi organul executiv al societăţii pe acţiuni în care cota statului reprezintă 50% plus o acţiune urmează să prezinte Ministerului Finanţelor copia de pe raportul auditorului.</w:t>
      </w:r>
      <w:r w:rsidR="00A854A6">
        <w:rPr>
          <w:sz w:val="28"/>
          <w:szCs w:val="28"/>
        </w:rPr>
        <w:t xml:space="preserve"> </w:t>
      </w:r>
      <w:r w:rsidRPr="00651044">
        <w:rPr>
          <w:sz w:val="28"/>
          <w:szCs w:val="28"/>
        </w:rPr>
        <w:t xml:space="preserve">Prin urmare, se enunţă că, </w:t>
      </w:r>
      <w:r w:rsidR="00541D55" w:rsidRPr="00651044">
        <w:rPr>
          <w:sz w:val="28"/>
          <w:szCs w:val="28"/>
        </w:rPr>
        <w:t>în anul 2015</w:t>
      </w:r>
      <w:r w:rsidRPr="00651044">
        <w:rPr>
          <w:sz w:val="28"/>
          <w:szCs w:val="28"/>
        </w:rPr>
        <w:t>, Ministerului Finanţelor au fost prezentate copiile raportului de audit a 2</w:t>
      </w:r>
      <w:r w:rsidR="00365130" w:rsidRPr="00651044">
        <w:rPr>
          <w:sz w:val="28"/>
          <w:szCs w:val="28"/>
        </w:rPr>
        <w:t>6</w:t>
      </w:r>
      <w:r w:rsidRPr="00651044">
        <w:rPr>
          <w:sz w:val="28"/>
          <w:szCs w:val="28"/>
        </w:rPr>
        <w:t xml:space="preserve"> întreprinderi de stat sau </w:t>
      </w:r>
      <w:r w:rsidR="00365130" w:rsidRPr="00651044">
        <w:rPr>
          <w:sz w:val="28"/>
          <w:szCs w:val="28"/>
        </w:rPr>
        <w:t>36,1</w:t>
      </w:r>
      <w:r w:rsidRPr="00651044">
        <w:rPr>
          <w:sz w:val="28"/>
          <w:szCs w:val="28"/>
        </w:rPr>
        <w:t xml:space="preserve">% din întreprinderile ce </w:t>
      </w:r>
      <w:r w:rsidR="00365130" w:rsidRPr="00651044">
        <w:rPr>
          <w:sz w:val="28"/>
          <w:szCs w:val="28"/>
        </w:rPr>
        <w:t>s-au estimat</w:t>
      </w:r>
      <w:r w:rsidRPr="00651044">
        <w:rPr>
          <w:sz w:val="28"/>
          <w:szCs w:val="28"/>
        </w:rPr>
        <w:t xml:space="preserve"> a fi supuse auditului obligatoriu şi </w:t>
      </w:r>
      <w:r w:rsidR="00C6280E" w:rsidRPr="00651044">
        <w:rPr>
          <w:sz w:val="28"/>
          <w:szCs w:val="28"/>
        </w:rPr>
        <w:t xml:space="preserve">a </w:t>
      </w:r>
      <w:r w:rsidRPr="00651044">
        <w:rPr>
          <w:sz w:val="28"/>
          <w:szCs w:val="28"/>
        </w:rPr>
        <w:t>33 societăţi pe acţiuni sau 75,0% din societăţile supuse auditului obligatoriu.</w:t>
      </w:r>
    </w:p>
    <w:p w:rsidR="00541D55" w:rsidRPr="00651044" w:rsidRDefault="00541D55" w:rsidP="00541D55">
      <w:pPr>
        <w:spacing w:line="276" w:lineRule="auto"/>
        <w:ind w:firstLine="567"/>
        <w:jc w:val="both"/>
        <w:rPr>
          <w:sz w:val="28"/>
          <w:szCs w:val="28"/>
        </w:rPr>
      </w:pPr>
      <w:r w:rsidRPr="00651044">
        <w:rPr>
          <w:sz w:val="28"/>
          <w:szCs w:val="28"/>
        </w:rPr>
        <w:t>Totodată, analiz</w:t>
      </w:r>
      <w:r w:rsidR="006E6FE5">
        <w:rPr>
          <w:sz w:val="28"/>
          <w:szCs w:val="28"/>
        </w:rPr>
        <w:t>î</w:t>
      </w:r>
      <w:r w:rsidRPr="00651044">
        <w:rPr>
          <w:sz w:val="28"/>
          <w:szCs w:val="28"/>
        </w:rPr>
        <w:t xml:space="preserve">nd situațiile financiare ale întreprinderilor de stat și societăților pe acțiuni cu capital </w:t>
      </w:r>
      <w:r w:rsidR="00A854A6" w:rsidRPr="00651044">
        <w:rPr>
          <w:sz w:val="28"/>
          <w:szCs w:val="28"/>
        </w:rPr>
        <w:t xml:space="preserve">integral sau </w:t>
      </w:r>
      <w:r w:rsidRPr="00651044">
        <w:rPr>
          <w:sz w:val="28"/>
          <w:szCs w:val="28"/>
        </w:rPr>
        <w:t xml:space="preserve">majoritar de stat pentru perioada anilor 2013-2014, atestăm că situațiile financiare pentru anul 2015 urmează a fi supuse auditului </w:t>
      </w:r>
      <w:r w:rsidR="00480FEF" w:rsidRPr="00651044">
        <w:rPr>
          <w:sz w:val="28"/>
          <w:szCs w:val="28"/>
        </w:rPr>
        <w:t xml:space="preserve">obligatoriu </w:t>
      </w:r>
      <w:r w:rsidRPr="00651044">
        <w:rPr>
          <w:sz w:val="28"/>
          <w:szCs w:val="28"/>
        </w:rPr>
        <w:t>la</w:t>
      </w:r>
      <w:r w:rsidR="00165931" w:rsidRPr="00651044">
        <w:rPr>
          <w:sz w:val="28"/>
          <w:szCs w:val="28"/>
        </w:rPr>
        <w:t xml:space="preserve"> 66</w:t>
      </w:r>
      <w:r w:rsidR="00480FEF" w:rsidRPr="00651044">
        <w:rPr>
          <w:sz w:val="28"/>
          <w:szCs w:val="28"/>
        </w:rPr>
        <w:t xml:space="preserve"> întreprinderi de stat</w:t>
      </w:r>
      <w:r w:rsidR="00165931" w:rsidRPr="00651044">
        <w:rPr>
          <w:sz w:val="28"/>
          <w:szCs w:val="28"/>
        </w:rPr>
        <w:t xml:space="preserve"> (sau </w:t>
      </w:r>
      <w:r w:rsidR="003F3F6C" w:rsidRPr="00651044">
        <w:rPr>
          <w:sz w:val="28"/>
          <w:szCs w:val="28"/>
        </w:rPr>
        <w:t>34,0% din întreprinderile care activează</w:t>
      </w:r>
      <w:r w:rsidR="00165931" w:rsidRPr="00651044">
        <w:rPr>
          <w:sz w:val="28"/>
          <w:szCs w:val="28"/>
        </w:rPr>
        <w:t>)</w:t>
      </w:r>
      <w:r w:rsidR="00480FEF" w:rsidRPr="00651044">
        <w:rPr>
          <w:sz w:val="28"/>
          <w:szCs w:val="28"/>
        </w:rPr>
        <w:t xml:space="preserve"> și 41 societăți pe acțiuni cu capital integral sau majoritar de stat</w:t>
      </w:r>
      <w:r w:rsidR="003F3F6C" w:rsidRPr="00651044">
        <w:rPr>
          <w:sz w:val="28"/>
          <w:szCs w:val="28"/>
        </w:rPr>
        <w:t xml:space="preserve"> (100% din cele supuse monitoringului financiar)</w:t>
      </w:r>
      <w:r w:rsidR="00C6280E" w:rsidRPr="00651044">
        <w:rPr>
          <w:sz w:val="28"/>
          <w:szCs w:val="28"/>
        </w:rPr>
        <w:t>, copiile rapoartelor de audit urm</w:t>
      </w:r>
      <w:r w:rsidR="006E6FE5">
        <w:rPr>
          <w:sz w:val="28"/>
          <w:szCs w:val="28"/>
        </w:rPr>
        <w:t>î</w:t>
      </w:r>
      <w:r w:rsidR="00C6280E" w:rsidRPr="00651044">
        <w:rPr>
          <w:sz w:val="28"/>
          <w:szCs w:val="28"/>
        </w:rPr>
        <w:t>nd a fi prezentate Ministerului Finanțelor pe parcursul anului 2016.</w:t>
      </w:r>
      <w:r w:rsidRPr="00651044">
        <w:rPr>
          <w:sz w:val="28"/>
          <w:szCs w:val="28"/>
        </w:rPr>
        <w:t xml:space="preserve">  </w:t>
      </w:r>
    </w:p>
    <w:p w:rsidR="00E72302" w:rsidRDefault="00E72302" w:rsidP="00E72302">
      <w:pPr>
        <w:pStyle w:val="Title"/>
        <w:jc w:val="left"/>
        <w:rPr>
          <w:b/>
          <w:i/>
          <w:sz w:val="28"/>
          <w:szCs w:val="28"/>
          <w:lang w:val="ro-RO"/>
        </w:rPr>
      </w:pPr>
    </w:p>
    <w:p w:rsidR="00572040" w:rsidRPr="00651044" w:rsidRDefault="00572040" w:rsidP="00E72302">
      <w:pPr>
        <w:pStyle w:val="Title"/>
        <w:jc w:val="left"/>
        <w:rPr>
          <w:b/>
          <w:i/>
          <w:sz w:val="28"/>
          <w:szCs w:val="28"/>
          <w:lang w:val="ro-RO"/>
        </w:rPr>
      </w:pPr>
    </w:p>
    <w:p w:rsidR="00AD31C8" w:rsidRPr="00651044" w:rsidRDefault="00AD31C8" w:rsidP="00136F34">
      <w:pPr>
        <w:pStyle w:val="Title"/>
        <w:numPr>
          <w:ilvl w:val="0"/>
          <w:numId w:val="11"/>
        </w:numPr>
        <w:ind w:left="0" w:firstLine="0"/>
        <w:rPr>
          <w:b/>
          <w:i/>
          <w:sz w:val="28"/>
          <w:szCs w:val="28"/>
          <w:lang w:val="ro-RO"/>
        </w:rPr>
      </w:pPr>
      <w:r w:rsidRPr="00651044">
        <w:rPr>
          <w:b/>
          <w:i/>
          <w:sz w:val="28"/>
          <w:szCs w:val="28"/>
          <w:lang w:val="ro-RO"/>
        </w:rPr>
        <w:t>Concluzii</w:t>
      </w:r>
    </w:p>
    <w:p w:rsidR="00AD31C8" w:rsidRPr="00651044" w:rsidRDefault="00AD31C8" w:rsidP="00AD31C8">
      <w:pPr>
        <w:spacing w:line="276" w:lineRule="auto"/>
        <w:ind w:firstLine="567"/>
        <w:jc w:val="both"/>
        <w:rPr>
          <w:b/>
          <w:i/>
          <w:sz w:val="28"/>
          <w:szCs w:val="28"/>
        </w:rPr>
      </w:pPr>
    </w:p>
    <w:p w:rsidR="00AD31C8" w:rsidRPr="00651044" w:rsidRDefault="00AD31C8" w:rsidP="00AD31C8">
      <w:pPr>
        <w:spacing w:line="276" w:lineRule="auto"/>
        <w:ind w:firstLine="540"/>
        <w:jc w:val="both"/>
        <w:rPr>
          <w:color w:val="FF0000"/>
          <w:sz w:val="28"/>
          <w:szCs w:val="28"/>
        </w:rPr>
      </w:pPr>
      <w:r w:rsidRPr="00651044">
        <w:rPr>
          <w:sz w:val="28"/>
          <w:szCs w:val="28"/>
        </w:rPr>
        <w:t>În rezultatul efectuării monitoringului financiar al activităţii economico-financiare în anul 201</w:t>
      </w:r>
      <w:r w:rsidR="008C0676" w:rsidRPr="00651044">
        <w:rPr>
          <w:sz w:val="28"/>
          <w:szCs w:val="28"/>
        </w:rPr>
        <w:t>5</w:t>
      </w:r>
      <w:r w:rsidRPr="00651044">
        <w:rPr>
          <w:sz w:val="28"/>
          <w:szCs w:val="28"/>
        </w:rPr>
        <w:t xml:space="preserve"> a întreprinderilor de stat şi societăţilor pe acţiuni, în conformitate cu situaţiile financiare anuale, datele privind datoria publică, datele Inspectoratului Fiscal Principal de Stat</w:t>
      </w:r>
      <w:r w:rsidR="00F06FD1" w:rsidRPr="00651044">
        <w:rPr>
          <w:sz w:val="28"/>
          <w:szCs w:val="28"/>
        </w:rPr>
        <w:t xml:space="preserve"> </w:t>
      </w:r>
      <w:r w:rsidR="00253020" w:rsidRPr="00651044">
        <w:rPr>
          <w:sz w:val="28"/>
          <w:szCs w:val="28"/>
        </w:rPr>
        <w:t>ş</w:t>
      </w:r>
      <w:r w:rsidR="00F06FD1" w:rsidRPr="00651044">
        <w:rPr>
          <w:sz w:val="28"/>
          <w:szCs w:val="28"/>
        </w:rPr>
        <w:t>i Comisiei Na</w:t>
      </w:r>
      <w:r w:rsidR="00253020" w:rsidRPr="00651044">
        <w:rPr>
          <w:sz w:val="28"/>
          <w:szCs w:val="28"/>
        </w:rPr>
        <w:t>ţ</w:t>
      </w:r>
      <w:r w:rsidR="00F06FD1" w:rsidRPr="00651044">
        <w:rPr>
          <w:sz w:val="28"/>
          <w:szCs w:val="28"/>
        </w:rPr>
        <w:t>ionale a Pie</w:t>
      </w:r>
      <w:r w:rsidR="00253020" w:rsidRPr="00651044">
        <w:rPr>
          <w:sz w:val="28"/>
          <w:szCs w:val="28"/>
        </w:rPr>
        <w:t>ţ</w:t>
      </w:r>
      <w:r w:rsidR="00F06FD1" w:rsidRPr="00651044">
        <w:rPr>
          <w:sz w:val="28"/>
          <w:szCs w:val="28"/>
        </w:rPr>
        <w:t>ei Financiare</w:t>
      </w:r>
      <w:r w:rsidRPr="00651044">
        <w:rPr>
          <w:sz w:val="28"/>
          <w:szCs w:val="28"/>
        </w:rPr>
        <w:t>,</w:t>
      </w:r>
      <w:r w:rsidR="00F06FD1" w:rsidRPr="00651044">
        <w:rPr>
          <w:sz w:val="28"/>
          <w:szCs w:val="28"/>
        </w:rPr>
        <w:t xml:space="preserve"> precum şi datele Registrului patrimoniului public</w:t>
      </w:r>
      <w:r w:rsidRPr="00651044">
        <w:rPr>
          <w:sz w:val="28"/>
          <w:szCs w:val="28"/>
        </w:rPr>
        <w:t xml:space="preserve"> s-a constatat că, valoarea totală a activelor întreprinderilor de stat s-a majorat în anul de gestiune cu </w:t>
      </w:r>
      <w:r w:rsidR="00D84C5B" w:rsidRPr="00651044">
        <w:rPr>
          <w:sz w:val="28"/>
          <w:szCs w:val="28"/>
        </w:rPr>
        <w:t>2 085</w:t>
      </w:r>
      <w:r w:rsidR="008C0676" w:rsidRPr="00651044">
        <w:rPr>
          <w:sz w:val="28"/>
          <w:szCs w:val="28"/>
        </w:rPr>
        <w:t>,</w:t>
      </w:r>
      <w:r w:rsidR="00D84C5B" w:rsidRPr="00651044">
        <w:rPr>
          <w:sz w:val="28"/>
          <w:szCs w:val="28"/>
        </w:rPr>
        <w:t>8</w:t>
      </w:r>
      <w:r w:rsidRPr="00651044">
        <w:rPr>
          <w:sz w:val="28"/>
          <w:szCs w:val="28"/>
        </w:rPr>
        <w:t xml:space="preserve"> mil. lei, iar act</w:t>
      </w:r>
      <w:r w:rsidR="00EB09C9" w:rsidRPr="00651044">
        <w:rPr>
          <w:sz w:val="28"/>
          <w:szCs w:val="28"/>
        </w:rPr>
        <w:t>ivelor societăţilor pe acţiuni s-au diminuat cu 1 376,2</w:t>
      </w:r>
      <w:r w:rsidRPr="00651044">
        <w:rPr>
          <w:sz w:val="28"/>
          <w:szCs w:val="28"/>
        </w:rPr>
        <w:t xml:space="preserve"> mil. lei.</w:t>
      </w:r>
    </w:p>
    <w:p w:rsidR="00AD31C8" w:rsidRPr="00651044" w:rsidRDefault="00AD31C8" w:rsidP="00AD31C8">
      <w:pPr>
        <w:spacing w:line="276" w:lineRule="auto"/>
        <w:ind w:firstLine="540"/>
        <w:jc w:val="both"/>
        <w:rPr>
          <w:color w:val="FF0000"/>
          <w:sz w:val="28"/>
          <w:szCs w:val="28"/>
        </w:rPr>
      </w:pPr>
      <w:r w:rsidRPr="00651044">
        <w:rPr>
          <w:sz w:val="28"/>
          <w:szCs w:val="28"/>
        </w:rPr>
        <w:t xml:space="preserve">Totodată, întreprinderile de stat înregistrează o majorare a activelor </w:t>
      </w:r>
      <w:r w:rsidR="00F06FD1" w:rsidRPr="00651044">
        <w:rPr>
          <w:sz w:val="28"/>
          <w:szCs w:val="28"/>
        </w:rPr>
        <w:t>circulante</w:t>
      </w:r>
      <w:r w:rsidRPr="00651044">
        <w:rPr>
          <w:sz w:val="28"/>
          <w:szCs w:val="28"/>
        </w:rPr>
        <w:t xml:space="preserve"> de care dispun cu </w:t>
      </w:r>
      <w:r w:rsidR="00D84C5B" w:rsidRPr="00651044">
        <w:rPr>
          <w:sz w:val="28"/>
          <w:szCs w:val="28"/>
        </w:rPr>
        <w:t>335</w:t>
      </w:r>
      <w:r w:rsidR="008C0676" w:rsidRPr="00651044">
        <w:rPr>
          <w:sz w:val="28"/>
          <w:szCs w:val="28"/>
        </w:rPr>
        <w:t>,8 mil. lei (dintre care</w:t>
      </w:r>
      <w:r w:rsidRPr="00651044">
        <w:rPr>
          <w:sz w:val="28"/>
          <w:szCs w:val="28"/>
        </w:rPr>
        <w:t xml:space="preserve"> </w:t>
      </w:r>
      <w:r w:rsidR="00F06FD1" w:rsidRPr="00651044">
        <w:rPr>
          <w:sz w:val="28"/>
          <w:szCs w:val="28"/>
        </w:rPr>
        <w:t>crean</w:t>
      </w:r>
      <w:r w:rsidR="00253020" w:rsidRPr="00651044">
        <w:rPr>
          <w:sz w:val="28"/>
          <w:szCs w:val="28"/>
        </w:rPr>
        <w:t>ţ</w:t>
      </w:r>
      <w:r w:rsidR="00F06FD1" w:rsidRPr="00651044">
        <w:rPr>
          <w:sz w:val="28"/>
          <w:szCs w:val="28"/>
        </w:rPr>
        <w:t xml:space="preserve">ele </w:t>
      </w:r>
      <w:r w:rsidR="008C0676" w:rsidRPr="00651044">
        <w:rPr>
          <w:sz w:val="28"/>
          <w:szCs w:val="28"/>
        </w:rPr>
        <w:t>comerciale</w:t>
      </w:r>
      <w:r w:rsidRPr="00651044">
        <w:rPr>
          <w:sz w:val="28"/>
          <w:szCs w:val="28"/>
        </w:rPr>
        <w:t xml:space="preserve"> s-au majorat cu </w:t>
      </w:r>
      <w:r w:rsidR="008465A8" w:rsidRPr="00651044">
        <w:rPr>
          <w:sz w:val="28"/>
          <w:szCs w:val="28"/>
        </w:rPr>
        <w:t xml:space="preserve">       </w:t>
      </w:r>
      <w:r w:rsidR="00D84C5B" w:rsidRPr="00651044">
        <w:rPr>
          <w:sz w:val="28"/>
          <w:szCs w:val="28"/>
        </w:rPr>
        <w:t>177,4</w:t>
      </w:r>
      <w:r w:rsidRPr="00651044">
        <w:rPr>
          <w:sz w:val="28"/>
          <w:szCs w:val="28"/>
        </w:rPr>
        <w:t xml:space="preserve"> mil. lei, </w:t>
      </w:r>
      <w:r w:rsidR="008C0676" w:rsidRPr="00651044">
        <w:rPr>
          <w:sz w:val="28"/>
          <w:szCs w:val="28"/>
        </w:rPr>
        <w:t>numerarul în casierie şi la conturi curente</w:t>
      </w:r>
      <w:r w:rsidRPr="00651044">
        <w:rPr>
          <w:sz w:val="28"/>
          <w:szCs w:val="28"/>
        </w:rPr>
        <w:t xml:space="preserve"> – cu </w:t>
      </w:r>
      <w:r w:rsidR="00D84C5B" w:rsidRPr="00651044">
        <w:rPr>
          <w:sz w:val="28"/>
          <w:szCs w:val="28"/>
        </w:rPr>
        <w:t>137</w:t>
      </w:r>
      <w:r w:rsidR="008C0676" w:rsidRPr="00651044">
        <w:rPr>
          <w:sz w:val="28"/>
          <w:szCs w:val="28"/>
        </w:rPr>
        <w:t>,</w:t>
      </w:r>
      <w:r w:rsidR="00D84C5B" w:rsidRPr="00651044">
        <w:rPr>
          <w:sz w:val="28"/>
          <w:szCs w:val="28"/>
        </w:rPr>
        <w:t>3</w:t>
      </w:r>
      <w:r w:rsidRPr="00651044">
        <w:rPr>
          <w:sz w:val="28"/>
          <w:szCs w:val="28"/>
        </w:rPr>
        <w:t xml:space="preserve"> mil. lei),</w:t>
      </w:r>
      <w:r w:rsidR="00EB09C9" w:rsidRPr="00651044">
        <w:rPr>
          <w:sz w:val="28"/>
          <w:szCs w:val="28"/>
        </w:rPr>
        <w:t xml:space="preserve"> iar societăţile pe acţiuni au înregistrat o reducere</w:t>
      </w:r>
      <w:r w:rsidRPr="00651044">
        <w:rPr>
          <w:sz w:val="28"/>
          <w:szCs w:val="28"/>
        </w:rPr>
        <w:t xml:space="preserve"> </w:t>
      </w:r>
      <w:r w:rsidR="00604BA8" w:rsidRPr="00651044">
        <w:rPr>
          <w:sz w:val="28"/>
          <w:szCs w:val="28"/>
        </w:rPr>
        <w:t xml:space="preserve">a activelor circulante </w:t>
      </w:r>
      <w:r w:rsidRPr="00651044">
        <w:rPr>
          <w:sz w:val="28"/>
          <w:szCs w:val="28"/>
        </w:rPr>
        <w:t xml:space="preserve">cu </w:t>
      </w:r>
      <w:r w:rsidR="00EB09C9" w:rsidRPr="00651044">
        <w:rPr>
          <w:sz w:val="28"/>
          <w:szCs w:val="28"/>
        </w:rPr>
        <w:t>391,8</w:t>
      </w:r>
      <w:r w:rsidRPr="00651044">
        <w:rPr>
          <w:sz w:val="28"/>
          <w:szCs w:val="28"/>
        </w:rPr>
        <w:t xml:space="preserve"> mil. lei faţă de </w:t>
      </w:r>
      <w:r w:rsidR="00EB09C9" w:rsidRPr="00651044">
        <w:rPr>
          <w:sz w:val="28"/>
          <w:szCs w:val="28"/>
        </w:rPr>
        <w:t>începutul anului analizat</w:t>
      </w:r>
      <w:r w:rsidRPr="00651044">
        <w:rPr>
          <w:sz w:val="28"/>
          <w:szCs w:val="28"/>
        </w:rPr>
        <w:t xml:space="preserve"> (inclusiv creanţele </w:t>
      </w:r>
      <w:r w:rsidR="00EB09C9" w:rsidRPr="00651044">
        <w:rPr>
          <w:sz w:val="28"/>
          <w:szCs w:val="28"/>
        </w:rPr>
        <w:t>comerciale</w:t>
      </w:r>
      <w:r w:rsidR="00F06FD1" w:rsidRPr="00651044">
        <w:rPr>
          <w:sz w:val="28"/>
          <w:szCs w:val="28"/>
        </w:rPr>
        <w:t xml:space="preserve"> </w:t>
      </w:r>
      <w:r w:rsidRPr="00651044">
        <w:rPr>
          <w:sz w:val="28"/>
          <w:szCs w:val="28"/>
        </w:rPr>
        <w:t xml:space="preserve">s-au </w:t>
      </w:r>
      <w:r w:rsidR="00EB09C9" w:rsidRPr="00651044">
        <w:rPr>
          <w:sz w:val="28"/>
          <w:szCs w:val="28"/>
        </w:rPr>
        <w:t>micşorat</w:t>
      </w:r>
      <w:r w:rsidRPr="00651044">
        <w:rPr>
          <w:sz w:val="28"/>
          <w:szCs w:val="28"/>
        </w:rPr>
        <w:t xml:space="preserve"> cu </w:t>
      </w:r>
      <w:r w:rsidR="008465A8" w:rsidRPr="00651044">
        <w:rPr>
          <w:sz w:val="28"/>
          <w:szCs w:val="28"/>
        </w:rPr>
        <w:t xml:space="preserve">    </w:t>
      </w:r>
      <w:r w:rsidR="00EB09C9" w:rsidRPr="00651044">
        <w:rPr>
          <w:sz w:val="28"/>
          <w:szCs w:val="28"/>
        </w:rPr>
        <w:t>446,5</w:t>
      </w:r>
      <w:r w:rsidRPr="00651044">
        <w:rPr>
          <w:sz w:val="28"/>
          <w:szCs w:val="28"/>
        </w:rPr>
        <w:t xml:space="preserve"> mil. lei).</w:t>
      </w:r>
      <w:r w:rsidRPr="00651044">
        <w:rPr>
          <w:color w:val="FF0000"/>
          <w:sz w:val="28"/>
          <w:szCs w:val="28"/>
        </w:rPr>
        <w:t xml:space="preserve"> </w:t>
      </w:r>
    </w:p>
    <w:p w:rsidR="00D67949" w:rsidRPr="00651044" w:rsidRDefault="00D67949" w:rsidP="00AD31C8">
      <w:pPr>
        <w:spacing w:line="276" w:lineRule="auto"/>
        <w:ind w:firstLine="540"/>
        <w:jc w:val="both"/>
        <w:rPr>
          <w:color w:val="FF0000"/>
          <w:sz w:val="28"/>
          <w:szCs w:val="28"/>
        </w:rPr>
      </w:pPr>
      <w:r w:rsidRPr="00651044">
        <w:rPr>
          <w:sz w:val="28"/>
          <w:szCs w:val="28"/>
        </w:rPr>
        <w:t xml:space="preserve">Activele imobilizate ale întreprinderilor de stat s-au majorat în perioada de gestiune cu </w:t>
      </w:r>
      <w:r w:rsidR="004C55AD" w:rsidRPr="00651044">
        <w:rPr>
          <w:sz w:val="28"/>
          <w:szCs w:val="28"/>
        </w:rPr>
        <w:t>1 750,0</w:t>
      </w:r>
      <w:r w:rsidRPr="00651044">
        <w:rPr>
          <w:sz w:val="28"/>
          <w:szCs w:val="28"/>
        </w:rPr>
        <w:t xml:space="preserve"> mil. lei, iar a</w:t>
      </w:r>
      <w:r w:rsidR="00604BA8" w:rsidRPr="00651044">
        <w:rPr>
          <w:sz w:val="28"/>
          <w:szCs w:val="28"/>
        </w:rPr>
        <w:t>le</w:t>
      </w:r>
      <w:r w:rsidRPr="00651044">
        <w:rPr>
          <w:sz w:val="28"/>
          <w:szCs w:val="28"/>
        </w:rPr>
        <w:t xml:space="preserve"> societă</w:t>
      </w:r>
      <w:r w:rsidR="00253020" w:rsidRPr="00651044">
        <w:rPr>
          <w:sz w:val="28"/>
          <w:szCs w:val="28"/>
        </w:rPr>
        <w:t>ţ</w:t>
      </w:r>
      <w:r w:rsidRPr="00651044">
        <w:rPr>
          <w:sz w:val="28"/>
          <w:szCs w:val="28"/>
        </w:rPr>
        <w:t>ilor pe ac</w:t>
      </w:r>
      <w:r w:rsidR="00253020" w:rsidRPr="00651044">
        <w:rPr>
          <w:sz w:val="28"/>
          <w:szCs w:val="28"/>
        </w:rPr>
        <w:t>ţ</w:t>
      </w:r>
      <w:r w:rsidRPr="00651044">
        <w:rPr>
          <w:sz w:val="28"/>
          <w:szCs w:val="28"/>
        </w:rPr>
        <w:t xml:space="preserve">iuni </w:t>
      </w:r>
      <w:r w:rsidR="00EB09C9" w:rsidRPr="00651044">
        <w:rPr>
          <w:sz w:val="28"/>
          <w:szCs w:val="28"/>
        </w:rPr>
        <w:t>s-au diminuat</w:t>
      </w:r>
      <w:r w:rsidRPr="00651044">
        <w:rPr>
          <w:sz w:val="28"/>
          <w:szCs w:val="28"/>
        </w:rPr>
        <w:t xml:space="preserve"> cu </w:t>
      </w:r>
      <w:r w:rsidR="008465A8" w:rsidRPr="00651044">
        <w:rPr>
          <w:sz w:val="28"/>
          <w:szCs w:val="28"/>
        </w:rPr>
        <w:t xml:space="preserve">             </w:t>
      </w:r>
      <w:r w:rsidR="00EB09C9" w:rsidRPr="00651044">
        <w:rPr>
          <w:sz w:val="28"/>
          <w:szCs w:val="28"/>
        </w:rPr>
        <w:t>984,4</w:t>
      </w:r>
      <w:r w:rsidRPr="00651044">
        <w:rPr>
          <w:sz w:val="28"/>
          <w:szCs w:val="28"/>
        </w:rPr>
        <w:t xml:space="preserve"> mil. lei.</w:t>
      </w:r>
    </w:p>
    <w:p w:rsidR="00AD31C8" w:rsidRPr="00651044" w:rsidRDefault="00AD31C8" w:rsidP="00AD31C8">
      <w:pPr>
        <w:spacing w:line="276" w:lineRule="auto"/>
        <w:ind w:firstLine="540"/>
        <w:jc w:val="both"/>
        <w:rPr>
          <w:sz w:val="28"/>
          <w:szCs w:val="28"/>
        </w:rPr>
      </w:pPr>
      <w:r w:rsidRPr="00651044">
        <w:rPr>
          <w:sz w:val="28"/>
          <w:szCs w:val="28"/>
        </w:rPr>
        <w:t xml:space="preserve">Concomitent, faţă de </w:t>
      </w:r>
      <w:r w:rsidR="008C0676" w:rsidRPr="00651044">
        <w:rPr>
          <w:sz w:val="28"/>
          <w:szCs w:val="28"/>
        </w:rPr>
        <w:t>începutul anului 2015</w:t>
      </w:r>
      <w:r w:rsidRPr="00651044">
        <w:rPr>
          <w:sz w:val="28"/>
          <w:szCs w:val="28"/>
        </w:rPr>
        <w:t xml:space="preserve">, valoarea </w:t>
      </w:r>
      <w:r w:rsidR="00604BA8" w:rsidRPr="00651044">
        <w:rPr>
          <w:sz w:val="28"/>
          <w:szCs w:val="28"/>
        </w:rPr>
        <w:t>capitalului propriu</w:t>
      </w:r>
      <w:r w:rsidRPr="00651044">
        <w:rPr>
          <w:sz w:val="28"/>
          <w:szCs w:val="28"/>
        </w:rPr>
        <w:t xml:space="preserve"> al întreprinderilor de stat s-a majorat cu </w:t>
      </w:r>
      <w:r w:rsidR="004C55AD" w:rsidRPr="00651044">
        <w:rPr>
          <w:sz w:val="28"/>
          <w:szCs w:val="28"/>
        </w:rPr>
        <w:t>542</w:t>
      </w:r>
      <w:r w:rsidR="008C0676" w:rsidRPr="00651044">
        <w:rPr>
          <w:sz w:val="28"/>
          <w:szCs w:val="28"/>
        </w:rPr>
        <w:t>,</w:t>
      </w:r>
      <w:r w:rsidR="004C55AD" w:rsidRPr="00651044">
        <w:rPr>
          <w:sz w:val="28"/>
          <w:szCs w:val="28"/>
        </w:rPr>
        <w:t>3</w:t>
      </w:r>
      <w:r w:rsidRPr="00651044">
        <w:rPr>
          <w:sz w:val="28"/>
          <w:szCs w:val="28"/>
        </w:rPr>
        <w:t xml:space="preserve"> mil. lei, iar valoarea </w:t>
      </w:r>
      <w:r w:rsidR="00604BA8" w:rsidRPr="00651044">
        <w:rPr>
          <w:sz w:val="28"/>
          <w:szCs w:val="28"/>
        </w:rPr>
        <w:t>capitalului propriu al</w:t>
      </w:r>
      <w:r w:rsidR="00EB09C9" w:rsidRPr="00651044">
        <w:rPr>
          <w:sz w:val="28"/>
          <w:szCs w:val="28"/>
        </w:rPr>
        <w:t xml:space="preserve"> societăţilor pe acţiuni s-a diminuat</w:t>
      </w:r>
      <w:r w:rsidRPr="00651044">
        <w:rPr>
          <w:sz w:val="28"/>
          <w:szCs w:val="28"/>
        </w:rPr>
        <w:t xml:space="preserve"> cu </w:t>
      </w:r>
      <w:r w:rsidR="00EB09C9" w:rsidRPr="00651044">
        <w:rPr>
          <w:sz w:val="28"/>
          <w:szCs w:val="28"/>
        </w:rPr>
        <w:t>585,0</w:t>
      </w:r>
      <w:r w:rsidRPr="00651044">
        <w:rPr>
          <w:sz w:val="28"/>
          <w:szCs w:val="28"/>
        </w:rPr>
        <w:t xml:space="preserve"> mil. lei. Din numărul total al entităţilor monitorizate, </w:t>
      </w:r>
      <w:r w:rsidR="008C0676" w:rsidRPr="00651044">
        <w:rPr>
          <w:sz w:val="28"/>
          <w:szCs w:val="28"/>
        </w:rPr>
        <w:t>13</w:t>
      </w:r>
      <w:r w:rsidRPr="00651044">
        <w:rPr>
          <w:sz w:val="28"/>
          <w:szCs w:val="28"/>
        </w:rPr>
        <w:t xml:space="preserve"> întreprinderi de stat şi </w:t>
      </w:r>
      <w:r w:rsidR="007F2EED" w:rsidRPr="00651044">
        <w:rPr>
          <w:sz w:val="28"/>
          <w:szCs w:val="28"/>
        </w:rPr>
        <w:t>1 societate</w:t>
      </w:r>
      <w:r w:rsidRPr="00651044">
        <w:rPr>
          <w:sz w:val="28"/>
          <w:szCs w:val="28"/>
        </w:rPr>
        <w:t xml:space="preserve"> pe acţiuni înregistrează, la situaţia din 31 decembrie 201</w:t>
      </w:r>
      <w:r w:rsidR="008C0676" w:rsidRPr="00651044">
        <w:rPr>
          <w:sz w:val="28"/>
          <w:szCs w:val="28"/>
        </w:rPr>
        <w:t>5</w:t>
      </w:r>
      <w:r w:rsidRPr="00651044">
        <w:rPr>
          <w:sz w:val="28"/>
          <w:szCs w:val="28"/>
        </w:rPr>
        <w:t>, o valoare negativă a patrimoniului net</w:t>
      </w:r>
      <w:r w:rsidR="00604BA8" w:rsidRPr="00651044">
        <w:rPr>
          <w:sz w:val="28"/>
          <w:szCs w:val="28"/>
        </w:rPr>
        <w:t xml:space="preserve"> (capitalului propriu)</w:t>
      </w:r>
      <w:r w:rsidRPr="00651044">
        <w:rPr>
          <w:sz w:val="28"/>
          <w:szCs w:val="28"/>
        </w:rPr>
        <w:t>.</w:t>
      </w:r>
    </w:p>
    <w:p w:rsidR="00AD31C8" w:rsidRPr="00651044" w:rsidRDefault="00AD31C8" w:rsidP="00AD31C8">
      <w:pPr>
        <w:spacing w:line="276" w:lineRule="auto"/>
        <w:ind w:firstLine="540"/>
        <w:jc w:val="both"/>
        <w:rPr>
          <w:color w:val="FF0000"/>
          <w:sz w:val="28"/>
          <w:szCs w:val="28"/>
        </w:rPr>
      </w:pPr>
      <w:r w:rsidRPr="00651044">
        <w:rPr>
          <w:sz w:val="28"/>
          <w:szCs w:val="28"/>
        </w:rPr>
        <w:t xml:space="preserve">Potrivit datelor </w:t>
      </w:r>
      <w:r w:rsidR="007F2EED" w:rsidRPr="00651044">
        <w:rPr>
          <w:sz w:val="28"/>
          <w:szCs w:val="28"/>
        </w:rPr>
        <w:t>situa</w:t>
      </w:r>
      <w:r w:rsidR="00253020" w:rsidRPr="00651044">
        <w:rPr>
          <w:sz w:val="28"/>
          <w:szCs w:val="28"/>
        </w:rPr>
        <w:t>ţ</w:t>
      </w:r>
      <w:r w:rsidR="007F2EED" w:rsidRPr="00651044">
        <w:rPr>
          <w:sz w:val="28"/>
          <w:szCs w:val="28"/>
        </w:rPr>
        <w:t xml:space="preserve">iei de profit </w:t>
      </w:r>
      <w:r w:rsidR="00253020" w:rsidRPr="00651044">
        <w:rPr>
          <w:sz w:val="28"/>
          <w:szCs w:val="28"/>
        </w:rPr>
        <w:t>ş</w:t>
      </w:r>
      <w:r w:rsidR="007F2EED" w:rsidRPr="00651044">
        <w:rPr>
          <w:sz w:val="28"/>
          <w:szCs w:val="28"/>
        </w:rPr>
        <w:t>i pierdere</w:t>
      </w:r>
      <w:r w:rsidRPr="00651044">
        <w:rPr>
          <w:sz w:val="28"/>
          <w:szCs w:val="28"/>
        </w:rPr>
        <w:t>, întreprinderile de stat au încasat venituri d</w:t>
      </w:r>
      <w:r w:rsidR="00541D55" w:rsidRPr="00651044">
        <w:rPr>
          <w:sz w:val="28"/>
          <w:szCs w:val="28"/>
        </w:rPr>
        <w:t>in v</w:t>
      </w:r>
      <w:r w:rsidR="006E6FE5">
        <w:rPr>
          <w:sz w:val="28"/>
          <w:szCs w:val="28"/>
        </w:rPr>
        <w:t>î</w:t>
      </w:r>
      <w:r w:rsidRPr="00651044">
        <w:rPr>
          <w:sz w:val="28"/>
          <w:szCs w:val="28"/>
        </w:rPr>
        <w:t xml:space="preserve">nzări în mărime de </w:t>
      </w:r>
      <w:r w:rsidR="001C73EB" w:rsidRPr="00651044">
        <w:rPr>
          <w:sz w:val="28"/>
          <w:szCs w:val="28"/>
        </w:rPr>
        <w:t>7 292</w:t>
      </w:r>
      <w:r w:rsidR="008C0676" w:rsidRPr="00651044">
        <w:rPr>
          <w:sz w:val="28"/>
          <w:szCs w:val="28"/>
        </w:rPr>
        <w:t>,</w:t>
      </w:r>
      <w:r w:rsidR="001C73EB" w:rsidRPr="00651044">
        <w:rPr>
          <w:sz w:val="28"/>
          <w:szCs w:val="28"/>
        </w:rPr>
        <w:t>3</w:t>
      </w:r>
      <w:r w:rsidRPr="00651044">
        <w:rPr>
          <w:sz w:val="28"/>
          <w:szCs w:val="28"/>
        </w:rPr>
        <w:t xml:space="preserve"> mil. lei, cu </w:t>
      </w:r>
      <w:r w:rsidR="004C55AD" w:rsidRPr="00651044">
        <w:rPr>
          <w:sz w:val="28"/>
          <w:szCs w:val="28"/>
        </w:rPr>
        <w:t>537</w:t>
      </w:r>
      <w:r w:rsidR="008C0676" w:rsidRPr="00651044">
        <w:rPr>
          <w:sz w:val="28"/>
          <w:szCs w:val="28"/>
        </w:rPr>
        <w:t>,0 mil. lei mai mult dec</w:t>
      </w:r>
      <w:r w:rsidR="006E6FE5">
        <w:rPr>
          <w:sz w:val="28"/>
          <w:szCs w:val="28"/>
        </w:rPr>
        <w:t>î</w:t>
      </w:r>
      <w:r w:rsidRPr="00651044">
        <w:rPr>
          <w:sz w:val="28"/>
          <w:szCs w:val="28"/>
        </w:rPr>
        <w:t xml:space="preserve">t în </w:t>
      </w:r>
      <w:r w:rsidRPr="00651044">
        <w:rPr>
          <w:sz w:val="28"/>
          <w:szCs w:val="28"/>
        </w:rPr>
        <w:lastRenderedPageBreak/>
        <w:t>anul precedent</w:t>
      </w:r>
      <w:r w:rsidR="00604BA8" w:rsidRPr="00651044">
        <w:rPr>
          <w:sz w:val="28"/>
          <w:szCs w:val="28"/>
        </w:rPr>
        <w:t xml:space="preserve"> celui analizat</w:t>
      </w:r>
      <w:r w:rsidRPr="00651044">
        <w:rPr>
          <w:sz w:val="28"/>
          <w:szCs w:val="28"/>
        </w:rPr>
        <w:t xml:space="preserve">, iar societăţile pe acţiuni – </w:t>
      </w:r>
      <w:r w:rsidR="00EB09C9" w:rsidRPr="00651044">
        <w:rPr>
          <w:sz w:val="28"/>
          <w:szCs w:val="28"/>
        </w:rPr>
        <w:t>14 029,6</w:t>
      </w:r>
      <w:r w:rsidRPr="00651044">
        <w:rPr>
          <w:sz w:val="28"/>
          <w:szCs w:val="28"/>
        </w:rPr>
        <w:t xml:space="preserve"> mil. lei, cu </w:t>
      </w:r>
      <w:r w:rsidR="008465A8" w:rsidRPr="00651044">
        <w:rPr>
          <w:sz w:val="28"/>
          <w:szCs w:val="28"/>
        </w:rPr>
        <w:t xml:space="preserve">      </w:t>
      </w:r>
      <w:r w:rsidR="009C45E0" w:rsidRPr="00651044">
        <w:rPr>
          <w:sz w:val="28"/>
          <w:szCs w:val="28"/>
        </w:rPr>
        <w:t>3 929,9</w:t>
      </w:r>
      <w:r w:rsidRPr="00651044">
        <w:rPr>
          <w:sz w:val="28"/>
          <w:szCs w:val="28"/>
        </w:rPr>
        <w:t xml:space="preserve"> mil.</w:t>
      </w:r>
      <w:r w:rsidR="008804B3" w:rsidRPr="00651044">
        <w:rPr>
          <w:sz w:val="28"/>
          <w:szCs w:val="28"/>
        </w:rPr>
        <w:t xml:space="preserve"> lei mai mult dec</w:t>
      </w:r>
      <w:r w:rsidR="006E6FE5">
        <w:rPr>
          <w:sz w:val="28"/>
          <w:szCs w:val="28"/>
        </w:rPr>
        <w:t>î</w:t>
      </w:r>
      <w:r w:rsidR="00EB09C9" w:rsidRPr="00651044">
        <w:rPr>
          <w:sz w:val="28"/>
          <w:szCs w:val="28"/>
        </w:rPr>
        <w:t>t în anul 2014</w:t>
      </w:r>
      <w:r w:rsidRPr="00651044">
        <w:rPr>
          <w:sz w:val="28"/>
          <w:szCs w:val="28"/>
        </w:rPr>
        <w:t>.</w:t>
      </w:r>
    </w:p>
    <w:p w:rsidR="00AD31C8" w:rsidRPr="00651044" w:rsidRDefault="00AD31C8" w:rsidP="00AD31C8">
      <w:pPr>
        <w:spacing w:line="276" w:lineRule="auto"/>
        <w:ind w:firstLine="540"/>
        <w:jc w:val="both"/>
        <w:rPr>
          <w:sz w:val="28"/>
          <w:szCs w:val="28"/>
        </w:rPr>
      </w:pPr>
      <w:r w:rsidRPr="00651044">
        <w:rPr>
          <w:sz w:val="28"/>
          <w:szCs w:val="28"/>
        </w:rPr>
        <w:t>C</w:t>
      </w:r>
      <w:r w:rsidR="008804B3" w:rsidRPr="00651044">
        <w:rPr>
          <w:sz w:val="28"/>
          <w:szCs w:val="28"/>
        </w:rPr>
        <w:t>u toate acestea, se constată că</w:t>
      </w:r>
      <w:r w:rsidRPr="00651044">
        <w:rPr>
          <w:sz w:val="28"/>
          <w:szCs w:val="28"/>
        </w:rPr>
        <w:t xml:space="preserve"> în anul de gestiune, întreprinderile de stat au obţinut pierderi din activitatea operaţională în valoare de </w:t>
      </w:r>
      <w:r w:rsidR="001C73EB" w:rsidRPr="00651044">
        <w:rPr>
          <w:sz w:val="28"/>
          <w:szCs w:val="28"/>
        </w:rPr>
        <w:t>821</w:t>
      </w:r>
      <w:r w:rsidR="008804B3" w:rsidRPr="00651044">
        <w:rPr>
          <w:sz w:val="28"/>
          <w:szCs w:val="28"/>
        </w:rPr>
        <w:t>,</w:t>
      </w:r>
      <w:r w:rsidR="001C73EB" w:rsidRPr="00651044">
        <w:rPr>
          <w:sz w:val="28"/>
          <w:szCs w:val="28"/>
        </w:rPr>
        <w:t>8</w:t>
      </w:r>
      <w:r w:rsidRPr="00651044">
        <w:rPr>
          <w:sz w:val="28"/>
          <w:szCs w:val="28"/>
        </w:rPr>
        <w:t xml:space="preserve"> mil. lei, fapt care a condiţiona</w:t>
      </w:r>
      <w:r w:rsidR="008804B3" w:rsidRPr="00651044">
        <w:rPr>
          <w:sz w:val="28"/>
          <w:szCs w:val="28"/>
        </w:rPr>
        <w:t>t înregistrarea unei pierderi p</w:t>
      </w:r>
      <w:r w:rsidR="006E6FE5">
        <w:rPr>
          <w:sz w:val="28"/>
          <w:szCs w:val="28"/>
        </w:rPr>
        <w:t>î</w:t>
      </w:r>
      <w:r w:rsidRPr="00651044">
        <w:rPr>
          <w:sz w:val="28"/>
          <w:szCs w:val="28"/>
        </w:rPr>
        <w:t xml:space="preserve">nă la impozitare </w:t>
      </w:r>
      <w:r w:rsidR="00D67949" w:rsidRPr="00651044">
        <w:rPr>
          <w:sz w:val="28"/>
          <w:szCs w:val="28"/>
        </w:rPr>
        <w:t xml:space="preserve">în sumă </w:t>
      </w:r>
      <w:r w:rsidRPr="00651044">
        <w:rPr>
          <w:sz w:val="28"/>
          <w:szCs w:val="28"/>
        </w:rPr>
        <w:t xml:space="preserve">de </w:t>
      </w:r>
      <w:r w:rsidR="001C73EB" w:rsidRPr="00651044">
        <w:rPr>
          <w:sz w:val="28"/>
          <w:szCs w:val="28"/>
        </w:rPr>
        <w:t>687</w:t>
      </w:r>
      <w:r w:rsidR="008804B3" w:rsidRPr="00651044">
        <w:rPr>
          <w:sz w:val="28"/>
          <w:szCs w:val="28"/>
        </w:rPr>
        <w:t>,</w:t>
      </w:r>
      <w:r w:rsidR="001C73EB" w:rsidRPr="00651044">
        <w:rPr>
          <w:sz w:val="28"/>
          <w:szCs w:val="28"/>
        </w:rPr>
        <w:t>3</w:t>
      </w:r>
      <w:r w:rsidRPr="00651044">
        <w:rPr>
          <w:sz w:val="28"/>
          <w:szCs w:val="28"/>
        </w:rPr>
        <w:t xml:space="preserve"> mil. lei </w:t>
      </w:r>
      <w:r w:rsidR="008465A8" w:rsidRPr="00651044">
        <w:rPr>
          <w:sz w:val="28"/>
          <w:szCs w:val="28"/>
        </w:rPr>
        <w:t xml:space="preserve">    </w:t>
      </w:r>
      <w:r w:rsidRPr="00651044">
        <w:rPr>
          <w:sz w:val="28"/>
          <w:szCs w:val="28"/>
        </w:rPr>
        <w:t>(</w:t>
      </w:r>
      <w:r w:rsidR="003C4826" w:rsidRPr="00651044">
        <w:rPr>
          <w:sz w:val="28"/>
          <w:szCs w:val="28"/>
        </w:rPr>
        <w:t xml:space="preserve">cu </w:t>
      </w:r>
      <w:r w:rsidR="001C73EB" w:rsidRPr="00651044">
        <w:rPr>
          <w:sz w:val="28"/>
          <w:szCs w:val="28"/>
        </w:rPr>
        <w:t>385</w:t>
      </w:r>
      <w:r w:rsidR="008804B3" w:rsidRPr="00651044">
        <w:rPr>
          <w:sz w:val="28"/>
          <w:szCs w:val="28"/>
        </w:rPr>
        <w:t>,</w:t>
      </w:r>
      <w:r w:rsidR="001C73EB" w:rsidRPr="00651044">
        <w:rPr>
          <w:sz w:val="28"/>
          <w:szCs w:val="28"/>
        </w:rPr>
        <w:t>7</w:t>
      </w:r>
      <w:r w:rsidR="008804B3" w:rsidRPr="00651044">
        <w:rPr>
          <w:sz w:val="28"/>
          <w:szCs w:val="28"/>
        </w:rPr>
        <w:t xml:space="preserve"> mil. lei mai mult </w:t>
      </w:r>
      <w:r w:rsidR="003C4826" w:rsidRPr="00651044">
        <w:rPr>
          <w:sz w:val="28"/>
          <w:szCs w:val="28"/>
        </w:rPr>
        <w:t>fa</w:t>
      </w:r>
      <w:r w:rsidR="00253020" w:rsidRPr="00651044">
        <w:rPr>
          <w:sz w:val="28"/>
          <w:szCs w:val="28"/>
        </w:rPr>
        <w:t>ţ</w:t>
      </w:r>
      <w:r w:rsidR="003C4826" w:rsidRPr="00651044">
        <w:rPr>
          <w:sz w:val="28"/>
          <w:szCs w:val="28"/>
        </w:rPr>
        <w:t>ă de pierderea aferentă anului</w:t>
      </w:r>
      <w:r w:rsidR="008804B3" w:rsidRPr="00651044">
        <w:rPr>
          <w:sz w:val="28"/>
          <w:szCs w:val="28"/>
        </w:rPr>
        <w:t xml:space="preserve"> 2014</w:t>
      </w:r>
      <w:r w:rsidRPr="00651044">
        <w:rPr>
          <w:sz w:val="28"/>
          <w:szCs w:val="28"/>
        </w:rPr>
        <w:t xml:space="preserve">) şi respectiv a unei </w:t>
      </w:r>
      <w:r w:rsidR="003C4826" w:rsidRPr="00651044">
        <w:rPr>
          <w:sz w:val="28"/>
          <w:szCs w:val="28"/>
        </w:rPr>
        <w:t xml:space="preserve">pierderi nete în mărime de </w:t>
      </w:r>
      <w:r w:rsidR="001C73EB" w:rsidRPr="00651044">
        <w:rPr>
          <w:sz w:val="28"/>
          <w:szCs w:val="28"/>
        </w:rPr>
        <w:t>720</w:t>
      </w:r>
      <w:r w:rsidR="008804B3" w:rsidRPr="00651044">
        <w:rPr>
          <w:sz w:val="28"/>
          <w:szCs w:val="28"/>
        </w:rPr>
        <w:t>,</w:t>
      </w:r>
      <w:r w:rsidR="001C73EB" w:rsidRPr="00651044">
        <w:rPr>
          <w:sz w:val="28"/>
          <w:szCs w:val="28"/>
        </w:rPr>
        <w:t>3</w:t>
      </w:r>
      <w:r w:rsidRPr="00651044">
        <w:rPr>
          <w:sz w:val="28"/>
          <w:szCs w:val="28"/>
        </w:rPr>
        <w:t xml:space="preserve"> mil. lei.</w:t>
      </w:r>
    </w:p>
    <w:p w:rsidR="00AD31C8" w:rsidRPr="00651044" w:rsidRDefault="00AD31C8" w:rsidP="00AD31C8">
      <w:pPr>
        <w:spacing w:line="276" w:lineRule="auto"/>
        <w:ind w:firstLine="540"/>
        <w:jc w:val="both"/>
        <w:rPr>
          <w:sz w:val="28"/>
          <w:szCs w:val="28"/>
        </w:rPr>
      </w:pPr>
      <w:r w:rsidRPr="00651044">
        <w:rPr>
          <w:sz w:val="28"/>
          <w:szCs w:val="28"/>
        </w:rPr>
        <w:t>Deopotrivă, societăţile pe acţiuni au obţinut, din rezultatele anului 201</w:t>
      </w:r>
      <w:r w:rsidR="00EB09C9" w:rsidRPr="00651044">
        <w:rPr>
          <w:sz w:val="28"/>
          <w:szCs w:val="28"/>
        </w:rPr>
        <w:t>5</w:t>
      </w:r>
      <w:r w:rsidRPr="00651044">
        <w:rPr>
          <w:sz w:val="28"/>
          <w:szCs w:val="28"/>
        </w:rPr>
        <w:t xml:space="preserve">, </w:t>
      </w:r>
      <w:r w:rsidR="00EB09C9" w:rsidRPr="00651044">
        <w:rPr>
          <w:sz w:val="28"/>
          <w:szCs w:val="28"/>
        </w:rPr>
        <w:t>pierdere</w:t>
      </w:r>
      <w:r w:rsidRPr="00651044">
        <w:rPr>
          <w:sz w:val="28"/>
          <w:szCs w:val="28"/>
        </w:rPr>
        <w:t xml:space="preserve"> din activitatea operaţională în sumă de </w:t>
      </w:r>
      <w:r w:rsidR="00EB09C9" w:rsidRPr="00651044">
        <w:rPr>
          <w:sz w:val="28"/>
          <w:szCs w:val="28"/>
        </w:rPr>
        <w:t>357,3</w:t>
      </w:r>
      <w:r w:rsidRPr="00651044">
        <w:rPr>
          <w:sz w:val="28"/>
          <w:szCs w:val="28"/>
        </w:rPr>
        <w:t xml:space="preserve"> mil. lei (</w:t>
      </w:r>
      <w:r w:rsidR="00EB09C9" w:rsidRPr="00651044">
        <w:rPr>
          <w:sz w:val="28"/>
          <w:szCs w:val="28"/>
        </w:rPr>
        <w:t xml:space="preserve">comparativ cu profitul din activitatea operaţională înregistrat în anul 2014 în mărime de 122,4 mil. lei). Astfel, </w:t>
      </w:r>
      <w:r w:rsidRPr="00651044">
        <w:rPr>
          <w:sz w:val="28"/>
          <w:szCs w:val="28"/>
        </w:rPr>
        <w:t xml:space="preserve"> </w:t>
      </w:r>
      <w:r w:rsidR="00EB09C9" w:rsidRPr="00651044">
        <w:rPr>
          <w:sz w:val="28"/>
          <w:szCs w:val="28"/>
        </w:rPr>
        <w:t>societăţile supuse analizei au înregistrat per ansamblu în anul 2015 pierdere netă în mărime de 477,7 mil. lei spre deosebire de profitul net în valoare de 58,4 mil. lei aferent anului 2014.</w:t>
      </w:r>
    </w:p>
    <w:p w:rsidR="00AD31C8" w:rsidRPr="00651044" w:rsidRDefault="00AD31C8" w:rsidP="00AD31C8">
      <w:pPr>
        <w:spacing w:line="276" w:lineRule="auto"/>
        <w:ind w:firstLine="540"/>
        <w:jc w:val="both"/>
        <w:rPr>
          <w:color w:val="FF0000"/>
          <w:sz w:val="28"/>
          <w:szCs w:val="28"/>
        </w:rPr>
      </w:pPr>
      <w:r w:rsidRPr="00651044">
        <w:rPr>
          <w:sz w:val="28"/>
          <w:szCs w:val="28"/>
        </w:rPr>
        <w:t>În partea ce vizează datoriile, la situaţia din 31 decembrie 201</w:t>
      </w:r>
      <w:r w:rsidR="008804B3" w:rsidRPr="00651044">
        <w:rPr>
          <w:sz w:val="28"/>
          <w:szCs w:val="28"/>
        </w:rPr>
        <w:t>5</w:t>
      </w:r>
      <w:r w:rsidRPr="00651044">
        <w:rPr>
          <w:sz w:val="28"/>
          <w:szCs w:val="28"/>
        </w:rPr>
        <w:t xml:space="preserve">, datoriile întreprinderilor de stat constituie </w:t>
      </w:r>
      <w:r w:rsidR="009C5D06" w:rsidRPr="00651044">
        <w:rPr>
          <w:sz w:val="28"/>
          <w:szCs w:val="28"/>
        </w:rPr>
        <w:t>7 841</w:t>
      </w:r>
      <w:r w:rsidR="008804B3" w:rsidRPr="00651044">
        <w:rPr>
          <w:sz w:val="28"/>
          <w:szCs w:val="28"/>
        </w:rPr>
        <w:t>,</w:t>
      </w:r>
      <w:r w:rsidR="009C5D06" w:rsidRPr="00651044">
        <w:rPr>
          <w:sz w:val="28"/>
          <w:szCs w:val="28"/>
        </w:rPr>
        <w:t>1</w:t>
      </w:r>
      <w:r w:rsidRPr="00651044">
        <w:rPr>
          <w:sz w:val="28"/>
          <w:szCs w:val="28"/>
        </w:rPr>
        <w:t xml:space="preserve"> mil. lei (cu </w:t>
      </w:r>
      <w:r w:rsidR="009C5D06" w:rsidRPr="00651044">
        <w:rPr>
          <w:sz w:val="28"/>
          <w:szCs w:val="28"/>
        </w:rPr>
        <w:t>1 543,5</w:t>
      </w:r>
      <w:r w:rsidRPr="00651044">
        <w:rPr>
          <w:sz w:val="28"/>
          <w:szCs w:val="28"/>
        </w:rPr>
        <w:t xml:space="preserve"> mil. lei mai mult faţă de </w:t>
      </w:r>
      <w:r w:rsidR="008804B3" w:rsidRPr="00651044">
        <w:rPr>
          <w:sz w:val="28"/>
          <w:szCs w:val="28"/>
        </w:rPr>
        <w:t>începutul anului 2015</w:t>
      </w:r>
      <w:r w:rsidRPr="00651044">
        <w:rPr>
          <w:sz w:val="28"/>
          <w:szCs w:val="28"/>
        </w:rPr>
        <w:t xml:space="preserve">), iar datoriile societăţilor pe acţiuni – </w:t>
      </w:r>
      <w:r w:rsidR="00EB09C9" w:rsidRPr="00651044">
        <w:rPr>
          <w:sz w:val="28"/>
          <w:szCs w:val="28"/>
        </w:rPr>
        <w:t>7 221,1</w:t>
      </w:r>
      <w:r w:rsidRPr="00651044">
        <w:rPr>
          <w:sz w:val="28"/>
          <w:szCs w:val="28"/>
        </w:rPr>
        <w:t xml:space="preserve"> mil. lei</w:t>
      </w:r>
      <w:r w:rsidR="008465A8" w:rsidRPr="00651044">
        <w:rPr>
          <w:sz w:val="28"/>
          <w:szCs w:val="28"/>
        </w:rPr>
        <w:t xml:space="preserve">               </w:t>
      </w:r>
      <w:r w:rsidRPr="00651044">
        <w:rPr>
          <w:sz w:val="28"/>
          <w:szCs w:val="28"/>
        </w:rPr>
        <w:t xml:space="preserve"> (cu </w:t>
      </w:r>
      <w:r w:rsidR="00EB09C9" w:rsidRPr="00651044">
        <w:rPr>
          <w:sz w:val="28"/>
          <w:szCs w:val="28"/>
        </w:rPr>
        <w:t>791,2 mil. lei mai puţin</w:t>
      </w:r>
      <w:r w:rsidRPr="00651044">
        <w:rPr>
          <w:sz w:val="28"/>
          <w:szCs w:val="28"/>
        </w:rPr>
        <w:t xml:space="preserve"> faţă de </w:t>
      </w:r>
      <w:r w:rsidR="00EB09C9" w:rsidRPr="00651044">
        <w:rPr>
          <w:sz w:val="28"/>
          <w:szCs w:val="28"/>
        </w:rPr>
        <w:t>începutul anului 2015</w:t>
      </w:r>
      <w:r w:rsidRPr="00651044">
        <w:rPr>
          <w:sz w:val="28"/>
          <w:szCs w:val="28"/>
        </w:rPr>
        <w:t>).</w:t>
      </w:r>
    </w:p>
    <w:p w:rsidR="00AD31C8" w:rsidRPr="00651044" w:rsidRDefault="00AD31C8" w:rsidP="00AD31C8">
      <w:pPr>
        <w:spacing w:line="276" w:lineRule="auto"/>
        <w:ind w:firstLine="540"/>
        <w:jc w:val="both"/>
        <w:rPr>
          <w:sz w:val="28"/>
          <w:szCs w:val="28"/>
        </w:rPr>
      </w:pPr>
      <w:r w:rsidRPr="00651044">
        <w:rPr>
          <w:sz w:val="28"/>
          <w:szCs w:val="28"/>
        </w:rPr>
        <w:t xml:space="preserve">Referitor la relaţiile entităţilor economice cu bugetul public naţional, se menţionează că, la data raportării, datoriile întreprinderilor de stat faţă de bugetul public naţional au constituit </w:t>
      </w:r>
      <w:r w:rsidR="008804B3" w:rsidRPr="00651044">
        <w:rPr>
          <w:sz w:val="28"/>
          <w:szCs w:val="28"/>
        </w:rPr>
        <w:t>129,5</w:t>
      </w:r>
      <w:r w:rsidRPr="00651044">
        <w:rPr>
          <w:sz w:val="28"/>
          <w:szCs w:val="28"/>
        </w:rPr>
        <w:t xml:space="preserve"> mil. lei, iar a societăţilor pe acţiuni – </w:t>
      </w:r>
      <w:r w:rsidR="008804B3" w:rsidRPr="00651044">
        <w:rPr>
          <w:sz w:val="28"/>
          <w:szCs w:val="28"/>
        </w:rPr>
        <w:t>10,5</w:t>
      </w:r>
      <w:r w:rsidRPr="00651044">
        <w:rPr>
          <w:sz w:val="28"/>
          <w:szCs w:val="28"/>
        </w:rPr>
        <w:t xml:space="preserve"> mil. lei. Obligaţiile faţă de bugetul asigurărilor sociale de stat (întreprinderi de stat – </w:t>
      </w:r>
      <w:r w:rsidR="008465A8" w:rsidRPr="00651044">
        <w:rPr>
          <w:sz w:val="28"/>
          <w:szCs w:val="28"/>
        </w:rPr>
        <w:t xml:space="preserve">            </w:t>
      </w:r>
      <w:r w:rsidR="008804B3" w:rsidRPr="00651044">
        <w:rPr>
          <w:sz w:val="28"/>
          <w:szCs w:val="28"/>
        </w:rPr>
        <w:t>68,3</w:t>
      </w:r>
      <w:r w:rsidRPr="00651044">
        <w:rPr>
          <w:sz w:val="28"/>
          <w:szCs w:val="28"/>
        </w:rPr>
        <w:t xml:space="preserve"> mil. lei</w:t>
      </w:r>
      <w:r w:rsidR="008F5252" w:rsidRPr="00651044">
        <w:rPr>
          <w:sz w:val="28"/>
          <w:szCs w:val="28"/>
        </w:rPr>
        <w:t xml:space="preserve">, dintre care </w:t>
      </w:r>
      <w:r w:rsidR="008804B3" w:rsidRPr="00651044">
        <w:rPr>
          <w:sz w:val="28"/>
          <w:szCs w:val="28"/>
        </w:rPr>
        <w:t>36,4</w:t>
      </w:r>
      <w:r w:rsidR="008F5252" w:rsidRPr="00651044">
        <w:rPr>
          <w:sz w:val="28"/>
          <w:szCs w:val="28"/>
        </w:rPr>
        <w:t xml:space="preserve"> mil. lei – plă</w:t>
      </w:r>
      <w:r w:rsidR="005F5ABF" w:rsidRPr="00651044">
        <w:rPr>
          <w:sz w:val="28"/>
          <w:szCs w:val="28"/>
        </w:rPr>
        <w:t>ţ</w:t>
      </w:r>
      <w:r w:rsidR="008F5252" w:rsidRPr="00651044">
        <w:rPr>
          <w:sz w:val="28"/>
          <w:szCs w:val="28"/>
        </w:rPr>
        <w:t>i de bază</w:t>
      </w:r>
      <w:r w:rsidRPr="00651044">
        <w:rPr>
          <w:sz w:val="28"/>
          <w:szCs w:val="28"/>
        </w:rPr>
        <w:t xml:space="preserve">, societăţi pe acţiuni – </w:t>
      </w:r>
      <w:r w:rsidR="008804B3" w:rsidRPr="00651044">
        <w:rPr>
          <w:sz w:val="28"/>
          <w:szCs w:val="28"/>
        </w:rPr>
        <w:t>5,2</w:t>
      </w:r>
      <w:r w:rsidRPr="00651044">
        <w:rPr>
          <w:sz w:val="28"/>
          <w:szCs w:val="28"/>
        </w:rPr>
        <w:t xml:space="preserve"> mil. lei</w:t>
      </w:r>
      <w:r w:rsidR="008F5252" w:rsidRPr="00651044">
        <w:rPr>
          <w:sz w:val="28"/>
          <w:szCs w:val="28"/>
        </w:rPr>
        <w:t xml:space="preserve">, dintre care </w:t>
      </w:r>
      <w:r w:rsidR="008804B3" w:rsidRPr="00651044">
        <w:rPr>
          <w:sz w:val="28"/>
          <w:szCs w:val="28"/>
        </w:rPr>
        <w:t>3,0</w:t>
      </w:r>
      <w:r w:rsidR="008F5252" w:rsidRPr="00651044">
        <w:rPr>
          <w:sz w:val="28"/>
          <w:szCs w:val="28"/>
        </w:rPr>
        <w:t xml:space="preserve"> mil. lei – plă</w:t>
      </w:r>
      <w:r w:rsidR="005F5ABF" w:rsidRPr="00651044">
        <w:rPr>
          <w:sz w:val="28"/>
          <w:szCs w:val="28"/>
        </w:rPr>
        <w:t>ţ</w:t>
      </w:r>
      <w:r w:rsidR="008F5252" w:rsidRPr="00651044">
        <w:rPr>
          <w:sz w:val="28"/>
          <w:szCs w:val="28"/>
        </w:rPr>
        <w:t>i de bază</w:t>
      </w:r>
      <w:r w:rsidRPr="00651044">
        <w:rPr>
          <w:sz w:val="28"/>
          <w:szCs w:val="28"/>
        </w:rPr>
        <w:t>) includ şi plăţi al căror termen de achitare nu a parvenit.</w:t>
      </w:r>
    </w:p>
    <w:p w:rsidR="00AD31C8" w:rsidRPr="00651044" w:rsidRDefault="00AD31C8" w:rsidP="00AD31C8">
      <w:pPr>
        <w:spacing w:line="276" w:lineRule="auto"/>
        <w:ind w:firstLine="540"/>
        <w:jc w:val="both"/>
        <w:rPr>
          <w:sz w:val="28"/>
          <w:szCs w:val="28"/>
        </w:rPr>
      </w:pPr>
      <w:r w:rsidRPr="00651044">
        <w:rPr>
          <w:sz w:val="28"/>
          <w:szCs w:val="28"/>
        </w:rPr>
        <w:t xml:space="preserve">Achitările pe toate tipurile de impozite şi taxe ale întreprinderilor de stat faţă de bugetul public naţional, </w:t>
      </w:r>
      <w:r w:rsidR="00D67949" w:rsidRPr="00651044">
        <w:rPr>
          <w:sz w:val="28"/>
          <w:szCs w:val="28"/>
        </w:rPr>
        <w:t>în anul</w:t>
      </w:r>
      <w:r w:rsidRPr="00651044">
        <w:rPr>
          <w:sz w:val="28"/>
          <w:szCs w:val="28"/>
        </w:rPr>
        <w:t xml:space="preserve"> 201</w:t>
      </w:r>
      <w:r w:rsidR="008804B3" w:rsidRPr="00651044">
        <w:rPr>
          <w:sz w:val="28"/>
          <w:szCs w:val="28"/>
        </w:rPr>
        <w:t>5</w:t>
      </w:r>
      <w:r w:rsidRPr="00651044">
        <w:rPr>
          <w:sz w:val="28"/>
          <w:szCs w:val="28"/>
        </w:rPr>
        <w:t xml:space="preserve">, au constituit </w:t>
      </w:r>
      <w:r w:rsidR="008804B3" w:rsidRPr="00651044">
        <w:rPr>
          <w:sz w:val="28"/>
          <w:szCs w:val="28"/>
        </w:rPr>
        <w:t>1 191,2</w:t>
      </w:r>
      <w:r w:rsidRPr="00651044">
        <w:rPr>
          <w:sz w:val="28"/>
          <w:szCs w:val="28"/>
        </w:rPr>
        <w:t xml:space="preserve"> mil. lei, iar ale societăţilor pe acţiuni – </w:t>
      </w:r>
      <w:r w:rsidR="008804B3" w:rsidRPr="00651044">
        <w:rPr>
          <w:sz w:val="28"/>
          <w:szCs w:val="28"/>
        </w:rPr>
        <w:t>989,0</w:t>
      </w:r>
      <w:r w:rsidRPr="00651044">
        <w:rPr>
          <w:sz w:val="28"/>
          <w:szCs w:val="28"/>
        </w:rPr>
        <w:t xml:space="preserve"> mil. lei.</w:t>
      </w:r>
    </w:p>
    <w:p w:rsidR="00A33A74" w:rsidRPr="00651044" w:rsidRDefault="00A33A74" w:rsidP="00A33A74">
      <w:pPr>
        <w:pStyle w:val="BodyTextIndent2"/>
        <w:spacing w:line="276" w:lineRule="auto"/>
        <w:ind w:firstLine="539"/>
      </w:pPr>
      <w:r w:rsidRPr="00651044">
        <w:rPr>
          <w:szCs w:val="28"/>
        </w:rPr>
        <w:t xml:space="preserve">Suplimentar menţionăm că, la situaţia din 31.12.2015, Î.S. „Moldtranselectro” dispune de datorii pe împrumuturi recreditate din surse interne şi externe faţă de Ministerul Finanţelor, în mărime de 37,3 mil. lei şi 1,74 mil. dolari SUA şi </w:t>
      </w:r>
      <w:r w:rsidR="008465A8" w:rsidRPr="00651044">
        <w:rPr>
          <w:szCs w:val="28"/>
        </w:rPr>
        <w:t xml:space="preserve">               </w:t>
      </w:r>
      <w:r w:rsidRPr="00651044">
        <w:rPr>
          <w:szCs w:val="28"/>
        </w:rPr>
        <w:t>Î.S. „Moldelectrica” – 15,3 mil. dolari SUA. Totodată, Î.S. „Moldtranselectro” are datorie pe împrumutul extern acordat sub garanţia statului în mărime de 0,86 mil. dolari SUA.</w:t>
      </w:r>
    </w:p>
    <w:p w:rsidR="00A33A74" w:rsidRPr="00651044" w:rsidRDefault="00A33A74" w:rsidP="00A33A74">
      <w:pPr>
        <w:spacing w:line="276" w:lineRule="auto"/>
        <w:ind w:firstLine="567"/>
        <w:jc w:val="both"/>
        <w:rPr>
          <w:bCs/>
          <w:sz w:val="28"/>
          <w:szCs w:val="28"/>
        </w:rPr>
      </w:pPr>
      <w:r w:rsidRPr="00651044">
        <w:rPr>
          <w:sz w:val="28"/>
          <w:szCs w:val="28"/>
        </w:rPr>
        <w:t xml:space="preserve">De asemenea, un sold al împrumuturilor externe în sumă de 2,6 mil. lei se înregistrează la S.A. </w:t>
      </w:r>
      <w:r w:rsidRPr="00651044">
        <w:rPr>
          <w:bCs/>
          <w:sz w:val="28"/>
          <w:szCs w:val="28"/>
        </w:rPr>
        <w:t xml:space="preserve">„Combinatul de Vinuri Cricova” şi 55,3 mil. lei – la </w:t>
      </w:r>
      <w:r w:rsidR="008465A8" w:rsidRPr="00651044">
        <w:rPr>
          <w:bCs/>
          <w:sz w:val="28"/>
          <w:szCs w:val="28"/>
        </w:rPr>
        <w:t xml:space="preserve">                </w:t>
      </w:r>
      <w:r w:rsidRPr="00651044">
        <w:rPr>
          <w:bCs/>
          <w:sz w:val="28"/>
          <w:szCs w:val="28"/>
        </w:rPr>
        <w:t xml:space="preserve">S.A. „Moldtelecom”. </w:t>
      </w:r>
      <w:r w:rsidRPr="00651044">
        <w:rPr>
          <w:sz w:val="28"/>
          <w:szCs w:val="28"/>
        </w:rPr>
        <w:t xml:space="preserve">La situaţia din 31.12.2015, faţă de Ministerul Finanţelor, </w:t>
      </w:r>
      <w:r w:rsidR="008465A8" w:rsidRPr="00651044">
        <w:rPr>
          <w:sz w:val="28"/>
          <w:szCs w:val="28"/>
        </w:rPr>
        <w:t xml:space="preserve">       </w:t>
      </w:r>
      <w:r w:rsidRPr="00651044">
        <w:rPr>
          <w:sz w:val="28"/>
          <w:szCs w:val="28"/>
        </w:rPr>
        <w:t xml:space="preserve">S.A. „Termoelectrica” dispune de datorii pe împrumuturi recreditate din surse externe în mărime de 2,0 mil. dolari SUA. </w:t>
      </w:r>
    </w:p>
    <w:p w:rsidR="00A33A74" w:rsidRDefault="00A33A74" w:rsidP="00A33A74">
      <w:pPr>
        <w:pStyle w:val="BodyTextIndent2"/>
        <w:spacing w:line="276" w:lineRule="auto"/>
        <w:ind w:firstLine="539"/>
        <w:rPr>
          <w:szCs w:val="28"/>
        </w:rPr>
      </w:pPr>
      <w:r w:rsidRPr="00651044">
        <w:rPr>
          <w:szCs w:val="28"/>
        </w:rPr>
        <w:lastRenderedPageBreak/>
        <w:t xml:space="preserve">Neachitarea obligaţiilor faţă de instituţiile financiare pe creditele interne şi externe, precum şi cele acordate sub garanţia statului devine obligaţiune convenţională de stat, fapt ce creează o situaţie dificilă privind independenţa financiară a entităţilor economice. Totodată, neachitarea acestor obligaţiuni generează </w:t>
      </w:r>
      <w:r w:rsidRPr="00651044">
        <w:rPr>
          <w:i/>
          <w:szCs w:val="28"/>
        </w:rPr>
        <w:t>riscul financiar de stingere din contul surselor bugetului de stat</w:t>
      </w:r>
      <w:r w:rsidRPr="00651044">
        <w:rPr>
          <w:szCs w:val="28"/>
        </w:rPr>
        <w:t>.</w:t>
      </w:r>
    </w:p>
    <w:p w:rsidR="00572040" w:rsidRDefault="00572040" w:rsidP="00A33A74">
      <w:pPr>
        <w:pStyle w:val="BodyTextIndent2"/>
        <w:spacing w:line="276" w:lineRule="auto"/>
        <w:ind w:firstLine="539"/>
        <w:rPr>
          <w:szCs w:val="28"/>
        </w:rPr>
      </w:pPr>
    </w:p>
    <w:p w:rsidR="00572040" w:rsidRPr="00651044" w:rsidRDefault="00572040" w:rsidP="00A33A74">
      <w:pPr>
        <w:pStyle w:val="BodyTextIndent2"/>
        <w:spacing w:line="276" w:lineRule="auto"/>
        <w:ind w:firstLine="539"/>
        <w:rPr>
          <w:szCs w:val="28"/>
        </w:rPr>
      </w:pPr>
    </w:p>
    <w:p w:rsidR="00895280" w:rsidRPr="00651044" w:rsidRDefault="00895280" w:rsidP="00A854A6">
      <w:pPr>
        <w:numPr>
          <w:ilvl w:val="0"/>
          <w:numId w:val="12"/>
        </w:numPr>
        <w:ind w:left="0" w:firstLine="0"/>
        <w:jc w:val="both"/>
        <w:rPr>
          <w:b/>
          <w:i/>
          <w:sz w:val="28"/>
          <w:szCs w:val="28"/>
        </w:rPr>
      </w:pPr>
      <w:r w:rsidRPr="00651044">
        <w:rPr>
          <w:b/>
          <w:i/>
          <w:sz w:val="28"/>
          <w:szCs w:val="28"/>
        </w:rPr>
        <w:t>Notă analitică privind rezultatele monitoringului financiar al activităţii economico-financiare în semestrul I al anului 2016 a întreprinderilor de stat şi societăţilor comerciale cu capital integral sau majoritar de stat</w:t>
      </w:r>
    </w:p>
    <w:p w:rsidR="00895280" w:rsidRPr="00651044" w:rsidRDefault="00895280" w:rsidP="00895280">
      <w:pPr>
        <w:rPr>
          <w:b/>
          <w:i/>
          <w:sz w:val="32"/>
          <w:szCs w:val="32"/>
        </w:rPr>
      </w:pPr>
    </w:p>
    <w:p w:rsidR="00895280" w:rsidRPr="00651044" w:rsidRDefault="00895280" w:rsidP="00136F34">
      <w:pPr>
        <w:numPr>
          <w:ilvl w:val="0"/>
          <w:numId w:val="1"/>
        </w:numPr>
        <w:ind w:left="0" w:firstLine="0"/>
        <w:jc w:val="center"/>
        <w:rPr>
          <w:b/>
          <w:i/>
          <w:sz w:val="28"/>
          <w:szCs w:val="28"/>
        </w:rPr>
      </w:pPr>
      <w:r w:rsidRPr="00651044">
        <w:rPr>
          <w:b/>
          <w:i/>
          <w:sz w:val="28"/>
          <w:szCs w:val="28"/>
        </w:rPr>
        <w:t>Prezentare generală</w:t>
      </w:r>
    </w:p>
    <w:p w:rsidR="00895280" w:rsidRPr="00651044" w:rsidRDefault="00895280" w:rsidP="00895280">
      <w:pPr>
        <w:ind w:left="1135"/>
        <w:rPr>
          <w:b/>
          <w:i/>
          <w:sz w:val="28"/>
          <w:szCs w:val="28"/>
        </w:rPr>
      </w:pPr>
    </w:p>
    <w:p w:rsidR="00895280" w:rsidRPr="00651044" w:rsidRDefault="00895280" w:rsidP="00895280">
      <w:pPr>
        <w:spacing w:line="276" w:lineRule="auto"/>
        <w:ind w:firstLine="567"/>
        <w:jc w:val="both"/>
        <w:rPr>
          <w:sz w:val="28"/>
          <w:szCs w:val="28"/>
        </w:rPr>
      </w:pPr>
      <w:r w:rsidRPr="00651044">
        <w:rPr>
          <w:sz w:val="28"/>
          <w:szCs w:val="28"/>
        </w:rPr>
        <w:t xml:space="preserve">La situaţia din 30 iunie 2016, în Registrul patrimoniului public ţinut de către Agenţia Proprietăţii Publice subordonată Ministerului Economiei (în continuare – Agenția Proprietății Publice), sunt incluse 250 întreprinderi de stat, cu capital social în mărime de 6 412,6 mil. lei şi 108 societăţi comerciale cu capital de stat, capitalul social al cărora este în mărime de 5 371,6 mil. lei, din care proprietatea statului – </w:t>
      </w:r>
      <w:r w:rsidR="00A854A6">
        <w:rPr>
          <w:sz w:val="28"/>
          <w:szCs w:val="28"/>
        </w:rPr>
        <w:t xml:space="preserve">                 </w:t>
      </w:r>
      <w:r w:rsidRPr="00651044">
        <w:rPr>
          <w:sz w:val="28"/>
          <w:szCs w:val="28"/>
        </w:rPr>
        <w:t>3 879,3 mil. lei sau 72,2 la sută. Din numărul total al societăţilor comerciale, 69 societăţi comerciale deţin capital integral sau majoritar de stat în mărime de 3362,0 mil. lei, din care proprietatea statului – 3 227,3 mil. lei sau 96,0 la sută.</w:t>
      </w:r>
    </w:p>
    <w:p w:rsidR="00895280" w:rsidRPr="00651044" w:rsidRDefault="00895280" w:rsidP="00895280">
      <w:pPr>
        <w:spacing w:line="276" w:lineRule="auto"/>
        <w:ind w:firstLine="567"/>
        <w:jc w:val="both"/>
        <w:rPr>
          <w:sz w:val="28"/>
          <w:szCs w:val="28"/>
        </w:rPr>
      </w:pPr>
    </w:p>
    <w:p w:rsidR="00895280" w:rsidRPr="00651044" w:rsidRDefault="00895280" w:rsidP="00895280">
      <w:pPr>
        <w:spacing w:line="26" w:lineRule="atLeast"/>
        <w:jc w:val="right"/>
      </w:pPr>
      <w:r w:rsidRPr="00651044">
        <w:t>Tabelul 1.1</w:t>
      </w:r>
    </w:p>
    <w:p w:rsidR="00895280" w:rsidRPr="00651044" w:rsidRDefault="00895280" w:rsidP="00895280">
      <w:pPr>
        <w:pStyle w:val="NoSpacing"/>
        <w:jc w:val="center"/>
        <w:rPr>
          <w:b/>
          <w:i/>
          <w:sz w:val="22"/>
          <w:szCs w:val="22"/>
        </w:rPr>
      </w:pPr>
      <w:r w:rsidRPr="00651044">
        <w:rPr>
          <w:b/>
          <w:i/>
          <w:sz w:val="22"/>
          <w:szCs w:val="22"/>
        </w:rPr>
        <w:t>Structura proprietăţii statului în cadrul</w:t>
      </w:r>
    </w:p>
    <w:p w:rsidR="00895280" w:rsidRPr="00651044" w:rsidRDefault="00895280" w:rsidP="00895280">
      <w:pPr>
        <w:pStyle w:val="NoSpacing"/>
        <w:jc w:val="center"/>
        <w:rPr>
          <w:b/>
          <w:i/>
          <w:sz w:val="22"/>
          <w:szCs w:val="22"/>
        </w:rPr>
      </w:pPr>
      <w:r w:rsidRPr="00651044">
        <w:rPr>
          <w:b/>
          <w:i/>
          <w:sz w:val="22"/>
          <w:szCs w:val="22"/>
        </w:rPr>
        <w:t>societăţilor comerciale cu capital de stat</w:t>
      </w:r>
    </w:p>
    <w:p w:rsidR="00895280" w:rsidRPr="00651044" w:rsidRDefault="00895280" w:rsidP="00895280">
      <w:pPr>
        <w:pStyle w:val="NoSpacing"/>
        <w:spacing w:line="120" w:lineRule="auto"/>
        <w:jc w:val="center"/>
        <w:rPr>
          <w:b/>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536"/>
      </w:tblGrid>
      <w:tr w:rsidR="00895280" w:rsidRPr="00651044" w:rsidTr="00895280">
        <w:trPr>
          <w:jc w:val="center"/>
        </w:trPr>
        <w:tc>
          <w:tcPr>
            <w:tcW w:w="4219" w:type="dxa"/>
          </w:tcPr>
          <w:p w:rsidR="00895280" w:rsidRPr="00651044" w:rsidRDefault="00895280" w:rsidP="00895280">
            <w:pPr>
              <w:pStyle w:val="NoSpacing"/>
              <w:jc w:val="center"/>
              <w:rPr>
                <w:b/>
                <w:sz w:val="22"/>
                <w:szCs w:val="22"/>
              </w:rPr>
            </w:pPr>
            <w:r w:rsidRPr="00651044">
              <w:rPr>
                <w:b/>
                <w:sz w:val="22"/>
                <w:szCs w:val="22"/>
              </w:rPr>
              <w:t>Cota statului</w:t>
            </w:r>
          </w:p>
          <w:p w:rsidR="00895280" w:rsidRPr="00651044" w:rsidRDefault="00895280" w:rsidP="00895280">
            <w:pPr>
              <w:pStyle w:val="NoSpacing"/>
              <w:jc w:val="center"/>
              <w:rPr>
                <w:b/>
                <w:sz w:val="22"/>
                <w:szCs w:val="22"/>
              </w:rPr>
            </w:pPr>
            <w:r w:rsidRPr="00651044">
              <w:rPr>
                <w:b/>
                <w:sz w:val="22"/>
                <w:szCs w:val="22"/>
              </w:rPr>
              <w:t>în capitalul social, %</w:t>
            </w:r>
          </w:p>
        </w:tc>
        <w:tc>
          <w:tcPr>
            <w:tcW w:w="4536" w:type="dxa"/>
          </w:tcPr>
          <w:p w:rsidR="00895280" w:rsidRPr="00651044" w:rsidRDefault="00895280" w:rsidP="00895280">
            <w:pPr>
              <w:pStyle w:val="NoSpacing"/>
              <w:jc w:val="center"/>
              <w:rPr>
                <w:b/>
                <w:sz w:val="22"/>
                <w:szCs w:val="22"/>
              </w:rPr>
            </w:pPr>
            <w:r w:rsidRPr="00651044">
              <w:rPr>
                <w:b/>
                <w:sz w:val="22"/>
                <w:szCs w:val="22"/>
              </w:rPr>
              <w:t>Numărul</w:t>
            </w:r>
          </w:p>
          <w:p w:rsidR="00895280" w:rsidRPr="00651044" w:rsidRDefault="00895280" w:rsidP="00895280">
            <w:pPr>
              <w:pStyle w:val="NoSpacing"/>
              <w:jc w:val="center"/>
              <w:rPr>
                <w:b/>
                <w:sz w:val="22"/>
                <w:szCs w:val="22"/>
              </w:rPr>
            </w:pPr>
            <w:r w:rsidRPr="00651044">
              <w:rPr>
                <w:b/>
                <w:sz w:val="22"/>
                <w:szCs w:val="22"/>
              </w:rPr>
              <w:t>societăţilor comerciale</w:t>
            </w:r>
          </w:p>
        </w:tc>
      </w:tr>
      <w:tr w:rsidR="00895280" w:rsidRPr="00651044" w:rsidTr="00895280">
        <w:trPr>
          <w:trHeight w:val="227"/>
          <w:jc w:val="center"/>
        </w:trPr>
        <w:tc>
          <w:tcPr>
            <w:tcW w:w="4219" w:type="dxa"/>
          </w:tcPr>
          <w:p w:rsidR="00895280" w:rsidRPr="00651044" w:rsidRDefault="00895280" w:rsidP="00895280">
            <w:pPr>
              <w:pStyle w:val="NoSpacing"/>
              <w:jc w:val="center"/>
              <w:rPr>
                <w:sz w:val="22"/>
                <w:szCs w:val="22"/>
              </w:rPr>
            </w:pPr>
            <w:r w:rsidRPr="00651044">
              <w:rPr>
                <w:sz w:val="22"/>
                <w:szCs w:val="22"/>
              </w:rPr>
              <w:t>100,0</w:t>
            </w:r>
          </w:p>
        </w:tc>
        <w:tc>
          <w:tcPr>
            <w:tcW w:w="4536" w:type="dxa"/>
          </w:tcPr>
          <w:p w:rsidR="00895280" w:rsidRPr="00651044" w:rsidRDefault="00895280" w:rsidP="00895280">
            <w:pPr>
              <w:pStyle w:val="NoSpacing"/>
              <w:jc w:val="center"/>
              <w:rPr>
                <w:sz w:val="22"/>
                <w:szCs w:val="22"/>
              </w:rPr>
            </w:pPr>
            <w:r w:rsidRPr="00651044">
              <w:rPr>
                <w:sz w:val="22"/>
                <w:szCs w:val="22"/>
              </w:rPr>
              <w:t>24</w:t>
            </w:r>
          </w:p>
        </w:tc>
      </w:tr>
      <w:tr w:rsidR="00895280" w:rsidRPr="00651044" w:rsidTr="00895280">
        <w:trPr>
          <w:trHeight w:val="259"/>
          <w:jc w:val="center"/>
        </w:trPr>
        <w:tc>
          <w:tcPr>
            <w:tcW w:w="4219" w:type="dxa"/>
          </w:tcPr>
          <w:p w:rsidR="00895280" w:rsidRPr="00651044" w:rsidRDefault="00895280" w:rsidP="00895280">
            <w:pPr>
              <w:pStyle w:val="NoSpacing"/>
              <w:jc w:val="center"/>
              <w:rPr>
                <w:sz w:val="22"/>
                <w:szCs w:val="22"/>
              </w:rPr>
            </w:pPr>
            <w:r w:rsidRPr="00651044">
              <w:rPr>
                <w:sz w:val="22"/>
                <w:szCs w:val="22"/>
              </w:rPr>
              <w:t>75,0 – 99,9</w:t>
            </w:r>
          </w:p>
        </w:tc>
        <w:tc>
          <w:tcPr>
            <w:tcW w:w="4536" w:type="dxa"/>
          </w:tcPr>
          <w:p w:rsidR="00895280" w:rsidRPr="00651044" w:rsidRDefault="00895280" w:rsidP="00895280">
            <w:pPr>
              <w:pStyle w:val="NoSpacing"/>
              <w:jc w:val="center"/>
              <w:rPr>
                <w:sz w:val="22"/>
                <w:szCs w:val="22"/>
              </w:rPr>
            </w:pPr>
            <w:r w:rsidRPr="00651044">
              <w:rPr>
                <w:sz w:val="22"/>
                <w:szCs w:val="22"/>
              </w:rPr>
              <w:t>29</w:t>
            </w:r>
          </w:p>
        </w:tc>
      </w:tr>
      <w:tr w:rsidR="00895280" w:rsidRPr="00651044" w:rsidTr="00895280">
        <w:trPr>
          <w:trHeight w:val="263"/>
          <w:jc w:val="center"/>
        </w:trPr>
        <w:tc>
          <w:tcPr>
            <w:tcW w:w="4219" w:type="dxa"/>
          </w:tcPr>
          <w:p w:rsidR="00895280" w:rsidRPr="00651044" w:rsidRDefault="00895280" w:rsidP="00895280">
            <w:pPr>
              <w:pStyle w:val="NoSpacing"/>
              <w:jc w:val="center"/>
              <w:rPr>
                <w:sz w:val="22"/>
                <w:szCs w:val="22"/>
              </w:rPr>
            </w:pPr>
            <w:r w:rsidRPr="00651044">
              <w:rPr>
                <w:sz w:val="22"/>
                <w:szCs w:val="22"/>
              </w:rPr>
              <w:t>50,0 – 74,9</w:t>
            </w:r>
          </w:p>
        </w:tc>
        <w:tc>
          <w:tcPr>
            <w:tcW w:w="4536" w:type="dxa"/>
          </w:tcPr>
          <w:p w:rsidR="00895280" w:rsidRPr="00651044" w:rsidRDefault="00895280" w:rsidP="00895280">
            <w:pPr>
              <w:pStyle w:val="NoSpacing"/>
              <w:jc w:val="center"/>
              <w:rPr>
                <w:sz w:val="22"/>
                <w:szCs w:val="22"/>
              </w:rPr>
            </w:pPr>
            <w:r w:rsidRPr="00651044">
              <w:rPr>
                <w:sz w:val="22"/>
                <w:szCs w:val="22"/>
              </w:rPr>
              <w:t>16</w:t>
            </w:r>
          </w:p>
        </w:tc>
      </w:tr>
      <w:tr w:rsidR="00895280" w:rsidRPr="00651044" w:rsidTr="00895280">
        <w:trPr>
          <w:trHeight w:val="267"/>
          <w:jc w:val="center"/>
        </w:trPr>
        <w:tc>
          <w:tcPr>
            <w:tcW w:w="4219" w:type="dxa"/>
          </w:tcPr>
          <w:p w:rsidR="00895280" w:rsidRPr="00651044" w:rsidRDefault="00895280" w:rsidP="00895280">
            <w:pPr>
              <w:pStyle w:val="NoSpacing"/>
              <w:jc w:val="center"/>
              <w:rPr>
                <w:sz w:val="22"/>
                <w:szCs w:val="22"/>
              </w:rPr>
            </w:pPr>
            <w:r w:rsidRPr="00651044">
              <w:rPr>
                <w:sz w:val="22"/>
                <w:szCs w:val="22"/>
              </w:rPr>
              <w:t>25,0 – 49,9</w:t>
            </w:r>
          </w:p>
        </w:tc>
        <w:tc>
          <w:tcPr>
            <w:tcW w:w="4536" w:type="dxa"/>
          </w:tcPr>
          <w:p w:rsidR="00895280" w:rsidRPr="00651044" w:rsidRDefault="00895280" w:rsidP="00895280">
            <w:pPr>
              <w:pStyle w:val="NoSpacing"/>
              <w:jc w:val="center"/>
              <w:rPr>
                <w:sz w:val="22"/>
                <w:szCs w:val="22"/>
              </w:rPr>
            </w:pPr>
            <w:r w:rsidRPr="00651044">
              <w:rPr>
                <w:sz w:val="22"/>
                <w:szCs w:val="22"/>
              </w:rPr>
              <w:t>14</w:t>
            </w:r>
          </w:p>
        </w:tc>
      </w:tr>
      <w:tr w:rsidR="00895280" w:rsidRPr="00651044" w:rsidTr="00895280">
        <w:trPr>
          <w:trHeight w:val="285"/>
          <w:jc w:val="center"/>
        </w:trPr>
        <w:tc>
          <w:tcPr>
            <w:tcW w:w="4219" w:type="dxa"/>
          </w:tcPr>
          <w:p w:rsidR="00895280" w:rsidRPr="00651044" w:rsidRDefault="00895280" w:rsidP="00895280">
            <w:pPr>
              <w:pStyle w:val="NoSpacing"/>
              <w:jc w:val="center"/>
              <w:rPr>
                <w:sz w:val="22"/>
                <w:szCs w:val="22"/>
              </w:rPr>
            </w:pPr>
            <w:r w:rsidRPr="00651044">
              <w:rPr>
                <w:sz w:val="22"/>
                <w:szCs w:val="22"/>
              </w:rPr>
              <w:t>10,0 – 24,9</w:t>
            </w:r>
          </w:p>
        </w:tc>
        <w:tc>
          <w:tcPr>
            <w:tcW w:w="4536" w:type="dxa"/>
          </w:tcPr>
          <w:p w:rsidR="00895280" w:rsidRPr="00651044" w:rsidRDefault="00895280" w:rsidP="00895280">
            <w:pPr>
              <w:pStyle w:val="NoSpacing"/>
              <w:jc w:val="center"/>
              <w:rPr>
                <w:sz w:val="22"/>
                <w:szCs w:val="22"/>
              </w:rPr>
            </w:pPr>
            <w:r w:rsidRPr="00651044">
              <w:rPr>
                <w:sz w:val="22"/>
                <w:szCs w:val="22"/>
              </w:rPr>
              <w:t>6</w:t>
            </w:r>
          </w:p>
        </w:tc>
      </w:tr>
      <w:tr w:rsidR="00895280" w:rsidRPr="00651044" w:rsidTr="00895280">
        <w:trPr>
          <w:jc w:val="center"/>
        </w:trPr>
        <w:tc>
          <w:tcPr>
            <w:tcW w:w="4219" w:type="dxa"/>
          </w:tcPr>
          <w:p w:rsidR="00895280" w:rsidRPr="00651044" w:rsidRDefault="00895280" w:rsidP="00895280">
            <w:pPr>
              <w:pStyle w:val="NoSpacing"/>
              <w:jc w:val="center"/>
              <w:rPr>
                <w:sz w:val="22"/>
                <w:szCs w:val="22"/>
              </w:rPr>
            </w:pPr>
            <w:r w:rsidRPr="00651044">
              <w:rPr>
                <w:sz w:val="22"/>
                <w:szCs w:val="22"/>
              </w:rPr>
              <w:t>pînă la 9,9</w:t>
            </w:r>
          </w:p>
        </w:tc>
        <w:tc>
          <w:tcPr>
            <w:tcW w:w="4536" w:type="dxa"/>
          </w:tcPr>
          <w:p w:rsidR="00895280" w:rsidRPr="00651044" w:rsidRDefault="00895280" w:rsidP="00895280">
            <w:pPr>
              <w:pStyle w:val="NoSpacing"/>
              <w:jc w:val="center"/>
              <w:rPr>
                <w:sz w:val="22"/>
                <w:szCs w:val="22"/>
              </w:rPr>
            </w:pPr>
            <w:r w:rsidRPr="00651044">
              <w:rPr>
                <w:sz w:val="22"/>
                <w:szCs w:val="22"/>
              </w:rPr>
              <w:t>19</w:t>
            </w:r>
          </w:p>
        </w:tc>
      </w:tr>
    </w:tbl>
    <w:p w:rsidR="00895280" w:rsidRPr="00651044" w:rsidRDefault="00895280" w:rsidP="00895280">
      <w:pPr>
        <w:ind w:firstLine="539"/>
        <w:jc w:val="both"/>
        <w:rPr>
          <w:color w:val="FF0000"/>
        </w:rPr>
      </w:pPr>
    </w:p>
    <w:p w:rsidR="00895280" w:rsidRPr="00651044" w:rsidRDefault="00895280" w:rsidP="00895280">
      <w:pPr>
        <w:spacing w:line="276" w:lineRule="auto"/>
        <w:ind w:firstLine="539"/>
        <w:jc w:val="both"/>
        <w:rPr>
          <w:sz w:val="28"/>
          <w:szCs w:val="28"/>
        </w:rPr>
      </w:pPr>
      <w:r w:rsidRPr="00651044">
        <w:rPr>
          <w:sz w:val="28"/>
          <w:szCs w:val="28"/>
        </w:rPr>
        <w:t>Din numărul total de entităţi economice cu capital de stat, 7 întreprinderi de stat se află pe teritoriul Ucrainei, iar 3 întreprinderi de stat şi 1 societate comercială cu capital de stat – pe teritoriul UTA Găgăuzia.</w:t>
      </w:r>
    </w:p>
    <w:p w:rsidR="00895280" w:rsidRPr="00651044" w:rsidRDefault="00895280" w:rsidP="00895280">
      <w:pPr>
        <w:spacing w:line="276" w:lineRule="auto"/>
        <w:ind w:firstLine="539"/>
        <w:jc w:val="both"/>
        <w:rPr>
          <w:sz w:val="28"/>
          <w:szCs w:val="28"/>
        </w:rPr>
      </w:pPr>
      <w:r w:rsidRPr="00651044">
        <w:rPr>
          <w:sz w:val="28"/>
          <w:szCs w:val="28"/>
        </w:rPr>
        <w:t xml:space="preserve">Procedura lichidării şi </w:t>
      </w:r>
      <w:r w:rsidR="00A854A6">
        <w:rPr>
          <w:sz w:val="28"/>
          <w:szCs w:val="28"/>
        </w:rPr>
        <w:t>insolvabilității</w:t>
      </w:r>
      <w:r w:rsidRPr="00651044">
        <w:rPr>
          <w:sz w:val="28"/>
          <w:szCs w:val="28"/>
        </w:rPr>
        <w:t xml:space="preserve"> este aplicată faţă de 27 întreprinderi de stat şi 37 societăţi comerciale</w:t>
      </w:r>
      <w:r w:rsidRPr="00651044">
        <w:rPr>
          <w:color w:val="FF0000"/>
          <w:sz w:val="28"/>
          <w:szCs w:val="28"/>
        </w:rPr>
        <w:t xml:space="preserve"> </w:t>
      </w:r>
      <w:r w:rsidRPr="00651044">
        <w:rPr>
          <w:sz w:val="28"/>
          <w:szCs w:val="28"/>
        </w:rPr>
        <w:t xml:space="preserve">(inclusiv 20 societăţi comerciale cu cotă majoritară a statului în capitalul social), conform prevederilor Codului Civil nr. 1107-XV din 06 iunie 2002 şi Legii insolvabilităţii nr. 149 din 29 iunie 2012. </w:t>
      </w:r>
    </w:p>
    <w:p w:rsidR="00895280" w:rsidRPr="00651044" w:rsidRDefault="00895280" w:rsidP="00895280">
      <w:pPr>
        <w:spacing w:line="276" w:lineRule="auto"/>
        <w:ind w:firstLine="539"/>
        <w:jc w:val="both"/>
        <w:rPr>
          <w:sz w:val="28"/>
          <w:szCs w:val="28"/>
        </w:rPr>
      </w:pPr>
      <w:r w:rsidRPr="00651044">
        <w:rPr>
          <w:sz w:val="28"/>
          <w:szCs w:val="28"/>
        </w:rPr>
        <w:t>Din totalul entităţilor economice incluse în Registrul patrimoniului public, nu au fost supuse monitoringului financiar 21 întreprinderi de stat şi</w:t>
      </w:r>
      <w:r w:rsidRPr="00651044">
        <w:rPr>
          <w:color w:val="FF0000"/>
          <w:sz w:val="28"/>
          <w:szCs w:val="28"/>
        </w:rPr>
        <w:t xml:space="preserve"> </w:t>
      </w:r>
      <w:r w:rsidRPr="00651044">
        <w:rPr>
          <w:sz w:val="28"/>
          <w:szCs w:val="28"/>
        </w:rPr>
        <w:t>15 societăţi comerciale</w:t>
      </w:r>
      <w:r w:rsidRPr="00651044">
        <w:rPr>
          <w:color w:val="FF0000"/>
          <w:sz w:val="28"/>
          <w:szCs w:val="28"/>
        </w:rPr>
        <w:t xml:space="preserve"> </w:t>
      </w:r>
      <w:r w:rsidRPr="00651044">
        <w:rPr>
          <w:sz w:val="28"/>
          <w:szCs w:val="28"/>
        </w:rPr>
        <w:lastRenderedPageBreak/>
        <w:t xml:space="preserve">(inclusiv 11 societăţi comerciale cu capital integral sau majoritar de stat), care sunt înregistrate la </w:t>
      </w:r>
      <w:r w:rsidR="00A854A6">
        <w:rPr>
          <w:sz w:val="28"/>
          <w:szCs w:val="28"/>
        </w:rPr>
        <w:t>Î.S. „</w:t>
      </w:r>
      <w:r w:rsidRPr="00651044">
        <w:rPr>
          <w:sz w:val="28"/>
          <w:szCs w:val="28"/>
        </w:rPr>
        <w:t>Camera Înregistrării de Stat</w:t>
      </w:r>
      <w:r w:rsidR="00A854A6">
        <w:rPr>
          <w:sz w:val="28"/>
          <w:szCs w:val="28"/>
        </w:rPr>
        <w:t>”</w:t>
      </w:r>
      <w:r w:rsidRPr="00651044">
        <w:rPr>
          <w:sz w:val="28"/>
          <w:szCs w:val="28"/>
        </w:rPr>
        <w:t xml:space="preserve">, dar nu desfăşoară activitate. </w:t>
      </w:r>
    </w:p>
    <w:p w:rsidR="00895280" w:rsidRPr="00651044" w:rsidRDefault="00895280" w:rsidP="00895280">
      <w:pPr>
        <w:spacing w:line="276" w:lineRule="auto"/>
        <w:ind w:firstLine="539"/>
        <w:jc w:val="both"/>
        <w:rPr>
          <w:color w:val="FF0000"/>
          <w:sz w:val="28"/>
          <w:szCs w:val="28"/>
        </w:rPr>
      </w:pPr>
      <w:r w:rsidRPr="00651044">
        <w:rPr>
          <w:sz w:val="28"/>
          <w:szCs w:val="28"/>
        </w:rPr>
        <w:t>La situaţia din 30 iunie 2016, Lista întreprinderilor de stat şi a societăţilor comerciale cu capital integral sau majoritar de stat, monitorizate de către Ministerul Finanţelor, include 192 întreprinderi de stat cu capital social în mărime de 6 133,6 mil. lei şi 38 societăţi comerciale cu capital integral sau majoritar de stat în mărime de 3 051,4 mil. lei, din care proprietatea statului – 2 961,3 mil. lei sau 97,0 la sută.</w:t>
      </w:r>
      <w:r w:rsidRPr="00651044">
        <w:rPr>
          <w:color w:val="FF0000"/>
          <w:sz w:val="28"/>
          <w:szCs w:val="28"/>
        </w:rPr>
        <w:t xml:space="preserve"> </w:t>
      </w:r>
    </w:p>
    <w:p w:rsidR="00895280" w:rsidRPr="00651044" w:rsidRDefault="00763829" w:rsidP="00895280">
      <w:pPr>
        <w:pStyle w:val="BodyText"/>
        <w:jc w:val="center"/>
        <w:rPr>
          <w:color w:val="FF0000"/>
          <w:szCs w:val="28"/>
          <w:highlight w:val="yellow"/>
        </w:rPr>
      </w:pPr>
      <w:r>
        <w:rPr>
          <w:noProof/>
          <w:color w:val="FF0000"/>
          <w:szCs w:val="28"/>
          <w:lang w:val="ru-RU"/>
        </w:rPr>
        <w:drawing>
          <wp:inline distT="0" distB="0" distL="0" distR="0">
            <wp:extent cx="2895600" cy="1481455"/>
            <wp:effectExtent l="0" t="0" r="0" b="0"/>
            <wp:docPr id="23"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895280" w:rsidRPr="00651044" w:rsidRDefault="00895280" w:rsidP="00895280">
      <w:pPr>
        <w:jc w:val="center"/>
        <w:rPr>
          <w:b/>
          <w:i/>
        </w:rPr>
      </w:pPr>
      <w:r w:rsidRPr="00651044">
        <w:rPr>
          <w:b/>
          <w:i/>
        </w:rPr>
        <w:t>Figura 1.1. Structura proprietăţii statului</w:t>
      </w:r>
    </w:p>
    <w:p w:rsidR="00895280" w:rsidRPr="00651044" w:rsidRDefault="00895280" w:rsidP="00895280">
      <w:pPr>
        <w:jc w:val="center"/>
        <w:rPr>
          <w:b/>
          <w:i/>
          <w:color w:val="FF0000"/>
        </w:rPr>
      </w:pPr>
    </w:p>
    <w:p w:rsidR="00A23F03" w:rsidRPr="00651044" w:rsidRDefault="00A23F03" w:rsidP="00895280">
      <w:pPr>
        <w:tabs>
          <w:tab w:val="left" w:pos="567"/>
        </w:tabs>
        <w:spacing w:line="276" w:lineRule="auto"/>
        <w:jc w:val="both"/>
        <w:rPr>
          <w:sz w:val="28"/>
          <w:szCs w:val="28"/>
        </w:rPr>
      </w:pPr>
      <w:r w:rsidRPr="00651044">
        <w:rPr>
          <w:sz w:val="28"/>
          <w:szCs w:val="28"/>
        </w:rPr>
        <w:tab/>
      </w:r>
      <w:r w:rsidR="00895280" w:rsidRPr="00651044">
        <w:rPr>
          <w:sz w:val="28"/>
          <w:szCs w:val="28"/>
        </w:rPr>
        <w:t>Concomitent, în perioada de raportare, din numărul total al entităţilor economice incluse în lista prenotată, 43 întreprinderi de stat şi 6 societăţi comerciale cu capital integral sau majoritar de stat nu au fost supuse monitorizării financiare întrucît fie nu au prezentat rapoartele statistice trimestriale în modul stabilit de legislaţia în vigoare, fie nu au fost incluse în sfera de cercetare efectuată în conformitate cu criteriile stabilite de Biroul Naţional de Statistică.</w:t>
      </w:r>
    </w:p>
    <w:p w:rsidR="00A23F03" w:rsidRPr="00651044" w:rsidRDefault="00A23F03" w:rsidP="00895280">
      <w:pPr>
        <w:tabs>
          <w:tab w:val="left" w:pos="567"/>
        </w:tabs>
        <w:spacing w:line="276" w:lineRule="auto"/>
        <w:jc w:val="both"/>
        <w:rPr>
          <w:sz w:val="28"/>
          <w:szCs w:val="28"/>
        </w:rPr>
      </w:pPr>
      <w:r w:rsidRPr="00651044">
        <w:rPr>
          <w:sz w:val="28"/>
          <w:szCs w:val="28"/>
        </w:rPr>
        <w:tab/>
      </w:r>
      <w:r w:rsidR="00895280" w:rsidRPr="00651044">
        <w:rPr>
          <w:sz w:val="28"/>
          <w:szCs w:val="28"/>
        </w:rPr>
        <w:t xml:space="preserve">Astfel, luînd în considerare cele enumerate anterior, se menţionează că, în perioada analizată, au fost supuse monitorizării financiare de facto 149 întreprinderi de stat şi 32 societăţi comerciale cu capital integral sau majoritar de stat, inclusiv </w:t>
      </w:r>
      <w:r w:rsidRPr="00651044">
        <w:rPr>
          <w:sz w:val="28"/>
          <w:szCs w:val="28"/>
        </w:rPr>
        <w:t xml:space="preserve">                    </w:t>
      </w:r>
      <w:r w:rsidR="00895280" w:rsidRPr="00651044">
        <w:rPr>
          <w:sz w:val="28"/>
          <w:szCs w:val="28"/>
        </w:rPr>
        <w:t>11</w:t>
      </w:r>
      <w:r w:rsidR="00895280" w:rsidRPr="00651044">
        <w:rPr>
          <w:color w:val="FF0000"/>
          <w:sz w:val="28"/>
          <w:szCs w:val="28"/>
        </w:rPr>
        <w:t xml:space="preserve"> </w:t>
      </w:r>
      <w:r w:rsidR="00895280" w:rsidRPr="00651044">
        <w:rPr>
          <w:sz w:val="28"/>
          <w:szCs w:val="28"/>
        </w:rPr>
        <w:t xml:space="preserve">societăţi comerciale cu capital integral de stat, care au prezentat rapoartele statistice trimestriale Biroului Naţional de Statistică şi au fost incluse în sfera de cercetare. </w:t>
      </w:r>
    </w:p>
    <w:p w:rsidR="00A23F03" w:rsidRPr="00651044" w:rsidRDefault="00A23F03" w:rsidP="00A23F03">
      <w:pPr>
        <w:tabs>
          <w:tab w:val="left" w:pos="567"/>
        </w:tabs>
        <w:spacing w:line="276" w:lineRule="auto"/>
        <w:jc w:val="both"/>
        <w:rPr>
          <w:sz w:val="28"/>
          <w:szCs w:val="28"/>
        </w:rPr>
      </w:pPr>
      <w:r w:rsidRPr="00651044">
        <w:rPr>
          <w:sz w:val="28"/>
          <w:szCs w:val="28"/>
        </w:rPr>
        <w:tab/>
      </w:r>
      <w:r w:rsidR="00895280" w:rsidRPr="00651044">
        <w:rPr>
          <w:sz w:val="28"/>
          <w:szCs w:val="28"/>
        </w:rPr>
        <w:t>Monitoringul activităţii economico-financiare a întreprinderilor de stat şi societăţilor comerciale cu capital integral sau majoritar de stat în semestrul I al anului 2016 a fost efectuat în baza</w:t>
      </w:r>
      <w:r w:rsidRPr="00651044">
        <w:rPr>
          <w:sz w:val="28"/>
          <w:szCs w:val="28"/>
        </w:rPr>
        <w:t xml:space="preserve"> datelor cu</w:t>
      </w:r>
      <w:r w:rsidR="00895280" w:rsidRPr="00651044">
        <w:rPr>
          <w:sz w:val="28"/>
          <w:szCs w:val="28"/>
        </w:rPr>
        <w:t>mulate din raportul „Cercetare statistică trimestrială Nr. 5-CI „Consumurile, cheltuielile şi investiţiile întreprinderii” pentru trimestrul I și trimestrul II al anul</w:t>
      </w:r>
      <w:r w:rsidRPr="00651044">
        <w:rPr>
          <w:sz w:val="28"/>
          <w:szCs w:val="28"/>
        </w:rPr>
        <w:t>u</w:t>
      </w:r>
      <w:r w:rsidR="00895280" w:rsidRPr="00651044">
        <w:rPr>
          <w:sz w:val="28"/>
          <w:szCs w:val="28"/>
        </w:rPr>
        <w:t>i 2016, prezentat de către Biroul Naţional de Statistică, datelor Serviciului Fiscal de Stat cu privire la obligaţiile fiscale (calculate, achitate şi restanţele admise), precum şi datelor cu privire la datoria</w:t>
      </w:r>
      <w:r w:rsidR="00A854A6">
        <w:rPr>
          <w:sz w:val="28"/>
          <w:szCs w:val="28"/>
        </w:rPr>
        <w:t xml:space="preserve"> sectorului public</w:t>
      </w:r>
      <w:r w:rsidR="00895280" w:rsidRPr="00651044">
        <w:rPr>
          <w:sz w:val="28"/>
          <w:szCs w:val="28"/>
        </w:rPr>
        <w:t>, monitorizată de către Ministerul Finanţelor conform art.12 din Legea nr.419-XVI din 22 decembrie 2006 cu privire la datoria sectorului public, garanţiile de stat şi recreditarea de stat.</w:t>
      </w:r>
    </w:p>
    <w:p w:rsidR="00A23F03" w:rsidRPr="00651044" w:rsidRDefault="00A23F03" w:rsidP="00A23F03">
      <w:pPr>
        <w:tabs>
          <w:tab w:val="left" w:pos="567"/>
        </w:tabs>
        <w:spacing w:line="276" w:lineRule="auto"/>
        <w:jc w:val="both"/>
        <w:rPr>
          <w:sz w:val="28"/>
          <w:szCs w:val="28"/>
        </w:rPr>
      </w:pPr>
      <w:r w:rsidRPr="00651044">
        <w:rPr>
          <w:sz w:val="28"/>
          <w:szCs w:val="28"/>
        </w:rPr>
        <w:tab/>
      </w:r>
      <w:r w:rsidR="00895280" w:rsidRPr="00651044">
        <w:rPr>
          <w:sz w:val="28"/>
          <w:szCs w:val="28"/>
        </w:rPr>
        <w:t xml:space="preserve">La studierea rezultatelor monitoringului financiar al întreprinderilor de stat şi societăţilor comerciale cu capital integral sau majoritar de stat, urmează a se ţine cont de faptul că, unele din entităţile economice nu au fost supuse monitorizării financiare </w:t>
      </w:r>
      <w:r w:rsidR="00895280" w:rsidRPr="00651044">
        <w:rPr>
          <w:sz w:val="28"/>
          <w:szCs w:val="28"/>
        </w:rPr>
        <w:lastRenderedPageBreak/>
        <w:t xml:space="preserve">pentru semestrul I al anului 2015, inclusiv trimestrul II, 2016. În acest sens, întru </w:t>
      </w:r>
      <w:r w:rsidR="00895280" w:rsidRPr="00651044">
        <w:rPr>
          <w:spacing w:val="6"/>
          <w:sz w:val="28"/>
          <w:szCs w:val="28"/>
        </w:rPr>
        <w:t>neadmiterea distorsionării datelor</w:t>
      </w:r>
      <w:r w:rsidR="00895280" w:rsidRPr="00651044">
        <w:rPr>
          <w:sz w:val="28"/>
          <w:szCs w:val="28"/>
        </w:rPr>
        <w:t>, evoluţia veniturilor din vînzări şi a costurilor şi cheltuielilor va fi analizată luînd în calcul baza comparabilă a entităţilor economice, ce nu include</w:t>
      </w:r>
      <w:r w:rsidR="00895280" w:rsidRPr="00A854A6">
        <w:rPr>
          <w:color w:val="000000"/>
          <w:sz w:val="28"/>
          <w:szCs w:val="28"/>
        </w:rPr>
        <w:t>, pentru semestrul I al anului 2016,</w:t>
      </w:r>
      <w:r w:rsidR="00A854A6" w:rsidRPr="00A854A6">
        <w:rPr>
          <w:color w:val="000000"/>
          <w:sz w:val="28"/>
          <w:szCs w:val="28"/>
        </w:rPr>
        <w:t xml:space="preserve"> inclusiv trimestrul II, 2016</w:t>
      </w:r>
      <w:r w:rsidR="00895280" w:rsidRPr="00A854A6">
        <w:rPr>
          <w:color w:val="000000"/>
          <w:sz w:val="28"/>
          <w:szCs w:val="28"/>
        </w:rPr>
        <w:t xml:space="preserve">, valoarea indicatorilor </w:t>
      </w:r>
      <w:r w:rsidR="00A854A6" w:rsidRPr="00A854A6">
        <w:rPr>
          <w:color w:val="000000"/>
          <w:sz w:val="28"/>
          <w:szCs w:val="28"/>
        </w:rPr>
        <w:t xml:space="preserve">de rezultat a </w:t>
      </w:r>
      <w:r w:rsidR="00895280" w:rsidRPr="00A854A6">
        <w:rPr>
          <w:color w:val="000000"/>
          <w:sz w:val="28"/>
          <w:szCs w:val="28"/>
        </w:rPr>
        <w:t>întreprinderilor de stat, care în perioada similară a anului 2015, fie nu au prezentat raportul „Cercetare statistică trimestrială Nr. 5-CI „Consumurile, cheltuielile şi investiţiile întreprinderii” fie nu</w:t>
      </w:r>
      <w:r w:rsidR="00895280" w:rsidRPr="00A854A6">
        <w:rPr>
          <w:rStyle w:val="newscontent1"/>
          <w:rFonts w:ascii="Times New Roman" w:hAnsi="Times New Roman" w:cs="Times New Roman"/>
          <w:color w:val="000000"/>
          <w:sz w:val="28"/>
          <w:szCs w:val="28"/>
        </w:rPr>
        <w:t xml:space="preserve"> au fost incluse în sfera de cuprindere a cercetării. Totodată, atragem atenția că Întreprinderea de Stat pentru Silvicultură „Glodeni”,  Î.S. „Vamservinform” și Î.S. „Centru Republican de Pedologie Aplicată” fie nu au fost incluse în sfera de cercetare fie nu au prezentat </w:t>
      </w:r>
      <w:r w:rsidR="00895280" w:rsidRPr="00A854A6">
        <w:rPr>
          <w:color w:val="000000"/>
          <w:sz w:val="28"/>
          <w:szCs w:val="28"/>
        </w:rPr>
        <w:t xml:space="preserve">raportul „Cercetare statistică trimestrială Nr. 5-CI „Consumurile, cheltuielile şi investiţiile întreprinderii” pentru trimestrul II al anului </w:t>
      </w:r>
      <w:r w:rsidR="00AF5C7E">
        <w:rPr>
          <w:color w:val="000000"/>
          <w:sz w:val="28"/>
          <w:szCs w:val="28"/>
        </w:rPr>
        <w:t>2016</w:t>
      </w:r>
      <w:r w:rsidR="00895280" w:rsidRPr="00A854A6">
        <w:rPr>
          <w:color w:val="000000"/>
          <w:sz w:val="28"/>
          <w:szCs w:val="28"/>
        </w:rPr>
        <w:t xml:space="preserve">, iar S.A. „Rețele Electrice de Distribuție Nord” - pentru trimestrul I al anului </w:t>
      </w:r>
      <w:r w:rsidR="00AF5C7E">
        <w:rPr>
          <w:color w:val="000000"/>
          <w:sz w:val="28"/>
          <w:szCs w:val="28"/>
        </w:rPr>
        <w:t>2016</w:t>
      </w:r>
      <w:r w:rsidR="00895280" w:rsidRPr="00A854A6">
        <w:rPr>
          <w:color w:val="000000"/>
          <w:sz w:val="28"/>
          <w:szCs w:val="28"/>
        </w:rPr>
        <w:t xml:space="preserve">, motiv din care </w:t>
      </w:r>
      <w:r w:rsidR="00895280" w:rsidRPr="00A854A6">
        <w:rPr>
          <w:rStyle w:val="newscontent1"/>
          <w:rFonts w:ascii="Times New Roman" w:hAnsi="Times New Roman" w:cs="Times New Roman"/>
          <w:color w:val="000000"/>
          <w:sz w:val="28"/>
          <w:szCs w:val="28"/>
        </w:rPr>
        <w:t>evoluția</w:t>
      </w:r>
      <w:r w:rsidR="00895280" w:rsidRPr="00A854A6">
        <w:rPr>
          <w:color w:val="000000"/>
          <w:sz w:val="28"/>
          <w:szCs w:val="28"/>
        </w:rPr>
        <w:t xml:space="preserve"> veniturilor din vînzări</w:t>
      </w:r>
      <w:r w:rsidR="00895280" w:rsidRPr="00651044">
        <w:rPr>
          <w:sz w:val="28"/>
          <w:szCs w:val="28"/>
        </w:rPr>
        <w:t xml:space="preserve"> şi a costurilor şi cheltuielilor întreprinderilor de stat și societăților comerciale pentru semestrul I al anului 2016 </w:t>
      </w:r>
      <w:r w:rsidR="00AF5C7E">
        <w:rPr>
          <w:sz w:val="28"/>
          <w:szCs w:val="28"/>
        </w:rPr>
        <w:t xml:space="preserve">și trimestrul II, 2016 </w:t>
      </w:r>
      <w:r w:rsidR="00895280" w:rsidRPr="00651044">
        <w:rPr>
          <w:sz w:val="28"/>
          <w:szCs w:val="28"/>
        </w:rPr>
        <w:t xml:space="preserve">va fi analizată luînd în calcul baza comparabilă. </w:t>
      </w:r>
    </w:p>
    <w:p w:rsidR="00A23F03" w:rsidRPr="00651044" w:rsidRDefault="00A23F03" w:rsidP="00AF5C7E">
      <w:pPr>
        <w:tabs>
          <w:tab w:val="left" w:pos="567"/>
        </w:tabs>
        <w:spacing w:line="276" w:lineRule="auto"/>
        <w:jc w:val="both"/>
        <w:rPr>
          <w:sz w:val="28"/>
          <w:szCs w:val="28"/>
        </w:rPr>
      </w:pPr>
      <w:r w:rsidRPr="00651044">
        <w:rPr>
          <w:sz w:val="28"/>
          <w:szCs w:val="28"/>
        </w:rPr>
        <w:tab/>
      </w:r>
    </w:p>
    <w:p w:rsidR="00895280" w:rsidRPr="00651044" w:rsidRDefault="00895280" w:rsidP="00136F34">
      <w:pPr>
        <w:pStyle w:val="NormalWeb"/>
        <w:numPr>
          <w:ilvl w:val="0"/>
          <w:numId w:val="1"/>
        </w:numPr>
        <w:spacing w:line="276" w:lineRule="auto"/>
        <w:ind w:left="993" w:firstLine="0"/>
        <w:jc w:val="center"/>
        <w:rPr>
          <w:b/>
          <w:i/>
          <w:sz w:val="28"/>
          <w:szCs w:val="28"/>
          <w:lang w:val="ro-RO"/>
        </w:rPr>
      </w:pPr>
      <w:r w:rsidRPr="00651044">
        <w:rPr>
          <w:b/>
          <w:i/>
          <w:sz w:val="28"/>
          <w:szCs w:val="28"/>
          <w:lang w:val="ro-RO"/>
        </w:rPr>
        <w:t>Monitoringul financiar al activităţii economico-financiare a întreprinderilor de stat</w:t>
      </w:r>
    </w:p>
    <w:p w:rsidR="00895280" w:rsidRPr="00651044" w:rsidRDefault="00895280" w:rsidP="00895280">
      <w:pPr>
        <w:spacing w:line="276" w:lineRule="auto"/>
        <w:ind w:firstLine="709"/>
        <w:jc w:val="both"/>
        <w:rPr>
          <w:sz w:val="28"/>
          <w:szCs w:val="28"/>
        </w:rPr>
      </w:pPr>
    </w:p>
    <w:p w:rsidR="00895280" w:rsidRPr="00651044" w:rsidRDefault="00895280" w:rsidP="00A23F03">
      <w:pPr>
        <w:spacing w:line="276" w:lineRule="auto"/>
        <w:ind w:firstLine="567"/>
        <w:jc w:val="both"/>
        <w:rPr>
          <w:sz w:val="28"/>
          <w:szCs w:val="28"/>
        </w:rPr>
      </w:pPr>
      <w:r w:rsidRPr="00651044">
        <w:rPr>
          <w:sz w:val="28"/>
          <w:szCs w:val="28"/>
        </w:rPr>
        <w:t xml:space="preserve">Conform datelor </w:t>
      </w:r>
      <w:r w:rsidR="00AF5C7E">
        <w:rPr>
          <w:sz w:val="28"/>
          <w:szCs w:val="28"/>
        </w:rPr>
        <w:t xml:space="preserve">cumulate ale </w:t>
      </w:r>
      <w:r w:rsidRPr="00651044">
        <w:rPr>
          <w:sz w:val="28"/>
          <w:szCs w:val="28"/>
        </w:rPr>
        <w:t xml:space="preserve">raportului „Cercetare statistică trimestrială Nr. 5-CI „Consumurile, cheltuielile şi investiţiile întreprinderii” generalizat, </w:t>
      </w:r>
      <w:r w:rsidR="00AF5C7E">
        <w:rPr>
          <w:sz w:val="28"/>
          <w:szCs w:val="28"/>
        </w:rPr>
        <w:t>pentru trimestrul I și trimestrul</w:t>
      </w:r>
      <w:r w:rsidRPr="00651044">
        <w:rPr>
          <w:sz w:val="28"/>
          <w:szCs w:val="28"/>
        </w:rPr>
        <w:t xml:space="preserve"> II al anului 2016, </w:t>
      </w:r>
      <w:r w:rsidR="00AF5C7E">
        <w:rPr>
          <w:sz w:val="28"/>
          <w:szCs w:val="28"/>
        </w:rPr>
        <w:t xml:space="preserve">generalizat, </w:t>
      </w:r>
      <w:r w:rsidRPr="00651044">
        <w:rPr>
          <w:sz w:val="28"/>
          <w:szCs w:val="28"/>
        </w:rPr>
        <w:t xml:space="preserve">întreprinderile de stat au înregistrat venituri din vînzări aferente activităţii desfăşurate în 6 luni ale anului 2016 în mărime de 3326,4 mil. lei. Conform bazei comparabile, valoarea veniturilor din vînzări încasate de întreprinderile de stat este de 3279,7 mil. lei, cu 158,3 mil. lei mai mare faţă de semestrul I al anului 2015. </w:t>
      </w:r>
      <w:r w:rsidRPr="00651044">
        <w:rPr>
          <w:color w:val="000000"/>
          <w:sz w:val="28"/>
          <w:szCs w:val="28"/>
        </w:rPr>
        <w:t xml:space="preserve">Majorarea respectivă, a fost generată în mare parte, de creşterea cu peste 1,0 mil. lei a veniturilor din vînzări a unor întreprinderi (25 entități), în </w:t>
      </w:r>
      <w:r w:rsidRPr="00651044">
        <w:rPr>
          <w:sz w:val="28"/>
          <w:szCs w:val="28"/>
        </w:rPr>
        <w:t>tabelul 2.1 fiind prezentate 10 întreprinderi de stat cu cele mai mari majorări ale veniturilor din vînzări în perioada analizată.</w:t>
      </w:r>
    </w:p>
    <w:p w:rsidR="00895280" w:rsidRPr="00651044" w:rsidRDefault="00895280" w:rsidP="00895280">
      <w:pPr>
        <w:pStyle w:val="NoSpacing"/>
        <w:jc w:val="right"/>
      </w:pPr>
      <w:r w:rsidRPr="00651044">
        <w:t>Tabelul 2.1</w:t>
      </w:r>
    </w:p>
    <w:p w:rsidR="00895280" w:rsidRPr="00651044" w:rsidRDefault="00895280" w:rsidP="00895280">
      <w:pPr>
        <w:pStyle w:val="NoSpacing"/>
        <w:jc w:val="center"/>
        <w:rPr>
          <w:b/>
          <w:i/>
        </w:rPr>
      </w:pPr>
      <w:r w:rsidRPr="00651044">
        <w:rPr>
          <w:b/>
          <w:i/>
        </w:rPr>
        <w:t>Întreprinderile de stat cu cele mai mari majorări ale veniturilor din vînzări,</w:t>
      </w:r>
    </w:p>
    <w:p w:rsidR="00895280" w:rsidRPr="00651044" w:rsidRDefault="00895280" w:rsidP="00895280">
      <w:pPr>
        <w:pStyle w:val="NoSpacing"/>
        <w:jc w:val="center"/>
        <w:rPr>
          <w:b/>
          <w:i/>
        </w:rPr>
      </w:pPr>
      <w:r w:rsidRPr="00651044">
        <w:rPr>
          <w:b/>
          <w:i/>
        </w:rPr>
        <w:t>în perioada semestrului I al anului 2016</w:t>
      </w:r>
    </w:p>
    <w:p w:rsidR="00895280" w:rsidRPr="00651044" w:rsidRDefault="00895280" w:rsidP="00895280">
      <w:pPr>
        <w:pStyle w:val="NoSpacing"/>
        <w:jc w:val="right"/>
        <w:rPr>
          <w:sz w:val="18"/>
          <w:szCs w:val="18"/>
        </w:rPr>
      </w:pPr>
      <w:r w:rsidRPr="00651044">
        <w:rPr>
          <w:sz w:val="18"/>
          <w:szCs w:val="18"/>
        </w:rPr>
        <w:t>(mil. lei)</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5996"/>
        <w:gridCol w:w="2559"/>
      </w:tblGrid>
      <w:tr w:rsidR="00895280" w:rsidRPr="00651044" w:rsidTr="004629DE">
        <w:trPr>
          <w:jc w:val="center"/>
        </w:trPr>
        <w:tc>
          <w:tcPr>
            <w:tcW w:w="648" w:type="dxa"/>
            <w:vAlign w:val="center"/>
          </w:tcPr>
          <w:p w:rsidR="00895280" w:rsidRPr="004629DE" w:rsidRDefault="00895280" w:rsidP="004629DE">
            <w:pPr>
              <w:jc w:val="center"/>
              <w:rPr>
                <w:b/>
                <w:i/>
                <w:iCs/>
              </w:rPr>
            </w:pPr>
            <w:r w:rsidRPr="004629DE">
              <w:rPr>
                <w:b/>
                <w:i/>
                <w:iCs/>
              </w:rPr>
              <w:t>Nr.</w:t>
            </w:r>
          </w:p>
        </w:tc>
        <w:tc>
          <w:tcPr>
            <w:tcW w:w="5996" w:type="dxa"/>
            <w:vAlign w:val="center"/>
          </w:tcPr>
          <w:p w:rsidR="00895280" w:rsidRPr="004629DE" w:rsidRDefault="00895280" w:rsidP="004629DE">
            <w:pPr>
              <w:jc w:val="center"/>
              <w:rPr>
                <w:b/>
                <w:i/>
                <w:iCs/>
              </w:rPr>
            </w:pPr>
            <w:r w:rsidRPr="004629DE">
              <w:rPr>
                <w:b/>
                <w:i/>
                <w:iCs/>
              </w:rPr>
              <w:t xml:space="preserve">Denumirea </w:t>
            </w:r>
            <w:r w:rsidR="00AF5C7E" w:rsidRPr="004629DE">
              <w:rPr>
                <w:b/>
                <w:i/>
                <w:iCs/>
              </w:rPr>
              <w:t>întreprinderii</w:t>
            </w:r>
          </w:p>
        </w:tc>
        <w:tc>
          <w:tcPr>
            <w:tcW w:w="2559" w:type="dxa"/>
            <w:vAlign w:val="center"/>
          </w:tcPr>
          <w:p w:rsidR="00895280" w:rsidRPr="004629DE" w:rsidRDefault="00895280" w:rsidP="004629DE">
            <w:pPr>
              <w:jc w:val="center"/>
              <w:rPr>
                <w:b/>
                <w:bCs/>
                <w:i/>
                <w:iCs/>
              </w:rPr>
            </w:pPr>
            <w:r w:rsidRPr="004629DE">
              <w:rPr>
                <w:b/>
                <w:bCs/>
                <w:i/>
                <w:iCs/>
              </w:rPr>
              <w:t>Majorarea faţă de semestrul I, 2015</w:t>
            </w:r>
          </w:p>
        </w:tc>
      </w:tr>
      <w:tr w:rsidR="00895280" w:rsidRPr="00651044" w:rsidTr="004629DE">
        <w:trPr>
          <w:jc w:val="center"/>
        </w:trPr>
        <w:tc>
          <w:tcPr>
            <w:tcW w:w="648" w:type="dxa"/>
          </w:tcPr>
          <w:p w:rsidR="00895280" w:rsidRPr="004629DE" w:rsidRDefault="00AF5C7E" w:rsidP="004629DE">
            <w:pPr>
              <w:jc w:val="center"/>
              <w:rPr>
                <w:b/>
              </w:rPr>
            </w:pPr>
            <w:r w:rsidRPr="004629DE">
              <w:rPr>
                <w:b/>
              </w:rPr>
              <w:t>1.</w:t>
            </w:r>
          </w:p>
        </w:tc>
        <w:tc>
          <w:tcPr>
            <w:tcW w:w="5996" w:type="dxa"/>
          </w:tcPr>
          <w:p w:rsidR="00895280" w:rsidRPr="00651044" w:rsidRDefault="00895280" w:rsidP="00895280">
            <w:r w:rsidRPr="00651044">
              <w:t>Î.S. „Moldelectrica”</w:t>
            </w:r>
          </w:p>
        </w:tc>
        <w:tc>
          <w:tcPr>
            <w:tcW w:w="2559" w:type="dxa"/>
          </w:tcPr>
          <w:p w:rsidR="00895280" w:rsidRPr="004629DE" w:rsidRDefault="00895280" w:rsidP="004629DE">
            <w:pPr>
              <w:jc w:val="center"/>
              <w:rPr>
                <w:bCs/>
              </w:rPr>
            </w:pPr>
            <w:r w:rsidRPr="004629DE">
              <w:rPr>
                <w:bCs/>
              </w:rPr>
              <w:t>117,4</w:t>
            </w:r>
          </w:p>
        </w:tc>
      </w:tr>
      <w:tr w:rsidR="00AF5C7E" w:rsidRPr="00651044" w:rsidTr="004629DE">
        <w:trPr>
          <w:jc w:val="center"/>
        </w:trPr>
        <w:tc>
          <w:tcPr>
            <w:tcW w:w="648" w:type="dxa"/>
          </w:tcPr>
          <w:p w:rsidR="00AF5C7E" w:rsidRPr="004629DE" w:rsidRDefault="00AF5C7E" w:rsidP="004629DE">
            <w:pPr>
              <w:jc w:val="center"/>
              <w:rPr>
                <w:b/>
              </w:rPr>
            </w:pPr>
            <w:r w:rsidRPr="004629DE">
              <w:rPr>
                <w:b/>
              </w:rPr>
              <w:t>2.</w:t>
            </w:r>
          </w:p>
        </w:tc>
        <w:tc>
          <w:tcPr>
            <w:tcW w:w="5996" w:type="dxa"/>
          </w:tcPr>
          <w:p w:rsidR="00AF5C7E" w:rsidRPr="00651044" w:rsidRDefault="00AF5C7E" w:rsidP="00895280">
            <w:r w:rsidRPr="00651044">
              <w:t>Î.S. Compania Aeriană „Air Moldova”</w:t>
            </w:r>
          </w:p>
        </w:tc>
        <w:tc>
          <w:tcPr>
            <w:tcW w:w="2559" w:type="dxa"/>
          </w:tcPr>
          <w:p w:rsidR="00AF5C7E" w:rsidRPr="004629DE" w:rsidRDefault="00AF5C7E" w:rsidP="004629DE">
            <w:pPr>
              <w:jc w:val="center"/>
              <w:rPr>
                <w:bCs/>
              </w:rPr>
            </w:pPr>
            <w:r w:rsidRPr="004629DE">
              <w:rPr>
                <w:bCs/>
              </w:rPr>
              <w:t>78,9</w:t>
            </w:r>
          </w:p>
        </w:tc>
      </w:tr>
      <w:tr w:rsidR="00AF5C7E" w:rsidRPr="00651044" w:rsidTr="004629DE">
        <w:trPr>
          <w:jc w:val="center"/>
        </w:trPr>
        <w:tc>
          <w:tcPr>
            <w:tcW w:w="648" w:type="dxa"/>
          </w:tcPr>
          <w:p w:rsidR="00AF5C7E" w:rsidRPr="004629DE" w:rsidRDefault="00AF5C7E" w:rsidP="004629DE">
            <w:pPr>
              <w:jc w:val="center"/>
              <w:rPr>
                <w:b/>
              </w:rPr>
            </w:pPr>
            <w:r w:rsidRPr="004629DE">
              <w:rPr>
                <w:b/>
              </w:rPr>
              <w:t>3.</w:t>
            </w:r>
          </w:p>
        </w:tc>
        <w:tc>
          <w:tcPr>
            <w:tcW w:w="5996" w:type="dxa"/>
          </w:tcPr>
          <w:p w:rsidR="00AF5C7E" w:rsidRPr="00651044" w:rsidRDefault="00AF5C7E" w:rsidP="00895280">
            <w:r w:rsidRPr="00651044">
              <w:t>Î.S. „Centrul Resurselor Informaționale de Stat „Registru”</w:t>
            </w:r>
          </w:p>
        </w:tc>
        <w:tc>
          <w:tcPr>
            <w:tcW w:w="2559" w:type="dxa"/>
          </w:tcPr>
          <w:p w:rsidR="00AF5C7E" w:rsidRDefault="00AF5C7E" w:rsidP="004629DE">
            <w:pPr>
              <w:jc w:val="center"/>
            </w:pPr>
            <w:r w:rsidRPr="004629DE">
              <w:rPr>
                <w:bCs/>
              </w:rPr>
              <w:t>46,9</w:t>
            </w:r>
          </w:p>
        </w:tc>
      </w:tr>
      <w:tr w:rsidR="00AF5C7E" w:rsidRPr="00651044" w:rsidTr="004629DE">
        <w:trPr>
          <w:jc w:val="center"/>
        </w:trPr>
        <w:tc>
          <w:tcPr>
            <w:tcW w:w="648" w:type="dxa"/>
          </w:tcPr>
          <w:p w:rsidR="00AF5C7E" w:rsidRPr="004629DE" w:rsidRDefault="00AF5C7E" w:rsidP="004629DE">
            <w:pPr>
              <w:jc w:val="center"/>
              <w:rPr>
                <w:b/>
              </w:rPr>
            </w:pPr>
            <w:r w:rsidRPr="004629DE">
              <w:rPr>
                <w:b/>
              </w:rPr>
              <w:t>4.</w:t>
            </w:r>
          </w:p>
        </w:tc>
        <w:tc>
          <w:tcPr>
            <w:tcW w:w="5996" w:type="dxa"/>
          </w:tcPr>
          <w:p w:rsidR="00AF5C7E" w:rsidRPr="00DA0336" w:rsidRDefault="00AF5C7E" w:rsidP="00E4660A">
            <w:r w:rsidRPr="00DA0336">
              <w:t>Î.S. „Aeroportul Internațional Mărculești”</w:t>
            </w:r>
          </w:p>
        </w:tc>
        <w:tc>
          <w:tcPr>
            <w:tcW w:w="2559" w:type="dxa"/>
          </w:tcPr>
          <w:p w:rsidR="00AF5C7E" w:rsidRPr="004629DE" w:rsidRDefault="00AF5C7E" w:rsidP="004629DE">
            <w:pPr>
              <w:jc w:val="center"/>
              <w:rPr>
                <w:bCs/>
              </w:rPr>
            </w:pPr>
            <w:r w:rsidRPr="004629DE">
              <w:rPr>
                <w:bCs/>
              </w:rPr>
              <w:t>21,7</w:t>
            </w:r>
          </w:p>
        </w:tc>
      </w:tr>
      <w:tr w:rsidR="00AF5C7E" w:rsidRPr="00651044" w:rsidTr="004629DE">
        <w:trPr>
          <w:jc w:val="center"/>
        </w:trPr>
        <w:tc>
          <w:tcPr>
            <w:tcW w:w="648" w:type="dxa"/>
          </w:tcPr>
          <w:p w:rsidR="00AF5C7E" w:rsidRPr="004629DE" w:rsidRDefault="00AF5C7E" w:rsidP="004629DE">
            <w:pPr>
              <w:jc w:val="center"/>
              <w:rPr>
                <w:b/>
              </w:rPr>
            </w:pPr>
            <w:r w:rsidRPr="004629DE">
              <w:rPr>
                <w:b/>
              </w:rPr>
              <w:t>5.</w:t>
            </w:r>
          </w:p>
        </w:tc>
        <w:tc>
          <w:tcPr>
            <w:tcW w:w="5996" w:type="dxa"/>
          </w:tcPr>
          <w:p w:rsidR="00AF5C7E" w:rsidRPr="00DA0336" w:rsidRDefault="00AF5C7E" w:rsidP="00E4660A">
            <w:r w:rsidRPr="00DA0336">
              <w:t>Î.S. „Poșta Moldovei”</w:t>
            </w:r>
          </w:p>
        </w:tc>
        <w:tc>
          <w:tcPr>
            <w:tcW w:w="2559" w:type="dxa"/>
          </w:tcPr>
          <w:p w:rsidR="00AF5C7E" w:rsidRPr="004629DE" w:rsidRDefault="00AF5C7E" w:rsidP="004629DE">
            <w:pPr>
              <w:jc w:val="center"/>
              <w:rPr>
                <w:bCs/>
              </w:rPr>
            </w:pPr>
            <w:r w:rsidRPr="004629DE">
              <w:rPr>
                <w:bCs/>
              </w:rPr>
              <w:t>17,7</w:t>
            </w:r>
          </w:p>
        </w:tc>
      </w:tr>
      <w:tr w:rsidR="00AF5C7E" w:rsidRPr="00651044" w:rsidTr="004629DE">
        <w:trPr>
          <w:jc w:val="center"/>
        </w:trPr>
        <w:tc>
          <w:tcPr>
            <w:tcW w:w="648" w:type="dxa"/>
          </w:tcPr>
          <w:p w:rsidR="00AF5C7E" w:rsidRPr="004629DE" w:rsidRDefault="00AF5C7E" w:rsidP="004629DE">
            <w:pPr>
              <w:jc w:val="center"/>
              <w:rPr>
                <w:b/>
              </w:rPr>
            </w:pPr>
            <w:r w:rsidRPr="004629DE">
              <w:rPr>
                <w:b/>
              </w:rPr>
              <w:t>6.</w:t>
            </w:r>
          </w:p>
        </w:tc>
        <w:tc>
          <w:tcPr>
            <w:tcW w:w="5996" w:type="dxa"/>
          </w:tcPr>
          <w:p w:rsidR="00AF5C7E" w:rsidRDefault="00AF5C7E" w:rsidP="00E4660A">
            <w:r w:rsidRPr="00DA0336">
              <w:t>Î.S. „Institutul de Tehnică Agricolă „Mecagro”</w:t>
            </w:r>
          </w:p>
        </w:tc>
        <w:tc>
          <w:tcPr>
            <w:tcW w:w="2559" w:type="dxa"/>
          </w:tcPr>
          <w:p w:rsidR="00AF5C7E" w:rsidRDefault="00AF5C7E" w:rsidP="004629DE">
            <w:pPr>
              <w:jc w:val="center"/>
            </w:pPr>
            <w:r w:rsidRPr="004629DE">
              <w:rPr>
                <w:bCs/>
              </w:rPr>
              <w:t>11,0</w:t>
            </w:r>
          </w:p>
        </w:tc>
      </w:tr>
      <w:tr w:rsidR="00AF5C7E" w:rsidRPr="00651044" w:rsidTr="004629DE">
        <w:trPr>
          <w:jc w:val="center"/>
        </w:trPr>
        <w:tc>
          <w:tcPr>
            <w:tcW w:w="648" w:type="dxa"/>
          </w:tcPr>
          <w:p w:rsidR="00AF5C7E" w:rsidRPr="004629DE" w:rsidRDefault="00AF5C7E" w:rsidP="004629DE">
            <w:pPr>
              <w:jc w:val="center"/>
              <w:rPr>
                <w:b/>
              </w:rPr>
            </w:pPr>
            <w:r w:rsidRPr="004629DE">
              <w:rPr>
                <w:b/>
              </w:rPr>
              <w:lastRenderedPageBreak/>
              <w:t>7.</w:t>
            </w:r>
          </w:p>
        </w:tc>
        <w:tc>
          <w:tcPr>
            <w:tcW w:w="5996" w:type="dxa"/>
          </w:tcPr>
          <w:p w:rsidR="00AF5C7E" w:rsidRPr="005E31E2" w:rsidRDefault="00AF5C7E" w:rsidP="00E4660A">
            <w:r w:rsidRPr="005E31E2">
              <w:t>Î.S. „Serviciul Asistență Beneficiari la Obiectele Sociale”</w:t>
            </w:r>
          </w:p>
        </w:tc>
        <w:tc>
          <w:tcPr>
            <w:tcW w:w="2559" w:type="dxa"/>
          </w:tcPr>
          <w:p w:rsidR="00AF5C7E" w:rsidRPr="004629DE" w:rsidRDefault="00AF5C7E" w:rsidP="004629DE">
            <w:pPr>
              <w:jc w:val="center"/>
              <w:rPr>
                <w:bCs/>
              </w:rPr>
            </w:pPr>
            <w:r w:rsidRPr="004629DE">
              <w:rPr>
                <w:bCs/>
              </w:rPr>
              <w:t>7,5</w:t>
            </w:r>
          </w:p>
        </w:tc>
      </w:tr>
      <w:tr w:rsidR="00AF5C7E" w:rsidRPr="00651044" w:rsidTr="004629DE">
        <w:trPr>
          <w:jc w:val="center"/>
        </w:trPr>
        <w:tc>
          <w:tcPr>
            <w:tcW w:w="648" w:type="dxa"/>
          </w:tcPr>
          <w:p w:rsidR="00AF5C7E" w:rsidRPr="004629DE" w:rsidRDefault="00AF5C7E" w:rsidP="004629DE">
            <w:pPr>
              <w:jc w:val="center"/>
              <w:rPr>
                <w:b/>
              </w:rPr>
            </w:pPr>
            <w:r w:rsidRPr="004629DE">
              <w:rPr>
                <w:b/>
              </w:rPr>
              <w:t>8.</w:t>
            </w:r>
          </w:p>
        </w:tc>
        <w:tc>
          <w:tcPr>
            <w:tcW w:w="5996" w:type="dxa"/>
          </w:tcPr>
          <w:p w:rsidR="00AF5C7E" w:rsidRPr="005E31E2" w:rsidRDefault="00AF5C7E" w:rsidP="00E4660A">
            <w:r w:rsidRPr="005E31E2">
              <w:t>Î.S. „Centrul Național pentru Frecvențe Radio”</w:t>
            </w:r>
          </w:p>
        </w:tc>
        <w:tc>
          <w:tcPr>
            <w:tcW w:w="2559" w:type="dxa"/>
          </w:tcPr>
          <w:p w:rsidR="00AF5C7E" w:rsidRPr="004629DE" w:rsidRDefault="00AF5C7E" w:rsidP="004629DE">
            <w:pPr>
              <w:jc w:val="center"/>
              <w:rPr>
                <w:bCs/>
              </w:rPr>
            </w:pPr>
            <w:r w:rsidRPr="004629DE">
              <w:rPr>
                <w:bCs/>
              </w:rPr>
              <w:t>5,4</w:t>
            </w:r>
          </w:p>
        </w:tc>
      </w:tr>
      <w:tr w:rsidR="00AF5C7E" w:rsidRPr="00651044" w:rsidTr="004629DE">
        <w:trPr>
          <w:jc w:val="center"/>
        </w:trPr>
        <w:tc>
          <w:tcPr>
            <w:tcW w:w="648" w:type="dxa"/>
          </w:tcPr>
          <w:p w:rsidR="00AF5C7E" w:rsidRPr="004629DE" w:rsidRDefault="00AF5C7E" w:rsidP="004629DE">
            <w:pPr>
              <w:jc w:val="center"/>
              <w:rPr>
                <w:b/>
              </w:rPr>
            </w:pPr>
            <w:r w:rsidRPr="004629DE">
              <w:rPr>
                <w:b/>
              </w:rPr>
              <w:t>9.</w:t>
            </w:r>
          </w:p>
        </w:tc>
        <w:tc>
          <w:tcPr>
            <w:tcW w:w="5996" w:type="dxa"/>
          </w:tcPr>
          <w:p w:rsidR="00AF5C7E" w:rsidRPr="005E31E2" w:rsidRDefault="00AF5C7E" w:rsidP="00E4660A">
            <w:r w:rsidRPr="005E31E2">
              <w:t>Î.S. pentru Silvicultură „Chișinău”</w:t>
            </w:r>
          </w:p>
        </w:tc>
        <w:tc>
          <w:tcPr>
            <w:tcW w:w="2559" w:type="dxa"/>
          </w:tcPr>
          <w:p w:rsidR="00AF5C7E" w:rsidRPr="004629DE" w:rsidRDefault="00AF5C7E" w:rsidP="004629DE">
            <w:pPr>
              <w:jc w:val="center"/>
              <w:rPr>
                <w:bCs/>
              </w:rPr>
            </w:pPr>
            <w:r w:rsidRPr="004629DE">
              <w:rPr>
                <w:bCs/>
              </w:rPr>
              <w:t>3,4</w:t>
            </w:r>
          </w:p>
        </w:tc>
      </w:tr>
      <w:tr w:rsidR="00AF5C7E" w:rsidRPr="00651044" w:rsidTr="004629DE">
        <w:trPr>
          <w:jc w:val="center"/>
        </w:trPr>
        <w:tc>
          <w:tcPr>
            <w:tcW w:w="648" w:type="dxa"/>
          </w:tcPr>
          <w:p w:rsidR="00AF5C7E" w:rsidRPr="004629DE" w:rsidRDefault="00AF5C7E" w:rsidP="004629DE">
            <w:pPr>
              <w:jc w:val="center"/>
              <w:rPr>
                <w:b/>
              </w:rPr>
            </w:pPr>
            <w:r w:rsidRPr="004629DE">
              <w:rPr>
                <w:b/>
              </w:rPr>
              <w:t>10.</w:t>
            </w:r>
          </w:p>
        </w:tc>
        <w:tc>
          <w:tcPr>
            <w:tcW w:w="5996" w:type="dxa"/>
          </w:tcPr>
          <w:p w:rsidR="00AF5C7E" w:rsidRDefault="00AF5C7E" w:rsidP="00E4660A">
            <w:r w:rsidRPr="005E31E2">
              <w:t>Î.S. „Camera Înregistrării de Stat”</w:t>
            </w:r>
          </w:p>
        </w:tc>
        <w:tc>
          <w:tcPr>
            <w:tcW w:w="2559" w:type="dxa"/>
          </w:tcPr>
          <w:p w:rsidR="00AF5C7E" w:rsidRDefault="00AF5C7E" w:rsidP="004629DE">
            <w:pPr>
              <w:jc w:val="center"/>
            </w:pPr>
            <w:r w:rsidRPr="004629DE">
              <w:rPr>
                <w:bCs/>
              </w:rPr>
              <w:t>3,0</w:t>
            </w:r>
          </w:p>
        </w:tc>
      </w:tr>
    </w:tbl>
    <w:p w:rsidR="00895280" w:rsidRDefault="00895280" w:rsidP="00895280">
      <w:pPr>
        <w:spacing w:line="276" w:lineRule="auto"/>
        <w:ind w:firstLine="708"/>
        <w:jc w:val="both"/>
        <w:rPr>
          <w:sz w:val="28"/>
          <w:szCs w:val="28"/>
        </w:rPr>
      </w:pPr>
    </w:p>
    <w:p w:rsidR="00613593" w:rsidRPr="00651044" w:rsidRDefault="00613593" w:rsidP="00895280">
      <w:pPr>
        <w:spacing w:line="276" w:lineRule="auto"/>
        <w:ind w:firstLine="708"/>
        <w:jc w:val="both"/>
        <w:rPr>
          <w:sz w:val="28"/>
          <w:szCs w:val="28"/>
        </w:rPr>
      </w:pPr>
    </w:p>
    <w:p w:rsidR="00A23F03" w:rsidRPr="00651044" w:rsidRDefault="00A23F03" w:rsidP="00A23F03">
      <w:pPr>
        <w:tabs>
          <w:tab w:val="left" w:pos="567"/>
        </w:tabs>
        <w:spacing w:line="276" w:lineRule="auto"/>
        <w:jc w:val="both"/>
        <w:rPr>
          <w:sz w:val="28"/>
          <w:szCs w:val="28"/>
        </w:rPr>
      </w:pPr>
      <w:r w:rsidRPr="00651044">
        <w:rPr>
          <w:sz w:val="28"/>
          <w:szCs w:val="28"/>
        </w:rPr>
        <w:tab/>
      </w:r>
      <w:r w:rsidR="00895280" w:rsidRPr="00651044">
        <w:rPr>
          <w:sz w:val="28"/>
          <w:szCs w:val="28"/>
        </w:rPr>
        <w:t>În baza datelor tabelului 2.1 se enunţă că, majorarea veniturilor din vînzări a fost condiţionată, în mare parte, de creşterea valorică (cu 117,4 mil. lei) a veniturilor din vînzări la Î.S. „Moldelectrica”. Totodată, majorări considerabile, comparativ cu perioada corespunzătoare a anului precedent, s-au înregistrat şi la Î.S. Compania Aeriană „Air Moldova” (cu 78,9 mil. lei) şi la Î.S. „Centrul Resurselor Informaționale de Stat „Registru” (cu 46,9 mil. lei).</w:t>
      </w:r>
    </w:p>
    <w:p w:rsidR="00A23F03" w:rsidRPr="00651044" w:rsidRDefault="00A23F03" w:rsidP="00A23F03">
      <w:pPr>
        <w:tabs>
          <w:tab w:val="left" w:pos="567"/>
        </w:tabs>
        <w:spacing w:line="276" w:lineRule="auto"/>
        <w:jc w:val="both"/>
        <w:rPr>
          <w:sz w:val="28"/>
          <w:szCs w:val="28"/>
        </w:rPr>
      </w:pPr>
      <w:r w:rsidRPr="00651044">
        <w:rPr>
          <w:sz w:val="28"/>
          <w:szCs w:val="28"/>
        </w:rPr>
        <w:tab/>
      </w:r>
      <w:r w:rsidR="00895280" w:rsidRPr="00651044">
        <w:rPr>
          <w:sz w:val="28"/>
          <w:szCs w:val="28"/>
        </w:rPr>
        <w:t xml:space="preserve">Efectul pozitiv al majorărilor prenotate a fost parţial afectat de diminuarea cu 190,7 mil. lei a veniturilor din vînzări la 66 întreprinderi de stat. Totodată, din numărul total acestora 19 întreprinderi de stat au înregistrat diminuări ale veniturilor din vînzări mai mari de 1 milion lei, </w:t>
      </w:r>
      <w:r w:rsidRPr="00651044">
        <w:rPr>
          <w:sz w:val="28"/>
          <w:szCs w:val="28"/>
        </w:rPr>
        <w:t xml:space="preserve">dintre acestea evidenţiindu-se: </w:t>
      </w:r>
      <w:r w:rsidR="00895280" w:rsidRPr="00651044">
        <w:rPr>
          <w:sz w:val="28"/>
          <w:szCs w:val="28"/>
        </w:rPr>
        <w:t>Î.S. „Calea Ferată din Moldova” (cu 123,5 mil. lei), Î.S. Editura „Universul” (cu 8,1 mil. lei), Î.S. pentru Silvicultura „Hîncești-Silva” (cu 6,4 mil.lei),</w:t>
      </w:r>
      <w:r w:rsidRPr="00651044">
        <w:rPr>
          <w:sz w:val="28"/>
          <w:szCs w:val="28"/>
        </w:rPr>
        <w:t xml:space="preserve"> </w:t>
      </w:r>
      <w:r w:rsidR="00895280" w:rsidRPr="00651044">
        <w:rPr>
          <w:sz w:val="28"/>
          <w:szCs w:val="28"/>
        </w:rPr>
        <w:t xml:space="preserve">Î.S. „Combinatul Poligrafic” (cu 5,5 mil. lei), Î.S. „Rusca” (cu 4,4 mil. lei) </w:t>
      </w:r>
      <w:r w:rsidRPr="00651044">
        <w:rPr>
          <w:sz w:val="28"/>
          <w:szCs w:val="28"/>
        </w:rPr>
        <w:t xml:space="preserve">şi </w:t>
      </w:r>
      <w:r w:rsidR="00895280" w:rsidRPr="00651044">
        <w:rPr>
          <w:sz w:val="28"/>
          <w:szCs w:val="28"/>
        </w:rPr>
        <w:t xml:space="preserve">Î.S. „Stațiunea Tehnologică pentru Irigare Chișinău” (cu 3,9 mil. lei). </w:t>
      </w:r>
    </w:p>
    <w:p w:rsidR="00A23F03" w:rsidRPr="00651044" w:rsidRDefault="00A23F03" w:rsidP="00A23F03">
      <w:pPr>
        <w:tabs>
          <w:tab w:val="left" w:pos="567"/>
        </w:tabs>
        <w:spacing w:line="276" w:lineRule="auto"/>
        <w:jc w:val="both"/>
        <w:rPr>
          <w:sz w:val="28"/>
          <w:szCs w:val="28"/>
        </w:rPr>
      </w:pPr>
      <w:r w:rsidRPr="00651044">
        <w:rPr>
          <w:sz w:val="28"/>
          <w:szCs w:val="28"/>
        </w:rPr>
        <w:tab/>
      </w:r>
      <w:r w:rsidR="00895280" w:rsidRPr="00651044">
        <w:rPr>
          <w:sz w:val="28"/>
          <w:szCs w:val="28"/>
        </w:rPr>
        <w:t xml:space="preserve">Micşorarea veniturilor din vînzări, la întreprinderile de stat respective, comparativ cu perioada corespunzătoare a anului precedent, poate condiţiona micşorarea taxei pe valoarea adăugată încasată în bugetul de stat cu circa 38,1 mil. lei, fapt ce reprezintă un risc fiscal pentru bugetul public naţional. </w:t>
      </w:r>
    </w:p>
    <w:p w:rsidR="00895280" w:rsidRPr="00651044" w:rsidRDefault="00A23F03" w:rsidP="00A23F03">
      <w:pPr>
        <w:tabs>
          <w:tab w:val="left" w:pos="567"/>
        </w:tabs>
        <w:spacing w:line="276" w:lineRule="auto"/>
        <w:jc w:val="both"/>
        <w:rPr>
          <w:sz w:val="28"/>
          <w:szCs w:val="28"/>
        </w:rPr>
      </w:pPr>
      <w:r w:rsidRPr="00651044">
        <w:rPr>
          <w:sz w:val="28"/>
          <w:szCs w:val="28"/>
        </w:rPr>
        <w:tab/>
      </w:r>
      <w:r w:rsidR="00895280" w:rsidRPr="00651044">
        <w:rPr>
          <w:sz w:val="28"/>
          <w:szCs w:val="28"/>
        </w:rPr>
        <w:t>În ceea ce priveşte structura veniturilor din vînzări pe ramuri ale economiei naţionale, este necesar de menţionat că majoritatea acestora (49,5% - 1646,4 mil. lei) s-a încasat din activitatea întreprinderilor de stat administrate de Ministerul Transporturilor şi Infrastructurii Drumurilor (vezi tabelul 2.2).</w:t>
      </w:r>
    </w:p>
    <w:p w:rsidR="00AF5C7E" w:rsidRDefault="00AF5C7E" w:rsidP="00895280">
      <w:pPr>
        <w:spacing w:line="360" w:lineRule="auto"/>
        <w:ind w:firstLine="539"/>
        <w:jc w:val="right"/>
      </w:pPr>
    </w:p>
    <w:p w:rsidR="00613593" w:rsidRDefault="00613593" w:rsidP="00895280">
      <w:pPr>
        <w:spacing w:line="360" w:lineRule="auto"/>
        <w:ind w:firstLine="539"/>
        <w:jc w:val="right"/>
      </w:pPr>
    </w:p>
    <w:p w:rsidR="00613593" w:rsidRDefault="00613593" w:rsidP="00895280">
      <w:pPr>
        <w:spacing w:line="360" w:lineRule="auto"/>
        <w:ind w:firstLine="539"/>
        <w:jc w:val="right"/>
      </w:pPr>
    </w:p>
    <w:p w:rsidR="00895280" w:rsidRPr="00651044" w:rsidRDefault="00895280" w:rsidP="00895280">
      <w:pPr>
        <w:spacing w:line="360" w:lineRule="auto"/>
        <w:ind w:firstLine="539"/>
        <w:jc w:val="right"/>
      </w:pPr>
      <w:r w:rsidRPr="00651044">
        <w:t>Tabelul 2.2</w:t>
      </w:r>
    </w:p>
    <w:p w:rsidR="00895280" w:rsidRPr="00651044" w:rsidRDefault="00895280" w:rsidP="00895280">
      <w:pPr>
        <w:spacing w:line="276" w:lineRule="auto"/>
        <w:ind w:firstLine="539"/>
        <w:jc w:val="center"/>
        <w:rPr>
          <w:b/>
          <w:i/>
        </w:rPr>
      </w:pPr>
      <w:r w:rsidRPr="00651044">
        <w:rPr>
          <w:b/>
          <w:i/>
        </w:rPr>
        <w:t>Cele mai mari venituri din vînzări ale întreprinderilor de stat în semestrul I, 2016</w:t>
      </w:r>
    </w:p>
    <w:p w:rsidR="00895280" w:rsidRPr="00651044" w:rsidRDefault="00895280" w:rsidP="00895280">
      <w:pPr>
        <w:spacing w:line="276" w:lineRule="auto"/>
        <w:ind w:firstLine="539"/>
        <w:jc w:val="center"/>
        <w:rPr>
          <w:b/>
          <w:i/>
        </w:rPr>
      </w:pPr>
      <w:r w:rsidRPr="00651044">
        <w:rPr>
          <w:b/>
          <w:i/>
        </w:rPr>
        <w:t xml:space="preserve">grupate pe autorităţi ale administraţiei publice centrale </w:t>
      </w:r>
    </w:p>
    <w:p w:rsidR="00895280" w:rsidRPr="00651044" w:rsidRDefault="00895280" w:rsidP="00895280">
      <w:pPr>
        <w:ind w:firstLine="539"/>
        <w:jc w:val="center"/>
        <w:rPr>
          <w:b/>
          <w:i/>
          <w:sz w:val="16"/>
          <w:szCs w:val="16"/>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3977"/>
        <w:gridCol w:w="3626"/>
        <w:gridCol w:w="1556"/>
      </w:tblGrid>
      <w:tr w:rsidR="00895280" w:rsidRPr="00651044" w:rsidTr="004629DE">
        <w:trPr>
          <w:jc w:val="center"/>
        </w:trPr>
        <w:tc>
          <w:tcPr>
            <w:tcW w:w="543" w:type="dxa"/>
            <w:vAlign w:val="center"/>
          </w:tcPr>
          <w:p w:rsidR="00895280" w:rsidRPr="004629DE" w:rsidRDefault="00895280" w:rsidP="004629DE">
            <w:pPr>
              <w:spacing w:line="276" w:lineRule="auto"/>
              <w:jc w:val="center"/>
              <w:rPr>
                <w:b/>
                <w:i/>
                <w:iCs/>
              </w:rPr>
            </w:pPr>
            <w:r w:rsidRPr="004629DE">
              <w:rPr>
                <w:b/>
                <w:i/>
                <w:iCs/>
              </w:rPr>
              <w:t>Nr.</w:t>
            </w:r>
          </w:p>
        </w:tc>
        <w:tc>
          <w:tcPr>
            <w:tcW w:w="3977" w:type="dxa"/>
            <w:vAlign w:val="center"/>
          </w:tcPr>
          <w:p w:rsidR="00895280" w:rsidRPr="004629DE" w:rsidRDefault="00895280" w:rsidP="004629DE">
            <w:pPr>
              <w:jc w:val="center"/>
              <w:rPr>
                <w:b/>
                <w:i/>
                <w:iCs/>
              </w:rPr>
            </w:pPr>
            <w:r w:rsidRPr="004629DE">
              <w:rPr>
                <w:b/>
                <w:i/>
                <w:iCs/>
              </w:rPr>
              <w:t>Fondator</w:t>
            </w:r>
          </w:p>
        </w:tc>
        <w:tc>
          <w:tcPr>
            <w:tcW w:w="3626" w:type="dxa"/>
            <w:vAlign w:val="center"/>
          </w:tcPr>
          <w:p w:rsidR="00895280" w:rsidRPr="004629DE" w:rsidRDefault="00895280" w:rsidP="004629DE">
            <w:pPr>
              <w:jc w:val="center"/>
              <w:rPr>
                <w:b/>
                <w:i/>
                <w:iCs/>
              </w:rPr>
            </w:pPr>
            <w:r w:rsidRPr="004629DE">
              <w:rPr>
                <w:b/>
                <w:i/>
                <w:iCs/>
              </w:rPr>
              <w:t>Valoarea</w:t>
            </w:r>
          </w:p>
          <w:p w:rsidR="00895280" w:rsidRPr="004629DE" w:rsidRDefault="00895280" w:rsidP="004629DE">
            <w:pPr>
              <w:jc w:val="center"/>
              <w:rPr>
                <w:b/>
                <w:i/>
                <w:iCs/>
              </w:rPr>
            </w:pPr>
            <w:r w:rsidRPr="004629DE">
              <w:rPr>
                <w:b/>
                <w:i/>
                <w:iCs/>
              </w:rPr>
              <w:t>veniturilor din vînzări</w:t>
            </w:r>
            <w:r w:rsidR="00A23F03" w:rsidRPr="004629DE">
              <w:rPr>
                <w:b/>
                <w:i/>
                <w:iCs/>
              </w:rPr>
              <w:t xml:space="preserve"> </w:t>
            </w:r>
            <w:r w:rsidRPr="004629DE">
              <w:rPr>
                <w:b/>
                <w:i/>
                <w:iCs/>
              </w:rPr>
              <w:t>(mil. lei)</w:t>
            </w:r>
          </w:p>
        </w:tc>
        <w:tc>
          <w:tcPr>
            <w:tcW w:w="1556" w:type="dxa"/>
            <w:vAlign w:val="center"/>
          </w:tcPr>
          <w:p w:rsidR="00895280" w:rsidRPr="004629DE" w:rsidRDefault="00895280" w:rsidP="004629DE">
            <w:pPr>
              <w:jc w:val="center"/>
              <w:rPr>
                <w:b/>
                <w:i/>
                <w:iCs/>
              </w:rPr>
            </w:pPr>
            <w:r w:rsidRPr="004629DE">
              <w:rPr>
                <w:b/>
                <w:i/>
                <w:iCs/>
              </w:rPr>
              <w:t>Ponderea</w:t>
            </w:r>
          </w:p>
          <w:p w:rsidR="00895280" w:rsidRPr="004629DE" w:rsidRDefault="00895280" w:rsidP="004629DE">
            <w:pPr>
              <w:jc w:val="center"/>
              <w:rPr>
                <w:b/>
                <w:i/>
                <w:iCs/>
              </w:rPr>
            </w:pPr>
            <w:r w:rsidRPr="004629DE">
              <w:rPr>
                <w:b/>
                <w:i/>
                <w:iCs/>
              </w:rPr>
              <w:t>(%)</w:t>
            </w:r>
          </w:p>
        </w:tc>
      </w:tr>
      <w:tr w:rsidR="00895280" w:rsidRPr="00651044" w:rsidTr="004629DE">
        <w:trPr>
          <w:jc w:val="center"/>
        </w:trPr>
        <w:tc>
          <w:tcPr>
            <w:tcW w:w="543" w:type="dxa"/>
          </w:tcPr>
          <w:p w:rsidR="00895280" w:rsidRPr="004629DE" w:rsidRDefault="00895280" w:rsidP="004629DE">
            <w:pPr>
              <w:spacing w:line="276" w:lineRule="auto"/>
              <w:jc w:val="center"/>
              <w:rPr>
                <w:b/>
              </w:rPr>
            </w:pPr>
            <w:r w:rsidRPr="004629DE">
              <w:rPr>
                <w:b/>
              </w:rPr>
              <w:t>1.</w:t>
            </w:r>
          </w:p>
        </w:tc>
        <w:tc>
          <w:tcPr>
            <w:tcW w:w="3977" w:type="dxa"/>
          </w:tcPr>
          <w:p w:rsidR="00895280" w:rsidRPr="00651044" w:rsidRDefault="00895280" w:rsidP="00895280">
            <w:r w:rsidRPr="00651044">
              <w:t>Ministerul Transporturilor şi Infrastructurii Drumurilor</w:t>
            </w:r>
          </w:p>
        </w:tc>
        <w:tc>
          <w:tcPr>
            <w:tcW w:w="3626" w:type="dxa"/>
          </w:tcPr>
          <w:p w:rsidR="00895280" w:rsidRPr="00651044" w:rsidRDefault="00895280" w:rsidP="004629DE">
            <w:pPr>
              <w:jc w:val="center"/>
            </w:pPr>
            <w:r w:rsidRPr="00651044">
              <w:t>1646,4</w:t>
            </w:r>
          </w:p>
        </w:tc>
        <w:tc>
          <w:tcPr>
            <w:tcW w:w="1556" w:type="dxa"/>
          </w:tcPr>
          <w:p w:rsidR="00895280" w:rsidRPr="00651044" w:rsidRDefault="00895280" w:rsidP="004629DE">
            <w:pPr>
              <w:jc w:val="center"/>
            </w:pPr>
            <w:r w:rsidRPr="00651044">
              <w:t>49,5</w:t>
            </w:r>
          </w:p>
        </w:tc>
      </w:tr>
      <w:tr w:rsidR="00895280" w:rsidRPr="00651044" w:rsidTr="004629DE">
        <w:trPr>
          <w:jc w:val="center"/>
        </w:trPr>
        <w:tc>
          <w:tcPr>
            <w:tcW w:w="543" w:type="dxa"/>
          </w:tcPr>
          <w:p w:rsidR="00895280" w:rsidRPr="004629DE" w:rsidRDefault="00895280" w:rsidP="004629DE">
            <w:pPr>
              <w:spacing w:line="276" w:lineRule="auto"/>
              <w:jc w:val="center"/>
              <w:rPr>
                <w:b/>
              </w:rPr>
            </w:pPr>
            <w:r w:rsidRPr="004629DE">
              <w:rPr>
                <w:b/>
              </w:rPr>
              <w:t>2.</w:t>
            </w:r>
          </w:p>
        </w:tc>
        <w:tc>
          <w:tcPr>
            <w:tcW w:w="3977" w:type="dxa"/>
          </w:tcPr>
          <w:p w:rsidR="00895280" w:rsidRPr="00651044" w:rsidRDefault="00895280" w:rsidP="00895280">
            <w:r w:rsidRPr="00651044">
              <w:t>Ministerul Tehnologiei Informaţiei şi Comunicaţiilor</w:t>
            </w:r>
          </w:p>
        </w:tc>
        <w:tc>
          <w:tcPr>
            <w:tcW w:w="3626" w:type="dxa"/>
          </w:tcPr>
          <w:p w:rsidR="00895280" w:rsidRPr="00651044" w:rsidRDefault="00895280" w:rsidP="004629DE">
            <w:pPr>
              <w:jc w:val="center"/>
            </w:pPr>
            <w:r w:rsidRPr="00651044">
              <w:t>574,5</w:t>
            </w:r>
          </w:p>
        </w:tc>
        <w:tc>
          <w:tcPr>
            <w:tcW w:w="1556" w:type="dxa"/>
          </w:tcPr>
          <w:p w:rsidR="00895280" w:rsidRPr="00651044" w:rsidRDefault="00895280" w:rsidP="004629DE">
            <w:pPr>
              <w:jc w:val="center"/>
            </w:pPr>
            <w:r w:rsidRPr="00651044">
              <w:t>17,3</w:t>
            </w:r>
          </w:p>
        </w:tc>
      </w:tr>
      <w:tr w:rsidR="00895280" w:rsidRPr="00651044" w:rsidTr="004629DE">
        <w:trPr>
          <w:jc w:val="center"/>
        </w:trPr>
        <w:tc>
          <w:tcPr>
            <w:tcW w:w="543" w:type="dxa"/>
          </w:tcPr>
          <w:p w:rsidR="00895280" w:rsidRPr="004629DE" w:rsidRDefault="00895280" w:rsidP="004629DE">
            <w:pPr>
              <w:spacing w:line="276" w:lineRule="auto"/>
              <w:jc w:val="center"/>
              <w:rPr>
                <w:b/>
              </w:rPr>
            </w:pPr>
            <w:r w:rsidRPr="004629DE">
              <w:rPr>
                <w:b/>
              </w:rPr>
              <w:t>3.</w:t>
            </w:r>
          </w:p>
        </w:tc>
        <w:tc>
          <w:tcPr>
            <w:tcW w:w="3977" w:type="dxa"/>
          </w:tcPr>
          <w:p w:rsidR="00895280" w:rsidRPr="00651044" w:rsidRDefault="00895280" w:rsidP="00895280">
            <w:r w:rsidRPr="00651044">
              <w:t>Ministerul Economiei</w:t>
            </w:r>
          </w:p>
        </w:tc>
        <w:tc>
          <w:tcPr>
            <w:tcW w:w="3626" w:type="dxa"/>
          </w:tcPr>
          <w:p w:rsidR="00895280" w:rsidRPr="00651044" w:rsidRDefault="00895280" w:rsidP="004629DE">
            <w:pPr>
              <w:jc w:val="center"/>
            </w:pPr>
            <w:r w:rsidRPr="00651044">
              <w:t>441,1</w:t>
            </w:r>
          </w:p>
        </w:tc>
        <w:tc>
          <w:tcPr>
            <w:tcW w:w="1556" w:type="dxa"/>
          </w:tcPr>
          <w:p w:rsidR="00895280" w:rsidRPr="00651044" w:rsidRDefault="00895280" w:rsidP="004629DE">
            <w:pPr>
              <w:jc w:val="center"/>
            </w:pPr>
            <w:r w:rsidRPr="00651044">
              <w:t>13,3</w:t>
            </w:r>
          </w:p>
        </w:tc>
      </w:tr>
      <w:tr w:rsidR="00895280" w:rsidRPr="00651044" w:rsidTr="004629DE">
        <w:trPr>
          <w:jc w:val="center"/>
        </w:trPr>
        <w:tc>
          <w:tcPr>
            <w:tcW w:w="543" w:type="dxa"/>
          </w:tcPr>
          <w:p w:rsidR="00895280" w:rsidRPr="004629DE" w:rsidRDefault="00895280" w:rsidP="004629DE">
            <w:pPr>
              <w:spacing w:line="276" w:lineRule="auto"/>
              <w:jc w:val="center"/>
              <w:rPr>
                <w:b/>
              </w:rPr>
            </w:pPr>
            <w:r w:rsidRPr="004629DE">
              <w:rPr>
                <w:b/>
              </w:rPr>
              <w:lastRenderedPageBreak/>
              <w:t>4.</w:t>
            </w:r>
          </w:p>
        </w:tc>
        <w:tc>
          <w:tcPr>
            <w:tcW w:w="3977" w:type="dxa"/>
          </w:tcPr>
          <w:p w:rsidR="00895280" w:rsidRPr="00651044" w:rsidRDefault="00895280" w:rsidP="00895280">
            <w:r w:rsidRPr="00651044">
              <w:t>Agenţia „Moldsilva”</w:t>
            </w:r>
          </w:p>
        </w:tc>
        <w:tc>
          <w:tcPr>
            <w:tcW w:w="3626" w:type="dxa"/>
          </w:tcPr>
          <w:p w:rsidR="00895280" w:rsidRPr="00651044" w:rsidRDefault="00895280" w:rsidP="004629DE">
            <w:pPr>
              <w:jc w:val="center"/>
            </w:pPr>
            <w:r w:rsidRPr="00651044">
              <w:t>121,3</w:t>
            </w:r>
          </w:p>
        </w:tc>
        <w:tc>
          <w:tcPr>
            <w:tcW w:w="1556" w:type="dxa"/>
          </w:tcPr>
          <w:p w:rsidR="00895280" w:rsidRPr="00651044" w:rsidRDefault="00895280" w:rsidP="004629DE">
            <w:pPr>
              <w:jc w:val="center"/>
            </w:pPr>
            <w:r w:rsidRPr="00651044">
              <w:t>3,6</w:t>
            </w:r>
          </w:p>
        </w:tc>
      </w:tr>
      <w:tr w:rsidR="00AF5C7E" w:rsidRPr="00651044" w:rsidTr="004629DE">
        <w:trPr>
          <w:jc w:val="center"/>
        </w:trPr>
        <w:tc>
          <w:tcPr>
            <w:tcW w:w="543" w:type="dxa"/>
          </w:tcPr>
          <w:p w:rsidR="00AF5C7E" w:rsidRPr="004629DE" w:rsidRDefault="00AF5C7E" w:rsidP="004629DE">
            <w:pPr>
              <w:spacing w:line="276" w:lineRule="auto"/>
              <w:jc w:val="center"/>
              <w:rPr>
                <w:b/>
              </w:rPr>
            </w:pPr>
            <w:r w:rsidRPr="004629DE">
              <w:rPr>
                <w:b/>
              </w:rPr>
              <w:t>5.</w:t>
            </w:r>
          </w:p>
        </w:tc>
        <w:tc>
          <w:tcPr>
            <w:tcW w:w="3977" w:type="dxa"/>
          </w:tcPr>
          <w:p w:rsidR="00AF5C7E" w:rsidRPr="00AF60BD" w:rsidRDefault="00AF5C7E" w:rsidP="00E4660A">
            <w:r w:rsidRPr="00AF60BD">
              <w:t>Agenţia Relaţii Funciare şi Cadastru</w:t>
            </w:r>
          </w:p>
        </w:tc>
        <w:tc>
          <w:tcPr>
            <w:tcW w:w="3626" w:type="dxa"/>
          </w:tcPr>
          <w:p w:rsidR="00AF5C7E" w:rsidRPr="00363F60" w:rsidRDefault="00AF5C7E" w:rsidP="004629DE">
            <w:pPr>
              <w:jc w:val="center"/>
            </w:pPr>
            <w:r w:rsidRPr="00363F60">
              <w:t>82,4</w:t>
            </w:r>
          </w:p>
        </w:tc>
        <w:tc>
          <w:tcPr>
            <w:tcW w:w="1556" w:type="dxa"/>
          </w:tcPr>
          <w:p w:rsidR="00AF5C7E" w:rsidRPr="00B57AF7" w:rsidRDefault="00AF5C7E" w:rsidP="004629DE">
            <w:pPr>
              <w:jc w:val="center"/>
            </w:pPr>
            <w:r w:rsidRPr="00B57AF7">
              <w:t>2,5</w:t>
            </w:r>
          </w:p>
        </w:tc>
      </w:tr>
      <w:tr w:rsidR="00AF5C7E" w:rsidRPr="00651044" w:rsidTr="004629DE">
        <w:trPr>
          <w:jc w:val="center"/>
        </w:trPr>
        <w:tc>
          <w:tcPr>
            <w:tcW w:w="543" w:type="dxa"/>
          </w:tcPr>
          <w:p w:rsidR="00AF5C7E" w:rsidRPr="004629DE" w:rsidRDefault="00AF5C7E" w:rsidP="004629DE">
            <w:pPr>
              <w:spacing w:line="276" w:lineRule="auto"/>
              <w:jc w:val="center"/>
              <w:rPr>
                <w:b/>
              </w:rPr>
            </w:pPr>
            <w:r w:rsidRPr="004629DE">
              <w:rPr>
                <w:b/>
              </w:rPr>
              <w:t>6.</w:t>
            </w:r>
          </w:p>
        </w:tc>
        <w:tc>
          <w:tcPr>
            <w:tcW w:w="3977" w:type="dxa"/>
          </w:tcPr>
          <w:p w:rsidR="00AF5C7E" w:rsidRPr="00AF60BD" w:rsidRDefault="00AF5C7E" w:rsidP="00E4660A">
            <w:r w:rsidRPr="00AF60BD">
              <w:t>Ministerul Afacerilor Interne</w:t>
            </w:r>
          </w:p>
        </w:tc>
        <w:tc>
          <w:tcPr>
            <w:tcW w:w="3626" w:type="dxa"/>
          </w:tcPr>
          <w:p w:rsidR="00AF5C7E" w:rsidRPr="00363F60" w:rsidRDefault="00AF5C7E" w:rsidP="004629DE">
            <w:pPr>
              <w:jc w:val="center"/>
            </w:pPr>
            <w:r w:rsidRPr="00363F60">
              <w:t>76,0</w:t>
            </w:r>
          </w:p>
        </w:tc>
        <w:tc>
          <w:tcPr>
            <w:tcW w:w="1556" w:type="dxa"/>
          </w:tcPr>
          <w:p w:rsidR="00AF5C7E" w:rsidRPr="00B57AF7" w:rsidRDefault="00AF5C7E" w:rsidP="004629DE">
            <w:pPr>
              <w:jc w:val="center"/>
            </w:pPr>
            <w:r w:rsidRPr="00B57AF7">
              <w:t>2,3</w:t>
            </w:r>
          </w:p>
        </w:tc>
      </w:tr>
      <w:tr w:rsidR="00AF5C7E" w:rsidRPr="00651044" w:rsidTr="004629DE">
        <w:trPr>
          <w:jc w:val="center"/>
        </w:trPr>
        <w:tc>
          <w:tcPr>
            <w:tcW w:w="543" w:type="dxa"/>
          </w:tcPr>
          <w:p w:rsidR="00AF5C7E" w:rsidRPr="004629DE" w:rsidRDefault="00AF5C7E" w:rsidP="004629DE">
            <w:pPr>
              <w:spacing w:line="276" w:lineRule="auto"/>
              <w:jc w:val="center"/>
              <w:rPr>
                <w:b/>
              </w:rPr>
            </w:pPr>
            <w:r w:rsidRPr="004629DE">
              <w:rPr>
                <w:b/>
              </w:rPr>
              <w:t>7.</w:t>
            </w:r>
          </w:p>
        </w:tc>
        <w:tc>
          <w:tcPr>
            <w:tcW w:w="3977" w:type="dxa"/>
          </w:tcPr>
          <w:p w:rsidR="00AF5C7E" w:rsidRDefault="00AF5C7E" w:rsidP="00E4660A">
            <w:r w:rsidRPr="00AF60BD">
              <w:t>Ministerul Agriculturii și Industriei Alimentare</w:t>
            </w:r>
          </w:p>
        </w:tc>
        <w:tc>
          <w:tcPr>
            <w:tcW w:w="3626" w:type="dxa"/>
          </w:tcPr>
          <w:p w:rsidR="00AF5C7E" w:rsidRDefault="00AF5C7E" w:rsidP="004629DE">
            <w:pPr>
              <w:jc w:val="center"/>
            </w:pPr>
            <w:r w:rsidRPr="00363F60">
              <w:t>67,5</w:t>
            </w:r>
          </w:p>
        </w:tc>
        <w:tc>
          <w:tcPr>
            <w:tcW w:w="1556" w:type="dxa"/>
          </w:tcPr>
          <w:p w:rsidR="00AF5C7E" w:rsidRDefault="00AF5C7E" w:rsidP="004629DE">
            <w:pPr>
              <w:jc w:val="center"/>
            </w:pPr>
            <w:r w:rsidRPr="00B57AF7">
              <w:t>2,0</w:t>
            </w:r>
          </w:p>
        </w:tc>
      </w:tr>
      <w:tr w:rsidR="00895280" w:rsidRPr="00651044" w:rsidTr="004629DE">
        <w:trPr>
          <w:jc w:val="center"/>
        </w:trPr>
        <w:tc>
          <w:tcPr>
            <w:tcW w:w="543" w:type="dxa"/>
          </w:tcPr>
          <w:p w:rsidR="00895280" w:rsidRPr="004629DE" w:rsidRDefault="00895280" w:rsidP="004629DE">
            <w:pPr>
              <w:spacing w:line="276" w:lineRule="auto"/>
              <w:jc w:val="center"/>
              <w:rPr>
                <w:b/>
              </w:rPr>
            </w:pPr>
            <w:r w:rsidRPr="004629DE">
              <w:rPr>
                <w:b/>
              </w:rPr>
              <w:t>8.</w:t>
            </w:r>
          </w:p>
        </w:tc>
        <w:tc>
          <w:tcPr>
            <w:tcW w:w="3977" w:type="dxa"/>
          </w:tcPr>
          <w:p w:rsidR="00895280" w:rsidRPr="00651044" w:rsidRDefault="00895280" w:rsidP="00895280">
            <w:r w:rsidRPr="00651044">
              <w:t>Ministerul Culturii</w:t>
            </w:r>
          </w:p>
        </w:tc>
        <w:tc>
          <w:tcPr>
            <w:tcW w:w="3626" w:type="dxa"/>
          </w:tcPr>
          <w:p w:rsidR="00895280" w:rsidRPr="00651044" w:rsidRDefault="00895280" w:rsidP="004629DE">
            <w:pPr>
              <w:jc w:val="center"/>
            </w:pPr>
            <w:r w:rsidRPr="00651044">
              <w:t>55,7</w:t>
            </w:r>
          </w:p>
        </w:tc>
        <w:tc>
          <w:tcPr>
            <w:tcW w:w="1556" w:type="dxa"/>
          </w:tcPr>
          <w:p w:rsidR="00895280" w:rsidRPr="00651044" w:rsidRDefault="00895280" w:rsidP="004629DE">
            <w:pPr>
              <w:jc w:val="center"/>
            </w:pPr>
            <w:r w:rsidRPr="00651044">
              <w:t>1,7</w:t>
            </w:r>
          </w:p>
        </w:tc>
      </w:tr>
      <w:tr w:rsidR="00895280" w:rsidRPr="00651044" w:rsidTr="004629DE">
        <w:trPr>
          <w:jc w:val="center"/>
        </w:trPr>
        <w:tc>
          <w:tcPr>
            <w:tcW w:w="543" w:type="dxa"/>
          </w:tcPr>
          <w:p w:rsidR="00895280" w:rsidRPr="004629DE" w:rsidRDefault="00895280" w:rsidP="004629DE">
            <w:pPr>
              <w:spacing w:line="276" w:lineRule="auto"/>
              <w:jc w:val="center"/>
              <w:rPr>
                <w:b/>
              </w:rPr>
            </w:pPr>
            <w:r w:rsidRPr="004629DE">
              <w:rPr>
                <w:b/>
              </w:rPr>
              <w:t>9.</w:t>
            </w:r>
          </w:p>
        </w:tc>
        <w:tc>
          <w:tcPr>
            <w:tcW w:w="3977" w:type="dxa"/>
          </w:tcPr>
          <w:p w:rsidR="00895280" w:rsidRPr="00651044" w:rsidRDefault="00895280" w:rsidP="00895280">
            <w:r w:rsidRPr="00651044">
              <w:t xml:space="preserve">Ministerul Dezvoltării Regionale și Construcțiilor </w:t>
            </w:r>
          </w:p>
        </w:tc>
        <w:tc>
          <w:tcPr>
            <w:tcW w:w="3626" w:type="dxa"/>
          </w:tcPr>
          <w:p w:rsidR="00895280" w:rsidRPr="00651044" w:rsidRDefault="00895280" w:rsidP="004629DE">
            <w:pPr>
              <w:jc w:val="center"/>
            </w:pPr>
            <w:r w:rsidRPr="00651044">
              <w:t>45,3</w:t>
            </w:r>
          </w:p>
        </w:tc>
        <w:tc>
          <w:tcPr>
            <w:tcW w:w="1556" w:type="dxa"/>
          </w:tcPr>
          <w:p w:rsidR="00895280" w:rsidRPr="00651044" w:rsidRDefault="00895280" w:rsidP="004629DE">
            <w:pPr>
              <w:jc w:val="center"/>
            </w:pPr>
            <w:r w:rsidRPr="00651044">
              <w:t>1,4</w:t>
            </w:r>
          </w:p>
        </w:tc>
      </w:tr>
    </w:tbl>
    <w:p w:rsidR="00895280" w:rsidRPr="00651044" w:rsidRDefault="00895280" w:rsidP="00895280">
      <w:pPr>
        <w:ind w:firstLine="539"/>
        <w:jc w:val="center"/>
      </w:pPr>
    </w:p>
    <w:p w:rsidR="0054210F" w:rsidRPr="00651044" w:rsidRDefault="00895280" w:rsidP="00AF5C7E">
      <w:pPr>
        <w:spacing w:line="276" w:lineRule="auto"/>
        <w:ind w:firstLine="567"/>
        <w:jc w:val="both"/>
        <w:rPr>
          <w:sz w:val="28"/>
          <w:szCs w:val="28"/>
        </w:rPr>
      </w:pPr>
      <w:r w:rsidRPr="00651044">
        <w:rPr>
          <w:sz w:val="28"/>
          <w:szCs w:val="28"/>
        </w:rPr>
        <w:t>Totodată, 17,3% (574,5 mil. lei) din veniturile din vînzări totale constituie veniturile din vînzări ale întreprinderilor de stat administrate de Ministerul Tehnologiei Informaţiei şi Comunicaţiilor, iar 13,3% (441,1 mil. lei) revine veniturilor din vînzări ale întreprinderilor de stat administrate de Ministerul Economiei.</w:t>
      </w:r>
      <w:r w:rsidR="00AF5C7E">
        <w:rPr>
          <w:sz w:val="28"/>
          <w:szCs w:val="28"/>
        </w:rPr>
        <w:t xml:space="preserve"> </w:t>
      </w:r>
      <w:r w:rsidRPr="00651044">
        <w:rPr>
          <w:sz w:val="28"/>
          <w:szCs w:val="28"/>
        </w:rPr>
        <w:t>Din cele 9 autorităţi prezentate în tabel, ponderi mai mici au fost înregistrate la veniturile din vînzări obţinute de întreprinderile din administrarea Ministerului Agriculturii și Industriei Alimentare – 2,0% (67,5 mil. lei), Ministerului Culturii – 1,7% (55,7 mil. lei) şi Ministerului Dezvoltării Regionale și Construcțiilor – 1,4% (45,3 mil. lei).</w:t>
      </w:r>
    </w:p>
    <w:p w:rsidR="0054210F" w:rsidRPr="00651044" w:rsidRDefault="00895280" w:rsidP="0054210F">
      <w:pPr>
        <w:spacing w:line="276" w:lineRule="auto"/>
        <w:ind w:firstLine="567"/>
        <w:jc w:val="both"/>
        <w:rPr>
          <w:sz w:val="28"/>
          <w:szCs w:val="28"/>
        </w:rPr>
      </w:pPr>
      <w:r w:rsidRPr="00651044">
        <w:rPr>
          <w:sz w:val="28"/>
          <w:szCs w:val="28"/>
        </w:rPr>
        <w:t>Avînd în vedere că raportul „Cercetare statistică trimestrială Nr. 5-CI „Consumurile, cheltuielile şi investiţiile întreprinderii” se prezintă pe trimestre separate, remarcăm că în trimestrul II al anului 2016 întreprinderile de stat au înregistrat venituri totale în cuantum de 1887,4 mil. lei. Din valoarea acestora</w:t>
      </w:r>
      <w:r w:rsidR="00AF5C7E">
        <w:rPr>
          <w:sz w:val="28"/>
          <w:szCs w:val="28"/>
        </w:rPr>
        <w:t>,</w:t>
      </w:r>
      <w:r w:rsidRPr="00651044">
        <w:rPr>
          <w:sz w:val="28"/>
          <w:szCs w:val="28"/>
        </w:rPr>
        <w:t xml:space="preserve"> veniturile din vînzări constituie 1846,5 mil. lei, iar alte venituri din activitatea operaţională – 40,9 mil. lei. </w:t>
      </w:r>
    </w:p>
    <w:p w:rsidR="00895280" w:rsidRPr="00651044" w:rsidRDefault="00895280" w:rsidP="00AF5C7E">
      <w:pPr>
        <w:spacing w:line="276" w:lineRule="auto"/>
        <w:ind w:firstLine="567"/>
        <w:jc w:val="both"/>
        <w:rPr>
          <w:sz w:val="28"/>
          <w:szCs w:val="28"/>
        </w:rPr>
      </w:pPr>
      <w:r w:rsidRPr="00651044">
        <w:rPr>
          <w:color w:val="000000"/>
          <w:sz w:val="28"/>
          <w:szCs w:val="28"/>
        </w:rPr>
        <w:t>Potrivit bazei comparabile, valoarea veniturilor din vînzări înregistrate</w:t>
      </w:r>
      <w:r w:rsidR="00AF5C7E">
        <w:rPr>
          <w:color w:val="000000"/>
          <w:sz w:val="28"/>
          <w:szCs w:val="28"/>
        </w:rPr>
        <w:t xml:space="preserve"> în trimestrul II, 2016</w:t>
      </w:r>
      <w:r w:rsidRPr="00651044">
        <w:rPr>
          <w:color w:val="000000"/>
          <w:sz w:val="28"/>
          <w:szCs w:val="28"/>
        </w:rPr>
        <w:t xml:space="preserve"> este de 1844,3 mil. lei şi s-a majorat cu 102,2 mil. lei comparativ cu perioada trimestrului II al anului 2015. </w:t>
      </w:r>
      <w:r w:rsidRPr="00651044">
        <w:rPr>
          <w:sz w:val="28"/>
          <w:szCs w:val="28"/>
        </w:rPr>
        <w:t>În structura veniturilor din vînzări totale înregistrate de către întreprinderile de stat în trimestrul II al anului 2016, ponderea majoritară (82,2% - 1517,2 mil. lei) a revenit veniturilor obţinute din prestarea serviciilor (vezi figura 2.1.). Valoarea totală a veniturilor din prestarea serviciilor include venituri încasate din serviciile prestate populaţiei – 914,4 mil. lei şi din cele prestate întreprinderilor – 602,8 mil. lei.</w:t>
      </w:r>
    </w:p>
    <w:p w:rsidR="00895280" w:rsidRPr="00651044" w:rsidRDefault="005F3028" w:rsidP="00895280">
      <w:pPr>
        <w:spacing w:line="276" w:lineRule="auto"/>
        <w:jc w:val="both"/>
        <w:rPr>
          <w:sz w:val="28"/>
          <w:szCs w:val="28"/>
        </w:rPr>
      </w:pPr>
      <w:r w:rsidRPr="005F3028">
        <w:rPr>
          <w:noProof/>
          <w:sz w:val="28"/>
          <w:szCs w:val="28"/>
        </w:rPr>
        <w:pict>
          <v:roundrect id="_x0000_s1048" style="position:absolute;left:0;text-align:left;margin-left:183.45pt;margin-top:73pt;width:63.75pt;height:59.25pt;z-index:251667456" arcsize="10923f" fillcolor="#c6d9f1">
            <v:textbox>
              <w:txbxContent>
                <w:p w:rsidR="00E4660A" w:rsidRPr="0054210F" w:rsidRDefault="00E4660A" w:rsidP="00895280">
                  <w:pPr>
                    <w:jc w:val="center"/>
                    <w:rPr>
                      <w:sz w:val="20"/>
                      <w:szCs w:val="20"/>
                    </w:rPr>
                  </w:pPr>
                  <w:r w:rsidRPr="0054210F">
                    <w:rPr>
                      <w:sz w:val="20"/>
                      <w:szCs w:val="20"/>
                    </w:rPr>
                    <w:t>Venit din vînzări</w:t>
                  </w:r>
                </w:p>
                <w:p w:rsidR="00E4660A" w:rsidRPr="0054210F" w:rsidRDefault="00E4660A" w:rsidP="00895280">
                  <w:pPr>
                    <w:jc w:val="center"/>
                    <w:rPr>
                      <w:sz w:val="20"/>
                      <w:szCs w:val="20"/>
                    </w:rPr>
                  </w:pPr>
                  <w:r w:rsidRPr="0054210F">
                    <w:rPr>
                      <w:sz w:val="20"/>
                      <w:szCs w:val="20"/>
                    </w:rPr>
                    <w:t>1846,5 mil.lei</w:t>
                  </w:r>
                </w:p>
              </w:txbxContent>
            </v:textbox>
          </v:roundrect>
        </w:pict>
      </w:r>
      <w:r w:rsidR="00763829">
        <w:rPr>
          <w:noProof/>
          <w:sz w:val="28"/>
          <w:szCs w:val="28"/>
          <w:lang w:val="ru-RU"/>
        </w:rPr>
        <w:drawing>
          <wp:inline distT="0" distB="0" distL="0" distR="0">
            <wp:extent cx="5486400" cy="2173736"/>
            <wp:effectExtent l="0" t="19050" r="0" b="55114"/>
            <wp:docPr id="24" name="Схема 1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895280" w:rsidRPr="00651044" w:rsidRDefault="00895280" w:rsidP="00895280">
      <w:pPr>
        <w:jc w:val="center"/>
        <w:rPr>
          <w:b/>
          <w:i/>
        </w:rPr>
      </w:pPr>
      <w:r w:rsidRPr="00651044">
        <w:rPr>
          <w:b/>
          <w:i/>
        </w:rPr>
        <w:lastRenderedPageBreak/>
        <w:t>Figura 2.1. Structura veniturilor din v</w:t>
      </w:r>
      <w:r w:rsidR="006E6FE5">
        <w:rPr>
          <w:b/>
          <w:i/>
        </w:rPr>
        <w:t>î</w:t>
      </w:r>
      <w:r w:rsidRPr="00651044">
        <w:rPr>
          <w:b/>
          <w:i/>
        </w:rPr>
        <w:t>nzări ale întreprinderilor de stat,</w:t>
      </w:r>
    </w:p>
    <w:p w:rsidR="00895280" w:rsidRPr="00651044" w:rsidRDefault="00895280" w:rsidP="00895280">
      <w:pPr>
        <w:spacing w:line="360" w:lineRule="auto"/>
        <w:jc w:val="center"/>
        <w:rPr>
          <w:b/>
          <w:i/>
        </w:rPr>
      </w:pPr>
      <w:r w:rsidRPr="00651044">
        <w:rPr>
          <w:b/>
          <w:i/>
        </w:rPr>
        <w:t xml:space="preserve"> în trimestrul II al anului 2016</w:t>
      </w:r>
    </w:p>
    <w:p w:rsidR="0054210F" w:rsidRPr="00651044" w:rsidRDefault="00895280" w:rsidP="00AF5C7E">
      <w:pPr>
        <w:spacing w:line="276" w:lineRule="auto"/>
        <w:ind w:firstLine="567"/>
        <w:jc w:val="both"/>
        <w:rPr>
          <w:sz w:val="28"/>
          <w:szCs w:val="28"/>
        </w:rPr>
      </w:pPr>
      <w:r w:rsidRPr="00651044">
        <w:rPr>
          <w:sz w:val="28"/>
          <w:szCs w:val="28"/>
        </w:rPr>
        <w:t>Totodată, în structura veniturilor din vînzări, veniturile încasate din vînzarea produselor deţin ponderea de 12,2% sau 225,1 mil. lei, iar veniturile din locaţiune au constituit 3,4% sau 63,6 mil. lei. De asemenea, din vînzarea mărfurilor s-au încasat venituri în mărime de 37,9 mil. lei (2,1%), valoarea acestora fiind constituită din venituri din vînzarea mărfurilor cu amănuntul (18,7 mil. lei) şi venituri din vînzarea mărfurilor cu ridicata (19,2 mil. lei). Cele mai mici venituri, comparativ cu cele menţionate anterior s-au înregistrat la veniturile din contractele de construcţie (0,1% - 2,7 mil. lei).</w:t>
      </w:r>
    </w:p>
    <w:p w:rsidR="0054210F" w:rsidRPr="00651044" w:rsidRDefault="00895280" w:rsidP="0054210F">
      <w:pPr>
        <w:spacing w:line="276" w:lineRule="auto"/>
        <w:ind w:firstLine="567"/>
        <w:jc w:val="both"/>
        <w:rPr>
          <w:sz w:val="28"/>
          <w:szCs w:val="28"/>
        </w:rPr>
      </w:pPr>
      <w:r w:rsidRPr="00651044">
        <w:rPr>
          <w:sz w:val="28"/>
          <w:szCs w:val="28"/>
        </w:rPr>
        <w:t>În condiţiile în care, veniturile din prestarea serviciilor deţin ponderea majoritară în volumul total al veniturilor din vînzări, s-a considerat necesară analiza structurii acestora în trimestrul II al anului 2016.</w:t>
      </w:r>
    </w:p>
    <w:p w:rsidR="00895280" w:rsidRDefault="00895280" w:rsidP="00AF5C7E">
      <w:pPr>
        <w:spacing w:line="276" w:lineRule="auto"/>
        <w:ind w:firstLine="567"/>
        <w:jc w:val="both"/>
        <w:rPr>
          <w:sz w:val="28"/>
          <w:szCs w:val="28"/>
        </w:rPr>
      </w:pPr>
      <w:r w:rsidRPr="00651044">
        <w:rPr>
          <w:sz w:val="28"/>
          <w:szCs w:val="28"/>
        </w:rPr>
        <w:t>Astfel, majoritatea veniturilor din prestarea serviciilor (65,8% - 998,1 mil. lei) sunt constituite din veniturile din prestarea serviciilor de transport şi de depozitare (vezi tabelul 2.3).</w:t>
      </w:r>
      <w:r w:rsidR="00AF5C7E">
        <w:rPr>
          <w:sz w:val="28"/>
          <w:szCs w:val="28"/>
        </w:rPr>
        <w:t xml:space="preserve"> </w:t>
      </w:r>
      <w:r w:rsidRPr="00651044">
        <w:rPr>
          <w:sz w:val="28"/>
          <w:szCs w:val="28"/>
        </w:rPr>
        <w:t xml:space="preserve">Ponderi considerabile au revenit veniturilor din prestarea serviciilor de informaţii şi comunicaţii - 16,3% (246,8 mil. lei), urmate de veniturile din prestarea serviciilor de producţie şi furnizare a energiei electrice şi termice, gaze, apă caldă şi aer condiţionat – 8,5% (128,4 mil. lei),  din activităţi profesionale, ştiinţifice şi tehnice – 2,9% (43,4 mil. lei) şi din activităţi de servicii administrative şi activităţi de servicii suport – 2,6% (40,2 mil. lei). </w:t>
      </w:r>
    </w:p>
    <w:p w:rsidR="00613593" w:rsidRPr="00651044" w:rsidRDefault="00613593" w:rsidP="00AF5C7E">
      <w:pPr>
        <w:spacing w:line="276" w:lineRule="auto"/>
        <w:ind w:firstLine="567"/>
        <w:jc w:val="both"/>
        <w:rPr>
          <w:sz w:val="28"/>
          <w:szCs w:val="28"/>
        </w:rPr>
      </w:pPr>
    </w:p>
    <w:p w:rsidR="00895280" w:rsidRPr="00651044" w:rsidRDefault="00895280" w:rsidP="00895280">
      <w:pPr>
        <w:ind w:firstLine="708"/>
        <w:jc w:val="right"/>
      </w:pPr>
      <w:r w:rsidRPr="00651044">
        <w:t>Tabelul 2.3</w:t>
      </w:r>
    </w:p>
    <w:p w:rsidR="00895280" w:rsidRPr="00651044" w:rsidRDefault="00895280" w:rsidP="00895280">
      <w:pPr>
        <w:pStyle w:val="NoSpacing"/>
        <w:jc w:val="center"/>
        <w:rPr>
          <w:b/>
          <w:i/>
        </w:rPr>
      </w:pPr>
      <w:r w:rsidRPr="00651044">
        <w:rPr>
          <w:b/>
          <w:i/>
        </w:rPr>
        <w:t xml:space="preserve">Structura veniturilor </w:t>
      </w:r>
      <w:r w:rsidR="00AF5C7E" w:rsidRPr="00651044">
        <w:rPr>
          <w:b/>
          <w:i/>
        </w:rPr>
        <w:t xml:space="preserve">din prestarea serviciilor </w:t>
      </w:r>
      <w:r w:rsidR="00AF5C7E">
        <w:rPr>
          <w:b/>
          <w:i/>
        </w:rPr>
        <w:t xml:space="preserve">ale </w:t>
      </w:r>
      <w:r w:rsidRPr="00651044">
        <w:rPr>
          <w:b/>
          <w:i/>
        </w:rPr>
        <w:t>întreprinderilor de stat</w:t>
      </w:r>
      <w:r w:rsidR="00AF5C7E">
        <w:rPr>
          <w:b/>
          <w:i/>
        </w:rPr>
        <w:t>,</w:t>
      </w:r>
      <w:r w:rsidRPr="00651044">
        <w:rPr>
          <w:b/>
          <w:i/>
        </w:rPr>
        <w:t xml:space="preserve"> </w:t>
      </w:r>
    </w:p>
    <w:p w:rsidR="00895280" w:rsidRPr="00651044" w:rsidRDefault="00895280" w:rsidP="00895280">
      <w:pPr>
        <w:pStyle w:val="NoSpacing"/>
        <w:jc w:val="center"/>
        <w:rPr>
          <w:b/>
          <w:i/>
        </w:rPr>
      </w:pPr>
      <w:r w:rsidRPr="00651044">
        <w:rPr>
          <w:b/>
          <w:i/>
        </w:rPr>
        <w:t>în trimestrul II al anului 2016</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0"/>
        <w:gridCol w:w="6316"/>
        <w:gridCol w:w="1076"/>
        <w:gridCol w:w="1134"/>
      </w:tblGrid>
      <w:tr w:rsidR="00895280" w:rsidRPr="004629DE" w:rsidTr="004629DE">
        <w:trPr>
          <w:jc w:val="center"/>
        </w:trPr>
        <w:tc>
          <w:tcPr>
            <w:tcW w:w="580" w:type="dxa"/>
            <w:vAlign w:val="center"/>
          </w:tcPr>
          <w:p w:rsidR="00895280" w:rsidRPr="004629DE" w:rsidRDefault="00895280" w:rsidP="004629DE">
            <w:pPr>
              <w:jc w:val="center"/>
              <w:rPr>
                <w:b/>
                <w:i/>
                <w:iCs/>
                <w:sz w:val="20"/>
                <w:szCs w:val="20"/>
              </w:rPr>
            </w:pPr>
            <w:r w:rsidRPr="004629DE">
              <w:rPr>
                <w:b/>
                <w:i/>
                <w:iCs/>
                <w:sz w:val="20"/>
                <w:szCs w:val="20"/>
              </w:rPr>
              <w:t>Nr.</w:t>
            </w:r>
          </w:p>
        </w:tc>
        <w:tc>
          <w:tcPr>
            <w:tcW w:w="6316" w:type="dxa"/>
            <w:vAlign w:val="center"/>
          </w:tcPr>
          <w:p w:rsidR="00895280" w:rsidRPr="004629DE" w:rsidRDefault="00895280" w:rsidP="004629DE">
            <w:pPr>
              <w:jc w:val="center"/>
              <w:rPr>
                <w:b/>
                <w:i/>
                <w:iCs/>
                <w:sz w:val="20"/>
                <w:szCs w:val="20"/>
              </w:rPr>
            </w:pPr>
            <w:r w:rsidRPr="004629DE">
              <w:rPr>
                <w:b/>
                <w:i/>
                <w:iCs/>
                <w:sz w:val="20"/>
                <w:szCs w:val="20"/>
              </w:rPr>
              <w:t>Componente</w:t>
            </w:r>
          </w:p>
        </w:tc>
        <w:tc>
          <w:tcPr>
            <w:tcW w:w="1076" w:type="dxa"/>
            <w:vAlign w:val="center"/>
          </w:tcPr>
          <w:p w:rsidR="00895280" w:rsidRPr="004629DE" w:rsidRDefault="00895280" w:rsidP="004629DE">
            <w:pPr>
              <w:jc w:val="center"/>
              <w:rPr>
                <w:b/>
                <w:i/>
                <w:iCs/>
                <w:sz w:val="20"/>
                <w:szCs w:val="20"/>
              </w:rPr>
            </w:pPr>
            <w:r w:rsidRPr="004629DE">
              <w:rPr>
                <w:b/>
                <w:i/>
                <w:iCs/>
                <w:sz w:val="20"/>
                <w:szCs w:val="20"/>
              </w:rPr>
              <w:t>Valoarea</w:t>
            </w:r>
          </w:p>
          <w:p w:rsidR="00895280" w:rsidRPr="004629DE" w:rsidRDefault="00895280" w:rsidP="004629DE">
            <w:pPr>
              <w:jc w:val="center"/>
              <w:rPr>
                <w:b/>
                <w:i/>
                <w:iCs/>
                <w:sz w:val="20"/>
                <w:szCs w:val="20"/>
              </w:rPr>
            </w:pPr>
            <w:r w:rsidRPr="004629DE">
              <w:rPr>
                <w:b/>
                <w:i/>
                <w:iCs/>
                <w:sz w:val="20"/>
                <w:szCs w:val="20"/>
              </w:rPr>
              <w:t>(mil. lei)</w:t>
            </w:r>
          </w:p>
        </w:tc>
        <w:tc>
          <w:tcPr>
            <w:tcW w:w="1134" w:type="dxa"/>
            <w:vAlign w:val="center"/>
          </w:tcPr>
          <w:p w:rsidR="00895280" w:rsidRPr="004629DE" w:rsidRDefault="00895280" w:rsidP="004629DE">
            <w:pPr>
              <w:jc w:val="center"/>
              <w:rPr>
                <w:b/>
                <w:bCs/>
                <w:i/>
                <w:iCs/>
                <w:sz w:val="20"/>
                <w:szCs w:val="20"/>
              </w:rPr>
            </w:pPr>
            <w:r w:rsidRPr="004629DE">
              <w:rPr>
                <w:b/>
                <w:bCs/>
                <w:i/>
                <w:iCs/>
                <w:sz w:val="20"/>
                <w:szCs w:val="20"/>
              </w:rPr>
              <w:t>Ponderea</w:t>
            </w:r>
          </w:p>
          <w:p w:rsidR="00895280" w:rsidRPr="004629DE" w:rsidRDefault="00895280" w:rsidP="004629DE">
            <w:pPr>
              <w:jc w:val="center"/>
              <w:rPr>
                <w:b/>
                <w:bCs/>
                <w:i/>
                <w:iCs/>
                <w:sz w:val="20"/>
                <w:szCs w:val="20"/>
              </w:rPr>
            </w:pPr>
            <w:r w:rsidRPr="004629DE">
              <w:rPr>
                <w:b/>
                <w:bCs/>
                <w:i/>
                <w:iCs/>
                <w:sz w:val="20"/>
                <w:szCs w:val="20"/>
              </w:rPr>
              <w:t>(%)</w:t>
            </w:r>
          </w:p>
        </w:tc>
      </w:tr>
      <w:tr w:rsidR="00895280" w:rsidRPr="004629DE" w:rsidTr="004629DE">
        <w:trPr>
          <w:jc w:val="center"/>
        </w:trPr>
        <w:tc>
          <w:tcPr>
            <w:tcW w:w="580" w:type="dxa"/>
          </w:tcPr>
          <w:p w:rsidR="00895280" w:rsidRPr="004629DE" w:rsidRDefault="00895280" w:rsidP="004629DE">
            <w:pPr>
              <w:jc w:val="center"/>
              <w:rPr>
                <w:b/>
                <w:sz w:val="20"/>
                <w:szCs w:val="20"/>
              </w:rPr>
            </w:pPr>
            <w:r w:rsidRPr="004629DE">
              <w:rPr>
                <w:b/>
                <w:sz w:val="20"/>
                <w:szCs w:val="20"/>
              </w:rPr>
              <w:t>1.</w:t>
            </w:r>
          </w:p>
        </w:tc>
        <w:tc>
          <w:tcPr>
            <w:tcW w:w="6316" w:type="dxa"/>
          </w:tcPr>
          <w:p w:rsidR="00895280" w:rsidRPr="004629DE" w:rsidRDefault="00895280" w:rsidP="00895280">
            <w:pPr>
              <w:rPr>
                <w:sz w:val="20"/>
                <w:szCs w:val="20"/>
              </w:rPr>
            </w:pPr>
            <w:r w:rsidRPr="004629DE">
              <w:rPr>
                <w:sz w:val="20"/>
                <w:szCs w:val="20"/>
              </w:rPr>
              <w:t>Agricultură, silvicultură şi pescuit</w:t>
            </w:r>
          </w:p>
        </w:tc>
        <w:tc>
          <w:tcPr>
            <w:tcW w:w="1076" w:type="dxa"/>
          </w:tcPr>
          <w:p w:rsidR="00895280" w:rsidRPr="004629DE" w:rsidRDefault="00895280" w:rsidP="004629DE">
            <w:pPr>
              <w:jc w:val="center"/>
              <w:rPr>
                <w:sz w:val="20"/>
                <w:szCs w:val="20"/>
              </w:rPr>
            </w:pPr>
            <w:r w:rsidRPr="004629DE">
              <w:rPr>
                <w:sz w:val="20"/>
                <w:szCs w:val="20"/>
              </w:rPr>
              <w:t>4,3</w:t>
            </w:r>
          </w:p>
        </w:tc>
        <w:tc>
          <w:tcPr>
            <w:tcW w:w="1134" w:type="dxa"/>
          </w:tcPr>
          <w:p w:rsidR="00895280" w:rsidRPr="004629DE" w:rsidRDefault="00895280" w:rsidP="004629DE">
            <w:pPr>
              <w:jc w:val="center"/>
              <w:rPr>
                <w:bCs/>
                <w:sz w:val="20"/>
                <w:szCs w:val="20"/>
              </w:rPr>
            </w:pPr>
            <w:r w:rsidRPr="004629DE">
              <w:rPr>
                <w:bCs/>
                <w:sz w:val="20"/>
                <w:szCs w:val="20"/>
              </w:rPr>
              <w:t>0,3</w:t>
            </w:r>
          </w:p>
        </w:tc>
      </w:tr>
      <w:tr w:rsidR="00895280" w:rsidRPr="004629DE" w:rsidTr="004629DE">
        <w:trPr>
          <w:jc w:val="center"/>
        </w:trPr>
        <w:tc>
          <w:tcPr>
            <w:tcW w:w="580" w:type="dxa"/>
          </w:tcPr>
          <w:p w:rsidR="00895280" w:rsidRPr="004629DE" w:rsidRDefault="00895280" w:rsidP="004629DE">
            <w:pPr>
              <w:jc w:val="center"/>
              <w:rPr>
                <w:b/>
                <w:sz w:val="20"/>
                <w:szCs w:val="20"/>
              </w:rPr>
            </w:pPr>
            <w:r w:rsidRPr="004629DE">
              <w:rPr>
                <w:b/>
                <w:sz w:val="20"/>
                <w:szCs w:val="20"/>
              </w:rPr>
              <w:t>2.</w:t>
            </w:r>
          </w:p>
        </w:tc>
        <w:tc>
          <w:tcPr>
            <w:tcW w:w="6316" w:type="dxa"/>
          </w:tcPr>
          <w:p w:rsidR="00895280" w:rsidRPr="004629DE" w:rsidRDefault="00895280" w:rsidP="00895280">
            <w:pPr>
              <w:rPr>
                <w:sz w:val="20"/>
                <w:szCs w:val="20"/>
              </w:rPr>
            </w:pPr>
            <w:r w:rsidRPr="004629DE">
              <w:rPr>
                <w:sz w:val="20"/>
                <w:szCs w:val="20"/>
              </w:rPr>
              <w:t>Industria prelucrătoare</w:t>
            </w:r>
          </w:p>
        </w:tc>
        <w:tc>
          <w:tcPr>
            <w:tcW w:w="1076" w:type="dxa"/>
          </w:tcPr>
          <w:p w:rsidR="00895280" w:rsidRPr="004629DE" w:rsidRDefault="00895280" w:rsidP="004629DE">
            <w:pPr>
              <w:jc w:val="center"/>
              <w:rPr>
                <w:sz w:val="20"/>
                <w:szCs w:val="20"/>
              </w:rPr>
            </w:pPr>
            <w:r w:rsidRPr="004629DE">
              <w:rPr>
                <w:sz w:val="20"/>
                <w:szCs w:val="20"/>
              </w:rPr>
              <w:t>0,6</w:t>
            </w:r>
          </w:p>
        </w:tc>
        <w:tc>
          <w:tcPr>
            <w:tcW w:w="1134" w:type="dxa"/>
          </w:tcPr>
          <w:p w:rsidR="00895280" w:rsidRPr="004629DE" w:rsidRDefault="00895280" w:rsidP="004629DE">
            <w:pPr>
              <w:jc w:val="center"/>
              <w:rPr>
                <w:bCs/>
                <w:sz w:val="20"/>
                <w:szCs w:val="20"/>
              </w:rPr>
            </w:pPr>
            <w:r w:rsidRPr="004629DE">
              <w:rPr>
                <w:bCs/>
                <w:sz w:val="20"/>
                <w:szCs w:val="20"/>
              </w:rPr>
              <w:t>0,04</w:t>
            </w:r>
          </w:p>
        </w:tc>
      </w:tr>
      <w:tr w:rsidR="00895280" w:rsidRPr="004629DE" w:rsidTr="004629DE">
        <w:trPr>
          <w:jc w:val="center"/>
        </w:trPr>
        <w:tc>
          <w:tcPr>
            <w:tcW w:w="580" w:type="dxa"/>
          </w:tcPr>
          <w:p w:rsidR="00895280" w:rsidRPr="004629DE" w:rsidRDefault="00895280" w:rsidP="004629DE">
            <w:pPr>
              <w:jc w:val="center"/>
              <w:rPr>
                <w:b/>
                <w:sz w:val="20"/>
                <w:szCs w:val="20"/>
              </w:rPr>
            </w:pPr>
            <w:r w:rsidRPr="004629DE">
              <w:rPr>
                <w:b/>
                <w:sz w:val="20"/>
                <w:szCs w:val="20"/>
              </w:rPr>
              <w:t>3.</w:t>
            </w:r>
          </w:p>
        </w:tc>
        <w:tc>
          <w:tcPr>
            <w:tcW w:w="6316" w:type="dxa"/>
          </w:tcPr>
          <w:p w:rsidR="00895280" w:rsidRPr="004629DE" w:rsidRDefault="00895280" w:rsidP="00895280">
            <w:pPr>
              <w:rPr>
                <w:sz w:val="20"/>
                <w:szCs w:val="20"/>
              </w:rPr>
            </w:pPr>
            <w:r w:rsidRPr="004629DE">
              <w:rPr>
                <w:sz w:val="20"/>
                <w:szCs w:val="20"/>
              </w:rPr>
              <w:t>Producţia şi furnizarea de energie electrică şi termică, gaze, apă caldă şi aer condiţionat</w:t>
            </w:r>
          </w:p>
        </w:tc>
        <w:tc>
          <w:tcPr>
            <w:tcW w:w="1076" w:type="dxa"/>
          </w:tcPr>
          <w:p w:rsidR="00895280" w:rsidRPr="004629DE" w:rsidRDefault="00895280" w:rsidP="004629DE">
            <w:pPr>
              <w:jc w:val="center"/>
              <w:rPr>
                <w:sz w:val="20"/>
                <w:szCs w:val="20"/>
              </w:rPr>
            </w:pPr>
            <w:r w:rsidRPr="004629DE">
              <w:rPr>
                <w:sz w:val="20"/>
                <w:szCs w:val="20"/>
              </w:rPr>
              <w:t>128,4</w:t>
            </w:r>
          </w:p>
        </w:tc>
        <w:tc>
          <w:tcPr>
            <w:tcW w:w="1134" w:type="dxa"/>
          </w:tcPr>
          <w:p w:rsidR="00895280" w:rsidRPr="004629DE" w:rsidRDefault="00895280" w:rsidP="004629DE">
            <w:pPr>
              <w:jc w:val="center"/>
              <w:rPr>
                <w:bCs/>
                <w:sz w:val="20"/>
                <w:szCs w:val="20"/>
              </w:rPr>
            </w:pPr>
            <w:r w:rsidRPr="004629DE">
              <w:rPr>
                <w:bCs/>
                <w:sz w:val="20"/>
                <w:szCs w:val="20"/>
              </w:rPr>
              <w:t>8,5</w:t>
            </w:r>
          </w:p>
        </w:tc>
      </w:tr>
      <w:tr w:rsidR="00895280" w:rsidRPr="004629DE" w:rsidTr="004629DE">
        <w:trPr>
          <w:jc w:val="center"/>
        </w:trPr>
        <w:tc>
          <w:tcPr>
            <w:tcW w:w="580" w:type="dxa"/>
          </w:tcPr>
          <w:p w:rsidR="00895280" w:rsidRPr="004629DE" w:rsidRDefault="00895280" w:rsidP="004629DE">
            <w:pPr>
              <w:jc w:val="center"/>
              <w:rPr>
                <w:b/>
                <w:sz w:val="20"/>
                <w:szCs w:val="20"/>
              </w:rPr>
            </w:pPr>
            <w:r w:rsidRPr="004629DE">
              <w:rPr>
                <w:b/>
                <w:sz w:val="20"/>
                <w:szCs w:val="20"/>
              </w:rPr>
              <w:t xml:space="preserve">4. </w:t>
            </w:r>
          </w:p>
        </w:tc>
        <w:tc>
          <w:tcPr>
            <w:tcW w:w="6316" w:type="dxa"/>
          </w:tcPr>
          <w:p w:rsidR="00895280" w:rsidRPr="004629DE" w:rsidRDefault="00895280" w:rsidP="00895280">
            <w:pPr>
              <w:rPr>
                <w:sz w:val="20"/>
                <w:szCs w:val="20"/>
              </w:rPr>
            </w:pPr>
            <w:r w:rsidRPr="004629DE">
              <w:rPr>
                <w:sz w:val="20"/>
                <w:szCs w:val="20"/>
              </w:rPr>
              <w:t>Distribuţia apei, salubritate, gestionarea deşeurilor, activităţi de decontaminare</w:t>
            </w:r>
          </w:p>
        </w:tc>
        <w:tc>
          <w:tcPr>
            <w:tcW w:w="1076" w:type="dxa"/>
          </w:tcPr>
          <w:p w:rsidR="00895280" w:rsidRPr="004629DE" w:rsidRDefault="00895280" w:rsidP="004629DE">
            <w:pPr>
              <w:jc w:val="center"/>
              <w:rPr>
                <w:sz w:val="20"/>
                <w:szCs w:val="20"/>
              </w:rPr>
            </w:pPr>
            <w:r w:rsidRPr="004629DE">
              <w:rPr>
                <w:sz w:val="20"/>
                <w:szCs w:val="20"/>
              </w:rPr>
              <w:t>0,02</w:t>
            </w:r>
          </w:p>
        </w:tc>
        <w:tc>
          <w:tcPr>
            <w:tcW w:w="1134" w:type="dxa"/>
          </w:tcPr>
          <w:p w:rsidR="00895280" w:rsidRPr="004629DE" w:rsidRDefault="00895280" w:rsidP="004629DE">
            <w:pPr>
              <w:jc w:val="center"/>
              <w:rPr>
                <w:bCs/>
                <w:sz w:val="20"/>
                <w:szCs w:val="20"/>
              </w:rPr>
            </w:pPr>
            <w:r w:rsidRPr="004629DE">
              <w:rPr>
                <w:bCs/>
                <w:sz w:val="20"/>
                <w:szCs w:val="20"/>
              </w:rPr>
              <w:t>0,001</w:t>
            </w:r>
          </w:p>
        </w:tc>
      </w:tr>
      <w:tr w:rsidR="00895280" w:rsidRPr="004629DE" w:rsidTr="004629DE">
        <w:trPr>
          <w:jc w:val="center"/>
        </w:trPr>
        <w:tc>
          <w:tcPr>
            <w:tcW w:w="580" w:type="dxa"/>
          </w:tcPr>
          <w:p w:rsidR="00895280" w:rsidRPr="004629DE" w:rsidRDefault="00895280" w:rsidP="004629DE">
            <w:pPr>
              <w:jc w:val="center"/>
              <w:rPr>
                <w:b/>
                <w:sz w:val="20"/>
                <w:szCs w:val="20"/>
              </w:rPr>
            </w:pPr>
            <w:r w:rsidRPr="004629DE">
              <w:rPr>
                <w:b/>
                <w:sz w:val="20"/>
                <w:szCs w:val="20"/>
              </w:rPr>
              <w:t>5.</w:t>
            </w:r>
          </w:p>
        </w:tc>
        <w:tc>
          <w:tcPr>
            <w:tcW w:w="6316" w:type="dxa"/>
          </w:tcPr>
          <w:p w:rsidR="00895280" w:rsidRPr="004629DE" w:rsidRDefault="00895280" w:rsidP="00895280">
            <w:pPr>
              <w:rPr>
                <w:sz w:val="20"/>
                <w:szCs w:val="20"/>
              </w:rPr>
            </w:pPr>
            <w:r w:rsidRPr="004629DE">
              <w:rPr>
                <w:sz w:val="20"/>
                <w:szCs w:val="20"/>
              </w:rPr>
              <w:t>Construcţii</w:t>
            </w:r>
          </w:p>
        </w:tc>
        <w:tc>
          <w:tcPr>
            <w:tcW w:w="1076" w:type="dxa"/>
          </w:tcPr>
          <w:p w:rsidR="00895280" w:rsidRPr="004629DE" w:rsidRDefault="00895280" w:rsidP="004629DE">
            <w:pPr>
              <w:jc w:val="center"/>
              <w:rPr>
                <w:sz w:val="20"/>
                <w:szCs w:val="20"/>
              </w:rPr>
            </w:pPr>
            <w:r w:rsidRPr="004629DE">
              <w:rPr>
                <w:sz w:val="20"/>
                <w:szCs w:val="20"/>
              </w:rPr>
              <w:t>5,0</w:t>
            </w:r>
          </w:p>
        </w:tc>
        <w:tc>
          <w:tcPr>
            <w:tcW w:w="1134" w:type="dxa"/>
          </w:tcPr>
          <w:p w:rsidR="00895280" w:rsidRPr="004629DE" w:rsidRDefault="00895280" w:rsidP="004629DE">
            <w:pPr>
              <w:jc w:val="center"/>
              <w:rPr>
                <w:bCs/>
                <w:sz w:val="20"/>
                <w:szCs w:val="20"/>
              </w:rPr>
            </w:pPr>
            <w:r w:rsidRPr="004629DE">
              <w:rPr>
                <w:bCs/>
                <w:sz w:val="20"/>
                <w:szCs w:val="20"/>
              </w:rPr>
              <w:t>0,3</w:t>
            </w:r>
          </w:p>
        </w:tc>
      </w:tr>
      <w:tr w:rsidR="00895280" w:rsidRPr="004629DE" w:rsidTr="004629DE">
        <w:trPr>
          <w:jc w:val="center"/>
        </w:trPr>
        <w:tc>
          <w:tcPr>
            <w:tcW w:w="580" w:type="dxa"/>
          </w:tcPr>
          <w:p w:rsidR="00895280" w:rsidRPr="004629DE" w:rsidRDefault="00895280" w:rsidP="004629DE">
            <w:pPr>
              <w:jc w:val="center"/>
              <w:rPr>
                <w:b/>
                <w:sz w:val="20"/>
                <w:szCs w:val="20"/>
              </w:rPr>
            </w:pPr>
            <w:r w:rsidRPr="004629DE">
              <w:rPr>
                <w:b/>
                <w:sz w:val="20"/>
                <w:szCs w:val="20"/>
              </w:rPr>
              <w:t>6.</w:t>
            </w:r>
          </w:p>
        </w:tc>
        <w:tc>
          <w:tcPr>
            <w:tcW w:w="6316" w:type="dxa"/>
          </w:tcPr>
          <w:p w:rsidR="00895280" w:rsidRPr="004629DE" w:rsidRDefault="00895280" w:rsidP="00895280">
            <w:pPr>
              <w:rPr>
                <w:sz w:val="20"/>
                <w:szCs w:val="20"/>
              </w:rPr>
            </w:pPr>
            <w:r w:rsidRPr="004629DE">
              <w:rPr>
                <w:sz w:val="20"/>
                <w:szCs w:val="20"/>
              </w:rPr>
              <w:t>Comerţ cu ridicata şi cu amănuntul; întreţinerea şi repararea autovehiculelor şi a motocicletelor</w:t>
            </w:r>
          </w:p>
        </w:tc>
        <w:tc>
          <w:tcPr>
            <w:tcW w:w="1076" w:type="dxa"/>
          </w:tcPr>
          <w:p w:rsidR="00895280" w:rsidRPr="004629DE" w:rsidRDefault="00895280" w:rsidP="004629DE">
            <w:pPr>
              <w:jc w:val="center"/>
              <w:rPr>
                <w:sz w:val="20"/>
                <w:szCs w:val="20"/>
              </w:rPr>
            </w:pPr>
            <w:r w:rsidRPr="004629DE">
              <w:rPr>
                <w:sz w:val="20"/>
                <w:szCs w:val="20"/>
              </w:rPr>
              <w:t>0,04</w:t>
            </w:r>
          </w:p>
        </w:tc>
        <w:tc>
          <w:tcPr>
            <w:tcW w:w="1134" w:type="dxa"/>
          </w:tcPr>
          <w:p w:rsidR="00895280" w:rsidRPr="004629DE" w:rsidRDefault="00895280" w:rsidP="004629DE">
            <w:pPr>
              <w:jc w:val="center"/>
              <w:rPr>
                <w:bCs/>
                <w:sz w:val="20"/>
                <w:szCs w:val="20"/>
              </w:rPr>
            </w:pPr>
            <w:r w:rsidRPr="004629DE">
              <w:rPr>
                <w:bCs/>
                <w:sz w:val="20"/>
                <w:szCs w:val="20"/>
              </w:rPr>
              <w:t>0,003</w:t>
            </w:r>
          </w:p>
        </w:tc>
      </w:tr>
      <w:tr w:rsidR="00895280" w:rsidRPr="004629DE" w:rsidTr="004629DE">
        <w:trPr>
          <w:jc w:val="center"/>
        </w:trPr>
        <w:tc>
          <w:tcPr>
            <w:tcW w:w="580" w:type="dxa"/>
          </w:tcPr>
          <w:p w:rsidR="00895280" w:rsidRPr="004629DE" w:rsidRDefault="00895280" w:rsidP="004629DE">
            <w:pPr>
              <w:jc w:val="center"/>
              <w:rPr>
                <w:b/>
                <w:sz w:val="20"/>
                <w:szCs w:val="20"/>
              </w:rPr>
            </w:pPr>
            <w:r w:rsidRPr="004629DE">
              <w:rPr>
                <w:b/>
                <w:sz w:val="20"/>
                <w:szCs w:val="20"/>
              </w:rPr>
              <w:t>7.</w:t>
            </w:r>
          </w:p>
        </w:tc>
        <w:tc>
          <w:tcPr>
            <w:tcW w:w="6316" w:type="dxa"/>
          </w:tcPr>
          <w:p w:rsidR="00895280" w:rsidRPr="004629DE" w:rsidRDefault="00895280" w:rsidP="00895280">
            <w:pPr>
              <w:rPr>
                <w:sz w:val="20"/>
                <w:szCs w:val="20"/>
              </w:rPr>
            </w:pPr>
            <w:r w:rsidRPr="004629DE">
              <w:rPr>
                <w:sz w:val="20"/>
                <w:szCs w:val="20"/>
              </w:rPr>
              <w:t>Transport şi depozitare</w:t>
            </w:r>
          </w:p>
        </w:tc>
        <w:tc>
          <w:tcPr>
            <w:tcW w:w="1076" w:type="dxa"/>
          </w:tcPr>
          <w:p w:rsidR="00895280" w:rsidRPr="004629DE" w:rsidRDefault="00895280" w:rsidP="004629DE">
            <w:pPr>
              <w:jc w:val="center"/>
              <w:rPr>
                <w:sz w:val="20"/>
                <w:szCs w:val="20"/>
              </w:rPr>
            </w:pPr>
            <w:r w:rsidRPr="004629DE">
              <w:rPr>
                <w:sz w:val="20"/>
                <w:szCs w:val="20"/>
              </w:rPr>
              <w:t>998,1</w:t>
            </w:r>
          </w:p>
        </w:tc>
        <w:tc>
          <w:tcPr>
            <w:tcW w:w="1134" w:type="dxa"/>
          </w:tcPr>
          <w:p w:rsidR="00895280" w:rsidRPr="004629DE" w:rsidRDefault="00895280" w:rsidP="004629DE">
            <w:pPr>
              <w:jc w:val="center"/>
              <w:rPr>
                <w:bCs/>
                <w:sz w:val="20"/>
                <w:szCs w:val="20"/>
              </w:rPr>
            </w:pPr>
            <w:r w:rsidRPr="004629DE">
              <w:rPr>
                <w:bCs/>
                <w:sz w:val="20"/>
                <w:szCs w:val="20"/>
              </w:rPr>
              <w:t>65,8</w:t>
            </w:r>
          </w:p>
        </w:tc>
      </w:tr>
      <w:tr w:rsidR="00895280" w:rsidRPr="004629DE" w:rsidTr="004629DE">
        <w:trPr>
          <w:jc w:val="center"/>
        </w:trPr>
        <w:tc>
          <w:tcPr>
            <w:tcW w:w="580" w:type="dxa"/>
          </w:tcPr>
          <w:p w:rsidR="00895280" w:rsidRPr="004629DE" w:rsidRDefault="00895280" w:rsidP="004629DE">
            <w:pPr>
              <w:jc w:val="center"/>
              <w:rPr>
                <w:b/>
                <w:sz w:val="20"/>
                <w:szCs w:val="20"/>
              </w:rPr>
            </w:pPr>
            <w:r w:rsidRPr="004629DE">
              <w:rPr>
                <w:b/>
                <w:sz w:val="20"/>
                <w:szCs w:val="20"/>
              </w:rPr>
              <w:t>8.</w:t>
            </w:r>
          </w:p>
        </w:tc>
        <w:tc>
          <w:tcPr>
            <w:tcW w:w="6316" w:type="dxa"/>
          </w:tcPr>
          <w:p w:rsidR="00895280" w:rsidRPr="004629DE" w:rsidRDefault="00895280" w:rsidP="00895280">
            <w:pPr>
              <w:rPr>
                <w:sz w:val="20"/>
                <w:szCs w:val="20"/>
              </w:rPr>
            </w:pPr>
            <w:r w:rsidRPr="004629DE">
              <w:rPr>
                <w:sz w:val="20"/>
                <w:szCs w:val="20"/>
              </w:rPr>
              <w:t>Hoteluri şi restaurante</w:t>
            </w:r>
          </w:p>
        </w:tc>
        <w:tc>
          <w:tcPr>
            <w:tcW w:w="1076" w:type="dxa"/>
          </w:tcPr>
          <w:p w:rsidR="00895280" w:rsidRPr="004629DE" w:rsidRDefault="00895280" w:rsidP="004629DE">
            <w:pPr>
              <w:jc w:val="center"/>
              <w:rPr>
                <w:sz w:val="20"/>
                <w:szCs w:val="20"/>
              </w:rPr>
            </w:pPr>
            <w:r w:rsidRPr="004629DE">
              <w:rPr>
                <w:sz w:val="20"/>
                <w:szCs w:val="20"/>
              </w:rPr>
              <w:t>6,7</w:t>
            </w:r>
          </w:p>
        </w:tc>
        <w:tc>
          <w:tcPr>
            <w:tcW w:w="1134" w:type="dxa"/>
          </w:tcPr>
          <w:p w:rsidR="00895280" w:rsidRPr="004629DE" w:rsidRDefault="00895280" w:rsidP="004629DE">
            <w:pPr>
              <w:jc w:val="center"/>
              <w:rPr>
                <w:bCs/>
                <w:sz w:val="20"/>
                <w:szCs w:val="20"/>
              </w:rPr>
            </w:pPr>
            <w:r w:rsidRPr="004629DE">
              <w:rPr>
                <w:bCs/>
                <w:sz w:val="20"/>
                <w:szCs w:val="20"/>
              </w:rPr>
              <w:t>0,4</w:t>
            </w:r>
          </w:p>
        </w:tc>
      </w:tr>
      <w:tr w:rsidR="00895280" w:rsidRPr="004629DE" w:rsidTr="004629DE">
        <w:trPr>
          <w:jc w:val="center"/>
        </w:trPr>
        <w:tc>
          <w:tcPr>
            <w:tcW w:w="580" w:type="dxa"/>
          </w:tcPr>
          <w:p w:rsidR="00895280" w:rsidRPr="004629DE" w:rsidRDefault="00895280" w:rsidP="004629DE">
            <w:pPr>
              <w:jc w:val="center"/>
              <w:rPr>
                <w:b/>
                <w:sz w:val="20"/>
                <w:szCs w:val="20"/>
              </w:rPr>
            </w:pPr>
            <w:r w:rsidRPr="004629DE">
              <w:rPr>
                <w:b/>
                <w:sz w:val="20"/>
                <w:szCs w:val="20"/>
              </w:rPr>
              <w:t>9.</w:t>
            </w:r>
          </w:p>
        </w:tc>
        <w:tc>
          <w:tcPr>
            <w:tcW w:w="6316" w:type="dxa"/>
          </w:tcPr>
          <w:p w:rsidR="00895280" w:rsidRPr="004629DE" w:rsidRDefault="00895280" w:rsidP="00895280">
            <w:pPr>
              <w:rPr>
                <w:sz w:val="20"/>
                <w:szCs w:val="20"/>
              </w:rPr>
            </w:pPr>
            <w:r w:rsidRPr="004629DE">
              <w:rPr>
                <w:sz w:val="20"/>
                <w:szCs w:val="20"/>
              </w:rPr>
              <w:t>Informaţii şi comunicaţii</w:t>
            </w:r>
          </w:p>
        </w:tc>
        <w:tc>
          <w:tcPr>
            <w:tcW w:w="1076" w:type="dxa"/>
          </w:tcPr>
          <w:p w:rsidR="00895280" w:rsidRPr="004629DE" w:rsidRDefault="00895280" w:rsidP="004629DE">
            <w:pPr>
              <w:jc w:val="center"/>
              <w:rPr>
                <w:sz w:val="20"/>
                <w:szCs w:val="20"/>
              </w:rPr>
            </w:pPr>
            <w:r w:rsidRPr="004629DE">
              <w:rPr>
                <w:sz w:val="20"/>
                <w:szCs w:val="20"/>
              </w:rPr>
              <w:t>246,8</w:t>
            </w:r>
          </w:p>
        </w:tc>
        <w:tc>
          <w:tcPr>
            <w:tcW w:w="1134" w:type="dxa"/>
          </w:tcPr>
          <w:p w:rsidR="00895280" w:rsidRPr="004629DE" w:rsidRDefault="00895280" w:rsidP="004629DE">
            <w:pPr>
              <w:jc w:val="center"/>
              <w:rPr>
                <w:bCs/>
                <w:sz w:val="20"/>
                <w:szCs w:val="20"/>
              </w:rPr>
            </w:pPr>
            <w:r w:rsidRPr="004629DE">
              <w:rPr>
                <w:bCs/>
                <w:sz w:val="20"/>
                <w:szCs w:val="20"/>
              </w:rPr>
              <w:t>16,3</w:t>
            </w:r>
          </w:p>
        </w:tc>
      </w:tr>
      <w:tr w:rsidR="00895280" w:rsidRPr="004629DE" w:rsidTr="004629DE">
        <w:trPr>
          <w:jc w:val="center"/>
        </w:trPr>
        <w:tc>
          <w:tcPr>
            <w:tcW w:w="580" w:type="dxa"/>
          </w:tcPr>
          <w:p w:rsidR="00895280" w:rsidRPr="004629DE" w:rsidRDefault="00895280" w:rsidP="004629DE">
            <w:pPr>
              <w:jc w:val="center"/>
              <w:rPr>
                <w:b/>
                <w:sz w:val="20"/>
                <w:szCs w:val="20"/>
              </w:rPr>
            </w:pPr>
            <w:r w:rsidRPr="004629DE">
              <w:rPr>
                <w:b/>
                <w:sz w:val="20"/>
                <w:szCs w:val="20"/>
              </w:rPr>
              <w:t>10.</w:t>
            </w:r>
          </w:p>
        </w:tc>
        <w:tc>
          <w:tcPr>
            <w:tcW w:w="6316" w:type="dxa"/>
          </w:tcPr>
          <w:p w:rsidR="00895280" w:rsidRPr="004629DE" w:rsidRDefault="00895280" w:rsidP="00895280">
            <w:pPr>
              <w:rPr>
                <w:sz w:val="20"/>
                <w:szCs w:val="20"/>
              </w:rPr>
            </w:pPr>
            <w:r w:rsidRPr="004629DE">
              <w:rPr>
                <w:sz w:val="20"/>
                <w:szCs w:val="20"/>
              </w:rPr>
              <w:t>Tranzacţii imobiliare</w:t>
            </w:r>
          </w:p>
        </w:tc>
        <w:tc>
          <w:tcPr>
            <w:tcW w:w="1076" w:type="dxa"/>
          </w:tcPr>
          <w:p w:rsidR="00895280" w:rsidRPr="004629DE" w:rsidRDefault="00895280" w:rsidP="004629DE">
            <w:pPr>
              <w:jc w:val="center"/>
              <w:rPr>
                <w:sz w:val="20"/>
                <w:szCs w:val="20"/>
              </w:rPr>
            </w:pPr>
            <w:r w:rsidRPr="004629DE">
              <w:rPr>
                <w:sz w:val="20"/>
                <w:szCs w:val="20"/>
              </w:rPr>
              <w:t>2,1</w:t>
            </w:r>
          </w:p>
        </w:tc>
        <w:tc>
          <w:tcPr>
            <w:tcW w:w="1134" w:type="dxa"/>
          </w:tcPr>
          <w:p w:rsidR="00895280" w:rsidRPr="004629DE" w:rsidRDefault="00895280" w:rsidP="004629DE">
            <w:pPr>
              <w:jc w:val="center"/>
              <w:rPr>
                <w:bCs/>
                <w:sz w:val="20"/>
                <w:szCs w:val="20"/>
              </w:rPr>
            </w:pPr>
            <w:r w:rsidRPr="004629DE">
              <w:rPr>
                <w:bCs/>
                <w:sz w:val="20"/>
                <w:szCs w:val="20"/>
              </w:rPr>
              <w:t>0,1</w:t>
            </w:r>
          </w:p>
        </w:tc>
      </w:tr>
      <w:tr w:rsidR="00895280" w:rsidRPr="004629DE" w:rsidTr="004629DE">
        <w:trPr>
          <w:jc w:val="center"/>
        </w:trPr>
        <w:tc>
          <w:tcPr>
            <w:tcW w:w="580" w:type="dxa"/>
          </w:tcPr>
          <w:p w:rsidR="00895280" w:rsidRPr="004629DE" w:rsidRDefault="00895280" w:rsidP="004629DE">
            <w:pPr>
              <w:jc w:val="center"/>
              <w:rPr>
                <w:b/>
                <w:sz w:val="20"/>
                <w:szCs w:val="20"/>
              </w:rPr>
            </w:pPr>
            <w:r w:rsidRPr="004629DE">
              <w:rPr>
                <w:b/>
                <w:sz w:val="20"/>
                <w:szCs w:val="20"/>
              </w:rPr>
              <w:t>11.</w:t>
            </w:r>
          </w:p>
        </w:tc>
        <w:tc>
          <w:tcPr>
            <w:tcW w:w="6316" w:type="dxa"/>
          </w:tcPr>
          <w:p w:rsidR="00895280" w:rsidRPr="004629DE" w:rsidRDefault="00895280" w:rsidP="00895280">
            <w:pPr>
              <w:rPr>
                <w:sz w:val="20"/>
                <w:szCs w:val="20"/>
              </w:rPr>
            </w:pPr>
            <w:r w:rsidRPr="004629DE">
              <w:rPr>
                <w:sz w:val="20"/>
                <w:szCs w:val="20"/>
              </w:rPr>
              <w:t>Activităţi profesionale, ştiinţifice şi tehnice</w:t>
            </w:r>
          </w:p>
        </w:tc>
        <w:tc>
          <w:tcPr>
            <w:tcW w:w="1076" w:type="dxa"/>
          </w:tcPr>
          <w:p w:rsidR="00895280" w:rsidRPr="004629DE" w:rsidRDefault="00895280" w:rsidP="004629DE">
            <w:pPr>
              <w:jc w:val="center"/>
              <w:rPr>
                <w:sz w:val="20"/>
                <w:szCs w:val="20"/>
              </w:rPr>
            </w:pPr>
            <w:r w:rsidRPr="004629DE">
              <w:rPr>
                <w:sz w:val="20"/>
                <w:szCs w:val="20"/>
              </w:rPr>
              <w:t>43,4</w:t>
            </w:r>
          </w:p>
        </w:tc>
        <w:tc>
          <w:tcPr>
            <w:tcW w:w="1134" w:type="dxa"/>
          </w:tcPr>
          <w:p w:rsidR="00895280" w:rsidRPr="004629DE" w:rsidRDefault="00895280" w:rsidP="004629DE">
            <w:pPr>
              <w:jc w:val="center"/>
              <w:rPr>
                <w:bCs/>
                <w:sz w:val="20"/>
                <w:szCs w:val="20"/>
              </w:rPr>
            </w:pPr>
            <w:r w:rsidRPr="004629DE">
              <w:rPr>
                <w:bCs/>
                <w:sz w:val="20"/>
                <w:szCs w:val="20"/>
              </w:rPr>
              <w:t>2,9</w:t>
            </w:r>
          </w:p>
        </w:tc>
      </w:tr>
      <w:tr w:rsidR="00895280" w:rsidRPr="004629DE" w:rsidTr="004629DE">
        <w:trPr>
          <w:jc w:val="center"/>
        </w:trPr>
        <w:tc>
          <w:tcPr>
            <w:tcW w:w="580" w:type="dxa"/>
          </w:tcPr>
          <w:p w:rsidR="00895280" w:rsidRPr="004629DE" w:rsidRDefault="00895280" w:rsidP="004629DE">
            <w:pPr>
              <w:jc w:val="center"/>
              <w:rPr>
                <w:b/>
                <w:sz w:val="20"/>
                <w:szCs w:val="20"/>
              </w:rPr>
            </w:pPr>
            <w:r w:rsidRPr="004629DE">
              <w:rPr>
                <w:b/>
                <w:sz w:val="20"/>
                <w:szCs w:val="20"/>
              </w:rPr>
              <w:t>12.</w:t>
            </w:r>
          </w:p>
        </w:tc>
        <w:tc>
          <w:tcPr>
            <w:tcW w:w="6316" w:type="dxa"/>
          </w:tcPr>
          <w:p w:rsidR="00895280" w:rsidRPr="004629DE" w:rsidRDefault="00895280" w:rsidP="00895280">
            <w:pPr>
              <w:rPr>
                <w:sz w:val="20"/>
                <w:szCs w:val="20"/>
              </w:rPr>
            </w:pPr>
            <w:r w:rsidRPr="004629DE">
              <w:rPr>
                <w:sz w:val="20"/>
                <w:szCs w:val="20"/>
              </w:rPr>
              <w:t>Activităţi de servicii administrative şi activităţi de servicii suport</w:t>
            </w:r>
          </w:p>
        </w:tc>
        <w:tc>
          <w:tcPr>
            <w:tcW w:w="1076" w:type="dxa"/>
          </w:tcPr>
          <w:p w:rsidR="00895280" w:rsidRPr="004629DE" w:rsidRDefault="00895280" w:rsidP="004629DE">
            <w:pPr>
              <w:jc w:val="center"/>
              <w:rPr>
                <w:sz w:val="20"/>
                <w:szCs w:val="20"/>
              </w:rPr>
            </w:pPr>
            <w:r w:rsidRPr="004629DE">
              <w:rPr>
                <w:sz w:val="20"/>
                <w:szCs w:val="20"/>
              </w:rPr>
              <w:t>40,2</w:t>
            </w:r>
          </w:p>
        </w:tc>
        <w:tc>
          <w:tcPr>
            <w:tcW w:w="1134" w:type="dxa"/>
          </w:tcPr>
          <w:p w:rsidR="00895280" w:rsidRPr="004629DE" w:rsidRDefault="00895280" w:rsidP="004629DE">
            <w:pPr>
              <w:jc w:val="center"/>
              <w:rPr>
                <w:bCs/>
                <w:sz w:val="20"/>
                <w:szCs w:val="20"/>
              </w:rPr>
            </w:pPr>
            <w:r w:rsidRPr="004629DE">
              <w:rPr>
                <w:bCs/>
                <w:sz w:val="20"/>
                <w:szCs w:val="20"/>
              </w:rPr>
              <w:t>2,6</w:t>
            </w:r>
          </w:p>
        </w:tc>
      </w:tr>
      <w:tr w:rsidR="00895280" w:rsidRPr="004629DE" w:rsidTr="004629DE">
        <w:trPr>
          <w:jc w:val="center"/>
        </w:trPr>
        <w:tc>
          <w:tcPr>
            <w:tcW w:w="580" w:type="dxa"/>
          </w:tcPr>
          <w:p w:rsidR="00895280" w:rsidRPr="004629DE" w:rsidRDefault="00895280" w:rsidP="004629DE">
            <w:pPr>
              <w:jc w:val="center"/>
              <w:rPr>
                <w:b/>
                <w:sz w:val="20"/>
                <w:szCs w:val="20"/>
              </w:rPr>
            </w:pPr>
            <w:r w:rsidRPr="004629DE">
              <w:rPr>
                <w:b/>
                <w:sz w:val="20"/>
                <w:szCs w:val="20"/>
              </w:rPr>
              <w:t>13.</w:t>
            </w:r>
          </w:p>
        </w:tc>
        <w:tc>
          <w:tcPr>
            <w:tcW w:w="6316" w:type="dxa"/>
          </w:tcPr>
          <w:p w:rsidR="00895280" w:rsidRPr="004629DE" w:rsidRDefault="00895280" w:rsidP="00895280">
            <w:pPr>
              <w:rPr>
                <w:sz w:val="20"/>
                <w:szCs w:val="20"/>
              </w:rPr>
            </w:pPr>
            <w:r w:rsidRPr="004629DE">
              <w:rPr>
                <w:sz w:val="20"/>
                <w:szCs w:val="20"/>
              </w:rPr>
              <w:t>Administraţie publică şi apărare; asigurări sociale obligatorii</w:t>
            </w:r>
          </w:p>
        </w:tc>
        <w:tc>
          <w:tcPr>
            <w:tcW w:w="1076" w:type="dxa"/>
          </w:tcPr>
          <w:p w:rsidR="00895280" w:rsidRPr="004629DE" w:rsidRDefault="00895280" w:rsidP="004629DE">
            <w:pPr>
              <w:jc w:val="center"/>
              <w:rPr>
                <w:sz w:val="20"/>
                <w:szCs w:val="20"/>
              </w:rPr>
            </w:pPr>
            <w:r w:rsidRPr="004629DE">
              <w:rPr>
                <w:sz w:val="20"/>
                <w:szCs w:val="20"/>
              </w:rPr>
              <w:t>18,2</w:t>
            </w:r>
          </w:p>
        </w:tc>
        <w:tc>
          <w:tcPr>
            <w:tcW w:w="1134" w:type="dxa"/>
          </w:tcPr>
          <w:p w:rsidR="00895280" w:rsidRPr="004629DE" w:rsidRDefault="00895280" w:rsidP="004629DE">
            <w:pPr>
              <w:jc w:val="center"/>
              <w:rPr>
                <w:bCs/>
                <w:sz w:val="20"/>
                <w:szCs w:val="20"/>
              </w:rPr>
            </w:pPr>
            <w:r w:rsidRPr="004629DE">
              <w:rPr>
                <w:bCs/>
                <w:sz w:val="20"/>
                <w:szCs w:val="20"/>
              </w:rPr>
              <w:t>1,2</w:t>
            </w:r>
          </w:p>
        </w:tc>
      </w:tr>
      <w:tr w:rsidR="00895280" w:rsidRPr="004629DE" w:rsidTr="004629DE">
        <w:trPr>
          <w:jc w:val="center"/>
        </w:trPr>
        <w:tc>
          <w:tcPr>
            <w:tcW w:w="580" w:type="dxa"/>
          </w:tcPr>
          <w:p w:rsidR="00895280" w:rsidRPr="004629DE" w:rsidRDefault="00895280" w:rsidP="004629DE">
            <w:pPr>
              <w:jc w:val="center"/>
              <w:rPr>
                <w:b/>
                <w:sz w:val="20"/>
                <w:szCs w:val="20"/>
              </w:rPr>
            </w:pPr>
            <w:r w:rsidRPr="004629DE">
              <w:rPr>
                <w:b/>
                <w:sz w:val="20"/>
                <w:szCs w:val="20"/>
              </w:rPr>
              <w:t>14.</w:t>
            </w:r>
          </w:p>
        </w:tc>
        <w:tc>
          <w:tcPr>
            <w:tcW w:w="6316" w:type="dxa"/>
          </w:tcPr>
          <w:p w:rsidR="00895280" w:rsidRPr="004629DE" w:rsidRDefault="00895280" w:rsidP="00895280">
            <w:pPr>
              <w:rPr>
                <w:sz w:val="20"/>
                <w:szCs w:val="20"/>
              </w:rPr>
            </w:pPr>
            <w:r w:rsidRPr="004629DE">
              <w:rPr>
                <w:sz w:val="20"/>
                <w:szCs w:val="20"/>
              </w:rPr>
              <w:t>Învăţămînt</w:t>
            </w:r>
          </w:p>
        </w:tc>
        <w:tc>
          <w:tcPr>
            <w:tcW w:w="1076" w:type="dxa"/>
          </w:tcPr>
          <w:p w:rsidR="00895280" w:rsidRPr="004629DE" w:rsidRDefault="00895280" w:rsidP="004629DE">
            <w:pPr>
              <w:jc w:val="center"/>
              <w:rPr>
                <w:sz w:val="20"/>
                <w:szCs w:val="20"/>
              </w:rPr>
            </w:pPr>
            <w:r w:rsidRPr="004629DE">
              <w:rPr>
                <w:sz w:val="20"/>
                <w:szCs w:val="20"/>
              </w:rPr>
              <w:t>6,7</w:t>
            </w:r>
          </w:p>
        </w:tc>
        <w:tc>
          <w:tcPr>
            <w:tcW w:w="1134" w:type="dxa"/>
          </w:tcPr>
          <w:p w:rsidR="00895280" w:rsidRPr="004629DE" w:rsidRDefault="00895280" w:rsidP="004629DE">
            <w:pPr>
              <w:jc w:val="center"/>
              <w:rPr>
                <w:bCs/>
                <w:sz w:val="20"/>
                <w:szCs w:val="20"/>
              </w:rPr>
            </w:pPr>
            <w:r w:rsidRPr="004629DE">
              <w:rPr>
                <w:bCs/>
                <w:sz w:val="20"/>
                <w:szCs w:val="20"/>
              </w:rPr>
              <w:t>0,4</w:t>
            </w:r>
          </w:p>
        </w:tc>
      </w:tr>
      <w:tr w:rsidR="00895280" w:rsidRPr="004629DE" w:rsidTr="004629DE">
        <w:trPr>
          <w:jc w:val="center"/>
        </w:trPr>
        <w:tc>
          <w:tcPr>
            <w:tcW w:w="580" w:type="dxa"/>
          </w:tcPr>
          <w:p w:rsidR="00895280" w:rsidRPr="004629DE" w:rsidRDefault="00895280" w:rsidP="004629DE">
            <w:pPr>
              <w:jc w:val="center"/>
              <w:rPr>
                <w:b/>
                <w:sz w:val="20"/>
                <w:szCs w:val="20"/>
              </w:rPr>
            </w:pPr>
            <w:r w:rsidRPr="004629DE">
              <w:rPr>
                <w:b/>
                <w:sz w:val="20"/>
                <w:szCs w:val="20"/>
              </w:rPr>
              <w:t>15.</w:t>
            </w:r>
          </w:p>
        </w:tc>
        <w:tc>
          <w:tcPr>
            <w:tcW w:w="6316" w:type="dxa"/>
          </w:tcPr>
          <w:p w:rsidR="00895280" w:rsidRPr="004629DE" w:rsidRDefault="00895280" w:rsidP="00895280">
            <w:pPr>
              <w:rPr>
                <w:sz w:val="20"/>
                <w:szCs w:val="20"/>
              </w:rPr>
            </w:pPr>
            <w:r w:rsidRPr="004629DE">
              <w:rPr>
                <w:sz w:val="20"/>
                <w:szCs w:val="20"/>
              </w:rPr>
              <w:t>Sănătate şi asistenţă socială</w:t>
            </w:r>
          </w:p>
        </w:tc>
        <w:tc>
          <w:tcPr>
            <w:tcW w:w="1076" w:type="dxa"/>
          </w:tcPr>
          <w:p w:rsidR="00895280" w:rsidRPr="004629DE" w:rsidRDefault="00895280" w:rsidP="004629DE">
            <w:pPr>
              <w:jc w:val="center"/>
              <w:rPr>
                <w:sz w:val="20"/>
                <w:szCs w:val="20"/>
              </w:rPr>
            </w:pPr>
            <w:r w:rsidRPr="004629DE">
              <w:rPr>
                <w:sz w:val="20"/>
                <w:szCs w:val="20"/>
              </w:rPr>
              <w:t>10,2</w:t>
            </w:r>
          </w:p>
        </w:tc>
        <w:tc>
          <w:tcPr>
            <w:tcW w:w="1134" w:type="dxa"/>
          </w:tcPr>
          <w:p w:rsidR="00895280" w:rsidRPr="004629DE" w:rsidRDefault="00895280" w:rsidP="004629DE">
            <w:pPr>
              <w:jc w:val="center"/>
              <w:rPr>
                <w:bCs/>
                <w:sz w:val="20"/>
                <w:szCs w:val="20"/>
              </w:rPr>
            </w:pPr>
            <w:r w:rsidRPr="004629DE">
              <w:rPr>
                <w:bCs/>
                <w:sz w:val="20"/>
                <w:szCs w:val="20"/>
              </w:rPr>
              <w:t>0,7</w:t>
            </w:r>
          </w:p>
        </w:tc>
      </w:tr>
      <w:tr w:rsidR="00895280" w:rsidRPr="004629DE" w:rsidTr="004629DE">
        <w:trPr>
          <w:jc w:val="center"/>
        </w:trPr>
        <w:tc>
          <w:tcPr>
            <w:tcW w:w="580" w:type="dxa"/>
          </w:tcPr>
          <w:p w:rsidR="00895280" w:rsidRPr="004629DE" w:rsidRDefault="00895280" w:rsidP="004629DE">
            <w:pPr>
              <w:jc w:val="center"/>
              <w:rPr>
                <w:b/>
                <w:sz w:val="20"/>
                <w:szCs w:val="20"/>
              </w:rPr>
            </w:pPr>
            <w:r w:rsidRPr="004629DE">
              <w:rPr>
                <w:b/>
                <w:sz w:val="20"/>
                <w:szCs w:val="20"/>
              </w:rPr>
              <w:t>16.</w:t>
            </w:r>
          </w:p>
        </w:tc>
        <w:tc>
          <w:tcPr>
            <w:tcW w:w="6316" w:type="dxa"/>
          </w:tcPr>
          <w:p w:rsidR="00895280" w:rsidRPr="004629DE" w:rsidRDefault="00895280" w:rsidP="00895280">
            <w:pPr>
              <w:rPr>
                <w:sz w:val="20"/>
                <w:szCs w:val="20"/>
              </w:rPr>
            </w:pPr>
            <w:r w:rsidRPr="004629DE">
              <w:rPr>
                <w:sz w:val="20"/>
                <w:szCs w:val="20"/>
              </w:rPr>
              <w:t>Activităţi culturale şi de agrement</w:t>
            </w:r>
          </w:p>
        </w:tc>
        <w:tc>
          <w:tcPr>
            <w:tcW w:w="1076" w:type="dxa"/>
          </w:tcPr>
          <w:p w:rsidR="00895280" w:rsidRPr="004629DE" w:rsidRDefault="00895280" w:rsidP="004629DE">
            <w:pPr>
              <w:jc w:val="center"/>
              <w:rPr>
                <w:sz w:val="20"/>
                <w:szCs w:val="20"/>
              </w:rPr>
            </w:pPr>
            <w:r w:rsidRPr="004629DE">
              <w:rPr>
                <w:sz w:val="20"/>
                <w:szCs w:val="20"/>
              </w:rPr>
              <w:t>5,6</w:t>
            </w:r>
          </w:p>
        </w:tc>
        <w:tc>
          <w:tcPr>
            <w:tcW w:w="1134" w:type="dxa"/>
          </w:tcPr>
          <w:p w:rsidR="00895280" w:rsidRPr="004629DE" w:rsidRDefault="00895280" w:rsidP="004629DE">
            <w:pPr>
              <w:jc w:val="center"/>
              <w:rPr>
                <w:bCs/>
                <w:sz w:val="20"/>
                <w:szCs w:val="20"/>
              </w:rPr>
            </w:pPr>
            <w:r w:rsidRPr="004629DE">
              <w:rPr>
                <w:bCs/>
                <w:sz w:val="20"/>
                <w:szCs w:val="20"/>
              </w:rPr>
              <w:t>0,4</w:t>
            </w:r>
          </w:p>
        </w:tc>
      </w:tr>
      <w:tr w:rsidR="00895280" w:rsidRPr="004629DE" w:rsidTr="004629DE">
        <w:trPr>
          <w:jc w:val="center"/>
        </w:trPr>
        <w:tc>
          <w:tcPr>
            <w:tcW w:w="580" w:type="dxa"/>
          </w:tcPr>
          <w:p w:rsidR="00895280" w:rsidRPr="004629DE" w:rsidRDefault="00895280" w:rsidP="004629DE">
            <w:pPr>
              <w:jc w:val="center"/>
              <w:rPr>
                <w:b/>
                <w:sz w:val="20"/>
                <w:szCs w:val="20"/>
              </w:rPr>
            </w:pPr>
            <w:r w:rsidRPr="004629DE">
              <w:rPr>
                <w:b/>
                <w:sz w:val="20"/>
                <w:szCs w:val="20"/>
              </w:rPr>
              <w:t>17.</w:t>
            </w:r>
          </w:p>
        </w:tc>
        <w:tc>
          <w:tcPr>
            <w:tcW w:w="6316" w:type="dxa"/>
          </w:tcPr>
          <w:p w:rsidR="00895280" w:rsidRPr="004629DE" w:rsidRDefault="00895280" w:rsidP="00895280">
            <w:pPr>
              <w:rPr>
                <w:sz w:val="20"/>
                <w:szCs w:val="20"/>
              </w:rPr>
            </w:pPr>
            <w:r w:rsidRPr="004629DE">
              <w:rPr>
                <w:sz w:val="20"/>
                <w:szCs w:val="20"/>
              </w:rPr>
              <w:t>Alte activităţi de servicii</w:t>
            </w:r>
          </w:p>
        </w:tc>
        <w:tc>
          <w:tcPr>
            <w:tcW w:w="1076" w:type="dxa"/>
          </w:tcPr>
          <w:p w:rsidR="00895280" w:rsidRPr="004629DE" w:rsidRDefault="00895280" w:rsidP="004629DE">
            <w:pPr>
              <w:jc w:val="center"/>
              <w:rPr>
                <w:sz w:val="20"/>
                <w:szCs w:val="20"/>
              </w:rPr>
            </w:pPr>
            <w:r w:rsidRPr="004629DE">
              <w:rPr>
                <w:sz w:val="20"/>
                <w:szCs w:val="20"/>
              </w:rPr>
              <w:t>0,84</w:t>
            </w:r>
          </w:p>
        </w:tc>
        <w:tc>
          <w:tcPr>
            <w:tcW w:w="1134" w:type="dxa"/>
          </w:tcPr>
          <w:p w:rsidR="00895280" w:rsidRPr="004629DE" w:rsidRDefault="00895280" w:rsidP="004629DE">
            <w:pPr>
              <w:jc w:val="center"/>
              <w:rPr>
                <w:bCs/>
                <w:sz w:val="20"/>
                <w:szCs w:val="20"/>
              </w:rPr>
            </w:pPr>
            <w:r w:rsidRPr="004629DE">
              <w:rPr>
                <w:bCs/>
                <w:sz w:val="20"/>
                <w:szCs w:val="20"/>
              </w:rPr>
              <w:t>0,056</w:t>
            </w:r>
          </w:p>
        </w:tc>
      </w:tr>
      <w:tr w:rsidR="00895280" w:rsidRPr="004629DE" w:rsidTr="004629DE">
        <w:trPr>
          <w:jc w:val="center"/>
        </w:trPr>
        <w:tc>
          <w:tcPr>
            <w:tcW w:w="580" w:type="dxa"/>
          </w:tcPr>
          <w:p w:rsidR="00895280" w:rsidRPr="004629DE" w:rsidRDefault="00895280" w:rsidP="004629DE">
            <w:pPr>
              <w:jc w:val="center"/>
              <w:rPr>
                <w:b/>
                <w:sz w:val="20"/>
                <w:szCs w:val="20"/>
              </w:rPr>
            </w:pPr>
          </w:p>
        </w:tc>
        <w:tc>
          <w:tcPr>
            <w:tcW w:w="6316" w:type="dxa"/>
          </w:tcPr>
          <w:p w:rsidR="00895280" w:rsidRPr="004629DE" w:rsidRDefault="00895280" w:rsidP="00895280">
            <w:pPr>
              <w:rPr>
                <w:b/>
                <w:sz w:val="20"/>
                <w:szCs w:val="20"/>
              </w:rPr>
            </w:pPr>
            <w:r w:rsidRPr="004629DE">
              <w:rPr>
                <w:b/>
                <w:sz w:val="20"/>
                <w:szCs w:val="20"/>
              </w:rPr>
              <w:t>Total</w:t>
            </w:r>
          </w:p>
        </w:tc>
        <w:tc>
          <w:tcPr>
            <w:tcW w:w="1076" w:type="dxa"/>
          </w:tcPr>
          <w:p w:rsidR="00895280" w:rsidRPr="004629DE" w:rsidRDefault="00895280" w:rsidP="004629DE">
            <w:pPr>
              <w:jc w:val="center"/>
              <w:rPr>
                <w:b/>
                <w:sz w:val="20"/>
                <w:szCs w:val="20"/>
              </w:rPr>
            </w:pPr>
            <w:r w:rsidRPr="004629DE">
              <w:rPr>
                <w:b/>
                <w:sz w:val="20"/>
                <w:szCs w:val="20"/>
              </w:rPr>
              <w:t>1517,2</w:t>
            </w:r>
          </w:p>
        </w:tc>
        <w:tc>
          <w:tcPr>
            <w:tcW w:w="1134" w:type="dxa"/>
          </w:tcPr>
          <w:p w:rsidR="00895280" w:rsidRPr="004629DE" w:rsidRDefault="00AF5C7E" w:rsidP="004629DE">
            <w:pPr>
              <w:jc w:val="center"/>
              <w:rPr>
                <w:b/>
                <w:bCs/>
                <w:sz w:val="20"/>
                <w:szCs w:val="20"/>
              </w:rPr>
            </w:pPr>
            <w:r w:rsidRPr="004629DE">
              <w:rPr>
                <w:b/>
                <w:bCs/>
                <w:sz w:val="20"/>
                <w:szCs w:val="20"/>
              </w:rPr>
              <w:t>100</w:t>
            </w:r>
          </w:p>
        </w:tc>
      </w:tr>
    </w:tbl>
    <w:p w:rsidR="0054210F" w:rsidRPr="00651044" w:rsidRDefault="0054210F" w:rsidP="007F1F7B">
      <w:pPr>
        <w:ind w:firstLine="567"/>
        <w:jc w:val="both"/>
        <w:rPr>
          <w:sz w:val="28"/>
          <w:szCs w:val="28"/>
        </w:rPr>
      </w:pPr>
    </w:p>
    <w:p w:rsidR="0054210F" w:rsidRPr="00651044" w:rsidRDefault="00895280" w:rsidP="00AF5C7E">
      <w:pPr>
        <w:spacing w:line="276" w:lineRule="auto"/>
        <w:ind w:firstLine="567"/>
        <w:jc w:val="both"/>
        <w:rPr>
          <w:sz w:val="28"/>
          <w:szCs w:val="28"/>
        </w:rPr>
      </w:pPr>
      <w:r w:rsidRPr="00651044">
        <w:rPr>
          <w:sz w:val="28"/>
          <w:szCs w:val="28"/>
        </w:rPr>
        <w:t>De altfel, ponderi minime s-au înregistrat în contul veniturilor încasate în domeniul distribuției apei, salubritate, gestionarea deșeurilor, activității de decontaminare – 0,001% (0,02 mil. lei), din prestarea serviciilor în domeniul comerţului cu ridicata şi cu amănuntul, întreţinerii şi reparării autovehiculelor şi a motocicletelor - 0,003% (0,04 mil. lei), serviciilor în domeniul industriei prelucrătoare - 0,04% (0,6 mil. lei), precum și din prestarea  altor servicii – 0,056% (0,84 mil. lei).</w:t>
      </w:r>
    </w:p>
    <w:p w:rsidR="0054210F" w:rsidRPr="00651044" w:rsidRDefault="00895280" w:rsidP="0054210F">
      <w:pPr>
        <w:spacing w:line="276" w:lineRule="auto"/>
        <w:ind w:firstLine="567"/>
        <w:jc w:val="both"/>
        <w:rPr>
          <w:sz w:val="28"/>
          <w:szCs w:val="28"/>
        </w:rPr>
      </w:pPr>
      <w:r w:rsidRPr="00651044">
        <w:rPr>
          <w:sz w:val="28"/>
          <w:szCs w:val="28"/>
        </w:rPr>
        <w:t>Pe lîngă acestea, se enunţă că în trimestrul II al anului 2016, întreprinderile de stat au suportat un cost de procurare pentru mărfurile vîndute în mărime totală de 29,1 mil. lei.</w:t>
      </w:r>
    </w:p>
    <w:p w:rsidR="0054210F" w:rsidRPr="00651044" w:rsidRDefault="00895280" w:rsidP="0054210F">
      <w:pPr>
        <w:spacing w:line="276" w:lineRule="auto"/>
        <w:ind w:firstLine="567"/>
        <w:jc w:val="both"/>
        <w:rPr>
          <w:sz w:val="28"/>
          <w:szCs w:val="28"/>
        </w:rPr>
      </w:pPr>
      <w:r w:rsidRPr="00651044">
        <w:rPr>
          <w:color w:val="000000"/>
          <w:sz w:val="28"/>
          <w:szCs w:val="28"/>
          <w:bdr w:val="none" w:sz="0" w:space="0" w:color="auto" w:frame="1"/>
          <w:shd w:val="clear" w:color="auto" w:fill="FFFFFF"/>
        </w:rPr>
        <w:t xml:space="preserve">Suplimentar, </w:t>
      </w:r>
      <w:r w:rsidR="00AF5C7E">
        <w:rPr>
          <w:color w:val="000000"/>
          <w:sz w:val="28"/>
          <w:szCs w:val="28"/>
          <w:bdr w:val="none" w:sz="0" w:space="0" w:color="auto" w:frame="1"/>
          <w:shd w:val="clear" w:color="auto" w:fill="FFFFFF"/>
        </w:rPr>
        <w:t xml:space="preserve">se remarcă că </w:t>
      </w:r>
      <w:r w:rsidR="007F1F7B">
        <w:rPr>
          <w:color w:val="000000"/>
          <w:sz w:val="28"/>
          <w:szCs w:val="28"/>
          <w:bdr w:val="none" w:sz="0" w:space="0" w:color="auto" w:frame="1"/>
          <w:shd w:val="clear" w:color="auto" w:fill="FFFFFF"/>
        </w:rPr>
        <w:t>potrivit</w:t>
      </w:r>
      <w:r w:rsidRPr="00651044">
        <w:rPr>
          <w:sz w:val="28"/>
          <w:szCs w:val="28"/>
        </w:rPr>
        <w:t xml:space="preserve"> datelor </w:t>
      </w:r>
      <w:r w:rsidR="007F1F7B">
        <w:rPr>
          <w:sz w:val="28"/>
          <w:szCs w:val="28"/>
        </w:rPr>
        <w:t xml:space="preserve">cumulate ale </w:t>
      </w:r>
      <w:r w:rsidRPr="00651044">
        <w:rPr>
          <w:sz w:val="28"/>
          <w:szCs w:val="28"/>
        </w:rPr>
        <w:t>raportului „Cercetare statistică trimestrială Nr. 5-CI „Consumurile, cheltuielile şi investiţiile întreprinderii” generalizat, întreprinderile de stat aveau înregistrate costuri şi cheltuieli aferente activităţii desfăşurate în 6 luni ale anului 2016 în sumă de 3545,5 mil. lei. Potrivit bazei comparabile, mărimea costurilor şi che</w:t>
      </w:r>
      <w:r w:rsidR="0054210F" w:rsidRPr="00651044">
        <w:rPr>
          <w:sz w:val="28"/>
          <w:szCs w:val="28"/>
        </w:rPr>
        <w:t xml:space="preserve">ltuielilor înregistrate este de </w:t>
      </w:r>
      <w:r w:rsidRPr="00651044">
        <w:rPr>
          <w:sz w:val="28"/>
          <w:szCs w:val="28"/>
        </w:rPr>
        <w:t xml:space="preserve">3509,0 mil. lei,  cu 40,4 mil. lei mai </w:t>
      </w:r>
      <w:r w:rsidR="007F1F7B">
        <w:rPr>
          <w:sz w:val="28"/>
          <w:szCs w:val="28"/>
        </w:rPr>
        <w:t>mult</w:t>
      </w:r>
      <w:r w:rsidRPr="00651044">
        <w:rPr>
          <w:sz w:val="28"/>
          <w:szCs w:val="28"/>
        </w:rPr>
        <w:t xml:space="preserve"> comparativ cu semestrul I al anului precedent.</w:t>
      </w:r>
    </w:p>
    <w:p w:rsidR="0054210F" w:rsidRPr="00651044" w:rsidRDefault="007F1F7B" w:rsidP="0054210F">
      <w:pPr>
        <w:spacing w:line="276" w:lineRule="auto"/>
        <w:ind w:firstLine="567"/>
        <w:jc w:val="both"/>
        <w:rPr>
          <w:sz w:val="28"/>
          <w:szCs w:val="28"/>
        </w:rPr>
      </w:pPr>
      <w:r>
        <w:rPr>
          <w:sz w:val="28"/>
          <w:szCs w:val="28"/>
        </w:rPr>
        <w:t>De asemenea</w:t>
      </w:r>
      <w:r w:rsidR="00895280" w:rsidRPr="00651044">
        <w:rPr>
          <w:sz w:val="28"/>
          <w:szCs w:val="28"/>
        </w:rPr>
        <w:t xml:space="preserve">, potrivit datelor raportului „Cercetare statistică trimestrială Nr. 5-CI „Consumurile, cheltuielile şi investiţiile întreprinderii”, în trimestrul II al anului </w:t>
      </w:r>
      <w:r>
        <w:rPr>
          <w:sz w:val="28"/>
          <w:szCs w:val="28"/>
        </w:rPr>
        <w:t>2016</w:t>
      </w:r>
      <w:r w:rsidR="00895280" w:rsidRPr="00651044">
        <w:rPr>
          <w:sz w:val="28"/>
          <w:szCs w:val="28"/>
        </w:rPr>
        <w:t xml:space="preserve">, întreprinderile de stat aveau înregistrate costuri şi cheltuieli în valoare de                 1865,1 mil. lei. Potrivit bazei comparabile, întreprinderile au înregistrat </w:t>
      </w:r>
      <w:r>
        <w:rPr>
          <w:sz w:val="28"/>
          <w:szCs w:val="28"/>
        </w:rPr>
        <w:t xml:space="preserve">în trimestrul II, 2016 </w:t>
      </w:r>
      <w:r w:rsidR="00895280" w:rsidRPr="00651044">
        <w:rPr>
          <w:sz w:val="28"/>
          <w:szCs w:val="28"/>
        </w:rPr>
        <w:t xml:space="preserve">costuri şi cheltuieli în mărime de 1862,2 mil. lei, </w:t>
      </w:r>
      <w:r w:rsidR="00895280" w:rsidRPr="00651044">
        <w:rPr>
          <w:color w:val="000000"/>
          <w:sz w:val="28"/>
          <w:szCs w:val="28"/>
        </w:rPr>
        <w:t xml:space="preserve">acestea fiind cu 17,6 mil. lei mai mici faţă de valoarea înregistrată în perioada analogică a anului precedent. </w:t>
      </w:r>
    </w:p>
    <w:p w:rsidR="00895280" w:rsidRPr="00651044" w:rsidRDefault="00895280" w:rsidP="007F1F7B">
      <w:pPr>
        <w:spacing w:line="276" w:lineRule="auto"/>
        <w:ind w:firstLine="567"/>
        <w:jc w:val="both"/>
        <w:rPr>
          <w:sz w:val="28"/>
          <w:szCs w:val="28"/>
        </w:rPr>
      </w:pPr>
      <w:r w:rsidRPr="00651044">
        <w:rPr>
          <w:sz w:val="28"/>
          <w:szCs w:val="28"/>
        </w:rPr>
        <w:t>Similar structurii veniturilor din vînzări, dat fiind faptul că raportul „Cercetare statistică trimestrială Nr. 5-CI „Consumurile, cheltuielile şi investiţiile întreprinderii” se prezint</w:t>
      </w:r>
      <w:r w:rsidR="007F1F7B">
        <w:rPr>
          <w:sz w:val="28"/>
          <w:szCs w:val="28"/>
        </w:rPr>
        <w:t>ă de către entități pe trimestre</w:t>
      </w:r>
      <w:r w:rsidRPr="00651044">
        <w:rPr>
          <w:sz w:val="28"/>
          <w:szCs w:val="28"/>
        </w:rPr>
        <w:t xml:space="preserve"> separate, structura costurilor și cheltuielilor va fi analizată conform datelor trimestrului II al anului 2016.</w:t>
      </w:r>
      <w:r w:rsidR="007F1F7B">
        <w:rPr>
          <w:sz w:val="28"/>
          <w:szCs w:val="28"/>
        </w:rPr>
        <w:t xml:space="preserve"> </w:t>
      </w:r>
      <w:r w:rsidRPr="00651044">
        <w:rPr>
          <w:sz w:val="28"/>
          <w:szCs w:val="28"/>
        </w:rPr>
        <w:t>Astfel, în structura costurilor şi cheltuielilor înregistrate în trimestrul II al anului curent, ponderea majoritară (34,1% - 636,3 mil. lei) a revenit cheltuielilor cu personalul, acestea incluzînd contribuţiile privind asigurările sociale de stat şi primele de asigurare obligatorie de asis</w:t>
      </w:r>
      <w:r w:rsidR="007F1F7B">
        <w:rPr>
          <w:sz w:val="28"/>
          <w:szCs w:val="28"/>
        </w:rPr>
        <w:t>tenţă medicală (vezi figura 2.2</w:t>
      </w:r>
      <w:r w:rsidRPr="00651044">
        <w:rPr>
          <w:sz w:val="28"/>
          <w:szCs w:val="28"/>
        </w:rPr>
        <w:t>).</w:t>
      </w:r>
    </w:p>
    <w:p w:rsidR="00895280" w:rsidRPr="00651044" w:rsidRDefault="00763829" w:rsidP="00895280">
      <w:pPr>
        <w:jc w:val="center"/>
        <w:rPr>
          <w:i/>
        </w:rPr>
      </w:pPr>
      <w:r>
        <w:rPr>
          <w:noProof/>
          <w:lang w:val="ru-RU"/>
        </w:rPr>
        <w:drawing>
          <wp:inline distT="0" distB="0" distL="0" distR="0">
            <wp:extent cx="5977255" cy="1456055"/>
            <wp:effectExtent l="0" t="0" r="0" b="0"/>
            <wp:docPr id="25"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54210F" w:rsidRPr="00651044">
        <w:t xml:space="preserve">   </w:t>
      </w:r>
      <w:r w:rsidR="00895280" w:rsidRPr="00651044">
        <w:rPr>
          <w:b/>
          <w:i/>
        </w:rPr>
        <w:t>Figura 2.2. Structura costurilor şi cheltuielilor întreprinderilor de stat,</w:t>
      </w:r>
    </w:p>
    <w:p w:rsidR="00895280" w:rsidRPr="00651044" w:rsidRDefault="00895280" w:rsidP="00895280">
      <w:pPr>
        <w:pStyle w:val="NoSpacing"/>
        <w:jc w:val="center"/>
        <w:rPr>
          <w:b/>
          <w:i/>
        </w:rPr>
      </w:pPr>
      <w:r w:rsidRPr="00651044">
        <w:rPr>
          <w:b/>
          <w:i/>
        </w:rPr>
        <w:t>în trimestrul II al anului 2016</w:t>
      </w:r>
    </w:p>
    <w:p w:rsidR="00895280" w:rsidRPr="00651044" w:rsidRDefault="00895280" w:rsidP="007F1F7B">
      <w:pPr>
        <w:pStyle w:val="NoSpacing"/>
        <w:spacing w:line="120" w:lineRule="auto"/>
        <w:jc w:val="center"/>
        <w:rPr>
          <w:b/>
          <w:i/>
        </w:rPr>
      </w:pPr>
    </w:p>
    <w:p w:rsidR="00613593" w:rsidRDefault="00613593" w:rsidP="00613593">
      <w:pPr>
        <w:spacing w:line="120" w:lineRule="auto"/>
        <w:ind w:firstLine="567"/>
        <w:jc w:val="both"/>
        <w:rPr>
          <w:sz w:val="28"/>
          <w:szCs w:val="28"/>
        </w:rPr>
      </w:pPr>
    </w:p>
    <w:p w:rsidR="0054210F" w:rsidRPr="00651044" w:rsidRDefault="00895280" w:rsidP="0054210F">
      <w:pPr>
        <w:spacing w:line="276" w:lineRule="auto"/>
        <w:ind w:firstLine="567"/>
        <w:jc w:val="both"/>
        <w:rPr>
          <w:sz w:val="28"/>
          <w:szCs w:val="28"/>
        </w:rPr>
      </w:pPr>
      <w:r w:rsidRPr="00651044">
        <w:rPr>
          <w:sz w:val="28"/>
          <w:szCs w:val="28"/>
        </w:rPr>
        <w:lastRenderedPageBreak/>
        <w:t xml:space="preserve">De asemenea, în </w:t>
      </w:r>
      <w:r w:rsidR="007F1F7B">
        <w:rPr>
          <w:sz w:val="28"/>
          <w:szCs w:val="28"/>
        </w:rPr>
        <w:t>trimestrul II, 2016</w:t>
      </w:r>
      <w:r w:rsidRPr="00651044">
        <w:rPr>
          <w:sz w:val="28"/>
          <w:szCs w:val="28"/>
        </w:rPr>
        <w:t>, întreprinderile de stat au suportat costuri şi cheltuieli aferente serviciilor prestate de terţi în mărime de 509,4 mil. lei (27,3% din total costuri şi cheltuieli), dintre care 16,2 mil. lei reprezintă costurile şi cheltuielile pentru serviciile de transport, 6,0 mil. lei – pentru cele de comunicaţii</w:t>
      </w:r>
      <w:r w:rsidR="007F1F7B">
        <w:rPr>
          <w:sz w:val="28"/>
          <w:szCs w:val="28"/>
        </w:rPr>
        <w:t>,</w:t>
      </w:r>
      <w:r w:rsidRPr="00651044">
        <w:rPr>
          <w:sz w:val="28"/>
          <w:szCs w:val="28"/>
        </w:rPr>
        <w:t xml:space="preserve"> 0,7 mil. lei – pentru prelucrarea materiei prime proprii. </w:t>
      </w:r>
    </w:p>
    <w:p w:rsidR="0054210F" w:rsidRPr="00651044" w:rsidRDefault="00895280" w:rsidP="0054210F">
      <w:pPr>
        <w:spacing w:line="276" w:lineRule="auto"/>
        <w:ind w:firstLine="567"/>
        <w:jc w:val="both"/>
        <w:rPr>
          <w:sz w:val="28"/>
          <w:szCs w:val="28"/>
        </w:rPr>
      </w:pPr>
      <w:r w:rsidRPr="00651044">
        <w:rPr>
          <w:sz w:val="28"/>
          <w:szCs w:val="28"/>
        </w:rPr>
        <w:t>O altă pondere semnificativă (23,0% - 429,4 mil. lei) a revenit costurilor şi cheltuielilor materiale. Din cuantumul acestora, cheltuielile privind materiile prime, materialele, semifabricatele procurate şi piesele de schimb utilizate au</w:t>
      </w:r>
      <w:r w:rsidR="007F1F7B">
        <w:rPr>
          <w:sz w:val="28"/>
          <w:szCs w:val="28"/>
        </w:rPr>
        <w:t xml:space="preserve"> înregistrat 161,2 mil. lei,</w:t>
      </w:r>
      <w:r w:rsidRPr="00651044">
        <w:rPr>
          <w:sz w:val="28"/>
          <w:szCs w:val="28"/>
        </w:rPr>
        <w:t xml:space="preserve"> costurile şi cheltuielile aferente combustibilului –  193,4 mil. lei. </w:t>
      </w:r>
    </w:p>
    <w:p w:rsidR="0054210F" w:rsidRPr="00651044" w:rsidRDefault="00895280" w:rsidP="0054210F">
      <w:pPr>
        <w:spacing w:line="276" w:lineRule="auto"/>
        <w:ind w:firstLine="567"/>
        <w:jc w:val="both"/>
        <w:rPr>
          <w:sz w:val="28"/>
          <w:szCs w:val="28"/>
        </w:rPr>
      </w:pPr>
      <w:r w:rsidRPr="00651044">
        <w:rPr>
          <w:sz w:val="28"/>
          <w:szCs w:val="28"/>
        </w:rPr>
        <w:t>Totodată, amortizarea activelor imobilizate a constituit 7,2% din total costuri şi cheltuieli (134,8 mil. lei), iar ponderea altor costuri şi cheltuieli din activitatea operaţională r</w:t>
      </w:r>
      <w:r w:rsidR="007F1F7B">
        <w:rPr>
          <w:sz w:val="28"/>
          <w:szCs w:val="28"/>
        </w:rPr>
        <w:t>eprezintă 8,4% (155,2 mil. lei),</w:t>
      </w:r>
      <w:r w:rsidRPr="00651044">
        <w:rPr>
          <w:sz w:val="28"/>
          <w:szCs w:val="28"/>
        </w:rPr>
        <w:t xml:space="preserve"> </w:t>
      </w:r>
      <w:r w:rsidR="007F1F7B">
        <w:rPr>
          <w:sz w:val="28"/>
          <w:szCs w:val="28"/>
        </w:rPr>
        <w:t>d</w:t>
      </w:r>
      <w:r w:rsidRPr="00651044">
        <w:rPr>
          <w:sz w:val="28"/>
          <w:szCs w:val="28"/>
        </w:rPr>
        <w:t xml:space="preserve">in valoarea </w:t>
      </w:r>
      <w:r w:rsidR="007F1F7B">
        <w:rPr>
          <w:sz w:val="28"/>
          <w:szCs w:val="28"/>
        </w:rPr>
        <w:t>cărora</w:t>
      </w:r>
      <w:r w:rsidRPr="00651044">
        <w:rPr>
          <w:sz w:val="28"/>
          <w:szCs w:val="28"/>
        </w:rPr>
        <w:t xml:space="preserve">, costurile şi cheltuielile aferente locaţiunii (arendei) constituie 55,3 mil. lei, iar costurile şi cheltuielile privind dobînzile pentru credite bancare şi împrumuturi – 32,4 mil. lei.  </w:t>
      </w:r>
    </w:p>
    <w:p w:rsidR="00895280" w:rsidRPr="00651044" w:rsidRDefault="00895280" w:rsidP="0054210F">
      <w:pPr>
        <w:spacing w:line="276" w:lineRule="auto"/>
        <w:ind w:firstLine="567"/>
        <w:jc w:val="both"/>
        <w:rPr>
          <w:sz w:val="28"/>
          <w:szCs w:val="28"/>
        </w:rPr>
      </w:pPr>
      <w:r w:rsidRPr="00651044">
        <w:rPr>
          <w:sz w:val="28"/>
          <w:szCs w:val="28"/>
        </w:rPr>
        <w:t>Adiţional, se enunţă că din cuantumul total de 1865,1 mil. lei a costurilor şi cheltuielilor suportate de către întreprinderile de stat în trimestrul II, 2016, costurile şi cheltuielile aferente activităţii agricole constituie 24,8 mil. lei, iar ponderea majoritară în structura acestora (51,2% - 12,7 mil. lei) a revenit costurilor şi cheltuielilor producției vegetale (vezi figura 2.3).</w:t>
      </w:r>
    </w:p>
    <w:p w:rsidR="00895280" w:rsidRPr="00651044" w:rsidRDefault="00763829" w:rsidP="00895280">
      <w:pPr>
        <w:jc w:val="center"/>
        <w:rPr>
          <w:sz w:val="28"/>
          <w:szCs w:val="28"/>
        </w:rPr>
      </w:pPr>
      <w:r>
        <w:rPr>
          <w:noProof/>
          <w:sz w:val="28"/>
          <w:szCs w:val="28"/>
          <w:lang w:val="ru-RU"/>
        </w:rPr>
        <w:drawing>
          <wp:inline distT="0" distB="0" distL="0" distR="0">
            <wp:extent cx="5579745" cy="1498600"/>
            <wp:effectExtent l="0" t="0" r="0" b="0"/>
            <wp:docPr id="26" name="Objec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95280" w:rsidRPr="00651044" w:rsidRDefault="00895280" w:rsidP="00895280">
      <w:pPr>
        <w:jc w:val="center"/>
        <w:rPr>
          <w:b/>
          <w:i/>
        </w:rPr>
      </w:pPr>
      <w:r w:rsidRPr="00651044">
        <w:rPr>
          <w:b/>
          <w:i/>
        </w:rPr>
        <w:t>Figura 2.3. Structura costurilor şi cheltuielilor aferente activităţii agricole</w:t>
      </w:r>
    </w:p>
    <w:p w:rsidR="00895280" w:rsidRPr="00651044" w:rsidRDefault="00895280" w:rsidP="00895280">
      <w:pPr>
        <w:jc w:val="center"/>
        <w:rPr>
          <w:b/>
          <w:i/>
        </w:rPr>
      </w:pPr>
      <w:r w:rsidRPr="00651044">
        <w:rPr>
          <w:b/>
          <w:i/>
        </w:rPr>
        <w:t xml:space="preserve"> a întreprinderilor de stat în trimestrul II, 2016</w:t>
      </w:r>
    </w:p>
    <w:p w:rsidR="00895280" w:rsidRPr="00651044" w:rsidRDefault="00895280" w:rsidP="007F1F7B">
      <w:pPr>
        <w:spacing w:line="120" w:lineRule="auto"/>
        <w:jc w:val="center"/>
        <w:rPr>
          <w:b/>
          <w:i/>
        </w:rPr>
      </w:pPr>
    </w:p>
    <w:p w:rsidR="0054210F" w:rsidRPr="00651044" w:rsidRDefault="00895280" w:rsidP="0054210F">
      <w:pPr>
        <w:spacing w:line="276" w:lineRule="auto"/>
        <w:ind w:firstLine="567"/>
        <w:jc w:val="both"/>
        <w:rPr>
          <w:sz w:val="28"/>
          <w:szCs w:val="28"/>
        </w:rPr>
      </w:pPr>
      <w:r w:rsidRPr="00651044">
        <w:rPr>
          <w:sz w:val="28"/>
          <w:szCs w:val="28"/>
        </w:rPr>
        <w:t xml:space="preserve">Totodată, </w:t>
      </w:r>
      <w:r w:rsidR="007F1F7B">
        <w:rPr>
          <w:sz w:val="28"/>
          <w:szCs w:val="28"/>
        </w:rPr>
        <w:t>cheltuielile aferente prestării</w:t>
      </w:r>
      <w:r w:rsidRPr="00651044">
        <w:rPr>
          <w:sz w:val="28"/>
          <w:szCs w:val="28"/>
        </w:rPr>
        <w:t xml:space="preserve"> serviciilor agricole au înre</w:t>
      </w:r>
      <w:r w:rsidR="007F1F7B">
        <w:rPr>
          <w:sz w:val="28"/>
          <w:szCs w:val="28"/>
        </w:rPr>
        <w:t>gistrat 33,5% (8,3 mil.</w:t>
      </w:r>
      <w:r w:rsidRPr="00651044">
        <w:rPr>
          <w:sz w:val="28"/>
          <w:szCs w:val="28"/>
        </w:rPr>
        <w:t>lei), iar cele privind p</w:t>
      </w:r>
      <w:r w:rsidR="007F1F7B">
        <w:rPr>
          <w:sz w:val="28"/>
          <w:szCs w:val="28"/>
        </w:rPr>
        <w:t xml:space="preserve">roducţia animalieră–15,3% </w:t>
      </w:r>
      <w:r w:rsidRPr="00651044">
        <w:rPr>
          <w:sz w:val="28"/>
          <w:szCs w:val="28"/>
        </w:rPr>
        <w:t xml:space="preserve">(3,8 mil. lei). </w:t>
      </w:r>
    </w:p>
    <w:p w:rsidR="00895280" w:rsidRPr="00651044" w:rsidRDefault="00895280" w:rsidP="0054210F">
      <w:pPr>
        <w:spacing w:line="276" w:lineRule="auto"/>
        <w:ind w:firstLine="567"/>
        <w:jc w:val="both"/>
        <w:rPr>
          <w:sz w:val="28"/>
          <w:szCs w:val="28"/>
        </w:rPr>
      </w:pPr>
      <w:r w:rsidRPr="00651044">
        <w:rPr>
          <w:color w:val="000000"/>
          <w:sz w:val="28"/>
          <w:szCs w:val="28"/>
          <w:shd w:val="clear" w:color="auto" w:fill="FFFFFF"/>
        </w:rPr>
        <w:t xml:space="preserve">Pe lîngă acestea, </w:t>
      </w:r>
      <w:r w:rsidR="007F1F7B">
        <w:rPr>
          <w:color w:val="000000"/>
          <w:sz w:val="28"/>
          <w:szCs w:val="28"/>
          <w:shd w:val="clear" w:color="auto" w:fill="FFFFFF"/>
        </w:rPr>
        <w:t xml:space="preserve">se remarcă că </w:t>
      </w:r>
      <w:r w:rsidRPr="00651044">
        <w:rPr>
          <w:sz w:val="28"/>
          <w:szCs w:val="28"/>
        </w:rPr>
        <w:t>la finele trimestrului II al anului gestionar, întreprinderile de stat deţineau stocuri</w:t>
      </w:r>
      <w:r w:rsidRPr="00651044">
        <w:rPr>
          <w:i/>
          <w:sz w:val="28"/>
          <w:szCs w:val="28"/>
        </w:rPr>
        <w:t xml:space="preserve"> </w:t>
      </w:r>
      <w:r w:rsidRPr="00651044">
        <w:rPr>
          <w:sz w:val="28"/>
          <w:szCs w:val="28"/>
        </w:rPr>
        <w:t>în mărime de 1392,1 mil. lei, fiind cu 18,6 mil. lei mai mari faţă de începutul trimestrului analizat. Ponderea majoritară, atît la începutul trimestrului II al anului 2016 (50,6% - 694,2 mil. lei), cît şi la finele acestuia (50,2% - 699,1 mil. lei) a revenit stocurilor de materiale (vezi figura 2.4 şi 2.5). Totodată, valoarea stocurilor respective s-a majorat cu 4,9 mil. lei, iar ponderea acestora  s-a diminuat cu 0,4 p.p.</w:t>
      </w:r>
    </w:p>
    <w:p w:rsidR="00895280" w:rsidRPr="00651044" w:rsidRDefault="00763829" w:rsidP="00895280">
      <w:pPr>
        <w:jc w:val="center"/>
      </w:pPr>
      <w:r>
        <w:rPr>
          <w:noProof/>
          <w:lang w:val="ru-RU"/>
        </w:rPr>
        <w:lastRenderedPageBreak/>
        <w:drawing>
          <wp:inline distT="0" distB="0" distL="0" distR="0">
            <wp:extent cx="2912745" cy="2074545"/>
            <wp:effectExtent l="0" t="0" r="0" b="0"/>
            <wp:docPr id="27" name="Objec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Pr>
          <w:noProof/>
          <w:lang w:val="ru-RU"/>
        </w:rPr>
        <w:drawing>
          <wp:inline distT="0" distB="0" distL="0" distR="0">
            <wp:extent cx="2895600" cy="2057400"/>
            <wp:effectExtent l="0" t="0" r="0" b="0"/>
            <wp:docPr id="28" name="Objec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95280" w:rsidRPr="00651044" w:rsidRDefault="00895280" w:rsidP="00895280">
      <w:pPr>
        <w:rPr>
          <w:b/>
          <w:i/>
        </w:rPr>
      </w:pPr>
      <w:r w:rsidRPr="00651044">
        <w:rPr>
          <w:b/>
          <w:i/>
        </w:rPr>
        <w:t xml:space="preserve">          </w:t>
      </w:r>
      <w:r w:rsidR="0054210F" w:rsidRPr="00651044">
        <w:rPr>
          <w:b/>
          <w:i/>
        </w:rPr>
        <w:t xml:space="preserve"> </w:t>
      </w:r>
      <w:r w:rsidRPr="00651044">
        <w:rPr>
          <w:b/>
          <w:i/>
        </w:rPr>
        <w:t xml:space="preserve"> Figura 2.4. Structura stocurilor                </w:t>
      </w:r>
      <w:r w:rsidR="0054210F" w:rsidRPr="00651044">
        <w:rPr>
          <w:b/>
          <w:i/>
        </w:rPr>
        <w:t xml:space="preserve">       </w:t>
      </w:r>
      <w:r w:rsidRPr="00651044">
        <w:rPr>
          <w:b/>
          <w:i/>
        </w:rPr>
        <w:t xml:space="preserve">     Figura 2.5. Structura stocurilor     </w:t>
      </w:r>
    </w:p>
    <w:p w:rsidR="00895280" w:rsidRPr="00651044" w:rsidRDefault="0054210F" w:rsidP="00895280">
      <w:pPr>
        <w:rPr>
          <w:b/>
          <w:i/>
        </w:rPr>
      </w:pPr>
      <w:r w:rsidRPr="00651044">
        <w:rPr>
          <w:b/>
          <w:i/>
        </w:rPr>
        <w:t xml:space="preserve">        </w:t>
      </w:r>
      <w:r w:rsidR="00895280" w:rsidRPr="00651044">
        <w:rPr>
          <w:b/>
          <w:i/>
        </w:rPr>
        <w:t>întreprinderilor de stat la 01.04.2016                     întreprinderilor de stat la 30.06.2016</w:t>
      </w:r>
    </w:p>
    <w:p w:rsidR="00613593" w:rsidRDefault="00613593" w:rsidP="0054210F">
      <w:pPr>
        <w:spacing w:line="276" w:lineRule="auto"/>
        <w:ind w:firstLine="567"/>
        <w:jc w:val="both"/>
        <w:rPr>
          <w:sz w:val="28"/>
          <w:szCs w:val="28"/>
        </w:rPr>
      </w:pPr>
    </w:p>
    <w:p w:rsidR="0054210F" w:rsidRPr="00651044" w:rsidRDefault="00895280" w:rsidP="0054210F">
      <w:pPr>
        <w:spacing w:line="276" w:lineRule="auto"/>
        <w:ind w:firstLine="567"/>
        <w:jc w:val="both"/>
        <w:rPr>
          <w:sz w:val="28"/>
          <w:szCs w:val="28"/>
        </w:rPr>
      </w:pPr>
      <w:r w:rsidRPr="00651044">
        <w:rPr>
          <w:sz w:val="28"/>
          <w:szCs w:val="28"/>
        </w:rPr>
        <w:t>O altă pondere semnificativă (16,8% - 234,3 mil. lei) la finele trimestrului II, 2016 s-a înregistrat la stocurile de mărfuri, care s-a</w:t>
      </w:r>
      <w:r w:rsidR="0054210F" w:rsidRPr="00651044">
        <w:rPr>
          <w:sz w:val="28"/>
          <w:szCs w:val="28"/>
        </w:rPr>
        <w:t xml:space="preserve"> majorat cu 0,8 p.p. sau cu </w:t>
      </w:r>
      <w:r w:rsidRPr="00651044">
        <w:rPr>
          <w:sz w:val="28"/>
          <w:szCs w:val="28"/>
        </w:rPr>
        <w:t>14,7 mil. lei comparativ cu începutul trimestrului II al anului curent.</w:t>
      </w:r>
    </w:p>
    <w:p w:rsidR="0054210F" w:rsidRPr="00651044" w:rsidRDefault="00895280" w:rsidP="0054210F">
      <w:pPr>
        <w:spacing w:line="276" w:lineRule="auto"/>
        <w:ind w:firstLine="567"/>
        <w:jc w:val="both"/>
        <w:rPr>
          <w:sz w:val="28"/>
          <w:szCs w:val="28"/>
        </w:rPr>
      </w:pPr>
      <w:r w:rsidRPr="00651044">
        <w:rPr>
          <w:sz w:val="28"/>
          <w:szCs w:val="28"/>
        </w:rPr>
        <w:t>De asemenea, stocurile de produse constituie 15,7% (218,9 mil. lei) din total stocuri şi s-au diminuat cu 0,7 p.p. sau cu 6,9 mil. lei faţă de situaţia din 01.04.2016, iar stocurilor producţiei în curs de execuţie le-a revenit ponderea d</w:t>
      </w:r>
      <w:r w:rsidR="007F1F7B">
        <w:rPr>
          <w:sz w:val="28"/>
          <w:szCs w:val="28"/>
        </w:rPr>
        <w:t>e 12,1% (168,0 mil. lei) şi s-a</w:t>
      </w:r>
      <w:r w:rsidRPr="00651044">
        <w:rPr>
          <w:sz w:val="28"/>
          <w:szCs w:val="28"/>
        </w:rPr>
        <w:t xml:space="preserve"> majorat cu 0,2 p.p. sau cu 4,7 mil. lei faţă de începutul trimestrului II al anului curent.</w:t>
      </w:r>
    </w:p>
    <w:p w:rsidR="0054210F" w:rsidRPr="00651044" w:rsidRDefault="00895280" w:rsidP="0054210F">
      <w:pPr>
        <w:spacing w:line="276" w:lineRule="auto"/>
        <w:ind w:firstLine="567"/>
        <w:jc w:val="both"/>
        <w:rPr>
          <w:sz w:val="28"/>
          <w:szCs w:val="28"/>
        </w:rPr>
      </w:pPr>
      <w:r w:rsidRPr="00651044">
        <w:rPr>
          <w:sz w:val="28"/>
          <w:szCs w:val="28"/>
        </w:rPr>
        <w:t>Totodată, valoarea obiectelor de mică valoare şi scurtă durată s-a majorat cu 2,9 mil. lei, la data raportării acestea constituind 4,6% - 64,0 mil. lei din cuantumul total al stocurilor. În partea ce ţine de valoarea activelor biologice circulante, se enunţă că acestea deţin ponderea minoritară în total stocuri (0,6% - 7,8 mil. lei) şi comparativ cu începutul trimestrului II al anului curent</w:t>
      </w:r>
      <w:r w:rsidR="007F1F7B">
        <w:rPr>
          <w:sz w:val="28"/>
          <w:szCs w:val="28"/>
        </w:rPr>
        <w:t>,</w:t>
      </w:r>
      <w:r w:rsidRPr="00651044">
        <w:rPr>
          <w:sz w:val="28"/>
          <w:szCs w:val="28"/>
        </w:rPr>
        <w:t xml:space="preserve"> s-au diminuat cu 1,7 mil. lei sau cu 0,1 p.p.</w:t>
      </w:r>
    </w:p>
    <w:p w:rsidR="0054210F" w:rsidRPr="00651044" w:rsidRDefault="00895280" w:rsidP="007F1F7B">
      <w:pPr>
        <w:spacing w:line="276" w:lineRule="auto"/>
        <w:ind w:firstLine="567"/>
        <w:jc w:val="both"/>
        <w:rPr>
          <w:sz w:val="28"/>
          <w:szCs w:val="28"/>
        </w:rPr>
      </w:pPr>
      <w:r w:rsidRPr="00651044">
        <w:rPr>
          <w:sz w:val="28"/>
          <w:szCs w:val="28"/>
        </w:rPr>
        <w:t xml:space="preserve">Suplimentar aspectelor economice analizate anterior, </w:t>
      </w:r>
      <w:r w:rsidR="007F1F7B">
        <w:rPr>
          <w:sz w:val="28"/>
          <w:szCs w:val="28"/>
        </w:rPr>
        <w:t>se menţionează</w:t>
      </w:r>
      <w:r w:rsidRPr="00651044">
        <w:rPr>
          <w:sz w:val="28"/>
          <w:szCs w:val="28"/>
        </w:rPr>
        <w:t xml:space="preserve"> că în conformitate cu alineatul (5), art. 12 din Legea nr. 419-XVI din 22 decembrie 2006 cu privire la datoria sectorului public, garanţiile de stat şi recreditarea de stat, Ministerul Finanţelor generalizează datele statistice cu privire la datoria publică, garanţiile de stat şi recreditarea de stat.</w:t>
      </w:r>
      <w:r w:rsidR="007F1F7B">
        <w:rPr>
          <w:sz w:val="28"/>
          <w:szCs w:val="28"/>
        </w:rPr>
        <w:t xml:space="preserve"> </w:t>
      </w:r>
      <w:r w:rsidRPr="00651044">
        <w:rPr>
          <w:sz w:val="28"/>
          <w:szCs w:val="28"/>
        </w:rPr>
        <w:t>Astfel, în temeiul Regulamentului privind raportarea datoriei</w:t>
      </w:r>
      <w:r w:rsidR="007F1F7B">
        <w:rPr>
          <w:sz w:val="28"/>
          <w:szCs w:val="28"/>
        </w:rPr>
        <w:t xml:space="preserve"> sectorului</w:t>
      </w:r>
      <w:r w:rsidRPr="00651044">
        <w:rPr>
          <w:sz w:val="28"/>
          <w:szCs w:val="28"/>
        </w:rPr>
        <w:t xml:space="preserve"> public, aprobat prin Hotărîrea Guvernului nr. 1136 din 18 octombrie 2007 cu privire la unele măsuri de executare a Legii nr. 419-XVI din 22 decembrie 2006 cu privire la datoria sectorului public, garanţiile de stat şi recreditarea de stat, a fost generalizată informaţia privind împrumuturile interne şi externe ale agenţilor economici monitorizaţi, care sunt contractate pe un termen de un an şi mai mare.  </w:t>
      </w:r>
    </w:p>
    <w:p w:rsidR="0054210F" w:rsidRPr="00651044" w:rsidRDefault="00895280" w:rsidP="0054210F">
      <w:pPr>
        <w:spacing w:line="276" w:lineRule="auto"/>
        <w:ind w:firstLine="567"/>
        <w:jc w:val="both"/>
        <w:rPr>
          <w:sz w:val="28"/>
          <w:szCs w:val="28"/>
        </w:rPr>
      </w:pPr>
      <w:r w:rsidRPr="00651044">
        <w:rPr>
          <w:sz w:val="28"/>
          <w:szCs w:val="28"/>
        </w:rPr>
        <w:t>Prin urmare, potrivit informaţiei privind datoriile întreprinderilor de stat beneficiare de credite recreditate din surse interne şi externe acordate prin intermediul Ministerului Finanţelor</w:t>
      </w:r>
      <w:r w:rsidR="007F1F7B">
        <w:rPr>
          <w:sz w:val="28"/>
          <w:szCs w:val="28"/>
        </w:rPr>
        <w:t>,</w:t>
      </w:r>
      <w:r w:rsidRPr="00651044">
        <w:rPr>
          <w:sz w:val="28"/>
          <w:szCs w:val="28"/>
        </w:rPr>
        <w:t xml:space="preserve"> la situaţia din 30 iunie 2016,  Î.S. „Moldtranselectro” dispune de datorii pe împrumuturi recreditate din surse interne faţă de Ministerul Finanţelor, în mărime de 37,3 mil. lei şi din surse externe şi proiecte investiţionale în valoare de 1,74 </w:t>
      </w:r>
      <w:r w:rsidRPr="00651044">
        <w:rPr>
          <w:sz w:val="28"/>
          <w:szCs w:val="28"/>
        </w:rPr>
        <w:lastRenderedPageBreak/>
        <w:t xml:space="preserve">mil. dolari SUA (34,62 mil. lei), iar Î.S. „Moldelectrica” a înregistrat datorii privind împrumuturile recreditate din surse externe şi proiecte investiţionale în valoare de 15,52 mil. dolari SUA (308,33 mil. lei). </w:t>
      </w:r>
    </w:p>
    <w:p w:rsidR="0054210F" w:rsidRPr="00651044" w:rsidRDefault="00895280" w:rsidP="0054210F">
      <w:pPr>
        <w:spacing w:line="276" w:lineRule="auto"/>
        <w:ind w:firstLine="567"/>
        <w:jc w:val="both"/>
        <w:rPr>
          <w:sz w:val="28"/>
          <w:szCs w:val="28"/>
        </w:rPr>
      </w:pPr>
      <w:r w:rsidRPr="00651044">
        <w:rPr>
          <w:sz w:val="28"/>
          <w:szCs w:val="28"/>
        </w:rPr>
        <w:t xml:space="preserve">Totodată, Î.S. „Moldtranselectro” are datorie pe împrumutul extern acordat sub garanţia statului în mărime de 0,86 mil. dolari SUA (17,15 mil. lei). </w:t>
      </w:r>
    </w:p>
    <w:p w:rsidR="00895280" w:rsidRPr="00651044" w:rsidRDefault="00895280" w:rsidP="0054210F">
      <w:pPr>
        <w:spacing w:line="276" w:lineRule="auto"/>
        <w:ind w:firstLine="567"/>
        <w:jc w:val="both"/>
        <w:rPr>
          <w:sz w:val="28"/>
          <w:szCs w:val="28"/>
        </w:rPr>
      </w:pPr>
      <w:r w:rsidRPr="00651044">
        <w:rPr>
          <w:sz w:val="28"/>
          <w:szCs w:val="28"/>
        </w:rPr>
        <w:t xml:space="preserve">Concomitent, în baza datelor privind fluxul şi soldul împrumuturilor interne în sectorul public, întreprinderile de stat, care au contractat credite de la băncile comerciale pe o perioadă de un an şi mai mare, au înregistrat, la situația din 30.06.2016, un sold al împrumuturilor în mărime totală de 768,99 mil. lei, dintre care 3,53 mil. lei constituie suma restantă ce nu a fost achitată conform contractelor încheiate (stoc de arierate).  </w:t>
      </w:r>
    </w:p>
    <w:p w:rsidR="00895280" w:rsidRPr="00651044" w:rsidRDefault="00895280" w:rsidP="00895280">
      <w:pPr>
        <w:spacing w:line="276" w:lineRule="auto"/>
        <w:ind w:firstLine="705"/>
        <w:jc w:val="right"/>
      </w:pPr>
      <w:r w:rsidRPr="00651044">
        <w:t>Tabelul 2.4</w:t>
      </w:r>
    </w:p>
    <w:p w:rsidR="00895280" w:rsidRPr="00651044" w:rsidRDefault="00895280" w:rsidP="00895280">
      <w:pPr>
        <w:ind w:firstLine="705"/>
        <w:jc w:val="center"/>
        <w:rPr>
          <w:b/>
          <w:i/>
        </w:rPr>
      </w:pPr>
      <w:r w:rsidRPr="00651044">
        <w:rPr>
          <w:b/>
          <w:i/>
        </w:rPr>
        <w:t>Informaţia privind soldul împrumuturilor interne</w:t>
      </w:r>
    </w:p>
    <w:p w:rsidR="00895280" w:rsidRPr="00651044" w:rsidRDefault="00895280" w:rsidP="00895280">
      <w:pPr>
        <w:ind w:firstLine="705"/>
        <w:jc w:val="center"/>
        <w:rPr>
          <w:b/>
          <w:i/>
        </w:rPr>
      </w:pPr>
      <w:r w:rsidRPr="00651044">
        <w:rPr>
          <w:b/>
          <w:i/>
        </w:rPr>
        <w:t xml:space="preserve"> a întreprinderilor de stat la situația din 30.06.2016 </w:t>
      </w:r>
    </w:p>
    <w:p w:rsidR="00895280" w:rsidRPr="00651044" w:rsidRDefault="00895280" w:rsidP="0054210F">
      <w:r w:rsidRPr="00651044">
        <w:t xml:space="preserve">                                                                                                                                                   (mil. lei)</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3"/>
        <w:gridCol w:w="5561"/>
        <w:gridCol w:w="1951"/>
        <w:gridCol w:w="1324"/>
      </w:tblGrid>
      <w:tr w:rsidR="00895280" w:rsidRPr="004629DE" w:rsidTr="004629DE">
        <w:trPr>
          <w:trHeight w:val="386"/>
          <w:jc w:val="center"/>
        </w:trPr>
        <w:tc>
          <w:tcPr>
            <w:tcW w:w="773" w:type="dxa"/>
            <w:noWrap/>
            <w:hideMark/>
          </w:tcPr>
          <w:p w:rsidR="00895280" w:rsidRPr="004629DE" w:rsidRDefault="00895280" w:rsidP="004629DE">
            <w:pPr>
              <w:pStyle w:val="NoSpacing"/>
              <w:jc w:val="center"/>
              <w:rPr>
                <w:b/>
                <w:i/>
                <w:iCs/>
                <w:sz w:val="20"/>
                <w:szCs w:val="20"/>
              </w:rPr>
            </w:pPr>
            <w:r w:rsidRPr="004629DE">
              <w:rPr>
                <w:b/>
                <w:i/>
                <w:iCs/>
                <w:sz w:val="20"/>
                <w:szCs w:val="20"/>
              </w:rPr>
              <w:t>Nr.</w:t>
            </w:r>
          </w:p>
        </w:tc>
        <w:tc>
          <w:tcPr>
            <w:tcW w:w="5561" w:type="dxa"/>
            <w:hideMark/>
          </w:tcPr>
          <w:p w:rsidR="00895280" w:rsidRPr="004629DE" w:rsidRDefault="00895280" w:rsidP="004629DE">
            <w:pPr>
              <w:pStyle w:val="NoSpacing"/>
              <w:jc w:val="center"/>
              <w:rPr>
                <w:b/>
                <w:i/>
                <w:iCs/>
                <w:sz w:val="20"/>
                <w:szCs w:val="20"/>
              </w:rPr>
            </w:pPr>
            <w:r w:rsidRPr="004629DE">
              <w:rPr>
                <w:b/>
                <w:i/>
                <w:iCs/>
                <w:sz w:val="20"/>
                <w:szCs w:val="20"/>
              </w:rPr>
              <w:t>Debitorul</w:t>
            </w:r>
          </w:p>
        </w:tc>
        <w:tc>
          <w:tcPr>
            <w:tcW w:w="1951" w:type="dxa"/>
          </w:tcPr>
          <w:p w:rsidR="00895280" w:rsidRPr="004629DE" w:rsidRDefault="00895280" w:rsidP="004629DE">
            <w:pPr>
              <w:pStyle w:val="NoSpacing"/>
              <w:jc w:val="center"/>
              <w:rPr>
                <w:b/>
                <w:i/>
                <w:iCs/>
                <w:sz w:val="20"/>
                <w:szCs w:val="20"/>
              </w:rPr>
            </w:pPr>
            <w:r w:rsidRPr="004629DE">
              <w:rPr>
                <w:b/>
                <w:i/>
                <w:iCs/>
                <w:sz w:val="20"/>
                <w:szCs w:val="20"/>
              </w:rPr>
              <w:t>Sold la situația din 30.06.2016</w:t>
            </w:r>
          </w:p>
        </w:tc>
        <w:tc>
          <w:tcPr>
            <w:tcW w:w="1324" w:type="dxa"/>
          </w:tcPr>
          <w:p w:rsidR="00895280" w:rsidRPr="004629DE" w:rsidRDefault="00895280" w:rsidP="004629DE">
            <w:pPr>
              <w:pStyle w:val="NoSpacing"/>
              <w:jc w:val="center"/>
              <w:rPr>
                <w:b/>
                <w:i/>
                <w:iCs/>
                <w:sz w:val="20"/>
                <w:szCs w:val="20"/>
              </w:rPr>
            </w:pPr>
            <w:r w:rsidRPr="004629DE">
              <w:rPr>
                <w:b/>
                <w:i/>
                <w:iCs/>
                <w:sz w:val="20"/>
                <w:szCs w:val="20"/>
              </w:rPr>
              <w:t>Stoc</w:t>
            </w:r>
          </w:p>
          <w:p w:rsidR="00895280" w:rsidRPr="004629DE" w:rsidRDefault="00895280" w:rsidP="004629DE">
            <w:pPr>
              <w:pStyle w:val="NoSpacing"/>
              <w:jc w:val="center"/>
              <w:rPr>
                <w:b/>
                <w:i/>
                <w:iCs/>
                <w:sz w:val="20"/>
                <w:szCs w:val="20"/>
              </w:rPr>
            </w:pPr>
            <w:r w:rsidRPr="004629DE">
              <w:rPr>
                <w:b/>
                <w:i/>
                <w:iCs/>
                <w:sz w:val="20"/>
                <w:szCs w:val="20"/>
              </w:rPr>
              <w:t>de arierate</w:t>
            </w:r>
          </w:p>
        </w:tc>
      </w:tr>
      <w:tr w:rsidR="00895280" w:rsidRPr="004629DE" w:rsidTr="004629DE">
        <w:trPr>
          <w:trHeight w:val="163"/>
          <w:jc w:val="center"/>
        </w:trPr>
        <w:tc>
          <w:tcPr>
            <w:tcW w:w="773" w:type="dxa"/>
            <w:noWrap/>
            <w:hideMark/>
          </w:tcPr>
          <w:p w:rsidR="00895280" w:rsidRPr="004629DE" w:rsidRDefault="0054210F" w:rsidP="004629DE">
            <w:pPr>
              <w:pStyle w:val="NoSpacing"/>
              <w:jc w:val="center"/>
              <w:rPr>
                <w:b/>
                <w:sz w:val="20"/>
                <w:szCs w:val="20"/>
              </w:rPr>
            </w:pPr>
            <w:r w:rsidRPr="004629DE">
              <w:rPr>
                <w:b/>
                <w:sz w:val="20"/>
                <w:szCs w:val="20"/>
              </w:rPr>
              <w:t>1.</w:t>
            </w:r>
          </w:p>
        </w:tc>
        <w:tc>
          <w:tcPr>
            <w:tcW w:w="5561" w:type="dxa"/>
            <w:hideMark/>
          </w:tcPr>
          <w:p w:rsidR="00895280" w:rsidRPr="004629DE" w:rsidRDefault="00895280" w:rsidP="00895280">
            <w:pPr>
              <w:pStyle w:val="NoSpacing"/>
              <w:rPr>
                <w:sz w:val="20"/>
                <w:szCs w:val="20"/>
              </w:rPr>
            </w:pPr>
            <w:r w:rsidRPr="004629DE">
              <w:rPr>
                <w:sz w:val="20"/>
                <w:szCs w:val="20"/>
              </w:rPr>
              <w:t>Î.S.  Specializată de Executare a Lucrărilor de Explozie „INMEX”</w:t>
            </w:r>
          </w:p>
        </w:tc>
        <w:tc>
          <w:tcPr>
            <w:tcW w:w="1951" w:type="dxa"/>
          </w:tcPr>
          <w:p w:rsidR="00895280" w:rsidRPr="004629DE" w:rsidRDefault="00895280" w:rsidP="004629DE">
            <w:pPr>
              <w:pStyle w:val="NoSpacing"/>
              <w:jc w:val="center"/>
              <w:rPr>
                <w:sz w:val="20"/>
                <w:szCs w:val="20"/>
              </w:rPr>
            </w:pPr>
            <w:r w:rsidRPr="004629DE">
              <w:rPr>
                <w:sz w:val="20"/>
                <w:szCs w:val="20"/>
              </w:rPr>
              <w:t>1,8</w:t>
            </w:r>
          </w:p>
        </w:tc>
        <w:tc>
          <w:tcPr>
            <w:tcW w:w="1324" w:type="dxa"/>
          </w:tcPr>
          <w:p w:rsidR="00895280" w:rsidRPr="004629DE" w:rsidRDefault="00895280" w:rsidP="004629DE">
            <w:pPr>
              <w:pStyle w:val="NoSpacing"/>
              <w:jc w:val="center"/>
              <w:rPr>
                <w:sz w:val="20"/>
                <w:szCs w:val="20"/>
              </w:rPr>
            </w:pPr>
            <w:r w:rsidRPr="004629DE">
              <w:rPr>
                <w:sz w:val="20"/>
                <w:szCs w:val="20"/>
              </w:rPr>
              <w:t>-</w:t>
            </w:r>
          </w:p>
        </w:tc>
      </w:tr>
      <w:tr w:rsidR="00895280" w:rsidRPr="004629DE" w:rsidTr="004629DE">
        <w:trPr>
          <w:trHeight w:val="163"/>
          <w:jc w:val="center"/>
        </w:trPr>
        <w:tc>
          <w:tcPr>
            <w:tcW w:w="773" w:type="dxa"/>
            <w:noWrap/>
            <w:hideMark/>
          </w:tcPr>
          <w:p w:rsidR="00895280" w:rsidRPr="004629DE" w:rsidRDefault="0054210F" w:rsidP="004629DE">
            <w:pPr>
              <w:pStyle w:val="NoSpacing"/>
              <w:jc w:val="center"/>
              <w:rPr>
                <w:b/>
                <w:sz w:val="20"/>
                <w:szCs w:val="20"/>
              </w:rPr>
            </w:pPr>
            <w:r w:rsidRPr="004629DE">
              <w:rPr>
                <w:b/>
                <w:sz w:val="20"/>
                <w:szCs w:val="20"/>
              </w:rPr>
              <w:t>2.</w:t>
            </w:r>
          </w:p>
        </w:tc>
        <w:tc>
          <w:tcPr>
            <w:tcW w:w="5561" w:type="dxa"/>
            <w:hideMark/>
          </w:tcPr>
          <w:p w:rsidR="00895280" w:rsidRPr="004629DE" w:rsidRDefault="00895280" w:rsidP="00895280">
            <w:pPr>
              <w:pStyle w:val="NoSpacing"/>
              <w:rPr>
                <w:sz w:val="20"/>
                <w:szCs w:val="20"/>
              </w:rPr>
            </w:pPr>
            <w:r w:rsidRPr="004629DE">
              <w:rPr>
                <w:sz w:val="20"/>
                <w:szCs w:val="20"/>
              </w:rPr>
              <w:t>Î.S. „Rusca”</w:t>
            </w:r>
          </w:p>
        </w:tc>
        <w:tc>
          <w:tcPr>
            <w:tcW w:w="1951" w:type="dxa"/>
          </w:tcPr>
          <w:p w:rsidR="00895280" w:rsidRPr="004629DE" w:rsidRDefault="00895280" w:rsidP="004629DE">
            <w:pPr>
              <w:pStyle w:val="NoSpacing"/>
              <w:jc w:val="center"/>
              <w:rPr>
                <w:sz w:val="20"/>
                <w:szCs w:val="20"/>
              </w:rPr>
            </w:pPr>
            <w:r w:rsidRPr="004629DE">
              <w:rPr>
                <w:sz w:val="20"/>
                <w:szCs w:val="20"/>
              </w:rPr>
              <w:t>0,1</w:t>
            </w:r>
          </w:p>
        </w:tc>
        <w:tc>
          <w:tcPr>
            <w:tcW w:w="1324" w:type="dxa"/>
          </w:tcPr>
          <w:p w:rsidR="00895280" w:rsidRPr="004629DE" w:rsidRDefault="00895280" w:rsidP="004629DE">
            <w:pPr>
              <w:pStyle w:val="NoSpacing"/>
              <w:jc w:val="center"/>
              <w:rPr>
                <w:sz w:val="20"/>
                <w:szCs w:val="20"/>
              </w:rPr>
            </w:pPr>
            <w:r w:rsidRPr="004629DE">
              <w:rPr>
                <w:sz w:val="20"/>
                <w:szCs w:val="20"/>
              </w:rPr>
              <w:t>-</w:t>
            </w:r>
          </w:p>
        </w:tc>
      </w:tr>
      <w:tr w:rsidR="00895280" w:rsidRPr="004629DE" w:rsidTr="004629DE">
        <w:trPr>
          <w:trHeight w:val="163"/>
          <w:jc w:val="center"/>
        </w:trPr>
        <w:tc>
          <w:tcPr>
            <w:tcW w:w="773" w:type="dxa"/>
            <w:noWrap/>
            <w:hideMark/>
          </w:tcPr>
          <w:p w:rsidR="00895280" w:rsidRPr="004629DE" w:rsidRDefault="00895280" w:rsidP="004629DE">
            <w:pPr>
              <w:pStyle w:val="NoSpacing"/>
              <w:jc w:val="center"/>
              <w:rPr>
                <w:b/>
                <w:sz w:val="20"/>
                <w:szCs w:val="20"/>
              </w:rPr>
            </w:pPr>
            <w:r w:rsidRPr="004629DE">
              <w:rPr>
                <w:b/>
                <w:sz w:val="20"/>
                <w:szCs w:val="20"/>
              </w:rPr>
              <w:t>3.</w:t>
            </w:r>
          </w:p>
          <w:p w:rsidR="00895280" w:rsidRPr="004629DE" w:rsidRDefault="00895280" w:rsidP="004629DE">
            <w:pPr>
              <w:pStyle w:val="NoSpacing"/>
              <w:jc w:val="center"/>
              <w:rPr>
                <w:b/>
                <w:sz w:val="20"/>
                <w:szCs w:val="20"/>
              </w:rPr>
            </w:pPr>
          </w:p>
        </w:tc>
        <w:tc>
          <w:tcPr>
            <w:tcW w:w="5561" w:type="dxa"/>
            <w:hideMark/>
          </w:tcPr>
          <w:p w:rsidR="00895280" w:rsidRPr="004629DE" w:rsidRDefault="00895280" w:rsidP="00895280">
            <w:pPr>
              <w:pStyle w:val="NoSpacing"/>
              <w:rPr>
                <w:sz w:val="20"/>
                <w:szCs w:val="20"/>
              </w:rPr>
            </w:pPr>
            <w:r w:rsidRPr="004629DE">
              <w:rPr>
                <w:sz w:val="20"/>
                <w:szCs w:val="20"/>
              </w:rPr>
              <w:t>Î.S. „Centrul Resurselor Informaționale de Stat „Registru”</w:t>
            </w:r>
          </w:p>
        </w:tc>
        <w:tc>
          <w:tcPr>
            <w:tcW w:w="1951" w:type="dxa"/>
          </w:tcPr>
          <w:p w:rsidR="00895280" w:rsidRPr="004629DE" w:rsidRDefault="00895280" w:rsidP="004629DE">
            <w:pPr>
              <w:pStyle w:val="NoSpacing"/>
              <w:jc w:val="center"/>
              <w:rPr>
                <w:sz w:val="20"/>
                <w:szCs w:val="20"/>
              </w:rPr>
            </w:pPr>
            <w:r w:rsidRPr="004629DE">
              <w:rPr>
                <w:sz w:val="20"/>
                <w:szCs w:val="20"/>
              </w:rPr>
              <w:t>108,2</w:t>
            </w:r>
          </w:p>
          <w:p w:rsidR="00895280" w:rsidRPr="004629DE" w:rsidRDefault="00895280" w:rsidP="004629DE">
            <w:pPr>
              <w:pStyle w:val="NoSpacing"/>
              <w:jc w:val="center"/>
              <w:rPr>
                <w:sz w:val="20"/>
                <w:szCs w:val="20"/>
              </w:rPr>
            </w:pPr>
          </w:p>
        </w:tc>
        <w:tc>
          <w:tcPr>
            <w:tcW w:w="1324" w:type="dxa"/>
          </w:tcPr>
          <w:p w:rsidR="00895280" w:rsidRPr="004629DE" w:rsidRDefault="00895280" w:rsidP="004629DE">
            <w:pPr>
              <w:pStyle w:val="NoSpacing"/>
              <w:jc w:val="center"/>
              <w:rPr>
                <w:sz w:val="20"/>
                <w:szCs w:val="20"/>
              </w:rPr>
            </w:pPr>
            <w:r w:rsidRPr="004629DE">
              <w:rPr>
                <w:sz w:val="20"/>
                <w:szCs w:val="20"/>
              </w:rPr>
              <w:t>-</w:t>
            </w:r>
          </w:p>
          <w:p w:rsidR="00895280" w:rsidRPr="004629DE" w:rsidRDefault="00895280" w:rsidP="004629DE">
            <w:pPr>
              <w:pStyle w:val="NoSpacing"/>
              <w:jc w:val="center"/>
              <w:rPr>
                <w:sz w:val="20"/>
                <w:szCs w:val="20"/>
              </w:rPr>
            </w:pPr>
          </w:p>
        </w:tc>
      </w:tr>
      <w:tr w:rsidR="007F1F7B" w:rsidRPr="004629DE" w:rsidTr="004629DE">
        <w:trPr>
          <w:trHeight w:val="163"/>
          <w:jc w:val="center"/>
        </w:trPr>
        <w:tc>
          <w:tcPr>
            <w:tcW w:w="773" w:type="dxa"/>
            <w:noWrap/>
            <w:hideMark/>
          </w:tcPr>
          <w:p w:rsidR="007F1F7B" w:rsidRPr="004629DE" w:rsidRDefault="007F1F7B" w:rsidP="004629DE">
            <w:pPr>
              <w:pStyle w:val="NoSpacing"/>
              <w:jc w:val="center"/>
              <w:rPr>
                <w:b/>
                <w:sz w:val="20"/>
                <w:szCs w:val="20"/>
              </w:rPr>
            </w:pPr>
            <w:r w:rsidRPr="004629DE">
              <w:rPr>
                <w:b/>
                <w:sz w:val="20"/>
                <w:szCs w:val="20"/>
              </w:rPr>
              <w:t>4.</w:t>
            </w:r>
          </w:p>
        </w:tc>
        <w:tc>
          <w:tcPr>
            <w:tcW w:w="5561" w:type="dxa"/>
            <w:hideMark/>
          </w:tcPr>
          <w:p w:rsidR="007F1F7B" w:rsidRPr="004629DE" w:rsidRDefault="007F1F7B" w:rsidP="00895280">
            <w:pPr>
              <w:pStyle w:val="NoSpacing"/>
              <w:rPr>
                <w:sz w:val="20"/>
                <w:szCs w:val="20"/>
              </w:rPr>
            </w:pPr>
            <w:r w:rsidRPr="004629DE">
              <w:rPr>
                <w:sz w:val="20"/>
                <w:szCs w:val="20"/>
              </w:rPr>
              <w:t>Î.S. Staţiunea Tehnologico- Experimentală „Bălți”</w:t>
            </w:r>
          </w:p>
        </w:tc>
        <w:tc>
          <w:tcPr>
            <w:tcW w:w="1951" w:type="dxa"/>
          </w:tcPr>
          <w:p w:rsidR="007F1F7B" w:rsidRPr="004629DE" w:rsidRDefault="007F1F7B" w:rsidP="004629DE">
            <w:pPr>
              <w:pStyle w:val="NoSpacing"/>
              <w:jc w:val="center"/>
              <w:rPr>
                <w:sz w:val="20"/>
                <w:szCs w:val="20"/>
              </w:rPr>
            </w:pPr>
            <w:r w:rsidRPr="004629DE">
              <w:rPr>
                <w:sz w:val="20"/>
                <w:szCs w:val="20"/>
              </w:rPr>
              <w:t>1,5</w:t>
            </w:r>
          </w:p>
        </w:tc>
        <w:tc>
          <w:tcPr>
            <w:tcW w:w="1324" w:type="dxa"/>
          </w:tcPr>
          <w:p w:rsidR="007F1F7B" w:rsidRPr="004629DE" w:rsidRDefault="007F1F7B" w:rsidP="004629DE">
            <w:pPr>
              <w:pStyle w:val="NoSpacing"/>
              <w:jc w:val="center"/>
              <w:rPr>
                <w:sz w:val="20"/>
                <w:szCs w:val="20"/>
              </w:rPr>
            </w:pPr>
            <w:r w:rsidRPr="004629DE">
              <w:rPr>
                <w:sz w:val="20"/>
                <w:szCs w:val="20"/>
              </w:rPr>
              <w:t>-</w:t>
            </w:r>
          </w:p>
        </w:tc>
      </w:tr>
      <w:tr w:rsidR="00895280" w:rsidRPr="004629DE" w:rsidTr="004629DE">
        <w:trPr>
          <w:trHeight w:val="163"/>
          <w:jc w:val="center"/>
        </w:trPr>
        <w:tc>
          <w:tcPr>
            <w:tcW w:w="773" w:type="dxa"/>
            <w:noWrap/>
            <w:hideMark/>
          </w:tcPr>
          <w:p w:rsidR="00895280" w:rsidRPr="004629DE" w:rsidRDefault="00895280" w:rsidP="004629DE">
            <w:pPr>
              <w:pStyle w:val="NoSpacing"/>
              <w:jc w:val="center"/>
              <w:rPr>
                <w:b/>
                <w:sz w:val="20"/>
                <w:szCs w:val="20"/>
              </w:rPr>
            </w:pPr>
            <w:r w:rsidRPr="004629DE">
              <w:rPr>
                <w:b/>
                <w:sz w:val="20"/>
                <w:szCs w:val="20"/>
              </w:rPr>
              <w:t>5.</w:t>
            </w:r>
          </w:p>
        </w:tc>
        <w:tc>
          <w:tcPr>
            <w:tcW w:w="5561" w:type="dxa"/>
            <w:hideMark/>
          </w:tcPr>
          <w:p w:rsidR="00895280" w:rsidRPr="004629DE" w:rsidRDefault="00895280" w:rsidP="00895280">
            <w:pPr>
              <w:pStyle w:val="NoSpacing"/>
              <w:rPr>
                <w:sz w:val="20"/>
                <w:szCs w:val="20"/>
              </w:rPr>
            </w:pPr>
            <w:r w:rsidRPr="004629DE">
              <w:rPr>
                <w:sz w:val="20"/>
                <w:szCs w:val="20"/>
              </w:rPr>
              <w:t>Î.S. Compania Aeriană „AIR Moldova”</w:t>
            </w:r>
          </w:p>
        </w:tc>
        <w:tc>
          <w:tcPr>
            <w:tcW w:w="1951" w:type="dxa"/>
          </w:tcPr>
          <w:p w:rsidR="00895280" w:rsidRPr="004629DE" w:rsidRDefault="00895280" w:rsidP="004629DE">
            <w:pPr>
              <w:pStyle w:val="NoSpacing"/>
              <w:jc w:val="center"/>
              <w:rPr>
                <w:sz w:val="20"/>
                <w:szCs w:val="20"/>
              </w:rPr>
            </w:pPr>
            <w:r w:rsidRPr="004629DE">
              <w:rPr>
                <w:sz w:val="20"/>
                <w:szCs w:val="20"/>
              </w:rPr>
              <w:t>327,1</w:t>
            </w:r>
          </w:p>
        </w:tc>
        <w:tc>
          <w:tcPr>
            <w:tcW w:w="1324" w:type="dxa"/>
          </w:tcPr>
          <w:p w:rsidR="00895280" w:rsidRPr="004629DE" w:rsidRDefault="00895280" w:rsidP="004629DE">
            <w:pPr>
              <w:pStyle w:val="NoSpacing"/>
              <w:jc w:val="center"/>
              <w:rPr>
                <w:sz w:val="20"/>
                <w:szCs w:val="20"/>
              </w:rPr>
            </w:pPr>
            <w:r w:rsidRPr="004629DE">
              <w:rPr>
                <w:sz w:val="20"/>
                <w:szCs w:val="20"/>
              </w:rPr>
              <w:t>0,03</w:t>
            </w:r>
          </w:p>
        </w:tc>
      </w:tr>
      <w:tr w:rsidR="00895280" w:rsidRPr="004629DE" w:rsidTr="004629DE">
        <w:trPr>
          <w:trHeight w:val="62"/>
          <w:jc w:val="center"/>
        </w:trPr>
        <w:tc>
          <w:tcPr>
            <w:tcW w:w="773" w:type="dxa"/>
            <w:noWrap/>
            <w:hideMark/>
          </w:tcPr>
          <w:p w:rsidR="00895280" w:rsidRPr="004629DE" w:rsidRDefault="00895280" w:rsidP="004629DE">
            <w:pPr>
              <w:pStyle w:val="NoSpacing"/>
              <w:jc w:val="center"/>
              <w:rPr>
                <w:b/>
                <w:sz w:val="20"/>
                <w:szCs w:val="20"/>
              </w:rPr>
            </w:pPr>
            <w:r w:rsidRPr="004629DE">
              <w:rPr>
                <w:b/>
                <w:sz w:val="20"/>
                <w:szCs w:val="20"/>
              </w:rPr>
              <w:t>6.</w:t>
            </w:r>
          </w:p>
        </w:tc>
        <w:tc>
          <w:tcPr>
            <w:tcW w:w="5561" w:type="dxa"/>
            <w:hideMark/>
          </w:tcPr>
          <w:p w:rsidR="00895280" w:rsidRPr="004629DE" w:rsidRDefault="00895280" w:rsidP="00895280">
            <w:pPr>
              <w:pStyle w:val="NoSpacing"/>
              <w:rPr>
                <w:sz w:val="20"/>
                <w:szCs w:val="20"/>
              </w:rPr>
            </w:pPr>
            <w:r w:rsidRPr="004629DE">
              <w:rPr>
                <w:sz w:val="20"/>
                <w:szCs w:val="20"/>
              </w:rPr>
              <w:t>Î.S. Staţiunea Didactică Experimentală „Chetrosu”</w:t>
            </w:r>
          </w:p>
        </w:tc>
        <w:tc>
          <w:tcPr>
            <w:tcW w:w="1951" w:type="dxa"/>
          </w:tcPr>
          <w:p w:rsidR="00895280" w:rsidRPr="004629DE" w:rsidRDefault="00895280" w:rsidP="004629DE">
            <w:pPr>
              <w:pStyle w:val="NoSpacing"/>
              <w:jc w:val="center"/>
              <w:rPr>
                <w:sz w:val="20"/>
                <w:szCs w:val="20"/>
              </w:rPr>
            </w:pPr>
            <w:r w:rsidRPr="004629DE">
              <w:rPr>
                <w:sz w:val="20"/>
                <w:szCs w:val="20"/>
              </w:rPr>
              <w:t>0,1</w:t>
            </w:r>
          </w:p>
        </w:tc>
        <w:tc>
          <w:tcPr>
            <w:tcW w:w="1324" w:type="dxa"/>
          </w:tcPr>
          <w:p w:rsidR="00895280" w:rsidRPr="004629DE" w:rsidRDefault="00895280" w:rsidP="004629DE">
            <w:pPr>
              <w:pStyle w:val="NoSpacing"/>
              <w:jc w:val="center"/>
              <w:rPr>
                <w:sz w:val="20"/>
                <w:szCs w:val="20"/>
              </w:rPr>
            </w:pPr>
            <w:r w:rsidRPr="004629DE">
              <w:rPr>
                <w:sz w:val="20"/>
                <w:szCs w:val="20"/>
              </w:rPr>
              <w:t>0,1</w:t>
            </w:r>
          </w:p>
        </w:tc>
      </w:tr>
      <w:tr w:rsidR="00895280" w:rsidRPr="004629DE" w:rsidTr="004629DE">
        <w:trPr>
          <w:trHeight w:val="62"/>
          <w:jc w:val="center"/>
        </w:trPr>
        <w:tc>
          <w:tcPr>
            <w:tcW w:w="773" w:type="dxa"/>
            <w:noWrap/>
            <w:hideMark/>
          </w:tcPr>
          <w:p w:rsidR="00895280" w:rsidRPr="004629DE" w:rsidRDefault="00895280" w:rsidP="004629DE">
            <w:pPr>
              <w:pStyle w:val="NoSpacing"/>
              <w:jc w:val="center"/>
              <w:rPr>
                <w:b/>
                <w:sz w:val="20"/>
                <w:szCs w:val="20"/>
              </w:rPr>
            </w:pPr>
            <w:r w:rsidRPr="004629DE">
              <w:rPr>
                <w:b/>
                <w:sz w:val="20"/>
                <w:szCs w:val="20"/>
              </w:rPr>
              <w:t>7.</w:t>
            </w:r>
          </w:p>
        </w:tc>
        <w:tc>
          <w:tcPr>
            <w:tcW w:w="5561" w:type="dxa"/>
            <w:hideMark/>
          </w:tcPr>
          <w:p w:rsidR="00895280" w:rsidRPr="004629DE" w:rsidRDefault="00895280" w:rsidP="00895280">
            <w:pPr>
              <w:pStyle w:val="NoSpacing"/>
              <w:rPr>
                <w:sz w:val="20"/>
                <w:szCs w:val="20"/>
              </w:rPr>
            </w:pPr>
            <w:r w:rsidRPr="004629DE">
              <w:rPr>
                <w:sz w:val="20"/>
                <w:szCs w:val="20"/>
              </w:rPr>
              <w:t>Î.S. Staţiunea Didactică Experimentală „Criuleni”</w:t>
            </w:r>
          </w:p>
        </w:tc>
        <w:tc>
          <w:tcPr>
            <w:tcW w:w="1951" w:type="dxa"/>
          </w:tcPr>
          <w:p w:rsidR="00895280" w:rsidRPr="004629DE" w:rsidRDefault="00895280" w:rsidP="004629DE">
            <w:pPr>
              <w:pStyle w:val="NoSpacing"/>
              <w:jc w:val="center"/>
              <w:rPr>
                <w:sz w:val="20"/>
                <w:szCs w:val="20"/>
              </w:rPr>
            </w:pPr>
            <w:r w:rsidRPr="004629DE">
              <w:rPr>
                <w:sz w:val="20"/>
                <w:szCs w:val="20"/>
              </w:rPr>
              <w:t>0,35</w:t>
            </w:r>
          </w:p>
        </w:tc>
        <w:tc>
          <w:tcPr>
            <w:tcW w:w="1324" w:type="dxa"/>
          </w:tcPr>
          <w:p w:rsidR="00895280" w:rsidRPr="004629DE" w:rsidRDefault="00895280" w:rsidP="004629DE">
            <w:pPr>
              <w:pStyle w:val="NoSpacing"/>
              <w:jc w:val="center"/>
              <w:rPr>
                <w:sz w:val="20"/>
                <w:szCs w:val="20"/>
              </w:rPr>
            </w:pPr>
            <w:r w:rsidRPr="004629DE">
              <w:rPr>
                <w:sz w:val="20"/>
                <w:szCs w:val="20"/>
              </w:rPr>
              <w:t>-</w:t>
            </w:r>
          </w:p>
        </w:tc>
      </w:tr>
      <w:tr w:rsidR="00895280" w:rsidRPr="004629DE" w:rsidTr="004629DE">
        <w:trPr>
          <w:trHeight w:val="62"/>
          <w:jc w:val="center"/>
        </w:trPr>
        <w:tc>
          <w:tcPr>
            <w:tcW w:w="773" w:type="dxa"/>
            <w:noWrap/>
            <w:hideMark/>
          </w:tcPr>
          <w:p w:rsidR="00895280" w:rsidRPr="004629DE" w:rsidRDefault="00895280" w:rsidP="004629DE">
            <w:pPr>
              <w:pStyle w:val="NoSpacing"/>
              <w:jc w:val="center"/>
              <w:rPr>
                <w:b/>
                <w:sz w:val="20"/>
                <w:szCs w:val="20"/>
              </w:rPr>
            </w:pPr>
            <w:r w:rsidRPr="004629DE">
              <w:rPr>
                <w:b/>
                <w:sz w:val="20"/>
                <w:szCs w:val="20"/>
              </w:rPr>
              <w:t>8.</w:t>
            </w:r>
          </w:p>
        </w:tc>
        <w:tc>
          <w:tcPr>
            <w:tcW w:w="5561" w:type="dxa"/>
            <w:hideMark/>
          </w:tcPr>
          <w:p w:rsidR="00895280" w:rsidRPr="004629DE" w:rsidRDefault="00895280" w:rsidP="00895280">
            <w:pPr>
              <w:pStyle w:val="NoSpacing"/>
              <w:rPr>
                <w:sz w:val="20"/>
                <w:szCs w:val="20"/>
              </w:rPr>
            </w:pPr>
            <w:r w:rsidRPr="004629DE">
              <w:rPr>
                <w:sz w:val="20"/>
                <w:szCs w:val="20"/>
              </w:rPr>
              <w:t>Î.S. pentru cercetarea în selecţie şi hibridarea suinelor „Moldsuinhibrid”</w:t>
            </w:r>
          </w:p>
        </w:tc>
        <w:tc>
          <w:tcPr>
            <w:tcW w:w="1951" w:type="dxa"/>
          </w:tcPr>
          <w:p w:rsidR="00895280" w:rsidRPr="004629DE" w:rsidRDefault="00895280" w:rsidP="004629DE">
            <w:pPr>
              <w:pStyle w:val="NoSpacing"/>
              <w:jc w:val="center"/>
              <w:rPr>
                <w:sz w:val="20"/>
                <w:szCs w:val="20"/>
              </w:rPr>
            </w:pPr>
            <w:r w:rsidRPr="004629DE">
              <w:rPr>
                <w:sz w:val="20"/>
                <w:szCs w:val="20"/>
              </w:rPr>
              <w:t>0,54</w:t>
            </w:r>
          </w:p>
        </w:tc>
        <w:tc>
          <w:tcPr>
            <w:tcW w:w="1324" w:type="dxa"/>
          </w:tcPr>
          <w:p w:rsidR="00895280" w:rsidRPr="004629DE" w:rsidRDefault="00895280" w:rsidP="004629DE">
            <w:pPr>
              <w:pStyle w:val="NoSpacing"/>
              <w:jc w:val="center"/>
              <w:rPr>
                <w:sz w:val="20"/>
                <w:szCs w:val="20"/>
              </w:rPr>
            </w:pPr>
            <w:r w:rsidRPr="004629DE">
              <w:rPr>
                <w:sz w:val="20"/>
                <w:szCs w:val="20"/>
              </w:rPr>
              <w:t>0,1</w:t>
            </w:r>
          </w:p>
        </w:tc>
      </w:tr>
      <w:tr w:rsidR="00895280" w:rsidRPr="004629DE" w:rsidTr="004629DE">
        <w:trPr>
          <w:trHeight w:val="62"/>
          <w:jc w:val="center"/>
        </w:trPr>
        <w:tc>
          <w:tcPr>
            <w:tcW w:w="773" w:type="dxa"/>
            <w:noWrap/>
            <w:hideMark/>
          </w:tcPr>
          <w:p w:rsidR="00895280" w:rsidRPr="004629DE" w:rsidRDefault="00895280" w:rsidP="004629DE">
            <w:pPr>
              <w:pStyle w:val="NoSpacing"/>
              <w:jc w:val="center"/>
              <w:rPr>
                <w:b/>
                <w:sz w:val="20"/>
                <w:szCs w:val="20"/>
              </w:rPr>
            </w:pPr>
            <w:r w:rsidRPr="004629DE">
              <w:rPr>
                <w:b/>
                <w:sz w:val="20"/>
                <w:szCs w:val="20"/>
              </w:rPr>
              <w:t>9.</w:t>
            </w:r>
          </w:p>
        </w:tc>
        <w:tc>
          <w:tcPr>
            <w:tcW w:w="5561" w:type="dxa"/>
            <w:hideMark/>
          </w:tcPr>
          <w:p w:rsidR="00895280" w:rsidRPr="004629DE" w:rsidRDefault="00895280" w:rsidP="00895280">
            <w:pPr>
              <w:pStyle w:val="NoSpacing"/>
              <w:rPr>
                <w:sz w:val="20"/>
                <w:szCs w:val="20"/>
              </w:rPr>
            </w:pPr>
            <w:r w:rsidRPr="004629DE">
              <w:rPr>
                <w:sz w:val="20"/>
                <w:szCs w:val="20"/>
              </w:rPr>
              <w:t>Î.S. Nodul Hidroenergetic „Costeşti”</w:t>
            </w:r>
          </w:p>
        </w:tc>
        <w:tc>
          <w:tcPr>
            <w:tcW w:w="1951" w:type="dxa"/>
          </w:tcPr>
          <w:p w:rsidR="00895280" w:rsidRPr="004629DE" w:rsidRDefault="00895280" w:rsidP="004629DE">
            <w:pPr>
              <w:pStyle w:val="NoSpacing"/>
              <w:jc w:val="center"/>
              <w:rPr>
                <w:sz w:val="20"/>
                <w:szCs w:val="20"/>
              </w:rPr>
            </w:pPr>
            <w:r w:rsidRPr="004629DE">
              <w:rPr>
                <w:sz w:val="20"/>
                <w:szCs w:val="20"/>
              </w:rPr>
              <w:t>2,5</w:t>
            </w:r>
          </w:p>
        </w:tc>
        <w:tc>
          <w:tcPr>
            <w:tcW w:w="1324" w:type="dxa"/>
          </w:tcPr>
          <w:p w:rsidR="00895280" w:rsidRPr="004629DE" w:rsidRDefault="00895280" w:rsidP="004629DE">
            <w:pPr>
              <w:pStyle w:val="NoSpacing"/>
              <w:jc w:val="center"/>
              <w:rPr>
                <w:sz w:val="20"/>
                <w:szCs w:val="20"/>
              </w:rPr>
            </w:pPr>
            <w:r w:rsidRPr="004629DE">
              <w:rPr>
                <w:sz w:val="20"/>
                <w:szCs w:val="20"/>
              </w:rPr>
              <w:t>-</w:t>
            </w:r>
          </w:p>
        </w:tc>
      </w:tr>
      <w:tr w:rsidR="00895280" w:rsidRPr="004629DE" w:rsidTr="004629DE">
        <w:trPr>
          <w:trHeight w:val="62"/>
          <w:jc w:val="center"/>
        </w:trPr>
        <w:tc>
          <w:tcPr>
            <w:tcW w:w="773" w:type="dxa"/>
            <w:noWrap/>
            <w:hideMark/>
          </w:tcPr>
          <w:p w:rsidR="00895280" w:rsidRPr="004629DE" w:rsidRDefault="00895280" w:rsidP="004629DE">
            <w:pPr>
              <w:pStyle w:val="NoSpacing"/>
              <w:jc w:val="center"/>
              <w:rPr>
                <w:b/>
                <w:sz w:val="20"/>
                <w:szCs w:val="20"/>
              </w:rPr>
            </w:pPr>
            <w:r w:rsidRPr="004629DE">
              <w:rPr>
                <w:b/>
                <w:sz w:val="20"/>
                <w:szCs w:val="20"/>
              </w:rPr>
              <w:t>10.</w:t>
            </w:r>
          </w:p>
        </w:tc>
        <w:tc>
          <w:tcPr>
            <w:tcW w:w="5561" w:type="dxa"/>
            <w:hideMark/>
          </w:tcPr>
          <w:p w:rsidR="00895280" w:rsidRPr="004629DE" w:rsidRDefault="00895280" w:rsidP="00895280">
            <w:pPr>
              <w:pStyle w:val="NoSpacing"/>
              <w:rPr>
                <w:sz w:val="20"/>
                <w:szCs w:val="20"/>
              </w:rPr>
            </w:pPr>
            <w:r w:rsidRPr="004629DE">
              <w:rPr>
                <w:sz w:val="20"/>
                <w:szCs w:val="20"/>
              </w:rPr>
              <w:t>Î.S. „Calea Ferată din Moldova”</w:t>
            </w:r>
          </w:p>
        </w:tc>
        <w:tc>
          <w:tcPr>
            <w:tcW w:w="1951" w:type="dxa"/>
          </w:tcPr>
          <w:p w:rsidR="00895280" w:rsidRPr="004629DE" w:rsidRDefault="00895280" w:rsidP="004629DE">
            <w:pPr>
              <w:pStyle w:val="NoSpacing"/>
              <w:jc w:val="center"/>
              <w:rPr>
                <w:sz w:val="20"/>
                <w:szCs w:val="20"/>
              </w:rPr>
            </w:pPr>
            <w:r w:rsidRPr="004629DE">
              <w:rPr>
                <w:sz w:val="20"/>
                <w:szCs w:val="20"/>
              </w:rPr>
              <w:t>234,1</w:t>
            </w:r>
          </w:p>
        </w:tc>
        <w:tc>
          <w:tcPr>
            <w:tcW w:w="1324" w:type="dxa"/>
          </w:tcPr>
          <w:p w:rsidR="00895280" w:rsidRPr="004629DE" w:rsidRDefault="00895280" w:rsidP="004629DE">
            <w:pPr>
              <w:pStyle w:val="NoSpacing"/>
              <w:jc w:val="center"/>
              <w:rPr>
                <w:sz w:val="20"/>
                <w:szCs w:val="20"/>
              </w:rPr>
            </w:pPr>
            <w:r w:rsidRPr="004629DE">
              <w:rPr>
                <w:sz w:val="20"/>
                <w:szCs w:val="20"/>
              </w:rPr>
              <w:t>-</w:t>
            </w:r>
          </w:p>
        </w:tc>
      </w:tr>
      <w:tr w:rsidR="00895280" w:rsidRPr="004629DE" w:rsidTr="004629DE">
        <w:trPr>
          <w:trHeight w:val="62"/>
          <w:jc w:val="center"/>
        </w:trPr>
        <w:tc>
          <w:tcPr>
            <w:tcW w:w="773" w:type="dxa"/>
            <w:noWrap/>
            <w:hideMark/>
          </w:tcPr>
          <w:p w:rsidR="00895280" w:rsidRPr="004629DE" w:rsidRDefault="00895280" w:rsidP="004629DE">
            <w:pPr>
              <w:pStyle w:val="NoSpacing"/>
              <w:jc w:val="center"/>
              <w:rPr>
                <w:b/>
                <w:sz w:val="20"/>
                <w:szCs w:val="20"/>
              </w:rPr>
            </w:pPr>
            <w:r w:rsidRPr="004629DE">
              <w:rPr>
                <w:b/>
                <w:sz w:val="20"/>
                <w:szCs w:val="20"/>
              </w:rPr>
              <w:t>11.</w:t>
            </w:r>
          </w:p>
        </w:tc>
        <w:tc>
          <w:tcPr>
            <w:tcW w:w="5561" w:type="dxa"/>
            <w:hideMark/>
          </w:tcPr>
          <w:p w:rsidR="00895280" w:rsidRPr="004629DE" w:rsidRDefault="00895280" w:rsidP="00895280">
            <w:pPr>
              <w:pStyle w:val="NoSpacing"/>
              <w:rPr>
                <w:sz w:val="20"/>
                <w:szCs w:val="20"/>
              </w:rPr>
            </w:pPr>
            <w:r w:rsidRPr="004629DE">
              <w:rPr>
                <w:sz w:val="20"/>
                <w:szCs w:val="20"/>
              </w:rPr>
              <w:t>Î.S. Editura „Universul”</w:t>
            </w:r>
          </w:p>
        </w:tc>
        <w:tc>
          <w:tcPr>
            <w:tcW w:w="1951" w:type="dxa"/>
          </w:tcPr>
          <w:p w:rsidR="00895280" w:rsidRPr="004629DE" w:rsidRDefault="00895280" w:rsidP="004629DE">
            <w:pPr>
              <w:pStyle w:val="NoSpacing"/>
              <w:jc w:val="center"/>
              <w:rPr>
                <w:sz w:val="20"/>
                <w:szCs w:val="20"/>
              </w:rPr>
            </w:pPr>
            <w:r w:rsidRPr="004629DE">
              <w:rPr>
                <w:sz w:val="20"/>
                <w:szCs w:val="20"/>
              </w:rPr>
              <w:t>6,1</w:t>
            </w:r>
          </w:p>
        </w:tc>
        <w:tc>
          <w:tcPr>
            <w:tcW w:w="1324" w:type="dxa"/>
          </w:tcPr>
          <w:p w:rsidR="00895280" w:rsidRPr="004629DE" w:rsidRDefault="00895280" w:rsidP="004629DE">
            <w:pPr>
              <w:pStyle w:val="NoSpacing"/>
              <w:jc w:val="center"/>
              <w:rPr>
                <w:sz w:val="20"/>
                <w:szCs w:val="20"/>
              </w:rPr>
            </w:pPr>
            <w:r w:rsidRPr="004629DE">
              <w:rPr>
                <w:sz w:val="20"/>
                <w:szCs w:val="20"/>
              </w:rPr>
              <w:t>2,7</w:t>
            </w:r>
          </w:p>
        </w:tc>
      </w:tr>
      <w:tr w:rsidR="00895280" w:rsidRPr="004629DE" w:rsidTr="004629DE">
        <w:trPr>
          <w:trHeight w:val="62"/>
          <w:jc w:val="center"/>
        </w:trPr>
        <w:tc>
          <w:tcPr>
            <w:tcW w:w="773" w:type="dxa"/>
            <w:noWrap/>
            <w:hideMark/>
          </w:tcPr>
          <w:p w:rsidR="00895280" w:rsidRPr="004629DE" w:rsidRDefault="00895280" w:rsidP="004629DE">
            <w:pPr>
              <w:pStyle w:val="NoSpacing"/>
              <w:jc w:val="center"/>
              <w:rPr>
                <w:b/>
                <w:sz w:val="20"/>
                <w:szCs w:val="20"/>
              </w:rPr>
            </w:pPr>
            <w:r w:rsidRPr="004629DE">
              <w:rPr>
                <w:b/>
                <w:sz w:val="20"/>
                <w:szCs w:val="20"/>
              </w:rPr>
              <w:t>12.</w:t>
            </w:r>
          </w:p>
        </w:tc>
        <w:tc>
          <w:tcPr>
            <w:tcW w:w="5561" w:type="dxa"/>
            <w:hideMark/>
          </w:tcPr>
          <w:p w:rsidR="00895280" w:rsidRPr="004629DE" w:rsidRDefault="00895280" w:rsidP="00895280">
            <w:pPr>
              <w:pStyle w:val="NoSpacing"/>
              <w:rPr>
                <w:sz w:val="20"/>
                <w:szCs w:val="20"/>
              </w:rPr>
            </w:pPr>
            <w:r w:rsidRPr="004629DE">
              <w:rPr>
                <w:sz w:val="20"/>
                <w:szCs w:val="20"/>
              </w:rPr>
              <w:t>Î.S. „Fabrica de Sticlă din Chişinău”</w:t>
            </w:r>
          </w:p>
        </w:tc>
        <w:tc>
          <w:tcPr>
            <w:tcW w:w="1951" w:type="dxa"/>
          </w:tcPr>
          <w:p w:rsidR="00895280" w:rsidRPr="004629DE" w:rsidRDefault="00895280" w:rsidP="004629DE">
            <w:pPr>
              <w:pStyle w:val="NoSpacing"/>
              <w:jc w:val="center"/>
              <w:rPr>
                <w:sz w:val="20"/>
                <w:szCs w:val="20"/>
              </w:rPr>
            </w:pPr>
            <w:r w:rsidRPr="004629DE">
              <w:rPr>
                <w:sz w:val="20"/>
                <w:szCs w:val="20"/>
              </w:rPr>
              <w:t>68,3</w:t>
            </w:r>
          </w:p>
        </w:tc>
        <w:tc>
          <w:tcPr>
            <w:tcW w:w="1324" w:type="dxa"/>
          </w:tcPr>
          <w:p w:rsidR="00895280" w:rsidRPr="004629DE" w:rsidRDefault="00895280" w:rsidP="004629DE">
            <w:pPr>
              <w:pStyle w:val="NoSpacing"/>
              <w:jc w:val="center"/>
              <w:rPr>
                <w:sz w:val="20"/>
                <w:szCs w:val="20"/>
              </w:rPr>
            </w:pPr>
            <w:r w:rsidRPr="004629DE">
              <w:rPr>
                <w:sz w:val="20"/>
                <w:szCs w:val="20"/>
              </w:rPr>
              <w:t>0,2</w:t>
            </w:r>
          </w:p>
        </w:tc>
      </w:tr>
      <w:tr w:rsidR="00895280" w:rsidRPr="004629DE" w:rsidTr="004629DE">
        <w:trPr>
          <w:trHeight w:val="62"/>
          <w:jc w:val="center"/>
        </w:trPr>
        <w:tc>
          <w:tcPr>
            <w:tcW w:w="773" w:type="dxa"/>
            <w:noWrap/>
            <w:hideMark/>
          </w:tcPr>
          <w:p w:rsidR="00895280" w:rsidRPr="004629DE" w:rsidRDefault="00895280" w:rsidP="004629DE">
            <w:pPr>
              <w:pStyle w:val="NoSpacing"/>
              <w:jc w:val="center"/>
              <w:rPr>
                <w:b/>
                <w:sz w:val="20"/>
                <w:szCs w:val="20"/>
              </w:rPr>
            </w:pPr>
            <w:r w:rsidRPr="004629DE">
              <w:rPr>
                <w:b/>
                <w:sz w:val="20"/>
                <w:szCs w:val="20"/>
              </w:rPr>
              <w:t>13.</w:t>
            </w:r>
          </w:p>
        </w:tc>
        <w:tc>
          <w:tcPr>
            <w:tcW w:w="5561" w:type="dxa"/>
            <w:hideMark/>
          </w:tcPr>
          <w:p w:rsidR="00895280" w:rsidRPr="004629DE" w:rsidRDefault="00895280" w:rsidP="00895280">
            <w:pPr>
              <w:pStyle w:val="NoSpacing"/>
              <w:rPr>
                <w:sz w:val="20"/>
                <w:szCs w:val="20"/>
              </w:rPr>
            </w:pPr>
            <w:r w:rsidRPr="004629DE">
              <w:rPr>
                <w:sz w:val="20"/>
                <w:szCs w:val="20"/>
              </w:rPr>
              <w:t>Î.S. Firma Editorial-Poligrafică „Tipografia Centrală”</w:t>
            </w:r>
          </w:p>
        </w:tc>
        <w:tc>
          <w:tcPr>
            <w:tcW w:w="1951" w:type="dxa"/>
          </w:tcPr>
          <w:p w:rsidR="00895280" w:rsidRPr="004629DE" w:rsidRDefault="00895280" w:rsidP="004629DE">
            <w:pPr>
              <w:pStyle w:val="NoSpacing"/>
              <w:jc w:val="center"/>
              <w:rPr>
                <w:sz w:val="20"/>
                <w:szCs w:val="20"/>
              </w:rPr>
            </w:pPr>
            <w:r w:rsidRPr="004629DE">
              <w:rPr>
                <w:sz w:val="20"/>
                <w:szCs w:val="20"/>
              </w:rPr>
              <w:t>18,3</w:t>
            </w:r>
          </w:p>
        </w:tc>
        <w:tc>
          <w:tcPr>
            <w:tcW w:w="1324" w:type="dxa"/>
          </w:tcPr>
          <w:p w:rsidR="00895280" w:rsidRPr="004629DE" w:rsidRDefault="00895280" w:rsidP="004629DE">
            <w:pPr>
              <w:pStyle w:val="NoSpacing"/>
              <w:jc w:val="center"/>
              <w:rPr>
                <w:sz w:val="20"/>
                <w:szCs w:val="20"/>
              </w:rPr>
            </w:pPr>
            <w:r w:rsidRPr="004629DE">
              <w:rPr>
                <w:sz w:val="20"/>
                <w:szCs w:val="20"/>
              </w:rPr>
              <w:t>0,4</w:t>
            </w:r>
          </w:p>
        </w:tc>
      </w:tr>
      <w:tr w:rsidR="00895280" w:rsidRPr="004629DE" w:rsidTr="004629DE">
        <w:trPr>
          <w:trHeight w:val="62"/>
          <w:jc w:val="center"/>
        </w:trPr>
        <w:tc>
          <w:tcPr>
            <w:tcW w:w="773" w:type="dxa"/>
            <w:noWrap/>
            <w:hideMark/>
          </w:tcPr>
          <w:p w:rsidR="00895280" w:rsidRPr="004629DE" w:rsidRDefault="00895280" w:rsidP="0054210F">
            <w:pPr>
              <w:pStyle w:val="NoSpacing"/>
              <w:rPr>
                <w:sz w:val="20"/>
                <w:szCs w:val="20"/>
              </w:rPr>
            </w:pPr>
          </w:p>
        </w:tc>
        <w:tc>
          <w:tcPr>
            <w:tcW w:w="5561" w:type="dxa"/>
            <w:hideMark/>
          </w:tcPr>
          <w:p w:rsidR="00895280" w:rsidRPr="004629DE" w:rsidRDefault="00895280" w:rsidP="00895280">
            <w:pPr>
              <w:pStyle w:val="NoSpacing"/>
              <w:rPr>
                <w:b/>
                <w:sz w:val="20"/>
                <w:szCs w:val="20"/>
              </w:rPr>
            </w:pPr>
            <w:r w:rsidRPr="004629DE">
              <w:rPr>
                <w:b/>
                <w:sz w:val="20"/>
                <w:szCs w:val="20"/>
              </w:rPr>
              <w:t>Total</w:t>
            </w:r>
          </w:p>
        </w:tc>
        <w:tc>
          <w:tcPr>
            <w:tcW w:w="1951" w:type="dxa"/>
          </w:tcPr>
          <w:p w:rsidR="00895280" w:rsidRPr="004629DE" w:rsidRDefault="00895280" w:rsidP="004629DE">
            <w:pPr>
              <w:pStyle w:val="NoSpacing"/>
              <w:jc w:val="center"/>
              <w:rPr>
                <w:b/>
                <w:sz w:val="20"/>
                <w:szCs w:val="20"/>
              </w:rPr>
            </w:pPr>
            <w:r w:rsidRPr="004629DE">
              <w:rPr>
                <w:b/>
                <w:sz w:val="20"/>
                <w:szCs w:val="20"/>
              </w:rPr>
              <w:t>768,99</w:t>
            </w:r>
          </w:p>
        </w:tc>
        <w:tc>
          <w:tcPr>
            <w:tcW w:w="1324" w:type="dxa"/>
          </w:tcPr>
          <w:p w:rsidR="00895280" w:rsidRPr="004629DE" w:rsidRDefault="00895280" w:rsidP="004629DE">
            <w:pPr>
              <w:pStyle w:val="NoSpacing"/>
              <w:jc w:val="center"/>
              <w:rPr>
                <w:b/>
                <w:sz w:val="20"/>
                <w:szCs w:val="20"/>
              </w:rPr>
            </w:pPr>
            <w:r w:rsidRPr="004629DE">
              <w:rPr>
                <w:b/>
                <w:sz w:val="20"/>
                <w:szCs w:val="20"/>
              </w:rPr>
              <w:t>3,53</w:t>
            </w:r>
          </w:p>
        </w:tc>
      </w:tr>
    </w:tbl>
    <w:p w:rsidR="00895280" w:rsidRPr="00651044" w:rsidRDefault="00895280" w:rsidP="00895280">
      <w:pPr>
        <w:spacing w:line="276" w:lineRule="auto"/>
        <w:ind w:firstLine="708"/>
        <w:jc w:val="both"/>
        <w:rPr>
          <w:color w:val="FF0000"/>
        </w:rPr>
      </w:pPr>
    </w:p>
    <w:p w:rsidR="0054210F" w:rsidRPr="00651044" w:rsidRDefault="00895280" w:rsidP="0054210F">
      <w:pPr>
        <w:pStyle w:val="NoSpacing"/>
        <w:spacing w:line="276" w:lineRule="auto"/>
        <w:ind w:firstLine="567"/>
        <w:jc w:val="both"/>
        <w:rPr>
          <w:sz w:val="28"/>
          <w:szCs w:val="28"/>
        </w:rPr>
      </w:pPr>
      <w:r w:rsidRPr="00651044">
        <w:rPr>
          <w:sz w:val="28"/>
          <w:szCs w:val="28"/>
        </w:rPr>
        <w:t>După cum se observă din datele tabelului 2.</w:t>
      </w:r>
      <w:r w:rsidR="007F1F7B">
        <w:rPr>
          <w:sz w:val="28"/>
          <w:szCs w:val="28"/>
        </w:rPr>
        <w:t xml:space="preserve">4, cele mai mari împrumuturi </w:t>
      </w:r>
      <w:r w:rsidRPr="00651044">
        <w:rPr>
          <w:sz w:val="28"/>
          <w:szCs w:val="28"/>
        </w:rPr>
        <w:t>s-au înregistrat la Î.S. Compania Aeriană „AIR Moldova” – 327,1 mil. lei, Î.S. „Calea Ferată din Moldova” – 234,1 mil. lei, Î.S. „Centrul Resurselor Informaționale de Stat „Registru” – 108,2 mil. lei şi Î.S. „Fabrica de Sticlă din Chişinău” – 68,3 mil. lei.</w:t>
      </w:r>
    </w:p>
    <w:p w:rsidR="00895280" w:rsidRPr="00651044" w:rsidRDefault="00895280" w:rsidP="00651044">
      <w:pPr>
        <w:pStyle w:val="NoSpacing"/>
        <w:spacing w:line="276" w:lineRule="auto"/>
        <w:ind w:firstLine="567"/>
        <w:jc w:val="both"/>
        <w:rPr>
          <w:sz w:val="28"/>
          <w:szCs w:val="28"/>
        </w:rPr>
      </w:pPr>
      <w:r w:rsidRPr="00651044">
        <w:rPr>
          <w:sz w:val="28"/>
          <w:szCs w:val="28"/>
        </w:rPr>
        <w:t xml:space="preserve">Neachitarea obligaţiilor faţă de instituţiile financiare pe creditele interne şi externe, precum şi cele acordate sub garanţia statului devine obligaţiune convenţională de stat, fapt ce creează o situaţie dificilă privind independenţa financiară a entităţilor economice. Totodată, neachitarea acestor obligaţiuni generează </w:t>
      </w:r>
      <w:r w:rsidRPr="007F1F7B">
        <w:rPr>
          <w:i/>
          <w:sz w:val="28"/>
          <w:szCs w:val="28"/>
        </w:rPr>
        <w:t>riscul financiar de stingere din contul surselor bugetului de stat</w:t>
      </w:r>
      <w:r w:rsidRPr="00651044">
        <w:rPr>
          <w:sz w:val="28"/>
          <w:szCs w:val="28"/>
        </w:rPr>
        <w:t>.</w:t>
      </w:r>
    </w:p>
    <w:p w:rsidR="00895280" w:rsidRPr="00651044" w:rsidRDefault="00895280" w:rsidP="00895280">
      <w:pPr>
        <w:pStyle w:val="NormalWeb"/>
        <w:spacing w:line="276" w:lineRule="auto"/>
        <w:ind w:firstLine="0"/>
        <w:rPr>
          <w:color w:val="FF0000"/>
          <w:sz w:val="28"/>
          <w:szCs w:val="28"/>
          <w:lang w:val="ro-RO"/>
        </w:rPr>
      </w:pPr>
    </w:p>
    <w:p w:rsidR="00895280" w:rsidRPr="00651044" w:rsidRDefault="00895280" w:rsidP="00895280">
      <w:pPr>
        <w:pStyle w:val="NormalWeb"/>
        <w:spacing w:line="276" w:lineRule="auto"/>
        <w:ind w:firstLine="0"/>
        <w:jc w:val="center"/>
        <w:rPr>
          <w:b/>
          <w:i/>
          <w:sz w:val="28"/>
          <w:szCs w:val="28"/>
          <w:lang w:val="ro-RO"/>
        </w:rPr>
      </w:pPr>
      <w:r w:rsidRPr="00651044">
        <w:rPr>
          <w:b/>
          <w:i/>
          <w:sz w:val="28"/>
          <w:szCs w:val="28"/>
          <w:lang w:val="ro-RO"/>
        </w:rPr>
        <w:t xml:space="preserve">III. Monitoringul financiar al activităţii economico-financiare a societăţilor comerciale cu capital integral sau majoritar de stat </w:t>
      </w:r>
    </w:p>
    <w:p w:rsidR="00895280" w:rsidRPr="00651044" w:rsidRDefault="00895280" w:rsidP="00895280">
      <w:pPr>
        <w:spacing w:line="120" w:lineRule="auto"/>
        <w:jc w:val="center"/>
        <w:rPr>
          <w:b/>
          <w:i/>
          <w:color w:val="FF0000"/>
          <w:sz w:val="28"/>
          <w:szCs w:val="28"/>
        </w:rPr>
      </w:pPr>
    </w:p>
    <w:p w:rsidR="00651044" w:rsidRPr="00651044" w:rsidRDefault="00895280" w:rsidP="00651044">
      <w:pPr>
        <w:spacing w:line="276" w:lineRule="auto"/>
        <w:ind w:firstLine="567"/>
        <w:jc w:val="both"/>
        <w:rPr>
          <w:sz w:val="28"/>
          <w:szCs w:val="28"/>
        </w:rPr>
      </w:pPr>
      <w:r w:rsidRPr="00651044">
        <w:rPr>
          <w:sz w:val="28"/>
          <w:szCs w:val="28"/>
        </w:rPr>
        <w:lastRenderedPageBreak/>
        <w:t>Efectuînd analiza economico-financiară a societăţilor comerciale cu capital integral sau majoritar de stat (în continuare – societăţi pe acţiuni) în baza datelor cumulate din raportul „Cercetare statistică trimestrială Nr. 5-CI „Consumurile, cheltuielile şi investiţiile întreprinderii” pentru trimestrul I și trimestrul II al anului 2016, s-a constatat că, agenţii economici au obţinut în semestrul I al anului 2016 venituri din vînzări în mărime de 6715,6 mil. lei. Conform bazei comparabile veniturile din vînzări constituie 6628,7 mil. lei, majorîndu-se per total, cu 230,7 mil. lei faţă de semestrul I al anului 2015.</w:t>
      </w:r>
    </w:p>
    <w:p w:rsidR="00895280" w:rsidRPr="00651044" w:rsidRDefault="00895280" w:rsidP="00651044">
      <w:pPr>
        <w:spacing w:line="276" w:lineRule="auto"/>
        <w:ind w:firstLine="567"/>
        <w:jc w:val="both"/>
        <w:rPr>
          <w:sz w:val="28"/>
          <w:szCs w:val="28"/>
        </w:rPr>
      </w:pPr>
      <w:r w:rsidRPr="00651044">
        <w:rPr>
          <w:sz w:val="28"/>
          <w:szCs w:val="28"/>
        </w:rPr>
        <w:t>Din numărul total</w:t>
      </w:r>
      <w:r w:rsidR="007F1F7B">
        <w:rPr>
          <w:sz w:val="28"/>
          <w:szCs w:val="28"/>
        </w:rPr>
        <w:t xml:space="preserve"> al</w:t>
      </w:r>
      <w:r w:rsidRPr="00651044">
        <w:rPr>
          <w:sz w:val="28"/>
          <w:szCs w:val="28"/>
        </w:rPr>
        <w:t xml:space="preserve"> societăților pe acțiuni, conform bazei comparabile, la </w:t>
      </w:r>
      <w:r w:rsidR="00651044" w:rsidRPr="00651044">
        <w:rPr>
          <w:sz w:val="28"/>
          <w:szCs w:val="28"/>
        </w:rPr>
        <w:t xml:space="preserve">                       </w:t>
      </w:r>
      <w:r w:rsidRPr="00651044">
        <w:rPr>
          <w:sz w:val="28"/>
          <w:szCs w:val="28"/>
        </w:rPr>
        <w:t>19 societ</w:t>
      </w:r>
      <w:r w:rsidR="007F1F7B">
        <w:rPr>
          <w:sz w:val="28"/>
          <w:szCs w:val="28"/>
        </w:rPr>
        <w:t>ăți pe acțiuni sau 61,3% veniturile</w:t>
      </w:r>
      <w:r w:rsidRPr="00651044">
        <w:rPr>
          <w:sz w:val="28"/>
          <w:szCs w:val="28"/>
        </w:rPr>
        <w:t xml:space="preserve"> din vînzări s-a</w:t>
      </w:r>
      <w:r w:rsidR="007F1F7B">
        <w:rPr>
          <w:sz w:val="28"/>
          <w:szCs w:val="28"/>
        </w:rPr>
        <w:t>u</w:t>
      </w:r>
      <w:r w:rsidRPr="00651044">
        <w:rPr>
          <w:sz w:val="28"/>
          <w:szCs w:val="28"/>
        </w:rPr>
        <w:t xml:space="preserve"> majorat cu 1058,2 mil. lei. </w:t>
      </w:r>
      <w:r w:rsidRPr="00651044">
        <w:rPr>
          <w:color w:val="000000"/>
          <w:sz w:val="28"/>
          <w:szCs w:val="28"/>
        </w:rPr>
        <w:t xml:space="preserve">Majorarea respectivă, a fost generată în mare parte, de majorarea cu peste 1,0 mil. lei a veniturilor din vînzări a unor societăţi pe acţiuni (13 entități), în </w:t>
      </w:r>
      <w:r w:rsidRPr="00651044">
        <w:rPr>
          <w:sz w:val="28"/>
          <w:szCs w:val="28"/>
        </w:rPr>
        <w:t>tabelul 3.1 fiind prezentate 10 societăţi pe acţiuni cu cele mai mari majorări ale veniturilor din vînzări în perioada analizată.</w:t>
      </w:r>
    </w:p>
    <w:p w:rsidR="00895280" w:rsidRPr="00651044" w:rsidRDefault="00895280" w:rsidP="00895280">
      <w:pPr>
        <w:spacing w:line="276" w:lineRule="auto"/>
        <w:ind w:firstLine="709"/>
        <w:jc w:val="right"/>
      </w:pPr>
      <w:r w:rsidRPr="00651044">
        <w:t>Tabelul 3.1</w:t>
      </w:r>
    </w:p>
    <w:p w:rsidR="00895280" w:rsidRPr="00651044" w:rsidRDefault="00895280" w:rsidP="00895280">
      <w:pPr>
        <w:pStyle w:val="NoSpacing"/>
        <w:jc w:val="center"/>
        <w:rPr>
          <w:b/>
          <w:i/>
        </w:rPr>
      </w:pPr>
      <w:r w:rsidRPr="00651044">
        <w:rPr>
          <w:b/>
          <w:i/>
        </w:rPr>
        <w:t xml:space="preserve">Societăţile pe acţiuni cu </w:t>
      </w:r>
      <w:r w:rsidR="00E4660A">
        <w:rPr>
          <w:b/>
          <w:i/>
        </w:rPr>
        <w:t xml:space="preserve">cele mai mari </w:t>
      </w:r>
      <w:r w:rsidRPr="00651044">
        <w:rPr>
          <w:b/>
          <w:i/>
        </w:rPr>
        <w:t xml:space="preserve">majorări ale veniturilor din vînzări, </w:t>
      </w:r>
    </w:p>
    <w:p w:rsidR="00895280" w:rsidRPr="00651044" w:rsidRDefault="00895280" w:rsidP="00895280">
      <w:pPr>
        <w:pStyle w:val="NoSpacing"/>
        <w:jc w:val="center"/>
        <w:rPr>
          <w:b/>
          <w:i/>
        </w:rPr>
      </w:pPr>
      <w:r w:rsidRPr="00651044">
        <w:rPr>
          <w:b/>
          <w:i/>
        </w:rPr>
        <w:t>în semestrul I al anului 2016</w:t>
      </w:r>
    </w:p>
    <w:p w:rsidR="00895280" w:rsidRPr="00651044" w:rsidRDefault="00895280" w:rsidP="00895280">
      <w:pPr>
        <w:pStyle w:val="NoSpacing"/>
        <w:jc w:val="center"/>
        <w:rPr>
          <w:sz w:val="18"/>
          <w:szCs w:val="18"/>
        </w:rPr>
      </w:pPr>
      <w:r w:rsidRPr="00651044">
        <w:rPr>
          <w:sz w:val="18"/>
          <w:szCs w:val="18"/>
        </w:rPr>
        <w:t xml:space="preserve">                                                                                                                                                                                     (mil. lei)</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981"/>
        <w:gridCol w:w="2126"/>
      </w:tblGrid>
      <w:tr w:rsidR="00895280" w:rsidRPr="004629DE" w:rsidTr="004629DE">
        <w:trPr>
          <w:jc w:val="center"/>
        </w:trPr>
        <w:tc>
          <w:tcPr>
            <w:tcW w:w="648" w:type="dxa"/>
          </w:tcPr>
          <w:p w:rsidR="00895280" w:rsidRPr="004629DE" w:rsidRDefault="00895280" w:rsidP="004629DE">
            <w:pPr>
              <w:jc w:val="center"/>
              <w:rPr>
                <w:b/>
                <w:i/>
                <w:iCs/>
                <w:sz w:val="20"/>
                <w:szCs w:val="20"/>
              </w:rPr>
            </w:pPr>
            <w:r w:rsidRPr="004629DE">
              <w:rPr>
                <w:b/>
                <w:i/>
                <w:iCs/>
                <w:sz w:val="20"/>
                <w:szCs w:val="20"/>
              </w:rPr>
              <w:t>Nr.</w:t>
            </w:r>
          </w:p>
        </w:tc>
        <w:tc>
          <w:tcPr>
            <w:tcW w:w="5981" w:type="dxa"/>
          </w:tcPr>
          <w:p w:rsidR="00895280" w:rsidRPr="004629DE" w:rsidRDefault="00895280" w:rsidP="004629DE">
            <w:pPr>
              <w:jc w:val="center"/>
              <w:rPr>
                <w:b/>
                <w:i/>
                <w:iCs/>
                <w:sz w:val="20"/>
                <w:szCs w:val="20"/>
              </w:rPr>
            </w:pPr>
            <w:r w:rsidRPr="004629DE">
              <w:rPr>
                <w:b/>
                <w:i/>
                <w:iCs/>
                <w:sz w:val="20"/>
                <w:szCs w:val="20"/>
              </w:rPr>
              <w:t xml:space="preserve">Denumirea </w:t>
            </w:r>
            <w:r w:rsidR="00E4660A" w:rsidRPr="004629DE">
              <w:rPr>
                <w:b/>
                <w:i/>
                <w:iCs/>
                <w:sz w:val="20"/>
                <w:szCs w:val="20"/>
              </w:rPr>
              <w:t>societății</w:t>
            </w:r>
          </w:p>
        </w:tc>
        <w:tc>
          <w:tcPr>
            <w:tcW w:w="2126" w:type="dxa"/>
          </w:tcPr>
          <w:p w:rsidR="00895280" w:rsidRPr="004629DE" w:rsidRDefault="00895280" w:rsidP="004629DE">
            <w:pPr>
              <w:jc w:val="center"/>
              <w:rPr>
                <w:b/>
                <w:bCs/>
                <w:i/>
                <w:sz w:val="20"/>
                <w:szCs w:val="20"/>
              </w:rPr>
            </w:pPr>
            <w:r w:rsidRPr="004629DE">
              <w:rPr>
                <w:b/>
                <w:bCs/>
                <w:i/>
                <w:sz w:val="20"/>
                <w:szCs w:val="20"/>
              </w:rPr>
              <w:t>Majorarea faţă de              semestrul I, 2015</w:t>
            </w:r>
          </w:p>
        </w:tc>
      </w:tr>
      <w:tr w:rsidR="00895280" w:rsidRPr="004629DE" w:rsidTr="004629DE">
        <w:trPr>
          <w:jc w:val="center"/>
        </w:trPr>
        <w:tc>
          <w:tcPr>
            <w:tcW w:w="648" w:type="dxa"/>
          </w:tcPr>
          <w:p w:rsidR="00895280" w:rsidRPr="004629DE" w:rsidRDefault="00895280" w:rsidP="004629DE">
            <w:pPr>
              <w:jc w:val="center"/>
              <w:rPr>
                <w:b/>
                <w:sz w:val="20"/>
                <w:szCs w:val="20"/>
              </w:rPr>
            </w:pPr>
            <w:r w:rsidRPr="004629DE">
              <w:rPr>
                <w:b/>
                <w:sz w:val="20"/>
                <w:szCs w:val="20"/>
              </w:rPr>
              <w:t>1.</w:t>
            </w:r>
          </w:p>
        </w:tc>
        <w:tc>
          <w:tcPr>
            <w:tcW w:w="5981" w:type="dxa"/>
          </w:tcPr>
          <w:p w:rsidR="00895280" w:rsidRPr="004629DE" w:rsidRDefault="00895280" w:rsidP="00895280">
            <w:pPr>
              <w:rPr>
                <w:sz w:val="20"/>
                <w:szCs w:val="20"/>
              </w:rPr>
            </w:pPr>
            <w:r w:rsidRPr="004629DE">
              <w:rPr>
                <w:sz w:val="20"/>
                <w:szCs w:val="20"/>
              </w:rPr>
              <w:t>S.A. „Tutun- CTC”</w:t>
            </w:r>
          </w:p>
        </w:tc>
        <w:tc>
          <w:tcPr>
            <w:tcW w:w="2126" w:type="dxa"/>
          </w:tcPr>
          <w:p w:rsidR="00895280" w:rsidRPr="004629DE" w:rsidRDefault="00895280" w:rsidP="004629DE">
            <w:pPr>
              <w:jc w:val="center"/>
              <w:rPr>
                <w:bCs/>
                <w:sz w:val="20"/>
                <w:szCs w:val="20"/>
              </w:rPr>
            </w:pPr>
            <w:r w:rsidRPr="004629DE">
              <w:rPr>
                <w:bCs/>
                <w:sz w:val="20"/>
                <w:szCs w:val="20"/>
              </w:rPr>
              <w:t>29,3</w:t>
            </w:r>
          </w:p>
        </w:tc>
      </w:tr>
      <w:tr w:rsidR="00E4660A" w:rsidRPr="004629DE" w:rsidTr="004629DE">
        <w:trPr>
          <w:jc w:val="center"/>
        </w:trPr>
        <w:tc>
          <w:tcPr>
            <w:tcW w:w="648" w:type="dxa"/>
          </w:tcPr>
          <w:p w:rsidR="00E4660A" w:rsidRPr="004629DE" w:rsidRDefault="00E4660A" w:rsidP="004629DE">
            <w:pPr>
              <w:jc w:val="center"/>
              <w:rPr>
                <w:b/>
                <w:sz w:val="20"/>
                <w:szCs w:val="20"/>
              </w:rPr>
            </w:pPr>
            <w:r w:rsidRPr="004629DE">
              <w:rPr>
                <w:b/>
                <w:sz w:val="20"/>
                <w:szCs w:val="20"/>
              </w:rPr>
              <w:t>2.</w:t>
            </w:r>
          </w:p>
        </w:tc>
        <w:tc>
          <w:tcPr>
            <w:tcW w:w="5981" w:type="dxa"/>
          </w:tcPr>
          <w:p w:rsidR="00E4660A" w:rsidRPr="004629DE" w:rsidRDefault="00E4660A" w:rsidP="00E4660A">
            <w:pPr>
              <w:rPr>
                <w:sz w:val="20"/>
                <w:szCs w:val="20"/>
              </w:rPr>
            </w:pPr>
            <w:r w:rsidRPr="004629DE">
              <w:rPr>
                <w:sz w:val="20"/>
                <w:szCs w:val="20"/>
              </w:rPr>
              <w:t>S.A. „Moldtelecom”</w:t>
            </w:r>
          </w:p>
        </w:tc>
        <w:tc>
          <w:tcPr>
            <w:tcW w:w="2126" w:type="dxa"/>
          </w:tcPr>
          <w:p w:rsidR="00E4660A" w:rsidRPr="004629DE" w:rsidRDefault="00E4660A" w:rsidP="004629DE">
            <w:pPr>
              <w:jc w:val="center"/>
              <w:rPr>
                <w:bCs/>
                <w:sz w:val="20"/>
                <w:szCs w:val="20"/>
              </w:rPr>
            </w:pPr>
            <w:r w:rsidRPr="004629DE">
              <w:rPr>
                <w:bCs/>
                <w:sz w:val="20"/>
                <w:szCs w:val="20"/>
              </w:rPr>
              <w:t>18,7</w:t>
            </w:r>
          </w:p>
        </w:tc>
      </w:tr>
      <w:tr w:rsidR="00E4660A" w:rsidRPr="004629DE" w:rsidTr="004629DE">
        <w:trPr>
          <w:jc w:val="center"/>
        </w:trPr>
        <w:tc>
          <w:tcPr>
            <w:tcW w:w="648" w:type="dxa"/>
          </w:tcPr>
          <w:p w:rsidR="00E4660A" w:rsidRPr="004629DE" w:rsidRDefault="00E4660A" w:rsidP="004629DE">
            <w:pPr>
              <w:jc w:val="center"/>
              <w:rPr>
                <w:b/>
                <w:sz w:val="20"/>
                <w:szCs w:val="20"/>
              </w:rPr>
            </w:pPr>
            <w:r w:rsidRPr="004629DE">
              <w:rPr>
                <w:b/>
                <w:sz w:val="20"/>
                <w:szCs w:val="20"/>
              </w:rPr>
              <w:t>3.</w:t>
            </w:r>
          </w:p>
        </w:tc>
        <w:tc>
          <w:tcPr>
            <w:tcW w:w="5981" w:type="dxa"/>
          </w:tcPr>
          <w:p w:rsidR="00E4660A" w:rsidRPr="004629DE" w:rsidRDefault="00E4660A" w:rsidP="00E4660A">
            <w:pPr>
              <w:rPr>
                <w:sz w:val="20"/>
                <w:szCs w:val="20"/>
              </w:rPr>
            </w:pPr>
            <w:r w:rsidRPr="004629DE">
              <w:rPr>
                <w:sz w:val="20"/>
                <w:szCs w:val="20"/>
              </w:rPr>
              <w:t>S.A. „Institutul de Cercetări Științifice „Rif-Acvaaparat”</w:t>
            </w:r>
          </w:p>
        </w:tc>
        <w:tc>
          <w:tcPr>
            <w:tcW w:w="2126" w:type="dxa"/>
          </w:tcPr>
          <w:p w:rsidR="00E4660A" w:rsidRPr="004629DE" w:rsidRDefault="00E4660A" w:rsidP="004629DE">
            <w:pPr>
              <w:jc w:val="center"/>
              <w:rPr>
                <w:sz w:val="20"/>
                <w:szCs w:val="20"/>
              </w:rPr>
            </w:pPr>
            <w:r w:rsidRPr="004629DE">
              <w:rPr>
                <w:bCs/>
                <w:sz w:val="20"/>
                <w:szCs w:val="20"/>
              </w:rPr>
              <w:t>16,2</w:t>
            </w:r>
          </w:p>
        </w:tc>
      </w:tr>
      <w:tr w:rsidR="00895280" w:rsidRPr="004629DE" w:rsidTr="004629DE">
        <w:trPr>
          <w:jc w:val="center"/>
        </w:trPr>
        <w:tc>
          <w:tcPr>
            <w:tcW w:w="648" w:type="dxa"/>
          </w:tcPr>
          <w:p w:rsidR="00895280" w:rsidRPr="004629DE" w:rsidRDefault="00E4660A" w:rsidP="004629DE">
            <w:pPr>
              <w:jc w:val="center"/>
              <w:rPr>
                <w:b/>
                <w:sz w:val="20"/>
                <w:szCs w:val="20"/>
              </w:rPr>
            </w:pPr>
            <w:r w:rsidRPr="004629DE">
              <w:rPr>
                <w:b/>
                <w:sz w:val="20"/>
                <w:szCs w:val="20"/>
              </w:rPr>
              <w:t>4.</w:t>
            </w:r>
          </w:p>
        </w:tc>
        <w:tc>
          <w:tcPr>
            <w:tcW w:w="5981" w:type="dxa"/>
          </w:tcPr>
          <w:p w:rsidR="00895280" w:rsidRPr="004629DE" w:rsidRDefault="00895280" w:rsidP="00895280">
            <w:pPr>
              <w:rPr>
                <w:sz w:val="20"/>
                <w:szCs w:val="20"/>
              </w:rPr>
            </w:pPr>
            <w:r w:rsidRPr="004629DE">
              <w:rPr>
                <w:sz w:val="20"/>
                <w:szCs w:val="20"/>
              </w:rPr>
              <w:t>S.A. „Combinatul de vinuri Cricova”</w:t>
            </w:r>
          </w:p>
        </w:tc>
        <w:tc>
          <w:tcPr>
            <w:tcW w:w="2126" w:type="dxa"/>
          </w:tcPr>
          <w:p w:rsidR="00895280" w:rsidRPr="004629DE" w:rsidRDefault="00895280" w:rsidP="004629DE">
            <w:pPr>
              <w:jc w:val="center"/>
              <w:rPr>
                <w:bCs/>
                <w:sz w:val="20"/>
                <w:szCs w:val="20"/>
              </w:rPr>
            </w:pPr>
            <w:r w:rsidRPr="004629DE">
              <w:rPr>
                <w:bCs/>
                <w:sz w:val="20"/>
                <w:szCs w:val="20"/>
              </w:rPr>
              <w:t>13,4</w:t>
            </w:r>
          </w:p>
        </w:tc>
      </w:tr>
      <w:tr w:rsidR="00895280" w:rsidRPr="004629DE" w:rsidTr="004629DE">
        <w:trPr>
          <w:jc w:val="center"/>
        </w:trPr>
        <w:tc>
          <w:tcPr>
            <w:tcW w:w="648" w:type="dxa"/>
          </w:tcPr>
          <w:p w:rsidR="00895280" w:rsidRPr="004629DE" w:rsidRDefault="00E4660A" w:rsidP="004629DE">
            <w:pPr>
              <w:jc w:val="center"/>
              <w:rPr>
                <w:b/>
                <w:sz w:val="20"/>
                <w:szCs w:val="20"/>
              </w:rPr>
            </w:pPr>
            <w:r w:rsidRPr="004629DE">
              <w:rPr>
                <w:b/>
                <w:sz w:val="20"/>
                <w:szCs w:val="20"/>
              </w:rPr>
              <w:t>5.</w:t>
            </w:r>
          </w:p>
        </w:tc>
        <w:tc>
          <w:tcPr>
            <w:tcW w:w="5981" w:type="dxa"/>
          </w:tcPr>
          <w:p w:rsidR="00895280" w:rsidRPr="004629DE" w:rsidRDefault="00895280" w:rsidP="00895280">
            <w:pPr>
              <w:rPr>
                <w:sz w:val="20"/>
                <w:szCs w:val="20"/>
              </w:rPr>
            </w:pPr>
            <w:r w:rsidRPr="004629DE">
              <w:rPr>
                <w:sz w:val="20"/>
                <w:szCs w:val="20"/>
              </w:rPr>
              <w:t>S.A. „Drumuri St</w:t>
            </w:r>
            <w:r w:rsidR="00E4660A" w:rsidRPr="004629DE">
              <w:rPr>
                <w:sz w:val="20"/>
                <w:szCs w:val="20"/>
              </w:rPr>
              <w:t>rășeni</w:t>
            </w:r>
            <w:r w:rsidRPr="004629DE">
              <w:rPr>
                <w:sz w:val="20"/>
                <w:szCs w:val="20"/>
              </w:rPr>
              <w:t>”</w:t>
            </w:r>
          </w:p>
        </w:tc>
        <w:tc>
          <w:tcPr>
            <w:tcW w:w="2126" w:type="dxa"/>
          </w:tcPr>
          <w:p w:rsidR="00895280" w:rsidRPr="004629DE" w:rsidRDefault="00895280" w:rsidP="004629DE">
            <w:pPr>
              <w:jc w:val="center"/>
              <w:rPr>
                <w:bCs/>
                <w:sz w:val="20"/>
                <w:szCs w:val="20"/>
              </w:rPr>
            </w:pPr>
            <w:r w:rsidRPr="004629DE">
              <w:rPr>
                <w:bCs/>
                <w:sz w:val="20"/>
                <w:szCs w:val="20"/>
              </w:rPr>
              <w:t>6,4</w:t>
            </w:r>
          </w:p>
        </w:tc>
      </w:tr>
      <w:tr w:rsidR="00E4660A" w:rsidRPr="004629DE" w:rsidTr="004629DE">
        <w:trPr>
          <w:jc w:val="center"/>
        </w:trPr>
        <w:tc>
          <w:tcPr>
            <w:tcW w:w="648" w:type="dxa"/>
          </w:tcPr>
          <w:p w:rsidR="00E4660A" w:rsidRPr="004629DE" w:rsidRDefault="00E4660A" w:rsidP="004629DE">
            <w:pPr>
              <w:jc w:val="center"/>
              <w:rPr>
                <w:b/>
                <w:sz w:val="20"/>
                <w:szCs w:val="20"/>
              </w:rPr>
            </w:pPr>
            <w:r w:rsidRPr="004629DE">
              <w:rPr>
                <w:b/>
                <w:sz w:val="20"/>
                <w:szCs w:val="20"/>
              </w:rPr>
              <w:t>6.</w:t>
            </w:r>
          </w:p>
        </w:tc>
        <w:tc>
          <w:tcPr>
            <w:tcW w:w="5981" w:type="dxa"/>
          </w:tcPr>
          <w:p w:rsidR="00E4660A" w:rsidRPr="004629DE" w:rsidRDefault="00E4660A" w:rsidP="00895280">
            <w:pPr>
              <w:rPr>
                <w:sz w:val="20"/>
                <w:szCs w:val="20"/>
              </w:rPr>
            </w:pPr>
            <w:r w:rsidRPr="004629DE">
              <w:rPr>
                <w:sz w:val="20"/>
                <w:szCs w:val="20"/>
              </w:rPr>
              <w:t>S.A. „Franzeluța”</w:t>
            </w:r>
          </w:p>
        </w:tc>
        <w:tc>
          <w:tcPr>
            <w:tcW w:w="2126" w:type="dxa"/>
          </w:tcPr>
          <w:p w:rsidR="00E4660A" w:rsidRPr="004629DE" w:rsidRDefault="00E4660A" w:rsidP="004629DE">
            <w:pPr>
              <w:jc w:val="center"/>
              <w:rPr>
                <w:bCs/>
                <w:sz w:val="20"/>
                <w:szCs w:val="20"/>
              </w:rPr>
            </w:pPr>
            <w:r w:rsidRPr="004629DE">
              <w:rPr>
                <w:bCs/>
                <w:sz w:val="20"/>
                <w:szCs w:val="20"/>
              </w:rPr>
              <w:t>6,1</w:t>
            </w:r>
          </w:p>
        </w:tc>
      </w:tr>
      <w:tr w:rsidR="00895280" w:rsidRPr="004629DE" w:rsidTr="004629DE">
        <w:trPr>
          <w:jc w:val="center"/>
        </w:trPr>
        <w:tc>
          <w:tcPr>
            <w:tcW w:w="648" w:type="dxa"/>
          </w:tcPr>
          <w:p w:rsidR="00895280" w:rsidRPr="004629DE" w:rsidRDefault="00E4660A" w:rsidP="004629DE">
            <w:pPr>
              <w:jc w:val="center"/>
              <w:rPr>
                <w:b/>
                <w:bCs/>
                <w:sz w:val="20"/>
                <w:szCs w:val="20"/>
              </w:rPr>
            </w:pPr>
            <w:r w:rsidRPr="004629DE">
              <w:rPr>
                <w:b/>
                <w:bCs/>
                <w:sz w:val="20"/>
                <w:szCs w:val="20"/>
              </w:rPr>
              <w:t>7.</w:t>
            </w:r>
          </w:p>
        </w:tc>
        <w:tc>
          <w:tcPr>
            <w:tcW w:w="5981" w:type="dxa"/>
          </w:tcPr>
          <w:p w:rsidR="00895280" w:rsidRPr="004629DE" w:rsidRDefault="00895280" w:rsidP="00895280">
            <w:pPr>
              <w:rPr>
                <w:sz w:val="20"/>
                <w:szCs w:val="20"/>
              </w:rPr>
            </w:pPr>
            <w:r w:rsidRPr="004629DE">
              <w:rPr>
                <w:sz w:val="20"/>
                <w:szCs w:val="20"/>
              </w:rPr>
              <w:t>S.A. „Barza Albă”</w:t>
            </w:r>
          </w:p>
        </w:tc>
        <w:tc>
          <w:tcPr>
            <w:tcW w:w="2126" w:type="dxa"/>
          </w:tcPr>
          <w:p w:rsidR="00895280" w:rsidRPr="004629DE" w:rsidRDefault="00895280" w:rsidP="004629DE">
            <w:pPr>
              <w:jc w:val="center"/>
              <w:rPr>
                <w:bCs/>
                <w:sz w:val="20"/>
                <w:szCs w:val="20"/>
              </w:rPr>
            </w:pPr>
            <w:r w:rsidRPr="004629DE">
              <w:rPr>
                <w:bCs/>
                <w:sz w:val="20"/>
                <w:szCs w:val="20"/>
              </w:rPr>
              <w:t>4,0</w:t>
            </w:r>
          </w:p>
        </w:tc>
      </w:tr>
      <w:tr w:rsidR="00895280" w:rsidRPr="004629DE" w:rsidTr="004629DE">
        <w:trPr>
          <w:jc w:val="center"/>
        </w:trPr>
        <w:tc>
          <w:tcPr>
            <w:tcW w:w="648" w:type="dxa"/>
          </w:tcPr>
          <w:p w:rsidR="00895280" w:rsidRPr="004629DE" w:rsidRDefault="00E4660A" w:rsidP="004629DE">
            <w:pPr>
              <w:jc w:val="center"/>
              <w:rPr>
                <w:b/>
                <w:bCs/>
                <w:sz w:val="20"/>
                <w:szCs w:val="20"/>
              </w:rPr>
            </w:pPr>
            <w:r w:rsidRPr="004629DE">
              <w:rPr>
                <w:b/>
                <w:bCs/>
                <w:sz w:val="20"/>
                <w:szCs w:val="20"/>
              </w:rPr>
              <w:t>8.</w:t>
            </w:r>
          </w:p>
        </w:tc>
        <w:tc>
          <w:tcPr>
            <w:tcW w:w="5981" w:type="dxa"/>
          </w:tcPr>
          <w:p w:rsidR="00895280" w:rsidRPr="004629DE" w:rsidRDefault="00895280" w:rsidP="00895280">
            <w:pPr>
              <w:rPr>
                <w:sz w:val="20"/>
                <w:szCs w:val="20"/>
              </w:rPr>
            </w:pPr>
            <w:r w:rsidRPr="004629DE">
              <w:rPr>
                <w:sz w:val="20"/>
                <w:szCs w:val="20"/>
              </w:rPr>
              <w:t>S.A. „</w:t>
            </w:r>
            <w:r w:rsidR="00651044" w:rsidRPr="004629DE">
              <w:rPr>
                <w:sz w:val="20"/>
                <w:szCs w:val="20"/>
              </w:rPr>
              <w:t>Floare</w:t>
            </w:r>
            <w:r w:rsidRPr="004629DE">
              <w:rPr>
                <w:sz w:val="20"/>
                <w:szCs w:val="20"/>
              </w:rPr>
              <w:t xml:space="preserve">-Carpet” </w:t>
            </w:r>
          </w:p>
        </w:tc>
        <w:tc>
          <w:tcPr>
            <w:tcW w:w="2126" w:type="dxa"/>
          </w:tcPr>
          <w:p w:rsidR="00895280" w:rsidRPr="004629DE" w:rsidRDefault="00895280" w:rsidP="004629DE">
            <w:pPr>
              <w:jc w:val="center"/>
              <w:rPr>
                <w:bCs/>
                <w:sz w:val="20"/>
                <w:szCs w:val="20"/>
              </w:rPr>
            </w:pPr>
            <w:r w:rsidRPr="004629DE">
              <w:rPr>
                <w:bCs/>
                <w:sz w:val="20"/>
                <w:szCs w:val="20"/>
              </w:rPr>
              <w:t>4,0</w:t>
            </w:r>
          </w:p>
        </w:tc>
      </w:tr>
      <w:tr w:rsidR="00E4660A" w:rsidRPr="004629DE" w:rsidTr="004629DE">
        <w:trPr>
          <w:jc w:val="center"/>
        </w:trPr>
        <w:tc>
          <w:tcPr>
            <w:tcW w:w="648" w:type="dxa"/>
          </w:tcPr>
          <w:p w:rsidR="00E4660A" w:rsidRPr="004629DE" w:rsidRDefault="00E4660A" w:rsidP="004629DE">
            <w:pPr>
              <w:jc w:val="center"/>
              <w:rPr>
                <w:b/>
                <w:bCs/>
                <w:sz w:val="20"/>
                <w:szCs w:val="20"/>
              </w:rPr>
            </w:pPr>
            <w:r w:rsidRPr="004629DE">
              <w:rPr>
                <w:b/>
                <w:bCs/>
                <w:sz w:val="20"/>
                <w:szCs w:val="20"/>
              </w:rPr>
              <w:t>9.</w:t>
            </w:r>
          </w:p>
        </w:tc>
        <w:tc>
          <w:tcPr>
            <w:tcW w:w="5981" w:type="dxa"/>
          </w:tcPr>
          <w:p w:rsidR="00E4660A" w:rsidRPr="004629DE" w:rsidRDefault="00E4660A" w:rsidP="00E4660A">
            <w:pPr>
              <w:rPr>
                <w:sz w:val="20"/>
                <w:szCs w:val="20"/>
              </w:rPr>
            </w:pPr>
            <w:r w:rsidRPr="004629DE">
              <w:rPr>
                <w:sz w:val="20"/>
                <w:szCs w:val="20"/>
              </w:rPr>
              <w:t>S.A. „Drumuri Soroca”</w:t>
            </w:r>
          </w:p>
        </w:tc>
        <w:tc>
          <w:tcPr>
            <w:tcW w:w="2126" w:type="dxa"/>
          </w:tcPr>
          <w:p w:rsidR="00E4660A" w:rsidRPr="004629DE" w:rsidRDefault="00E4660A" w:rsidP="004629DE">
            <w:pPr>
              <w:jc w:val="center"/>
              <w:rPr>
                <w:bCs/>
                <w:sz w:val="20"/>
                <w:szCs w:val="20"/>
              </w:rPr>
            </w:pPr>
            <w:r w:rsidRPr="004629DE">
              <w:rPr>
                <w:bCs/>
                <w:sz w:val="20"/>
                <w:szCs w:val="20"/>
              </w:rPr>
              <w:t>3,8</w:t>
            </w:r>
          </w:p>
        </w:tc>
      </w:tr>
      <w:tr w:rsidR="00E4660A" w:rsidRPr="004629DE" w:rsidTr="004629DE">
        <w:trPr>
          <w:jc w:val="center"/>
        </w:trPr>
        <w:tc>
          <w:tcPr>
            <w:tcW w:w="648" w:type="dxa"/>
          </w:tcPr>
          <w:p w:rsidR="00E4660A" w:rsidRPr="004629DE" w:rsidRDefault="00E4660A" w:rsidP="004629DE">
            <w:pPr>
              <w:jc w:val="center"/>
              <w:rPr>
                <w:b/>
                <w:bCs/>
                <w:sz w:val="20"/>
                <w:szCs w:val="20"/>
              </w:rPr>
            </w:pPr>
            <w:r w:rsidRPr="004629DE">
              <w:rPr>
                <w:b/>
                <w:bCs/>
                <w:sz w:val="20"/>
                <w:szCs w:val="20"/>
              </w:rPr>
              <w:t>10.</w:t>
            </w:r>
          </w:p>
        </w:tc>
        <w:tc>
          <w:tcPr>
            <w:tcW w:w="5981" w:type="dxa"/>
          </w:tcPr>
          <w:p w:rsidR="00E4660A" w:rsidRPr="004629DE" w:rsidRDefault="00E4660A" w:rsidP="00E4660A">
            <w:pPr>
              <w:rPr>
                <w:sz w:val="20"/>
                <w:szCs w:val="20"/>
              </w:rPr>
            </w:pPr>
            <w:r w:rsidRPr="004629DE">
              <w:rPr>
                <w:sz w:val="20"/>
                <w:szCs w:val="20"/>
              </w:rPr>
              <w:t>S.A. ”Drumuri Cahul”</w:t>
            </w:r>
          </w:p>
        </w:tc>
        <w:tc>
          <w:tcPr>
            <w:tcW w:w="2126" w:type="dxa"/>
          </w:tcPr>
          <w:p w:rsidR="00E4660A" w:rsidRPr="004629DE" w:rsidRDefault="00E4660A" w:rsidP="004629DE">
            <w:pPr>
              <w:jc w:val="center"/>
              <w:rPr>
                <w:sz w:val="20"/>
                <w:szCs w:val="20"/>
              </w:rPr>
            </w:pPr>
            <w:r w:rsidRPr="004629DE">
              <w:rPr>
                <w:bCs/>
                <w:sz w:val="20"/>
                <w:szCs w:val="20"/>
              </w:rPr>
              <w:t>2,8</w:t>
            </w:r>
          </w:p>
        </w:tc>
      </w:tr>
    </w:tbl>
    <w:p w:rsidR="00895280" w:rsidRPr="00651044" w:rsidRDefault="00895280" w:rsidP="00895280">
      <w:pPr>
        <w:spacing w:line="276" w:lineRule="auto"/>
        <w:jc w:val="both"/>
        <w:rPr>
          <w:sz w:val="28"/>
          <w:szCs w:val="28"/>
        </w:rPr>
      </w:pPr>
    </w:p>
    <w:p w:rsidR="00651044" w:rsidRPr="00651044" w:rsidRDefault="00895280" w:rsidP="00651044">
      <w:pPr>
        <w:spacing w:line="276" w:lineRule="auto"/>
        <w:ind w:firstLine="567"/>
        <w:jc w:val="both"/>
        <w:rPr>
          <w:sz w:val="28"/>
          <w:szCs w:val="28"/>
        </w:rPr>
      </w:pPr>
      <w:r w:rsidRPr="00651044">
        <w:rPr>
          <w:sz w:val="28"/>
          <w:szCs w:val="28"/>
        </w:rPr>
        <w:t>Respectiv, se denotă că cea mai mare majorare a veniturilor din vînzări                   a fost înregistrată de către S.A. „Tutun-CTC” (cu 29,3 mil. lei), S.A. „Moldtelecom” (cu 18,7 mil. lei), S.A. „Institutul de Cercetări Științifice „Rif-Acvaaparat” (cu 16,2 mil. lei), S.A. „Combinatul de Vinuri Cricova” (cu 13,4 mil. lei).</w:t>
      </w:r>
    </w:p>
    <w:p w:rsidR="00651044" w:rsidRDefault="00895280" w:rsidP="00651044">
      <w:pPr>
        <w:spacing w:line="276" w:lineRule="auto"/>
        <w:ind w:firstLine="567"/>
        <w:jc w:val="both"/>
        <w:rPr>
          <w:sz w:val="28"/>
          <w:szCs w:val="28"/>
        </w:rPr>
      </w:pPr>
      <w:r w:rsidRPr="00651044">
        <w:rPr>
          <w:sz w:val="28"/>
          <w:szCs w:val="28"/>
        </w:rPr>
        <w:t>Totodată, din totalul majorării veniturilor din vînzări, suma de 947,0 mil. lei a fost obținută în r</w:t>
      </w:r>
      <w:r w:rsidR="00E4660A">
        <w:rPr>
          <w:sz w:val="28"/>
          <w:szCs w:val="28"/>
        </w:rPr>
        <w:t>ezultatul activității economico-</w:t>
      </w:r>
      <w:r w:rsidRPr="00651044">
        <w:rPr>
          <w:sz w:val="28"/>
          <w:szCs w:val="28"/>
        </w:rPr>
        <w:t>financiare a S.A. „Furnizarea Energiei Electrice Nord” nou create potrivit Hotărîrii Guvernului nr. 172 din 5 aprilie 2015 privind inițierea reorganizării unor societăți pe acțiuni din contul patrimoniului S.A. „Rețele Electrice de Distribuție Nord” și S.A. „Rețele Electrice de Distribuție Nord-Vest”. Societatea nou creată a fost înregistrată la Î.S. „Camera Înregistrării de Stat” în luna iulie a anului 2015 cu capital social în</w:t>
      </w:r>
      <w:r w:rsidR="00E4660A">
        <w:rPr>
          <w:sz w:val="28"/>
          <w:szCs w:val="28"/>
        </w:rPr>
        <w:t xml:space="preserve"> mărime de 30,0 mii lei. Această situație</w:t>
      </w:r>
      <w:r w:rsidRPr="00651044">
        <w:rPr>
          <w:sz w:val="28"/>
          <w:szCs w:val="28"/>
        </w:rPr>
        <w:t xml:space="preserve"> a influența</w:t>
      </w:r>
      <w:r w:rsidR="00E4660A">
        <w:rPr>
          <w:sz w:val="28"/>
          <w:szCs w:val="28"/>
        </w:rPr>
        <w:t>t totodată</w:t>
      </w:r>
      <w:r w:rsidRPr="00651044">
        <w:rPr>
          <w:sz w:val="28"/>
          <w:szCs w:val="28"/>
        </w:rPr>
        <w:t xml:space="preserve"> la micșorarea</w:t>
      </w:r>
      <w:r w:rsidRPr="00651044">
        <w:rPr>
          <w:b/>
          <w:sz w:val="28"/>
          <w:szCs w:val="28"/>
        </w:rPr>
        <w:t xml:space="preserve"> </w:t>
      </w:r>
      <w:r w:rsidR="00E4660A">
        <w:rPr>
          <w:sz w:val="28"/>
          <w:szCs w:val="28"/>
        </w:rPr>
        <w:t>veniturilor din vînz</w:t>
      </w:r>
      <w:r w:rsidRPr="00651044">
        <w:rPr>
          <w:sz w:val="28"/>
          <w:szCs w:val="28"/>
        </w:rPr>
        <w:t xml:space="preserve">ări </w:t>
      </w:r>
      <w:r w:rsidR="00E4660A">
        <w:rPr>
          <w:sz w:val="28"/>
          <w:szCs w:val="28"/>
        </w:rPr>
        <w:t xml:space="preserve">ale </w:t>
      </w:r>
      <w:r w:rsidRPr="00651044">
        <w:rPr>
          <w:sz w:val="28"/>
          <w:szCs w:val="28"/>
        </w:rPr>
        <w:t>S.A. „Rețele Electrice de Distribuție Nord” și S.A. „Rețele Electrice de Distribuție Nord-Vest”.</w:t>
      </w:r>
    </w:p>
    <w:p w:rsidR="00651044" w:rsidRDefault="00895280" w:rsidP="00651044">
      <w:pPr>
        <w:spacing w:line="276" w:lineRule="auto"/>
        <w:ind w:firstLine="567"/>
        <w:jc w:val="both"/>
        <w:rPr>
          <w:sz w:val="28"/>
          <w:szCs w:val="28"/>
        </w:rPr>
      </w:pPr>
      <w:r w:rsidRPr="00651044">
        <w:rPr>
          <w:sz w:val="28"/>
          <w:szCs w:val="28"/>
        </w:rPr>
        <w:lastRenderedPageBreak/>
        <w:t xml:space="preserve">Efectul pozitiv al majorărilor menţionate a fost parţial afectat de diminuarea cu 827,5 mil. lei a veniturilor din vînzări la 12 societăţi pe acţiuni, fapt care a condiționat micșorarea taxei pe valoarea adăugată încasată în bugetul de stat cu circa 165,5 mil. lei și prezintă un </w:t>
      </w:r>
      <w:r w:rsidRPr="00651044">
        <w:rPr>
          <w:i/>
          <w:sz w:val="28"/>
          <w:szCs w:val="28"/>
        </w:rPr>
        <w:t>risc fiscal pentru bugetul de stat.</w:t>
      </w:r>
      <w:r w:rsidRPr="00651044">
        <w:rPr>
          <w:sz w:val="28"/>
          <w:szCs w:val="28"/>
        </w:rPr>
        <w:t xml:space="preserve"> Totodată, din numărul total al acestora</w:t>
      </w:r>
      <w:r w:rsidR="00E4660A">
        <w:rPr>
          <w:sz w:val="28"/>
          <w:szCs w:val="28"/>
        </w:rPr>
        <w:t>,</w:t>
      </w:r>
      <w:r w:rsidRPr="00651044">
        <w:rPr>
          <w:sz w:val="28"/>
          <w:szCs w:val="28"/>
        </w:rPr>
        <w:t xml:space="preserve"> 8 societăţi pe acţiuni au înregistrat micșorări ale veniturilor din vînzări mai mari de 1 milion lei, şi anume: S.A. „EnergoCom” (cu 269,8 mil. lei), S.A. „</w:t>
      </w:r>
      <w:r w:rsidR="00E4660A">
        <w:rPr>
          <w:sz w:val="28"/>
          <w:szCs w:val="28"/>
        </w:rPr>
        <w:t>Metalferos” (cu 244,3 mil. lei),</w:t>
      </w:r>
      <w:r w:rsidRPr="00651044">
        <w:rPr>
          <w:sz w:val="28"/>
          <w:szCs w:val="28"/>
        </w:rPr>
        <w:t xml:space="preserve"> S.A. „Red N</w:t>
      </w:r>
      <w:r w:rsidR="00E4660A">
        <w:rPr>
          <w:sz w:val="28"/>
          <w:szCs w:val="28"/>
        </w:rPr>
        <w:t>ord-Vest” (cu 166,0 mil. lei),</w:t>
      </w:r>
      <w:r w:rsidRPr="00651044">
        <w:rPr>
          <w:sz w:val="28"/>
          <w:szCs w:val="28"/>
        </w:rPr>
        <w:t xml:space="preserve"> S.A. „Termoelectrica” (cu 101,0 mil. lei), S.A. „Răut” (cu 20,6 mil.lei), S.A. „CET Nord” (cu 14,9 mil. lei),  S.A. „SanfarmPrim” (cu 6,5 mil. lei)  și S.A. „Drumuri Edineţ” (cu 3,0 mil. lei) . </w:t>
      </w:r>
    </w:p>
    <w:p w:rsidR="00895280" w:rsidRPr="00651044" w:rsidRDefault="00895280" w:rsidP="00651044">
      <w:pPr>
        <w:spacing w:line="276" w:lineRule="auto"/>
        <w:ind w:firstLine="567"/>
        <w:jc w:val="both"/>
        <w:rPr>
          <w:sz w:val="28"/>
          <w:szCs w:val="28"/>
        </w:rPr>
      </w:pPr>
      <w:r w:rsidRPr="00651044">
        <w:rPr>
          <w:sz w:val="28"/>
          <w:szCs w:val="28"/>
        </w:rPr>
        <w:t xml:space="preserve">Efectuînd, în continuare, analiza structurii veniturilor din vînzări în semestrul I, 2016 pe ramuri ale economiei naţionale, </w:t>
      </w:r>
      <w:r w:rsidR="00E4660A">
        <w:rPr>
          <w:sz w:val="28"/>
          <w:szCs w:val="28"/>
        </w:rPr>
        <w:t>se menţionează</w:t>
      </w:r>
      <w:r w:rsidRPr="00651044">
        <w:rPr>
          <w:sz w:val="28"/>
          <w:szCs w:val="28"/>
        </w:rPr>
        <w:t xml:space="preserve"> că, ponderea majoritară, de 71,8%, este deţinută de către veniturile societăţilor pe acţiuni din administrarea Ministerului Economiei. Totodată, 16,98% din totalul veniturilor din vînzări ale societăţilor pe acţiuni se atribuie veniturilor societăţilor administrate de Agenţia Proprietăţii Publice (şi anume S.A. „Moldtelecom”), 7,1% - veniturilor societăţilor din subordinea Ministerului Agriculturii şi Industriei Alimentare, iar 3,1% - veniturilor entităţilor din administrarea Ministerului Transporturilor şi Infrastructurii Drumurilor. </w:t>
      </w:r>
    </w:p>
    <w:p w:rsidR="00651044" w:rsidRDefault="00651044" w:rsidP="00895280">
      <w:pPr>
        <w:spacing w:line="276" w:lineRule="auto"/>
        <w:ind w:firstLine="720"/>
        <w:jc w:val="right"/>
      </w:pPr>
    </w:p>
    <w:p w:rsidR="00895280" w:rsidRPr="00651044" w:rsidRDefault="00895280" w:rsidP="00895280">
      <w:pPr>
        <w:spacing w:line="276" w:lineRule="auto"/>
        <w:ind w:firstLine="720"/>
        <w:jc w:val="right"/>
      </w:pPr>
      <w:r w:rsidRPr="00651044">
        <w:t>Tabelul 3.2</w:t>
      </w:r>
    </w:p>
    <w:p w:rsidR="00895280" w:rsidRPr="00651044" w:rsidRDefault="00895280" w:rsidP="00895280">
      <w:pPr>
        <w:ind w:firstLine="539"/>
        <w:jc w:val="center"/>
        <w:rPr>
          <w:b/>
          <w:i/>
        </w:rPr>
      </w:pPr>
      <w:r w:rsidRPr="00651044">
        <w:rPr>
          <w:b/>
          <w:i/>
        </w:rPr>
        <w:t xml:space="preserve">Veniturile din vînzări ale societăţilor pe acţiuni în semestrul I, 2016, </w:t>
      </w:r>
    </w:p>
    <w:p w:rsidR="00895280" w:rsidRPr="00651044" w:rsidRDefault="00895280" w:rsidP="00895280">
      <w:pPr>
        <w:ind w:firstLine="539"/>
        <w:jc w:val="center"/>
        <w:rPr>
          <w:b/>
          <w:i/>
        </w:rPr>
      </w:pPr>
      <w:r w:rsidRPr="00651044">
        <w:rPr>
          <w:b/>
          <w:i/>
        </w:rPr>
        <w:t xml:space="preserve">grupate pe autorităţi ale administraţiei publice centrale </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819"/>
        <w:gridCol w:w="2911"/>
        <w:gridCol w:w="1005"/>
      </w:tblGrid>
      <w:tr w:rsidR="00895280" w:rsidRPr="004629DE" w:rsidTr="004629DE">
        <w:trPr>
          <w:jc w:val="center"/>
        </w:trPr>
        <w:tc>
          <w:tcPr>
            <w:tcW w:w="510" w:type="dxa"/>
            <w:vAlign w:val="center"/>
          </w:tcPr>
          <w:p w:rsidR="00895280" w:rsidRPr="004629DE" w:rsidRDefault="00895280" w:rsidP="004629DE">
            <w:pPr>
              <w:spacing w:line="276" w:lineRule="auto"/>
              <w:jc w:val="center"/>
              <w:rPr>
                <w:b/>
                <w:i/>
                <w:iCs/>
                <w:sz w:val="20"/>
                <w:szCs w:val="20"/>
              </w:rPr>
            </w:pPr>
            <w:r w:rsidRPr="004629DE">
              <w:rPr>
                <w:b/>
                <w:i/>
                <w:iCs/>
                <w:sz w:val="20"/>
                <w:szCs w:val="20"/>
              </w:rPr>
              <w:t>Nr.</w:t>
            </w:r>
          </w:p>
        </w:tc>
        <w:tc>
          <w:tcPr>
            <w:tcW w:w="4819" w:type="dxa"/>
            <w:vAlign w:val="center"/>
          </w:tcPr>
          <w:p w:rsidR="00895280" w:rsidRPr="004629DE" w:rsidRDefault="00895280" w:rsidP="004629DE">
            <w:pPr>
              <w:jc w:val="center"/>
              <w:rPr>
                <w:b/>
                <w:i/>
                <w:iCs/>
                <w:sz w:val="20"/>
                <w:szCs w:val="20"/>
              </w:rPr>
            </w:pPr>
            <w:r w:rsidRPr="004629DE">
              <w:rPr>
                <w:b/>
                <w:i/>
                <w:iCs/>
                <w:sz w:val="20"/>
                <w:szCs w:val="20"/>
              </w:rPr>
              <w:t>Acționar majoritar</w:t>
            </w:r>
          </w:p>
        </w:tc>
        <w:tc>
          <w:tcPr>
            <w:tcW w:w="2911" w:type="dxa"/>
            <w:vAlign w:val="center"/>
          </w:tcPr>
          <w:p w:rsidR="00895280" w:rsidRPr="004629DE" w:rsidRDefault="00895280" w:rsidP="004629DE">
            <w:pPr>
              <w:jc w:val="center"/>
              <w:rPr>
                <w:b/>
                <w:i/>
                <w:iCs/>
                <w:sz w:val="20"/>
                <w:szCs w:val="20"/>
              </w:rPr>
            </w:pPr>
            <w:r w:rsidRPr="004629DE">
              <w:rPr>
                <w:b/>
                <w:i/>
                <w:iCs/>
                <w:sz w:val="20"/>
                <w:szCs w:val="20"/>
              </w:rPr>
              <w:t>Valoarea</w:t>
            </w:r>
          </w:p>
          <w:p w:rsidR="00895280" w:rsidRPr="004629DE" w:rsidRDefault="00895280" w:rsidP="004629DE">
            <w:pPr>
              <w:jc w:val="center"/>
              <w:rPr>
                <w:b/>
                <w:i/>
                <w:iCs/>
                <w:sz w:val="20"/>
                <w:szCs w:val="20"/>
              </w:rPr>
            </w:pPr>
            <w:r w:rsidRPr="004629DE">
              <w:rPr>
                <w:b/>
                <w:i/>
                <w:iCs/>
                <w:sz w:val="20"/>
                <w:szCs w:val="20"/>
              </w:rPr>
              <w:t>veniturilor din vînzări (mil. lei)</w:t>
            </w:r>
          </w:p>
        </w:tc>
        <w:tc>
          <w:tcPr>
            <w:tcW w:w="1005" w:type="dxa"/>
            <w:vAlign w:val="center"/>
          </w:tcPr>
          <w:p w:rsidR="00895280" w:rsidRPr="004629DE" w:rsidRDefault="00895280" w:rsidP="004629DE">
            <w:pPr>
              <w:jc w:val="center"/>
              <w:rPr>
                <w:b/>
                <w:i/>
                <w:iCs/>
                <w:sz w:val="20"/>
                <w:szCs w:val="20"/>
              </w:rPr>
            </w:pPr>
            <w:r w:rsidRPr="004629DE">
              <w:rPr>
                <w:b/>
                <w:i/>
                <w:iCs/>
                <w:sz w:val="20"/>
                <w:szCs w:val="20"/>
              </w:rPr>
              <w:t>Ponderea</w:t>
            </w:r>
          </w:p>
          <w:p w:rsidR="00895280" w:rsidRPr="004629DE" w:rsidRDefault="00895280" w:rsidP="004629DE">
            <w:pPr>
              <w:jc w:val="center"/>
              <w:rPr>
                <w:b/>
                <w:i/>
                <w:iCs/>
                <w:sz w:val="20"/>
                <w:szCs w:val="20"/>
              </w:rPr>
            </w:pPr>
            <w:r w:rsidRPr="004629DE">
              <w:rPr>
                <w:b/>
                <w:i/>
                <w:iCs/>
                <w:sz w:val="20"/>
                <w:szCs w:val="20"/>
              </w:rPr>
              <w:t>(%)</w:t>
            </w:r>
          </w:p>
        </w:tc>
      </w:tr>
      <w:tr w:rsidR="00895280" w:rsidRPr="004629DE" w:rsidTr="004629DE">
        <w:trPr>
          <w:jc w:val="center"/>
        </w:trPr>
        <w:tc>
          <w:tcPr>
            <w:tcW w:w="510" w:type="dxa"/>
          </w:tcPr>
          <w:p w:rsidR="00895280" w:rsidRPr="004629DE" w:rsidRDefault="00895280" w:rsidP="004629DE">
            <w:pPr>
              <w:spacing w:line="276" w:lineRule="auto"/>
              <w:jc w:val="center"/>
              <w:rPr>
                <w:b/>
                <w:sz w:val="20"/>
                <w:szCs w:val="20"/>
              </w:rPr>
            </w:pPr>
            <w:r w:rsidRPr="004629DE">
              <w:rPr>
                <w:b/>
                <w:sz w:val="20"/>
                <w:szCs w:val="20"/>
              </w:rPr>
              <w:t>1.</w:t>
            </w:r>
          </w:p>
        </w:tc>
        <w:tc>
          <w:tcPr>
            <w:tcW w:w="4819" w:type="dxa"/>
          </w:tcPr>
          <w:p w:rsidR="00895280" w:rsidRPr="004629DE" w:rsidRDefault="00895280" w:rsidP="00895280">
            <w:pPr>
              <w:rPr>
                <w:sz w:val="20"/>
                <w:szCs w:val="20"/>
              </w:rPr>
            </w:pPr>
            <w:r w:rsidRPr="004629DE">
              <w:rPr>
                <w:sz w:val="20"/>
                <w:szCs w:val="20"/>
              </w:rPr>
              <w:t>Ministerul Economiei</w:t>
            </w:r>
          </w:p>
        </w:tc>
        <w:tc>
          <w:tcPr>
            <w:tcW w:w="2911" w:type="dxa"/>
          </w:tcPr>
          <w:p w:rsidR="00895280" w:rsidRPr="004629DE" w:rsidRDefault="00895280" w:rsidP="004629DE">
            <w:pPr>
              <w:jc w:val="center"/>
              <w:rPr>
                <w:sz w:val="20"/>
                <w:szCs w:val="20"/>
              </w:rPr>
            </w:pPr>
            <w:r w:rsidRPr="004629DE">
              <w:rPr>
                <w:sz w:val="20"/>
                <w:szCs w:val="20"/>
              </w:rPr>
              <w:t>4821,9</w:t>
            </w:r>
          </w:p>
        </w:tc>
        <w:tc>
          <w:tcPr>
            <w:tcW w:w="1005" w:type="dxa"/>
          </w:tcPr>
          <w:p w:rsidR="00895280" w:rsidRPr="004629DE" w:rsidRDefault="00895280" w:rsidP="004629DE">
            <w:pPr>
              <w:jc w:val="center"/>
              <w:rPr>
                <w:sz w:val="20"/>
                <w:szCs w:val="20"/>
              </w:rPr>
            </w:pPr>
            <w:r w:rsidRPr="004629DE">
              <w:rPr>
                <w:sz w:val="20"/>
                <w:szCs w:val="20"/>
              </w:rPr>
              <w:t>71,8</w:t>
            </w:r>
          </w:p>
        </w:tc>
      </w:tr>
      <w:tr w:rsidR="00895280" w:rsidRPr="004629DE" w:rsidTr="004629DE">
        <w:trPr>
          <w:jc w:val="center"/>
        </w:trPr>
        <w:tc>
          <w:tcPr>
            <w:tcW w:w="510" w:type="dxa"/>
          </w:tcPr>
          <w:p w:rsidR="00895280" w:rsidRPr="004629DE" w:rsidRDefault="00895280" w:rsidP="004629DE">
            <w:pPr>
              <w:spacing w:line="276" w:lineRule="auto"/>
              <w:jc w:val="center"/>
              <w:rPr>
                <w:b/>
                <w:sz w:val="20"/>
                <w:szCs w:val="20"/>
              </w:rPr>
            </w:pPr>
            <w:r w:rsidRPr="004629DE">
              <w:rPr>
                <w:b/>
                <w:sz w:val="20"/>
                <w:szCs w:val="20"/>
              </w:rPr>
              <w:t>2.</w:t>
            </w:r>
          </w:p>
        </w:tc>
        <w:tc>
          <w:tcPr>
            <w:tcW w:w="4819" w:type="dxa"/>
          </w:tcPr>
          <w:p w:rsidR="00895280" w:rsidRPr="004629DE" w:rsidRDefault="00895280" w:rsidP="00895280">
            <w:pPr>
              <w:rPr>
                <w:sz w:val="20"/>
                <w:szCs w:val="20"/>
              </w:rPr>
            </w:pPr>
            <w:r w:rsidRPr="004629DE">
              <w:rPr>
                <w:sz w:val="20"/>
                <w:szCs w:val="20"/>
              </w:rPr>
              <w:t>Agenţia Proprietăţii Publice</w:t>
            </w:r>
          </w:p>
        </w:tc>
        <w:tc>
          <w:tcPr>
            <w:tcW w:w="2911" w:type="dxa"/>
          </w:tcPr>
          <w:p w:rsidR="00895280" w:rsidRPr="004629DE" w:rsidRDefault="00895280" w:rsidP="004629DE">
            <w:pPr>
              <w:jc w:val="center"/>
              <w:rPr>
                <w:sz w:val="20"/>
                <w:szCs w:val="20"/>
              </w:rPr>
            </w:pPr>
            <w:r w:rsidRPr="004629DE">
              <w:rPr>
                <w:sz w:val="20"/>
                <w:szCs w:val="20"/>
              </w:rPr>
              <w:t>1141,2</w:t>
            </w:r>
          </w:p>
        </w:tc>
        <w:tc>
          <w:tcPr>
            <w:tcW w:w="1005" w:type="dxa"/>
          </w:tcPr>
          <w:p w:rsidR="00895280" w:rsidRPr="004629DE" w:rsidRDefault="00895280" w:rsidP="004629DE">
            <w:pPr>
              <w:jc w:val="center"/>
              <w:rPr>
                <w:sz w:val="20"/>
                <w:szCs w:val="20"/>
              </w:rPr>
            </w:pPr>
            <w:r w:rsidRPr="004629DE">
              <w:rPr>
                <w:sz w:val="20"/>
                <w:szCs w:val="20"/>
              </w:rPr>
              <w:t>16,98</w:t>
            </w:r>
          </w:p>
        </w:tc>
      </w:tr>
      <w:tr w:rsidR="00895280" w:rsidRPr="004629DE" w:rsidTr="004629DE">
        <w:trPr>
          <w:jc w:val="center"/>
        </w:trPr>
        <w:tc>
          <w:tcPr>
            <w:tcW w:w="510" w:type="dxa"/>
          </w:tcPr>
          <w:p w:rsidR="00895280" w:rsidRPr="004629DE" w:rsidRDefault="00895280" w:rsidP="004629DE">
            <w:pPr>
              <w:spacing w:line="276" w:lineRule="auto"/>
              <w:jc w:val="center"/>
              <w:rPr>
                <w:b/>
                <w:sz w:val="20"/>
                <w:szCs w:val="20"/>
              </w:rPr>
            </w:pPr>
            <w:r w:rsidRPr="004629DE">
              <w:rPr>
                <w:b/>
                <w:sz w:val="20"/>
                <w:szCs w:val="20"/>
              </w:rPr>
              <w:t>3.</w:t>
            </w:r>
          </w:p>
        </w:tc>
        <w:tc>
          <w:tcPr>
            <w:tcW w:w="4819" w:type="dxa"/>
          </w:tcPr>
          <w:p w:rsidR="00895280" w:rsidRPr="004629DE" w:rsidRDefault="00895280" w:rsidP="00895280">
            <w:pPr>
              <w:rPr>
                <w:sz w:val="20"/>
                <w:szCs w:val="20"/>
              </w:rPr>
            </w:pPr>
            <w:r w:rsidRPr="004629DE">
              <w:rPr>
                <w:sz w:val="20"/>
                <w:szCs w:val="20"/>
              </w:rPr>
              <w:t>Ministerul Agriculturii şi Industriei Alimentare</w:t>
            </w:r>
          </w:p>
        </w:tc>
        <w:tc>
          <w:tcPr>
            <w:tcW w:w="2911" w:type="dxa"/>
          </w:tcPr>
          <w:p w:rsidR="00895280" w:rsidRPr="004629DE" w:rsidRDefault="00895280" w:rsidP="004629DE">
            <w:pPr>
              <w:jc w:val="center"/>
              <w:rPr>
                <w:sz w:val="20"/>
                <w:szCs w:val="20"/>
              </w:rPr>
            </w:pPr>
            <w:r w:rsidRPr="004629DE">
              <w:rPr>
                <w:sz w:val="20"/>
                <w:szCs w:val="20"/>
              </w:rPr>
              <w:t>473,6</w:t>
            </w:r>
          </w:p>
        </w:tc>
        <w:tc>
          <w:tcPr>
            <w:tcW w:w="1005" w:type="dxa"/>
          </w:tcPr>
          <w:p w:rsidR="00895280" w:rsidRPr="004629DE" w:rsidRDefault="00895280" w:rsidP="004629DE">
            <w:pPr>
              <w:jc w:val="center"/>
              <w:rPr>
                <w:sz w:val="20"/>
                <w:szCs w:val="20"/>
              </w:rPr>
            </w:pPr>
            <w:r w:rsidRPr="004629DE">
              <w:rPr>
                <w:sz w:val="20"/>
                <w:szCs w:val="20"/>
              </w:rPr>
              <w:t>7,1</w:t>
            </w:r>
          </w:p>
        </w:tc>
      </w:tr>
      <w:tr w:rsidR="00895280" w:rsidRPr="004629DE" w:rsidTr="004629DE">
        <w:trPr>
          <w:jc w:val="center"/>
        </w:trPr>
        <w:tc>
          <w:tcPr>
            <w:tcW w:w="510" w:type="dxa"/>
          </w:tcPr>
          <w:p w:rsidR="00895280" w:rsidRPr="004629DE" w:rsidRDefault="00895280" w:rsidP="004629DE">
            <w:pPr>
              <w:spacing w:line="276" w:lineRule="auto"/>
              <w:jc w:val="center"/>
              <w:rPr>
                <w:b/>
                <w:sz w:val="20"/>
                <w:szCs w:val="20"/>
              </w:rPr>
            </w:pPr>
            <w:r w:rsidRPr="004629DE">
              <w:rPr>
                <w:b/>
                <w:sz w:val="20"/>
                <w:szCs w:val="20"/>
              </w:rPr>
              <w:t>4.</w:t>
            </w:r>
          </w:p>
        </w:tc>
        <w:tc>
          <w:tcPr>
            <w:tcW w:w="4819" w:type="dxa"/>
          </w:tcPr>
          <w:p w:rsidR="00895280" w:rsidRPr="004629DE" w:rsidRDefault="00895280" w:rsidP="00895280">
            <w:pPr>
              <w:rPr>
                <w:sz w:val="20"/>
                <w:szCs w:val="20"/>
              </w:rPr>
            </w:pPr>
            <w:r w:rsidRPr="004629DE">
              <w:rPr>
                <w:sz w:val="20"/>
                <w:szCs w:val="20"/>
              </w:rPr>
              <w:t>Ministerul Transporturilor şi Infrastructurii Drumurilor</w:t>
            </w:r>
          </w:p>
        </w:tc>
        <w:tc>
          <w:tcPr>
            <w:tcW w:w="2911" w:type="dxa"/>
          </w:tcPr>
          <w:p w:rsidR="00895280" w:rsidRPr="004629DE" w:rsidRDefault="00895280" w:rsidP="004629DE">
            <w:pPr>
              <w:jc w:val="center"/>
              <w:rPr>
                <w:sz w:val="20"/>
                <w:szCs w:val="20"/>
              </w:rPr>
            </w:pPr>
            <w:r w:rsidRPr="004629DE">
              <w:rPr>
                <w:sz w:val="20"/>
                <w:szCs w:val="20"/>
              </w:rPr>
              <w:t>211,5</w:t>
            </w:r>
          </w:p>
        </w:tc>
        <w:tc>
          <w:tcPr>
            <w:tcW w:w="1005" w:type="dxa"/>
          </w:tcPr>
          <w:p w:rsidR="00895280" w:rsidRPr="004629DE" w:rsidRDefault="00895280" w:rsidP="004629DE">
            <w:pPr>
              <w:jc w:val="center"/>
              <w:rPr>
                <w:sz w:val="20"/>
                <w:szCs w:val="20"/>
              </w:rPr>
            </w:pPr>
            <w:r w:rsidRPr="004629DE">
              <w:rPr>
                <w:sz w:val="20"/>
                <w:szCs w:val="20"/>
              </w:rPr>
              <w:t>3,1</w:t>
            </w:r>
          </w:p>
        </w:tc>
      </w:tr>
      <w:tr w:rsidR="00895280" w:rsidRPr="004629DE" w:rsidTr="004629DE">
        <w:trPr>
          <w:jc w:val="center"/>
        </w:trPr>
        <w:tc>
          <w:tcPr>
            <w:tcW w:w="510" w:type="dxa"/>
          </w:tcPr>
          <w:p w:rsidR="00895280" w:rsidRPr="004629DE" w:rsidRDefault="00895280" w:rsidP="004629DE">
            <w:pPr>
              <w:spacing w:line="276" w:lineRule="auto"/>
              <w:jc w:val="center"/>
              <w:rPr>
                <w:b/>
                <w:sz w:val="20"/>
                <w:szCs w:val="20"/>
              </w:rPr>
            </w:pPr>
            <w:r w:rsidRPr="004629DE">
              <w:rPr>
                <w:b/>
                <w:sz w:val="20"/>
                <w:szCs w:val="20"/>
              </w:rPr>
              <w:t>5.</w:t>
            </w:r>
          </w:p>
        </w:tc>
        <w:tc>
          <w:tcPr>
            <w:tcW w:w="4819" w:type="dxa"/>
          </w:tcPr>
          <w:p w:rsidR="00895280" w:rsidRPr="004629DE" w:rsidRDefault="00895280" w:rsidP="00895280">
            <w:pPr>
              <w:rPr>
                <w:sz w:val="20"/>
                <w:szCs w:val="20"/>
              </w:rPr>
            </w:pPr>
            <w:r w:rsidRPr="004629DE">
              <w:rPr>
                <w:sz w:val="20"/>
                <w:szCs w:val="20"/>
              </w:rPr>
              <w:t>Ministerul Sănătăţii</w:t>
            </w:r>
          </w:p>
        </w:tc>
        <w:tc>
          <w:tcPr>
            <w:tcW w:w="2911" w:type="dxa"/>
          </w:tcPr>
          <w:p w:rsidR="00895280" w:rsidRPr="004629DE" w:rsidRDefault="00895280" w:rsidP="004629DE">
            <w:pPr>
              <w:jc w:val="center"/>
              <w:rPr>
                <w:sz w:val="20"/>
                <w:szCs w:val="20"/>
              </w:rPr>
            </w:pPr>
            <w:r w:rsidRPr="004629DE">
              <w:rPr>
                <w:sz w:val="20"/>
                <w:szCs w:val="20"/>
              </w:rPr>
              <w:t>65,8</w:t>
            </w:r>
          </w:p>
        </w:tc>
        <w:tc>
          <w:tcPr>
            <w:tcW w:w="1005" w:type="dxa"/>
          </w:tcPr>
          <w:p w:rsidR="00895280" w:rsidRPr="004629DE" w:rsidRDefault="00895280" w:rsidP="004629DE">
            <w:pPr>
              <w:jc w:val="center"/>
              <w:rPr>
                <w:sz w:val="20"/>
                <w:szCs w:val="20"/>
              </w:rPr>
            </w:pPr>
            <w:r w:rsidRPr="004629DE">
              <w:rPr>
                <w:sz w:val="20"/>
                <w:szCs w:val="20"/>
              </w:rPr>
              <w:t>1,0</w:t>
            </w:r>
          </w:p>
        </w:tc>
      </w:tr>
      <w:tr w:rsidR="00895280" w:rsidRPr="004629DE" w:rsidTr="004629DE">
        <w:trPr>
          <w:jc w:val="center"/>
        </w:trPr>
        <w:tc>
          <w:tcPr>
            <w:tcW w:w="510" w:type="dxa"/>
          </w:tcPr>
          <w:p w:rsidR="00895280" w:rsidRPr="004629DE" w:rsidRDefault="00895280" w:rsidP="004629DE">
            <w:pPr>
              <w:spacing w:line="276" w:lineRule="auto"/>
              <w:jc w:val="center"/>
              <w:rPr>
                <w:b/>
                <w:sz w:val="20"/>
                <w:szCs w:val="20"/>
              </w:rPr>
            </w:pPr>
            <w:r w:rsidRPr="004629DE">
              <w:rPr>
                <w:b/>
                <w:sz w:val="20"/>
                <w:szCs w:val="20"/>
              </w:rPr>
              <w:t>6.</w:t>
            </w:r>
          </w:p>
        </w:tc>
        <w:tc>
          <w:tcPr>
            <w:tcW w:w="4819" w:type="dxa"/>
          </w:tcPr>
          <w:p w:rsidR="00895280" w:rsidRPr="004629DE" w:rsidRDefault="00895280" w:rsidP="00895280">
            <w:pPr>
              <w:rPr>
                <w:sz w:val="20"/>
                <w:szCs w:val="20"/>
              </w:rPr>
            </w:pPr>
            <w:r w:rsidRPr="004629DE">
              <w:rPr>
                <w:sz w:val="20"/>
                <w:szCs w:val="20"/>
              </w:rPr>
              <w:t>Ministerul Culturii</w:t>
            </w:r>
          </w:p>
        </w:tc>
        <w:tc>
          <w:tcPr>
            <w:tcW w:w="2911" w:type="dxa"/>
          </w:tcPr>
          <w:p w:rsidR="00895280" w:rsidRPr="004629DE" w:rsidRDefault="00895280" w:rsidP="004629DE">
            <w:pPr>
              <w:jc w:val="center"/>
              <w:rPr>
                <w:sz w:val="20"/>
                <w:szCs w:val="20"/>
              </w:rPr>
            </w:pPr>
            <w:r w:rsidRPr="004629DE">
              <w:rPr>
                <w:sz w:val="20"/>
                <w:szCs w:val="20"/>
              </w:rPr>
              <w:t>1,6</w:t>
            </w:r>
          </w:p>
        </w:tc>
        <w:tc>
          <w:tcPr>
            <w:tcW w:w="1005" w:type="dxa"/>
          </w:tcPr>
          <w:p w:rsidR="00895280" w:rsidRPr="004629DE" w:rsidRDefault="00895280" w:rsidP="004629DE">
            <w:pPr>
              <w:jc w:val="center"/>
              <w:rPr>
                <w:sz w:val="20"/>
                <w:szCs w:val="20"/>
              </w:rPr>
            </w:pPr>
            <w:r w:rsidRPr="004629DE">
              <w:rPr>
                <w:sz w:val="20"/>
                <w:szCs w:val="20"/>
              </w:rPr>
              <w:t>0,02</w:t>
            </w:r>
          </w:p>
        </w:tc>
      </w:tr>
      <w:tr w:rsidR="00895280" w:rsidRPr="004629DE" w:rsidTr="004629DE">
        <w:trPr>
          <w:jc w:val="center"/>
        </w:trPr>
        <w:tc>
          <w:tcPr>
            <w:tcW w:w="510" w:type="dxa"/>
          </w:tcPr>
          <w:p w:rsidR="00895280" w:rsidRPr="004629DE" w:rsidRDefault="00895280" w:rsidP="004629DE">
            <w:pPr>
              <w:spacing w:line="276" w:lineRule="auto"/>
              <w:jc w:val="center"/>
              <w:rPr>
                <w:b/>
                <w:sz w:val="20"/>
                <w:szCs w:val="20"/>
              </w:rPr>
            </w:pPr>
          </w:p>
        </w:tc>
        <w:tc>
          <w:tcPr>
            <w:tcW w:w="4819" w:type="dxa"/>
          </w:tcPr>
          <w:p w:rsidR="00895280" w:rsidRPr="004629DE" w:rsidRDefault="00895280" w:rsidP="00895280">
            <w:pPr>
              <w:rPr>
                <w:b/>
                <w:sz w:val="20"/>
                <w:szCs w:val="20"/>
              </w:rPr>
            </w:pPr>
            <w:r w:rsidRPr="004629DE">
              <w:rPr>
                <w:b/>
                <w:sz w:val="20"/>
                <w:szCs w:val="20"/>
              </w:rPr>
              <w:t>Total</w:t>
            </w:r>
          </w:p>
        </w:tc>
        <w:tc>
          <w:tcPr>
            <w:tcW w:w="2911" w:type="dxa"/>
          </w:tcPr>
          <w:p w:rsidR="00895280" w:rsidRPr="004629DE" w:rsidRDefault="00895280" w:rsidP="004629DE">
            <w:pPr>
              <w:jc w:val="center"/>
              <w:rPr>
                <w:b/>
                <w:sz w:val="20"/>
                <w:szCs w:val="20"/>
              </w:rPr>
            </w:pPr>
            <w:r w:rsidRPr="004629DE">
              <w:rPr>
                <w:b/>
                <w:sz w:val="20"/>
                <w:szCs w:val="20"/>
              </w:rPr>
              <w:t>6715,6</w:t>
            </w:r>
          </w:p>
        </w:tc>
        <w:tc>
          <w:tcPr>
            <w:tcW w:w="1005" w:type="dxa"/>
          </w:tcPr>
          <w:p w:rsidR="00895280" w:rsidRPr="004629DE" w:rsidRDefault="00E4660A" w:rsidP="004629DE">
            <w:pPr>
              <w:jc w:val="center"/>
              <w:rPr>
                <w:b/>
                <w:sz w:val="20"/>
                <w:szCs w:val="20"/>
              </w:rPr>
            </w:pPr>
            <w:r w:rsidRPr="004629DE">
              <w:rPr>
                <w:b/>
                <w:sz w:val="20"/>
                <w:szCs w:val="20"/>
              </w:rPr>
              <w:t>100</w:t>
            </w:r>
          </w:p>
        </w:tc>
      </w:tr>
    </w:tbl>
    <w:p w:rsidR="00895280" w:rsidRPr="00651044" w:rsidRDefault="00895280" w:rsidP="00895280">
      <w:pPr>
        <w:pStyle w:val="NoSpacing"/>
        <w:ind w:firstLine="709"/>
        <w:jc w:val="both"/>
        <w:rPr>
          <w:color w:val="FF0000"/>
          <w:sz w:val="28"/>
          <w:szCs w:val="28"/>
        </w:rPr>
      </w:pPr>
    </w:p>
    <w:p w:rsidR="00651044" w:rsidRDefault="00895280" w:rsidP="00651044">
      <w:pPr>
        <w:spacing w:line="276" w:lineRule="auto"/>
        <w:ind w:firstLine="567"/>
        <w:jc w:val="both"/>
        <w:rPr>
          <w:sz w:val="28"/>
          <w:szCs w:val="28"/>
        </w:rPr>
      </w:pPr>
      <w:r w:rsidRPr="00651044">
        <w:rPr>
          <w:sz w:val="28"/>
          <w:szCs w:val="28"/>
        </w:rPr>
        <w:t>Totodată, conform datelor tabelului 3.2, se observă că, cele mai mici ponderi ale veniturilor din vînzări sunt deţinute de veniturile S.A. „Moldova-Film” din administrarea Ministerului Culturii – 0,02%, precum şi a S.A. „SanfarmPrim” administrat</w:t>
      </w:r>
      <w:r w:rsidR="00E4660A">
        <w:rPr>
          <w:sz w:val="28"/>
          <w:szCs w:val="28"/>
        </w:rPr>
        <w:t>ă</w:t>
      </w:r>
      <w:r w:rsidRPr="00651044">
        <w:rPr>
          <w:sz w:val="28"/>
          <w:szCs w:val="28"/>
        </w:rPr>
        <w:t xml:space="preserve"> de Ministerul Sănătății – 1,0% din total venituri din vînzări.</w:t>
      </w:r>
    </w:p>
    <w:p w:rsidR="00651044" w:rsidRDefault="00895280" w:rsidP="00651044">
      <w:pPr>
        <w:spacing w:line="276" w:lineRule="auto"/>
        <w:ind w:firstLine="567"/>
        <w:jc w:val="both"/>
        <w:rPr>
          <w:sz w:val="28"/>
          <w:szCs w:val="28"/>
        </w:rPr>
      </w:pPr>
      <w:r w:rsidRPr="00651044">
        <w:rPr>
          <w:sz w:val="28"/>
          <w:szCs w:val="28"/>
        </w:rPr>
        <w:t xml:space="preserve">De asemenea, </w:t>
      </w:r>
      <w:r w:rsidR="00E4660A">
        <w:rPr>
          <w:sz w:val="28"/>
          <w:szCs w:val="28"/>
        </w:rPr>
        <w:t>a</w:t>
      </w:r>
      <w:r w:rsidRPr="00651044">
        <w:rPr>
          <w:sz w:val="28"/>
          <w:szCs w:val="28"/>
        </w:rPr>
        <w:t>vînd în vedere că raportul „Cercetare statistică trimestrială Nr. 5-CI „Consumurile, cheltuielile şi investiţiile întreprinderii” se prezintă pe trimestre separate,</w:t>
      </w:r>
      <w:r w:rsidR="00E4660A">
        <w:rPr>
          <w:sz w:val="28"/>
          <w:szCs w:val="28"/>
        </w:rPr>
        <w:t xml:space="preserve"> se remarcă</w:t>
      </w:r>
      <w:r w:rsidRPr="00651044">
        <w:rPr>
          <w:sz w:val="28"/>
          <w:szCs w:val="28"/>
        </w:rPr>
        <w:t xml:space="preserve"> că în trimestrul II al anului 2016 societățile pe acțiuni au înregistrat venituri totale în sumă de 2892,3 mil. lei, inclusiv: 2862,7 mil. lei – venituri din vînzări şi 29,6 mil. lei – alte venituri din activitatea operaţională.</w:t>
      </w:r>
      <w:r w:rsidRPr="00651044">
        <w:rPr>
          <w:color w:val="FF0000"/>
          <w:sz w:val="28"/>
          <w:szCs w:val="28"/>
        </w:rPr>
        <w:t xml:space="preserve"> </w:t>
      </w:r>
      <w:r w:rsidRPr="00651044">
        <w:rPr>
          <w:sz w:val="28"/>
          <w:szCs w:val="28"/>
        </w:rPr>
        <w:t xml:space="preserve"> </w:t>
      </w:r>
    </w:p>
    <w:p w:rsidR="00895280" w:rsidRPr="00651044" w:rsidRDefault="00895280" w:rsidP="00651044">
      <w:pPr>
        <w:spacing w:line="276" w:lineRule="auto"/>
        <w:ind w:firstLine="567"/>
        <w:jc w:val="both"/>
        <w:rPr>
          <w:sz w:val="28"/>
          <w:szCs w:val="28"/>
        </w:rPr>
      </w:pPr>
      <w:r w:rsidRPr="00651044">
        <w:rPr>
          <w:sz w:val="28"/>
          <w:szCs w:val="28"/>
        </w:rPr>
        <w:t xml:space="preserve">Respectiv, în conformitate cu datele figurii 3.1, </w:t>
      </w:r>
      <w:r w:rsidR="00E4660A">
        <w:rPr>
          <w:sz w:val="28"/>
          <w:szCs w:val="28"/>
        </w:rPr>
        <w:t xml:space="preserve">se constată că </w:t>
      </w:r>
      <w:r w:rsidRPr="00651044">
        <w:rPr>
          <w:sz w:val="28"/>
          <w:szCs w:val="28"/>
        </w:rPr>
        <w:t xml:space="preserve">ponderea majoritară în totalul veniturilor din vînzări în trimestrul II, 2016 ale societăţilor pe acţiuni este deţinută de veniturile din vînzarea mărfurilor – 43,4% (sau 1243,6 mil. </w:t>
      </w:r>
      <w:r w:rsidRPr="00651044">
        <w:rPr>
          <w:sz w:val="28"/>
          <w:szCs w:val="28"/>
        </w:rPr>
        <w:lastRenderedPageBreak/>
        <w:t>lei)</w:t>
      </w:r>
      <w:r w:rsidR="00E4660A">
        <w:rPr>
          <w:sz w:val="28"/>
          <w:szCs w:val="28"/>
        </w:rPr>
        <w:t xml:space="preserve">, din volumul </w:t>
      </w:r>
      <w:r w:rsidRPr="00651044">
        <w:rPr>
          <w:sz w:val="28"/>
          <w:szCs w:val="28"/>
        </w:rPr>
        <w:t>total al acestora, veniturile din vînzarea mă</w:t>
      </w:r>
      <w:r w:rsidR="00E4660A">
        <w:rPr>
          <w:sz w:val="28"/>
          <w:szCs w:val="28"/>
        </w:rPr>
        <w:t>rfurilor cu amănuntul constituind</w:t>
      </w:r>
      <w:r w:rsidRPr="00651044">
        <w:rPr>
          <w:sz w:val="28"/>
          <w:szCs w:val="28"/>
        </w:rPr>
        <w:t xml:space="preserve"> 423,2 mil. lei, iar din vînzarea mărfurilor cu ridicata – 820,4 mil. lei.  </w:t>
      </w:r>
    </w:p>
    <w:p w:rsidR="00895280" w:rsidRPr="00651044" w:rsidRDefault="00763829" w:rsidP="00895280">
      <w:pPr>
        <w:spacing w:line="276" w:lineRule="auto"/>
        <w:jc w:val="both"/>
        <w:rPr>
          <w:sz w:val="28"/>
          <w:szCs w:val="28"/>
        </w:rPr>
      </w:pPr>
      <w:r>
        <w:rPr>
          <w:noProof/>
          <w:sz w:val="28"/>
          <w:szCs w:val="28"/>
          <w:lang w:val="ru-RU"/>
        </w:rPr>
        <w:drawing>
          <wp:anchor distT="12192" distB="265176" distL="114300" distR="124714" simplePos="0" relativeHeight="251666432" behindDoc="0" locked="0" layoutInCell="1" allowOverlap="1">
            <wp:simplePos x="0" y="0"/>
            <wp:positionH relativeFrom="margin">
              <wp:posOffset>1217041</wp:posOffset>
            </wp:positionH>
            <wp:positionV relativeFrom="margin">
              <wp:posOffset>1905508</wp:posOffset>
            </wp:positionV>
            <wp:extent cx="3338703" cy="2209673"/>
            <wp:effectExtent l="19050" t="0" r="0" b="0"/>
            <wp:wrapSquare wrapText="bothSides"/>
            <wp:docPr id="34" name="Схема 8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anchor>
        </w:drawing>
      </w:r>
    </w:p>
    <w:p w:rsidR="00895280" w:rsidRPr="00651044" w:rsidRDefault="00895280" w:rsidP="00895280">
      <w:pPr>
        <w:spacing w:line="276" w:lineRule="auto"/>
        <w:jc w:val="both"/>
        <w:rPr>
          <w:sz w:val="28"/>
          <w:szCs w:val="28"/>
        </w:rPr>
      </w:pPr>
    </w:p>
    <w:p w:rsidR="00895280" w:rsidRPr="00651044" w:rsidRDefault="00895280" w:rsidP="00895280">
      <w:pPr>
        <w:spacing w:line="276" w:lineRule="auto"/>
        <w:jc w:val="both"/>
        <w:rPr>
          <w:sz w:val="28"/>
          <w:szCs w:val="28"/>
        </w:rPr>
      </w:pPr>
    </w:p>
    <w:p w:rsidR="00895280" w:rsidRPr="00651044" w:rsidRDefault="00895280" w:rsidP="00895280">
      <w:pPr>
        <w:spacing w:line="276" w:lineRule="auto"/>
        <w:jc w:val="both"/>
        <w:rPr>
          <w:sz w:val="28"/>
          <w:szCs w:val="28"/>
        </w:rPr>
      </w:pPr>
    </w:p>
    <w:p w:rsidR="00895280" w:rsidRPr="00651044" w:rsidRDefault="00895280" w:rsidP="00895280">
      <w:pPr>
        <w:spacing w:line="276" w:lineRule="auto"/>
        <w:ind w:firstLine="720"/>
        <w:jc w:val="center"/>
        <w:rPr>
          <w:b/>
          <w:i/>
        </w:rPr>
      </w:pPr>
    </w:p>
    <w:p w:rsidR="00895280" w:rsidRPr="00651044" w:rsidRDefault="00895280" w:rsidP="00895280">
      <w:pPr>
        <w:spacing w:line="276" w:lineRule="auto"/>
        <w:ind w:firstLine="720"/>
        <w:jc w:val="center"/>
        <w:rPr>
          <w:b/>
          <w:i/>
        </w:rPr>
      </w:pPr>
    </w:p>
    <w:p w:rsidR="00895280" w:rsidRPr="00651044" w:rsidRDefault="00895280" w:rsidP="00895280">
      <w:pPr>
        <w:spacing w:line="276" w:lineRule="auto"/>
        <w:ind w:firstLine="720"/>
        <w:jc w:val="center"/>
        <w:rPr>
          <w:b/>
          <w:i/>
        </w:rPr>
      </w:pPr>
    </w:p>
    <w:p w:rsidR="00895280" w:rsidRPr="00651044" w:rsidRDefault="00895280" w:rsidP="00895280">
      <w:pPr>
        <w:spacing w:line="276" w:lineRule="auto"/>
        <w:ind w:firstLine="720"/>
        <w:jc w:val="center"/>
        <w:rPr>
          <w:b/>
          <w:i/>
        </w:rPr>
      </w:pPr>
    </w:p>
    <w:p w:rsidR="00895280" w:rsidRPr="00651044" w:rsidRDefault="00895280" w:rsidP="00895280">
      <w:pPr>
        <w:spacing w:line="276" w:lineRule="auto"/>
        <w:ind w:firstLine="720"/>
        <w:jc w:val="center"/>
        <w:rPr>
          <w:b/>
          <w:i/>
        </w:rPr>
      </w:pPr>
    </w:p>
    <w:p w:rsidR="00895280" w:rsidRPr="00651044" w:rsidRDefault="00895280" w:rsidP="00651044">
      <w:pPr>
        <w:spacing w:line="120" w:lineRule="auto"/>
        <w:ind w:firstLine="720"/>
        <w:jc w:val="center"/>
        <w:rPr>
          <w:b/>
          <w:i/>
        </w:rPr>
      </w:pPr>
    </w:p>
    <w:p w:rsidR="00895280" w:rsidRPr="00651044" w:rsidRDefault="00895280" w:rsidP="00895280">
      <w:pPr>
        <w:spacing w:line="276" w:lineRule="auto"/>
        <w:ind w:firstLine="720"/>
        <w:jc w:val="center"/>
        <w:rPr>
          <w:b/>
          <w:i/>
        </w:rPr>
      </w:pPr>
    </w:p>
    <w:p w:rsidR="00895280" w:rsidRPr="00651044" w:rsidRDefault="00895280" w:rsidP="00E4660A">
      <w:pPr>
        <w:spacing w:line="276" w:lineRule="auto"/>
        <w:jc w:val="center"/>
        <w:rPr>
          <w:b/>
          <w:i/>
        </w:rPr>
      </w:pPr>
      <w:r w:rsidRPr="00651044">
        <w:rPr>
          <w:b/>
          <w:i/>
        </w:rPr>
        <w:t>Figura  3.1. Structura veniturilor din vînzări ale societăţilor pe acţiuni,</w:t>
      </w:r>
    </w:p>
    <w:p w:rsidR="00895280" w:rsidRPr="00651044" w:rsidRDefault="00895280" w:rsidP="00895280">
      <w:pPr>
        <w:jc w:val="center"/>
        <w:rPr>
          <w:b/>
          <w:i/>
        </w:rPr>
      </w:pPr>
      <w:r w:rsidRPr="00651044">
        <w:rPr>
          <w:b/>
          <w:i/>
        </w:rPr>
        <w:t>în trimestrul II al anului 2016</w:t>
      </w:r>
    </w:p>
    <w:p w:rsidR="00895280" w:rsidRPr="00651044" w:rsidRDefault="00895280" w:rsidP="00895280">
      <w:pPr>
        <w:spacing w:line="276" w:lineRule="auto"/>
        <w:jc w:val="both"/>
        <w:rPr>
          <w:sz w:val="28"/>
          <w:szCs w:val="28"/>
        </w:rPr>
      </w:pPr>
    </w:p>
    <w:p w:rsidR="00651044" w:rsidRDefault="00895280" w:rsidP="00651044">
      <w:pPr>
        <w:spacing w:line="276" w:lineRule="auto"/>
        <w:ind w:firstLine="567"/>
        <w:jc w:val="both"/>
        <w:rPr>
          <w:sz w:val="28"/>
          <w:szCs w:val="28"/>
        </w:rPr>
      </w:pPr>
      <w:r w:rsidRPr="00651044">
        <w:rPr>
          <w:sz w:val="28"/>
          <w:szCs w:val="28"/>
        </w:rPr>
        <w:t>Veniturile din vînzarea produselor constituie 25,4% (sau 725,6 mil. lei) din total venituri din vînzări, iar veniturile din prestarea serviciilor deţin cota de 29,2% (sau 837,3 mil. lei). Din valoarea totală a veniturilor din prestarea serviciilor,                   510,9 mil. lei reprezintă veniturile din serviciile pr</w:t>
      </w:r>
      <w:r w:rsidR="00651044">
        <w:rPr>
          <w:sz w:val="28"/>
          <w:szCs w:val="28"/>
        </w:rPr>
        <w:t xml:space="preserve">estate întreprinderilor, iar </w:t>
      </w:r>
      <w:r w:rsidRPr="00651044">
        <w:rPr>
          <w:sz w:val="28"/>
          <w:szCs w:val="28"/>
        </w:rPr>
        <w:t>326,4 mil. lei – veniturile din serviciile prestate populaţiei.</w:t>
      </w:r>
    </w:p>
    <w:p w:rsidR="00651044" w:rsidRDefault="00895280" w:rsidP="00651044">
      <w:pPr>
        <w:spacing w:line="276" w:lineRule="auto"/>
        <w:ind w:firstLine="567"/>
        <w:jc w:val="both"/>
        <w:rPr>
          <w:sz w:val="28"/>
          <w:szCs w:val="28"/>
        </w:rPr>
      </w:pPr>
      <w:r w:rsidRPr="00651044">
        <w:rPr>
          <w:sz w:val="28"/>
          <w:szCs w:val="28"/>
        </w:rPr>
        <w:t xml:space="preserve">Suplimentar celor expuse anterior, menţionăm că veniturile din contractele de construcţii alcătuiesc 46,2 mil. lei sau 1,6% în totalul veniturilor din vînzări, iar veniturile din locaţiune (arendă) – 10,0 mil. lei sau 0,4 la sută. </w:t>
      </w:r>
    </w:p>
    <w:p w:rsidR="00651044" w:rsidRDefault="00895280" w:rsidP="00E4660A">
      <w:pPr>
        <w:spacing w:line="276" w:lineRule="auto"/>
        <w:ind w:firstLine="567"/>
        <w:jc w:val="both"/>
        <w:rPr>
          <w:sz w:val="28"/>
          <w:szCs w:val="28"/>
        </w:rPr>
      </w:pPr>
      <w:r w:rsidRPr="00651044">
        <w:rPr>
          <w:sz w:val="28"/>
          <w:szCs w:val="28"/>
        </w:rPr>
        <w:t xml:space="preserve">De asemenea, în vederea studierii aprofundate a veniturilor din vînzări ale societăţilor pe acţiuni, </w:t>
      </w:r>
      <w:r w:rsidR="00E4660A">
        <w:rPr>
          <w:sz w:val="28"/>
          <w:szCs w:val="28"/>
        </w:rPr>
        <w:t>este analizată s</w:t>
      </w:r>
      <w:r w:rsidRPr="00651044">
        <w:rPr>
          <w:sz w:val="28"/>
          <w:szCs w:val="28"/>
        </w:rPr>
        <w:t>tructura detaliată a veniturilor din prestarea serviciilor pentru trimestrul II, 2016. Astfel, potrivit datelor prezentate în tabelul 3.3, se constată că, în structura veniturilor din prestarea serviciilor predomină veniturile din prestarea serviciilor  de informaţii şi comunicaţii – 67,1% (sau 561,9 mil. lei).</w:t>
      </w:r>
      <w:r w:rsidRPr="00651044">
        <w:rPr>
          <w:color w:val="FF0000"/>
          <w:sz w:val="28"/>
          <w:szCs w:val="28"/>
        </w:rPr>
        <w:t xml:space="preserve"> </w:t>
      </w:r>
      <w:r w:rsidRPr="00651044">
        <w:rPr>
          <w:sz w:val="28"/>
          <w:szCs w:val="28"/>
        </w:rPr>
        <w:t xml:space="preserve">O pondere semnificativă este deţinută, de asemenea, de veniturile din prestarea serviciilor de producere și furnizare de energie electrică şi termică, gaze, apă caldă – 23,5% (sau 196,6 mil. lei). </w:t>
      </w:r>
    </w:p>
    <w:p w:rsidR="00895280" w:rsidRPr="00651044" w:rsidRDefault="00895280" w:rsidP="00651044">
      <w:pPr>
        <w:spacing w:line="276" w:lineRule="auto"/>
        <w:ind w:firstLine="567"/>
        <w:jc w:val="both"/>
        <w:rPr>
          <w:sz w:val="28"/>
          <w:szCs w:val="28"/>
        </w:rPr>
      </w:pPr>
      <w:r w:rsidRPr="00651044">
        <w:rPr>
          <w:sz w:val="28"/>
          <w:szCs w:val="28"/>
        </w:rPr>
        <w:t>Concomitent, ponderile minoritare sunt deţinute de veniturile din activităţi de servicii administrative şi activităţi de servicii suport – 0,04% sau 0,4 mil. lei</w:t>
      </w:r>
      <w:r w:rsidR="00E4660A">
        <w:rPr>
          <w:sz w:val="28"/>
          <w:szCs w:val="28"/>
        </w:rPr>
        <w:t>,</w:t>
      </w:r>
      <w:r w:rsidRPr="00651044">
        <w:rPr>
          <w:sz w:val="28"/>
          <w:szCs w:val="28"/>
        </w:rPr>
        <w:t xml:space="preserve"> veniturile din activităţi hoteliere și restaurante – 0,1% (sau 0,6 mil. lei) și venituri</w:t>
      </w:r>
      <w:r w:rsidR="00E4660A">
        <w:rPr>
          <w:sz w:val="28"/>
          <w:szCs w:val="28"/>
        </w:rPr>
        <w:t>le</w:t>
      </w:r>
      <w:r w:rsidRPr="00651044">
        <w:rPr>
          <w:sz w:val="28"/>
          <w:szCs w:val="28"/>
        </w:rPr>
        <w:t xml:space="preserve"> din activități profesionale, științifice și tehnice – 0,1% (sau 1,2 mil.lei).</w:t>
      </w:r>
    </w:p>
    <w:p w:rsidR="00895280" w:rsidRPr="00651044" w:rsidRDefault="00895280" w:rsidP="00895280">
      <w:pPr>
        <w:pStyle w:val="NoSpacing"/>
        <w:jc w:val="right"/>
      </w:pPr>
      <w:r w:rsidRPr="00651044">
        <w:t>Tabelul 3.3</w:t>
      </w:r>
    </w:p>
    <w:p w:rsidR="00895280" w:rsidRPr="00651044" w:rsidRDefault="00895280" w:rsidP="00895280">
      <w:pPr>
        <w:pStyle w:val="NoSpacing"/>
        <w:jc w:val="center"/>
        <w:rPr>
          <w:b/>
          <w:i/>
        </w:rPr>
      </w:pPr>
      <w:r w:rsidRPr="00651044">
        <w:rPr>
          <w:b/>
          <w:i/>
        </w:rPr>
        <w:t xml:space="preserve">Structura veniturilor din prestarea serviciilor ale societăţilor pe acţiuni, </w:t>
      </w:r>
    </w:p>
    <w:p w:rsidR="00895280" w:rsidRPr="00651044" w:rsidRDefault="00895280" w:rsidP="00895280">
      <w:pPr>
        <w:pStyle w:val="NoSpacing"/>
        <w:jc w:val="center"/>
        <w:rPr>
          <w:b/>
          <w:i/>
          <w:sz w:val="22"/>
          <w:szCs w:val="22"/>
        </w:rPr>
      </w:pPr>
      <w:r w:rsidRPr="00651044">
        <w:rPr>
          <w:b/>
          <w:i/>
        </w:rPr>
        <w:lastRenderedPageBreak/>
        <w:t>în trimestrul II al anului 2016</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1"/>
        <w:gridCol w:w="6478"/>
        <w:gridCol w:w="1158"/>
        <w:gridCol w:w="1445"/>
      </w:tblGrid>
      <w:tr w:rsidR="00895280" w:rsidRPr="004629DE" w:rsidTr="004629DE">
        <w:trPr>
          <w:jc w:val="center"/>
        </w:trPr>
        <w:tc>
          <w:tcPr>
            <w:tcW w:w="571" w:type="dxa"/>
            <w:vAlign w:val="center"/>
          </w:tcPr>
          <w:p w:rsidR="00895280" w:rsidRPr="004629DE" w:rsidRDefault="00895280" w:rsidP="004629DE">
            <w:pPr>
              <w:jc w:val="center"/>
              <w:rPr>
                <w:b/>
                <w:i/>
                <w:iCs/>
                <w:sz w:val="22"/>
                <w:szCs w:val="22"/>
              </w:rPr>
            </w:pPr>
            <w:r w:rsidRPr="004629DE">
              <w:rPr>
                <w:b/>
                <w:i/>
                <w:iCs/>
                <w:sz w:val="22"/>
                <w:szCs w:val="22"/>
              </w:rPr>
              <w:t>Nr.</w:t>
            </w:r>
          </w:p>
        </w:tc>
        <w:tc>
          <w:tcPr>
            <w:tcW w:w="6478" w:type="dxa"/>
            <w:vAlign w:val="center"/>
          </w:tcPr>
          <w:p w:rsidR="00895280" w:rsidRPr="004629DE" w:rsidRDefault="00895280" w:rsidP="004629DE">
            <w:pPr>
              <w:jc w:val="center"/>
              <w:rPr>
                <w:b/>
                <w:i/>
                <w:iCs/>
                <w:sz w:val="22"/>
                <w:szCs w:val="22"/>
              </w:rPr>
            </w:pPr>
            <w:r w:rsidRPr="004629DE">
              <w:rPr>
                <w:b/>
                <w:i/>
                <w:iCs/>
                <w:sz w:val="22"/>
                <w:szCs w:val="22"/>
              </w:rPr>
              <w:t>Componente</w:t>
            </w:r>
          </w:p>
        </w:tc>
        <w:tc>
          <w:tcPr>
            <w:tcW w:w="1158" w:type="dxa"/>
            <w:vAlign w:val="center"/>
          </w:tcPr>
          <w:p w:rsidR="00895280" w:rsidRPr="004629DE" w:rsidRDefault="00895280" w:rsidP="004629DE">
            <w:pPr>
              <w:jc w:val="center"/>
              <w:rPr>
                <w:b/>
                <w:i/>
                <w:iCs/>
                <w:sz w:val="22"/>
                <w:szCs w:val="22"/>
              </w:rPr>
            </w:pPr>
            <w:r w:rsidRPr="004629DE">
              <w:rPr>
                <w:b/>
                <w:i/>
                <w:iCs/>
                <w:sz w:val="22"/>
                <w:szCs w:val="22"/>
              </w:rPr>
              <w:t>Valoarea</w:t>
            </w:r>
          </w:p>
          <w:p w:rsidR="00895280" w:rsidRPr="004629DE" w:rsidRDefault="00895280" w:rsidP="004629DE">
            <w:pPr>
              <w:jc w:val="center"/>
              <w:rPr>
                <w:b/>
                <w:i/>
                <w:iCs/>
                <w:sz w:val="22"/>
                <w:szCs w:val="22"/>
              </w:rPr>
            </w:pPr>
            <w:r w:rsidRPr="004629DE">
              <w:rPr>
                <w:b/>
                <w:i/>
                <w:iCs/>
                <w:sz w:val="22"/>
                <w:szCs w:val="22"/>
              </w:rPr>
              <w:t>(mil. lei)</w:t>
            </w:r>
          </w:p>
        </w:tc>
        <w:tc>
          <w:tcPr>
            <w:tcW w:w="1445" w:type="dxa"/>
            <w:vAlign w:val="center"/>
          </w:tcPr>
          <w:p w:rsidR="00895280" w:rsidRPr="004629DE" w:rsidRDefault="00895280" w:rsidP="004629DE">
            <w:pPr>
              <w:jc w:val="center"/>
              <w:rPr>
                <w:b/>
                <w:bCs/>
                <w:i/>
                <w:sz w:val="22"/>
                <w:szCs w:val="22"/>
              </w:rPr>
            </w:pPr>
            <w:r w:rsidRPr="004629DE">
              <w:rPr>
                <w:b/>
                <w:bCs/>
                <w:i/>
                <w:sz w:val="22"/>
                <w:szCs w:val="22"/>
              </w:rPr>
              <w:t>Ponderea</w:t>
            </w:r>
          </w:p>
          <w:p w:rsidR="00895280" w:rsidRPr="004629DE" w:rsidRDefault="00895280" w:rsidP="004629DE">
            <w:pPr>
              <w:jc w:val="center"/>
              <w:rPr>
                <w:b/>
                <w:bCs/>
                <w:sz w:val="22"/>
                <w:szCs w:val="22"/>
              </w:rPr>
            </w:pPr>
            <w:r w:rsidRPr="004629DE">
              <w:rPr>
                <w:b/>
                <w:bCs/>
                <w:i/>
                <w:sz w:val="22"/>
                <w:szCs w:val="22"/>
              </w:rPr>
              <w:t>(%)</w:t>
            </w:r>
          </w:p>
        </w:tc>
      </w:tr>
      <w:tr w:rsidR="00895280" w:rsidRPr="004629DE" w:rsidTr="004629DE">
        <w:trPr>
          <w:jc w:val="center"/>
        </w:trPr>
        <w:tc>
          <w:tcPr>
            <w:tcW w:w="571" w:type="dxa"/>
          </w:tcPr>
          <w:p w:rsidR="00895280" w:rsidRPr="004629DE" w:rsidRDefault="00895280" w:rsidP="004629DE">
            <w:pPr>
              <w:jc w:val="center"/>
              <w:rPr>
                <w:b/>
                <w:sz w:val="22"/>
                <w:szCs w:val="22"/>
              </w:rPr>
            </w:pPr>
            <w:r w:rsidRPr="004629DE">
              <w:rPr>
                <w:b/>
                <w:sz w:val="22"/>
                <w:szCs w:val="22"/>
              </w:rPr>
              <w:t>1.</w:t>
            </w:r>
          </w:p>
        </w:tc>
        <w:tc>
          <w:tcPr>
            <w:tcW w:w="6478" w:type="dxa"/>
          </w:tcPr>
          <w:p w:rsidR="00895280" w:rsidRPr="004629DE" w:rsidRDefault="00895280" w:rsidP="00895280">
            <w:pPr>
              <w:rPr>
                <w:sz w:val="22"/>
                <w:szCs w:val="22"/>
              </w:rPr>
            </w:pPr>
            <w:r w:rsidRPr="004629DE">
              <w:rPr>
                <w:sz w:val="22"/>
                <w:szCs w:val="22"/>
              </w:rPr>
              <w:t>Industria prelucrătoare</w:t>
            </w:r>
          </w:p>
        </w:tc>
        <w:tc>
          <w:tcPr>
            <w:tcW w:w="1158" w:type="dxa"/>
          </w:tcPr>
          <w:p w:rsidR="00895280" w:rsidRPr="004629DE" w:rsidRDefault="00895280" w:rsidP="004629DE">
            <w:pPr>
              <w:jc w:val="center"/>
              <w:rPr>
                <w:sz w:val="22"/>
                <w:szCs w:val="22"/>
              </w:rPr>
            </w:pPr>
            <w:r w:rsidRPr="004629DE">
              <w:rPr>
                <w:sz w:val="22"/>
                <w:szCs w:val="22"/>
              </w:rPr>
              <w:t>1,7</w:t>
            </w:r>
          </w:p>
        </w:tc>
        <w:tc>
          <w:tcPr>
            <w:tcW w:w="1445" w:type="dxa"/>
          </w:tcPr>
          <w:p w:rsidR="00895280" w:rsidRPr="004629DE" w:rsidRDefault="00895280" w:rsidP="004629DE">
            <w:pPr>
              <w:jc w:val="center"/>
              <w:rPr>
                <w:bCs/>
                <w:sz w:val="22"/>
                <w:szCs w:val="22"/>
              </w:rPr>
            </w:pPr>
            <w:r w:rsidRPr="004629DE">
              <w:rPr>
                <w:bCs/>
                <w:sz w:val="22"/>
                <w:szCs w:val="22"/>
              </w:rPr>
              <w:t>0,2</w:t>
            </w:r>
          </w:p>
        </w:tc>
      </w:tr>
      <w:tr w:rsidR="00895280" w:rsidRPr="004629DE" w:rsidTr="004629DE">
        <w:trPr>
          <w:jc w:val="center"/>
        </w:trPr>
        <w:tc>
          <w:tcPr>
            <w:tcW w:w="571" w:type="dxa"/>
          </w:tcPr>
          <w:p w:rsidR="00895280" w:rsidRPr="004629DE" w:rsidRDefault="00895280" w:rsidP="004629DE">
            <w:pPr>
              <w:jc w:val="center"/>
              <w:rPr>
                <w:b/>
                <w:sz w:val="22"/>
                <w:szCs w:val="22"/>
              </w:rPr>
            </w:pPr>
            <w:r w:rsidRPr="004629DE">
              <w:rPr>
                <w:b/>
                <w:sz w:val="22"/>
                <w:szCs w:val="22"/>
              </w:rPr>
              <w:t>2.</w:t>
            </w:r>
          </w:p>
        </w:tc>
        <w:tc>
          <w:tcPr>
            <w:tcW w:w="6478" w:type="dxa"/>
          </w:tcPr>
          <w:p w:rsidR="00895280" w:rsidRPr="004629DE" w:rsidRDefault="00895280" w:rsidP="00895280">
            <w:pPr>
              <w:rPr>
                <w:sz w:val="22"/>
                <w:szCs w:val="22"/>
              </w:rPr>
            </w:pPr>
            <w:r w:rsidRPr="004629DE">
              <w:rPr>
                <w:sz w:val="22"/>
                <w:szCs w:val="22"/>
              </w:rPr>
              <w:t>Producţia şi furnizarea de energie electrică şi termică, gaze, apă caldă</w:t>
            </w:r>
          </w:p>
        </w:tc>
        <w:tc>
          <w:tcPr>
            <w:tcW w:w="1158" w:type="dxa"/>
          </w:tcPr>
          <w:p w:rsidR="00895280" w:rsidRPr="004629DE" w:rsidRDefault="00895280" w:rsidP="004629DE">
            <w:pPr>
              <w:jc w:val="center"/>
              <w:rPr>
                <w:sz w:val="22"/>
                <w:szCs w:val="22"/>
              </w:rPr>
            </w:pPr>
            <w:r w:rsidRPr="004629DE">
              <w:rPr>
                <w:sz w:val="22"/>
                <w:szCs w:val="22"/>
              </w:rPr>
              <w:t>196,6</w:t>
            </w:r>
          </w:p>
        </w:tc>
        <w:tc>
          <w:tcPr>
            <w:tcW w:w="1445" w:type="dxa"/>
          </w:tcPr>
          <w:p w:rsidR="00895280" w:rsidRPr="004629DE" w:rsidRDefault="00895280" w:rsidP="004629DE">
            <w:pPr>
              <w:jc w:val="center"/>
              <w:rPr>
                <w:bCs/>
                <w:sz w:val="22"/>
                <w:szCs w:val="22"/>
              </w:rPr>
            </w:pPr>
            <w:r w:rsidRPr="004629DE">
              <w:rPr>
                <w:bCs/>
                <w:sz w:val="22"/>
                <w:szCs w:val="22"/>
              </w:rPr>
              <w:t>23,5</w:t>
            </w:r>
          </w:p>
        </w:tc>
      </w:tr>
      <w:tr w:rsidR="00895280" w:rsidRPr="004629DE" w:rsidTr="004629DE">
        <w:trPr>
          <w:jc w:val="center"/>
        </w:trPr>
        <w:tc>
          <w:tcPr>
            <w:tcW w:w="571" w:type="dxa"/>
          </w:tcPr>
          <w:p w:rsidR="00895280" w:rsidRPr="004629DE" w:rsidRDefault="00895280" w:rsidP="004629DE">
            <w:pPr>
              <w:jc w:val="center"/>
              <w:rPr>
                <w:b/>
                <w:sz w:val="22"/>
                <w:szCs w:val="22"/>
              </w:rPr>
            </w:pPr>
            <w:r w:rsidRPr="004629DE">
              <w:rPr>
                <w:b/>
                <w:sz w:val="22"/>
                <w:szCs w:val="22"/>
              </w:rPr>
              <w:t>3.</w:t>
            </w:r>
          </w:p>
        </w:tc>
        <w:tc>
          <w:tcPr>
            <w:tcW w:w="6478" w:type="dxa"/>
          </w:tcPr>
          <w:p w:rsidR="00895280" w:rsidRPr="004629DE" w:rsidRDefault="00895280" w:rsidP="00895280">
            <w:pPr>
              <w:rPr>
                <w:sz w:val="22"/>
                <w:szCs w:val="22"/>
              </w:rPr>
            </w:pPr>
            <w:r w:rsidRPr="004629DE">
              <w:rPr>
                <w:sz w:val="22"/>
                <w:szCs w:val="22"/>
              </w:rPr>
              <w:t>Construcţii</w:t>
            </w:r>
          </w:p>
        </w:tc>
        <w:tc>
          <w:tcPr>
            <w:tcW w:w="1158" w:type="dxa"/>
          </w:tcPr>
          <w:p w:rsidR="00895280" w:rsidRPr="004629DE" w:rsidRDefault="00895280" w:rsidP="004629DE">
            <w:pPr>
              <w:jc w:val="center"/>
              <w:rPr>
                <w:sz w:val="22"/>
                <w:szCs w:val="22"/>
              </w:rPr>
            </w:pPr>
            <w:r w:rsidRPr="004629DE">
              <w:rPr>
                <w:sz w:val="22"/>
                <w:szCs w:val="22"/>
              </w:rPr>
              <w:t>63,6</w:t>
            </w:r>
          </w:p>
        </w:tc>
        <w:tc>
          <w:tcPr>
            <w:tcW w:w="1445" w:type="dxa"/>
          </w:tcPr>
          <w:p w:rsidR="00895280" w:rsidRPr="004629DE" w:rsidRDefault="00895280" w:rsidP="004629DE">
            <w:pPr>
              <w:jc w:val="center"/>
              <w:rPr>
                <w:bCs/>
                <w:sz w:val="22"/>
                <w:szCs w:val="22"/>
              </w:rPr>
            </w:pPr>
            <w:r w:rsidRPr="004629DE">
              <w:rPr>
                <w:bCs/>
                <w:sz w:val="22"/>
                <w:szCs w:val="22"/>
              </w:rPr>
              <w:t>7,6</w:t>
            </w:r>
          </w:p>
        </w:tc>
      </w:tr>
      <w:tr w:rsidR="00895280" w:rsidRPr="004629DE" w:rsidTr="004629DE">
        <w:trPr>
          <w:jc w:val="center"/>
        </w:trPr>
        <w:tc>
          <w:tcPr>
            <w:tcW w:w="571" w:type="dxa"/>
          </w:tcPr>
          <w:p w:rsidR="00895280" w:rsidRPr="004629DE" w:rsidRDefault="00895280" w:rsidP="004629DE">
            <w:pPr>
              <w:jc w:val="center"/>
              <w:rPr>
                <w:b/>
                <w:sz w:val="22"/>
                <w:szCs w:val="22"/>
              </w:rPr>
            </w:pPr>
            <w:r w:rsidRPr="004629DE">
              <w:rPr>
                <w:b/>
                <w:sz w:val="22"/>
                <w:szCs w:val="22"/>
              </w:rPr>
              <w:t>4.</w:t>
            </w:r>
          </w:p>
        </w:tc>
        <w:tc>
          <w:tcPr>
            <w:tcW w:w="6478" w:type="dxa"/>
          </w:tcPr>
          <w:p w:rsidR="00895280" w:rsidRPr="004629DE" w:rsidRDefault="00895280" w:rsidP="00895280">
            <w:pPr>
              <w:rPr>
                <w:sz w:val="22"/>
                <w:szCs w:val="22"/>
              </w:rPr>
            </w:pPr>
            <w:r w:rsidRPr="004629DE">
              <w:rPr>
                <w:sz w:val="22"/>
                <w:szCs w:val="22"/>
              </w:rPr>
              <w:t>Transport şi depozitare</w:t>
            </w:r>
          </w:p>
        </w:tc>
        <w:tc>
          <w:tcPr>
            <w:tcW w:w="1158" w:type="dxa"/>
          </w:tcPr>
          <w:p w:rsidR="00895280" w:rsidRPr="004629DE" w:rsidRDefault="00895280" w:rsidP="004629DE">
            <w:pPr>
              <w:jc w:val="center"/>
              <w:rPr>
                <w:sz w:val="22"/>
                <w:szCs w:val="22"/>
              </w:rPr>
            </w:pPr>
            <w:r w:rsidRPr="004629DE">
              <w:rPr>
                <w:sz w:val="22"/>
                <w:szCs w:val="22"/>
              </w:rPr>
              <w:t>4,9</w:t>
            </w:r>
          </w:p>
        </w:tc>
        <w:tc>
          <w:tcPr>
            <w:tcW w:w="1445" w:type="dxa"/>
          </w:tcPr>
          <w:p w:rsidR="00895280" w:rsidRPr="004629DE" w:rsidRDefault="00895280" w:rsidP="004629DE">
            <w:pPr>
              <w:jc w:val="center"/>
              <w:rPr>
                <w:bCs/>
                <w:sz w:val="22"/>
                <w:szCs w:val="22"/>
              </w:rPr>
            </w:pPr>
            <w:r w:rsidRPr="004629DE">
              <w:rPr>
                <w:bCs/>
                <w:sz w:val="22"/>
                <w:szCs w:val="22"/>
              </w:rPr>
              <w:t>0,56</w:t>
            </w:r>
          </w:p>
        </w:tc>
      </w:tr>
      <w:tr w:rsidR="00895280" w:rsidRPr="004629DE" w:rsidTr="004629DE">
        <w:trPr>
          <w:jc w:val="center"/>
        </w:trPr>
        <w:tc>
          <w:tcPr>
            <w:tcW w:w="571" w:type="dxa"/>
          </w:tcPr>
          <w:p w:rsidR="00895280" w:rsidRPr="004629DE" w:rsidRDefault="00895280" w:rsidP="004629DE">
            <w:pPr>
              <w:jc w:val="center"/>
              <w:rPr>
                <w:b/>
                <w:sz w:val="22"/>
                <w:szCs w:val="22"/>
              </w:rPr>
            </w:pPr>
            <w:r w:rsidRPr="004629DE">
              <w:rPr>
                <w:b/>
                <w:sz w:val="22"/>
                <w:szCs w:val="22"/>
              </w:rPr>
              <w:t>5.</w:t>
            </w:r>
          </w:p>
        </w:tc>
        <w:tc>
          <w:tcPr>
            <w:tcW w:w="6478" w:type="dxa"/>
          </w:tcPr>
          <w:p w:rsidR="00895280" w:rsidRPr="004629DE" w:rsidRDefault="00895280" w:rsidP="00895280">
            <w:pPr>
              <w:rPr>
                <w:sz w:val="22"/>
                <w:szCs w:val="22"/>
              </w:rPr>
            </w:pPr>
            <w:r w:rsidRPr="004629DE">
              <w:rPr>
                <w:sz w:val="22"/>
                <w:szCs w:val="22"/>
              </w:rPr>
              <w:t>Hoteluri şi restaurante</w:t>
            </w:r>
          </w:p>
        </w:tc>
        <w:tc>
          <w:tcPr>
            <w:tcW w:w="1158" w:type="dxa"/>
          </w:tcPr>
          <w:p w:rsidR="00895280" w:rsidRPr="004629DE" w:rsidRDefault="00895280" w:rsidP="004629DE">
            <w:pPr>
              <w:jc w:val="center"/>
              <w:rPr>
                <w:sz w:val="22"/>
                <w:szCs w:val="22"/>
              </w:rPr>
            </w:pPr>
            <w:r w:rsidRPr="004629DE">
              <w:rPr>
                <w:sz w:val="22"/>
                <w:szCs w:val="22"/>
              </w:rPr>
              <w:t>0,6</w:t>
            </w:r>
          </w:p>
        </w:tc>
        <w:tc>
          <w:tcPr>
            <w:tcW w:w="1445" w:type="dxa"/>
          </w:tcPr>
          <w:p w:rsidR="00895280" w:rsidRPr="004629DE" w:rsidRDefault="00895280" w:rsidP="004629DE">
            <w:pPr>
              <w:jc w:val="center"/>
              <w:rPr>
                <w:bCs/>
                <w:sz w:val="22"/>
                <w:szCs w:val="22"/>
              </w:rPr>
            </w:pPr>
            <w:r w:rsidRPr="004629DE">
              <w:rPr>
                <w:bCs/>
                <w:sz w:val="22"/>
                <w:szCs w:val="22"/>
              </w:rPr>
              <w:t>0,1</w:t>
            </w:r>
          </w:p>
        </w:tc>
      </w:tr>
      <w:tr w:rsidR="00895280" w:rsidRPr="004629DE" w:rsidTr="004629DE">
        <w:trPr>
          <w:jc w:val="center"/>
        </w:trPr>
        <w:tc>
          <w:tcPr>
            <w:tcW w:w="571" w:type="dxa"/>
          </w:tcPr>
          <w:p w:rsidR="00895280" w:rsidRPr="004629DE" w:rsidRDefault="00895280" w:rsidP="004629DE">
            <w:pPr>
              <w:jc w:val="center"/>
              <w:rPr>
                <w:b/>
                <w:sz w:val="22"/>
                <w:szCs w:val="22"/>
              </w:rPr>
            </w:pPr>
            <w:r w:rsidRPr="004629DE">
              <w:rPr>
                <w:b/>
                <w:sz w:val="22"/>
                <w:szCs w:val="22"/>
              </w:rPr>
              <w:t>6.</w:t>
            </w:r>
          </w:p>
        </w:tc>
        <w:tc>
          <w:tcPr>
            <w:tcW w:w="6478" w:type="dxa"/>
          </w:tcPr>
          <w:p w:rsidR="00895280" w:rsidRPr="004629DE" w:rsidRDefault="00895280" w:rsidP="00895280">
            <w:pPr>
              <w:rPr>
                <w:sz w:val="22"/>
                <w:szCs w:val="22"/>
              </w:rPr>
            </w:pPr>
            <w:r w:rsidRPr="004629DE">
              <w:rPr>
                <w:sz w:val="22"/>
                <w:szCs w:val="22"/>
              </w:rPr>
              <w:t>Informaţii şi comunicaţii</w:t>
            </w:r>
          </w:p>
        </w:tc>
        <w:tc>
          <w:tcPr>
            <w:tcW w:w="1158" w:type="dxa"/>
          </w:tcPr>
          <w:p w:rsidR="00895280" w:rsidRPr="004629DE" w:rsidRDefault="00895280" w:rsidP="004629DE">
            <w:pPr>
              <w:jc w:val="center"/>
              <w:rPr>
                <w:sz w:val="22"/>
                <w:szCs w:val="22"/>
              </w:rPr>
            </w:pPr>
            <w:r w:rsidRPr="004629DE">
              <w:rPr>
                <w:sz w:val="22"/>
                <w:szCs w:val="22"/>
              </w:rPr>
              <w:t>561,9</w:t>
            </w:r>
          </w:p>
        </w:tc>
        <w:tc>
          <w:tcPr>
            <w:tcW w:w="1445" w:type="dxa"/>
          </w:tcPr>
          <w:p w:rsidR="00895280" w:rsidRPr="004629DE" w:rsidRDefault="00895280" w:rsidP="004629DE">
            <w:pPr>
              <w:jc w:val="center"/>
              <w:rPr>
                <w:bCs/>
                <w:sz w:val="22"/>
                <w:szCs w:val="22"/>
              </w:rPr>
            </w:pPr>
            <w:r w:rsidRPr="004629DE">
              <w:rPr>
                <w:bCs/>
                <w:sz w:val="22"/>
                <w:szCs w:val="22"/>
              </w:rPr>
              <w:t>67,1</w:t>
            </w:r>
          </w:p>
        </w:tc>
      </w:tr>
      <w:tr w:rsidR="00895280" w:rsidRPr="004629DE" w:rsidTr="004629DE">
        <w:trPr>
          <w:jc w:val="center"/>
        </w:trPr>
        <w:tc>
          <w:tcPr>
            <w:tcW w:w="571" w:type="dxa"/>
          </w:tcPr>
          <w:p w:rsidR="00895280" w:rsidRPr="004629DE" w:rsidRDefault="00895280" w:rsidP="004629DE">
            <w:pPr>
              <w:jc w:val="center"/>
              <w:rPr>
                <w:b/>
                <w:sz w:val="22"/>
                <w:szCs w:val="22"/>
              </w:rPr>
            </w:pPr>
            <w:r w:rsidRPr="004629DE">
              <w:rPr>
                <w:b/>
                <w:sz w:val="22"/>
                <w:szCs w:val="22"/>
              </w:rPr>
              <w:t>7.</w:t>
            </w:r>
          </w:p>
        </w:tc>
        <w:tc>
          <w:tcPr>
            <w:tcW w:w="6478" w:type="dxa"/>
          </w:tcPr>
          <w:p w:rsidR="00895280" w:rsidRPr="004629DE" w:rsidRDefault="00895280" w:rsidP="00895280">
            <w:pPr>
              <w:rPr>
                <w:sz w:val="22"/>
                <w:szCs w:val="22"/>
              </w:rPr>
            </w:pPr>
            <w:r w:rsidRPr="004629DE">
              <w:rPr>
                <w:sz w:val="22"/>
                <w:szCs w:val="22"/>
              </w:rPr>
              <w:t>Tranzacţii imobiliare</w:t>
            </w:r>
          </w:p>
        </w:tc>
        <w:tc>
          <w:tcPr>
            <w:tcW w:w="1158" w:type="dxa"/>
          </w:tcPr>
          <w:p w:rsidR="00895280" w:rsidRPr="004629DE" w:rsidRDefault="00895280" w:rsidP="004629DE">
            <w:pPr>
              <w:jc w:val="center"/>
              <w:rPr>
                <w:sz w:val="22"/>
                <w:szCs w:val="22"/>
              </w:rPr>
            </w:pPr>
            <w:r w:rsidRPr="004629DE">
              <w:rPr>
                <w:sz w:val="22"/>
                <w:szCs w:val="22"/>
              </w:rPr>
              <w:t>1,4</w:t>
            </w:r>
          </w:p>
        </w:tc>
        <w:tc>
          <w:tcPr>
            <w:tcW w:w="1445" w:type="dxa"/>
          </w:tcPr>
          <w:p w:rsidR="00895280" w:rsidRPr="004629DE" w:rsidRDefault="00895280" w:rsidP="004629DE">
            <w:pPr>
              <w:jc w:val="center"/>
              <w:rPr>
                <w:bCs/>
                <w:sz w:val="22"/>
                <w:szCs w:val="22"/>
              </w:rPr>
            </w:pPr>
            <w:r w:rsidRPr="004629DE">
              <w:rPr>
                <w:bCs/>
                <w:sz w:val="22"/>
                <w:szCs w:val="22"/>
              </w:rPr>
              <w:t>0,2</w:t>
            </w:r>
          </w:p>
        </w:tc>
      </w:tr>
      <w:tr w:rsidR="00895280" w:rsidRPr="004629DE" w:rsidTr="004629DE">
        <w:trPr>
          <w:jc w:val="center"/>
        </w:trPr>
        <w:tc>
          <w:tcPr>
            <w:tcW w:w="571" w:type="dxa"/>
          </w:tcPr>
          <w:p w:rsidR="00895280" w:rsidRPr="004629DE" w:rsidRDefault="00895280" w:rsidP="004629DE">
            <w:pPr>
              <w:jc w:val="center"/>
              <w:rPr>
                <w:b/>
                <w:sz w:val="22"/>
                <w:szCs w:val="22"/>
              </w:rPr>
            </w:pPr>
            <w:r w:rsidRPr="004629DE">
              <w:rPr>
                <w:b/>
                <w:sz w:val="22"/>
                <w:szCs w:val="22"/>
              </w:rPr>
              <w:t>8.</w:t>
            </w:r>
          </w:p>
        </w:tc>
        <w:tc>
          <w:tcPr>
            <w:tcW w:w="6478" w:type="dxa"/>
          </w:tcPr>
          <w:p w:rsidR="00895280" w:rsidRPr="004629DE" w:rsidRDefault="00895280" w:rsidP="00895280">
            <w:pPr>
              <w:rPr>
                <w:sz w:val="22"/>
                <w:szCs w:val="22"/>
              </w:rPr>
            </w:pPr>
            <w:r w:rsidRPr="004629DE">
              <w:rPr>
                <w:sz w:val="22"/>
                <w:szCs w:val="22"/>
              </w:rPr>
              <w:t>Activităţi profesionale, ştiinţifice şi tehnice</w:t>
            </w:r>
          </w:p>
        </w:tc>
        <w:tc>
          <w:tcPr>
            <w:tcW w:w="1158" w:type="dxa"/>
          </w:tcPr>
          <w:p w:rsidR="00895280" w:rsidRPr="004629DE" w:rsidRDefault="00895280" w:rsidP="004629DE">
            <w:pPr>
              <w:jc w:val="center"/>
              <w:rPr>
                <w:sz w:val="22"/>
                <w:szCs w:val="22"/>
              </w:rPr>
            </w:pPr>
            <w:r w:rsidRPr="004629DE">
              <w:rPr>
                <w:sz w:val="22"/>
                <w:szCs w:val="22"/>
              </w:rPr>
              <w:t>1,2</w:t>
            </w:r>
          </w:p>
        </w:tc>
        <w:tc>
          <w:tcPr>
            <w:tcW w:w="1445" w:type="dxa"/>
          </w:tcPr>
          <w:p w:rsidR="00895280" w:rsidRPr="004629DE" w:rsidRDefault="00895280" w:rsidP="004629DE">
            <w:pPr>
              <w:jc w:val="center"/>
              <w:rPr>
                <w:bCs/>
                <w:sz w:val="22"/>
                <w:szCs w:val="22"/>
              </w:rPr>
            </w:pPr>
            <w:r w:rsidRPr="004629DE">
              <w:rPr>
                <w:bCs/>
                <w:sz w:val="22"/>
                <w:szCs w:val="22"/>
              </w:rPr>
              <w:t>0,1</w:t>
            </w:r>
          </w:p>
        </w:tc>
      </w:tr>
      <w:tr w:rsidR="00895280" w:rsidRPr="004629DE" w:rsidTr="004629DE">
        <w:trPr>
          <w:jc w:val="center"/>
        </w:trPr>
        <w:tc>
          <w:tcPr>
            <w:tcW w:w="571" w:type="dxa"/>
          </w:tcPr>
          <w:p w:rsidR="00895280" w:rsidRPr="004629DE" w:rsidRDefault="00895280" w:rsidP="00895280">
            <w:pPr>
              <w:rPr>
                <w:b/>
                <w:sz w:val="22"/>
                <w:szCs w:val="22"/>
              </w:rPr>
            </w:pPr>
            <w:r w:rsidRPr="004629DE">
              <w:rPr>
                <w:b/>
                <w:sz w:val="22"/>
                <w:szCs w:val="22"/>
              </w:rPr>
              <w:t xml:space="preserve">  9.</w:t>
            </w:r>
          </w:p>
        </w:tc>
        <w:tc>
          <w:tcPr>
            <w:tcW w:w="6478" w:type="dxa"/>
          </w:tcPr>
          <w:p w:rsidR="00895280" w:rsidRPr="004629DE" w:rsidRDefault="00895280" w:rsidP="00895280">
            <w:pPr>
              <w:rPr>
                <w:sz w:val="22"/>
                <w:szCs w:val="22"/>
              </w:rPr>
            </w:pPr>
            <w:r w:rsidRPr="004629DE">
              <w:rPr>
                <w:sz w:val="22"/>
                <w:szCs w:val="22"/>
              </w:rPr>
              <w:t>Activităţi de servicii administrative şi activităţi de servicii suport</w:t>
            </w:r>
          </w:p>
        </w:tc>
        <w:tc>
          <w:tcPr>
            <w:tcW w:w="1158" w:type="dxa"/>
          </w:tcPr>
          <w:p w:rsidR="00895280" w:rsidRPr="004629DE" w:rsidRDefault="00895280" w:rsidP="004629DE">
            <w:pPr>
              <w:jc w:val="center"/>
              <w:rPr>
                <w:sz w:val="22"/>
                <w:szCs w:val="22"/>
              </w:rPr>
            </w:pPr>
            <w:r w:rsidRPr="004629DE">
              <w:rPr>
                <w:sz w:val="22"/>
                <w:szCs w:val="22"/>
              </w:rPr>
              <w:t>0,4</w:t>
            </w:r>
          </w:p>
        </w:tc>
        <w:tc>
          <w:tcPr>
            <w:tcW w:w="1445" w:type="dxa"/>
          </w:tcPr>
          <w:p w:rsidR="00895280" w:rsidRPr="004629DE" w:rsidRDefault="00895280" w:rsidP="004629DE">
            <w:pPr>
              <w:jc w:val="center"/>
              <w:rPr>
                <w:bCs/>
                <w:sz w:val="22"/>
                <w:szCs w:val="22"/>
              </w:rPr>
            </w:pPr>
            <w:r w:rsidRPr="004629DE">
              <w:rPr>
                <w:bCs/>
                <w:sz w:val="22"/>
                <w:szCs w:val="22"/>
              </w:rPr>
              <w:t>0,04</w:t>
            </w:r>
          </w:p>
        </w:tc>
      </w:tr>
      <w:tr w:rsidR="00895280" w:rsidRPr="004629DE" w:rsidTr="004629DE">
        <w:trPr>
          <w:jc w:val="center"/>
        </w:trPr>
        <w:tc>
          <w:tcPr>
            <w:tcW w:w="571" w:type="dxa"/>
          </w:tcPr>
          <w:p w:rsidR="00895280" w:rsidRPr="004629DE" w:rsidRDefault="00895280" w:rsidP="004629DE">
            <w:pPr>
              <w:jc w:val="center"/>
              <w:rPr>
                <w:b/>
                <w:sz w:val="22"/>
                <w:szCs w:val="22"/>
              </w:rPr>
            </w:pPr>
            <w:r w:rsidRPr="004629DE">
              <w:rPr>
                <w:b/>
                <w:sz w:val="22"/>
                <w:szCs w:val="22"/>
              </w:rPr>
              <w:t>10.</w:t>
            </w:r>
          </w:p>
        </w:tc>
        <w:tc>
          <w:tcPr>
            <w:tcW w:w="6478" w:type="dxa"/>
          </w:tcPr>
          <w:p w:rsidR="00895280" w:rsidRPr="004629DE" w:rsidRDefault="00895280" w:rsidP="00895280">
            <w:pPr>
              <w:rPr>
                <w:sz w:val="22"/>
                <w:szCs w:val="22"/>
              </w:rPr>
            </w:pPr>
            <w:r w:rsidRPr="004629DE">
              <w:rPr>
                <w:sz w:val="22"/>
                <w:szCs w:val="22"/>
              </w:rPr>
              <w:t>Activităţi culturale şi de agrement</w:t>
            </w:r>
          </w:p>
        </w:tc>
        <w:tc>
          <w:tcPr>
            <w:tcW w:w="1158" w:type="dxa"/>
          </w:tcPr>
          <w:p w:rsidR="00895280" w:rsidRPr="004629DE" w:rsidRDefault="00895280" w:rsidP="004629DE">
            <w:pPr>
              <w:jc w:val="center"/>
              <w:rPr>
                <w:sz w:val="22"/>
                <w:szCs w:val="22"/>
              </w:rPr>
            </w:pPr>
            <w:r w:rsidRPr="004629DE">
              <w:rPr>
                <w:sz w:val="22"/>
                <w:szCs w:val="22"/>
              </w:rPr>
              <w:t>5,0</w:t>
            </w:r>
          </w:p>
        </w:tc>
        <w:tc>
          <w:tcPr>
            <w:tcW w:w="1445" w:type="dxa"/>
          </w:tcPr>
          <w:p w:rsidR="00895280" w:rsidRPr="004629DE" w:rsidRDefault="00895280" w:rsidP="004629DE">
            <w:pPr>
              <w:jc w:val="center"/>
              <w:rPr>
                <w:bCs/>
                <w:sz w:val="22"/>
                <w:szCs w:val="22"/>
              </w:rPr>
            </w:pPr>
            <w:r w:rsidRPr="004629DE">
              <w:rPr>
                <w:bCs/>
                <w:sz w:val="22"/>
                <w:szCs w:val="22"/>
              </w:rPr>
              <w:t>0,6</w:t>
            </w:r>
          </w:p>
        </w:tc>
      </w:tr>
      <w:tr w:rsidR="00895280" w:rsidRPr="004629DE" w:rsidTr="004629DE">
        <w:trPr>
          <w:jc w:val="center"/>
        </w:trPr>
        <w:tc>
          <w:tcPr>
            <w:tcW w:w="571" w:type="dxa"/>
          </w:tcPr>
          <w:p w:rsidR="00895280" w:rsidRPr="004629DE" w:rsidRDefault="00895280" w:rsidP="004629DE">
            <w:pPr>
              <w:jc w:val="center"/>
              <w:rPr>
                <w:b/>
                <w:sz w:val="22"/>
                <w:szCs w:val="22"/>
              </w:rPr>
            </w:pPr>
          </w:p>
        </w:tc>
        <w:tc>
          <w:tcPr>
            <w:tcW w:w="6478" w:type="dxa"/>
          </w:tcPr>
          <w:p w:rsidR="00895280" w:rsidRPr="004629DE" w:rsidRDefault="00895280" w:rsidP="00895280">
            <w:pPr>
              <w:rPr>
                <w:b/>
                <w:sz w:val="22"/>
                <w:szCs w:val="22"/>
              </w:rPr>
            </w:pPr>
            <w:r w:rsidRPr="004629DE">
              <w:rPr>
                <w:b/>
                <w:sz w:val="22"/>
                <w:szCs w:val="22"/>
              </w:rPr>
              <w:t>Total</w:t>
            </w:r>
          </w:p>
        </w:tc>
        <w:tc>
          <w:tcPr>
            <w:tcW w:w="1158" w:type="dxa"/>
          </w:tcPr>
          <w:p w:rsidR="00895280" w:rsidRPr="004629DE" w:rsidRDefault="00895280" w:rsidP="004629DE">
            <w:pPr>
              <w:jc w:val="center"/>
              <w:rPr>
                <w:b/>
                <w:sz w:val="22"/>
                <w:szCs w:val="22"/>
              </w:rPr>
            </w:pPr>
            <w:r w:rsidRPr="004629DE">
              <w:rPr>
                <w:b/>
                <w:sz w:val="22"/>
                <w:szCs w:val="22"/>
              </w:rPr>
              <w:t>837,3</w:t>
            </w:r>
          </w:p>
        </w:tc>
        <w:tc>
          <w:tcPr>
            <w:tcW w:w="1445" w:type="dxa"/>
          </w:tcPr>
          <w:p w:rsidR="00895280" w:rsidRPr="004629DE" w:rsidRDefault="00E4660A" w:rsidP="004629DE">
            <w:pPr>
              <w:jc w:val="center"/>
              <w:rPr>
                <w:b/>
                <w:bCs/>
                <w:sz w:val="22"/>
                <w:szCs w:val="22"/>
              </w:rPr>
            </w:pPr>
            <w:r w:rsidRPr="004629DE">
              <w:rPr>
                <w:b/>
                <w:bCs/>
                <w:sz w:val="22"/>
                <w:szCs w:val="22"/>
              </w:rPr>
              <w:t>100</w:t>
            </w:r>
          </w:p>
        </w:tc>
      </w:tr>
    </w:tbl>
    <w:p w:rsidR="00895280" w:rsidRPr="00651044" w:rsidRDefault="00895280" w:rsidP="00895280">
      <w:pPr>
        <w:spacing w:line="276" w:lineRule="auto"/>
        <w:ind w:firstLine="708"/>
        <w:jc w:val="both"/>
        <w:rPr>
          <w:sz w:val="28"/>
          <w:szCs w:val="28"/>
        </w:rPr>
      </w:pPr>
    </w:p>
    <w:p w:rsidR="00651044" w:rsidRDefault="00895280" w:rsidP="00651044">
      <w:pPr>
        <w:spacing w:line="276" w:lineRule="auto"/>
        <w:ind w:firstLine="567"/>
        <w:jc w:val="both"/>
        <w:rPr>
          <w:sz w:val="28"/>
          <w:szCs w:val="28"/>
        </w:rPr>
      </w:pPr>
      <w:r w:rsidRPr="00651044">
        <w:rPr>
          <w:sz w:val="28"/>
          <w:szCs w:val="28"/>
        </w:rPr>
        <w:t>Totodată, este de menţionat că pentru mărfurile vîndute în trimestrul II al anului curent, societăţile pe acţiuni au suportat un cost de procurare al acestora în mărime de 1202,9 mil. lei.</w:t>
      </w:r>
    </w:p>
    <w:p w:rsidR="00651044" w:rsidRDefault="00E4660A" w:rsidP="00651044">
      <w:pPr>
        <w:spacing w:line="276" w:lineRule="auto"/>
        <w:ind w:firstLine="567"/>
        <w:jc w:val="both"/>
        <w:rPr>
          <w:sz w:val="28"/>
          <w:szCs w:val="28"/>
        </w:rPr>
      </w:pPr>
      <w:r>
        <w:rPr>
          <w:sz w:val="28"/>
          <w:szCs w:val="28"/>
        </w:rPr>
        <w:t>În continuare, a</w:t>
      </w:r>
      <w:r w:rsidR="00895280" w:rsidRPr="00651044">
        <w:rPr>
          <w:sz w:val="28"/>
          <w:szCs w:val="28"/>
        </w:rPr>
        <w:t>nalizînd datele cumulative din raportul „Cercetare statistică trimestrială Nr. 5-CI „Consumurile, cheltuielile şi investiţiile întreprinderii” pentru trimestrul I și trimestrul II al anului 2016, se constată că, la data de 30 iunie 2016, societățile pe acțiuni aveau înregistrate costuri şi cheltuieli aferente activităţii desfăşurate în 6 luni ale anului 2016 în sumă de 3965,9 mil. lei. Potrivit bazei comparabile, mărimea costurilor şi cheltuielilor înregistrate este de 3895,6 mil. lei şi s-au micșorat cu 296,0 mil. lei faţă de semestrul I al anului 2015.</w:t>
      </w:r>
    </w:p>
    <w:p w:rsidR="00651044" w:rsidRDefault="00E4660A" w:rsidP="00651044">
      <w:pPr>
        <w:spacing w:line="276" w:lineRule="auto"/>
        <w:ind w:firstLine="567"/>
        <w:jc w:val="both"/>
        <w:rPr>
          <w:sz w:val="28"/>
          <w:szCs w:val="28"/>
        </w:rPr>
      </w:pPr>
      <w:r>
        <w:rPr>
          <w:sz w:val="28"/>
          <w:szCs w:val="28"/>
        </w:rPr>
        <w:t>P</w:t>
      </w:r>
      <w:r w:rsidR="00895280" w:rsidRPr="00651044">
        <w:rPr>
          <w:sz w:val="28"/>
          <w:szCs w:val="28"/>
        </w:rPr>
        <w:t>otrivit datelor raportului „Cercetare statistică trimestrială Nr. 5-CI „Consumurile, cheltuielile şi investiţiile întreprinderii”, în trimestrul II al anului gestionar, societățile pe acțiuni aveau înregistrate costuri şi cheltuieli în valoare de                 1721,1 mil. lei</w:t>
      </w:r>
      <w:r>
        <w:rPr>
          <w:sz w:val="28"/>
          <w:szCs w:val="28"/>
        </w:rPr>
        <w:t>,</w:t>
      </w:r>
      <w:r w:rsidR="00895280" w:rsidRPr="00651044">
        <w:rPr>
          <w:sz w:val="28"/>
          <w:szCs w:val="28"/>
        </w:rPr>
        <w:t xml:space="preserve"> cu 218,3 mil. lei mai puțin faţă de valoarea înregistrată în trimestrul II al anului precedent. </w:t>
      </w:r>
    </w:p>
    <w:p w:rsidR="00651044" w:rsidRDefault="00895280" w:rsidP="00651044">
      <w:pPr>
        <w:spacing w:line="276" w:lineRule="auto"/>
        <w:ind w:firstLine="567"/>
        <w:jc w:val="both"/>
        <w:rPr>
          <w:sz w:val="28"/>
          <w:szCs w:val="28"/>
        </w:rPr>
      </w:pPr>
      <w:r w:rsidRPr="00651044">
        <w:rPr>
          <w:sz w:val="28"/>
          <w:szCs w:val="28"/>
        </w:rPr>
        <w:t>Similar structurii veniturilor din vînzări, dat fiind faptul că raportul „Cercetare statistică trimestrială Nr. 5-CI „Consumurile, cheltuielile şi investiţiile întreprinderii” se prezint</w:t>
      </w:r>
      <w:r w:rsidR="00E4660A">
        <w:rPr>
          <w:sz w:val="28"/>
          <w:szCs w:val="28"/>
        </w:rPr>
        <w:t>ă de către entități pe trimestre</w:t>
      </w:r>
      <w:r w:rsidRPr="00651044">
        <w:rPr>
          <w:sz w:val="28"/>
          <w:szCs w:val="28"/>
        </w:rPr>
        <w:t xml:space="preserve"> separate, structura costurilor și cheltuielilor va fi analizată conform datelor trimestrului II al anului 2016.</w:t>
      </w:r>
    </w:p>
    <w:p w:rsidR="00895280" w:rsidRPr="00651044" w:rsidRDefault="00E4660A" w:rsidP="00651044">
      <w:pPr>
        <w:spacing w:line="276" w:lineRule="auto"/>
        <w:ind w:firstLine="567"/>
        <w:jc w:val="both"/>
        <w:rPr>
          <w:sz w:val="28"/>
          <w:szCs w:val="28"/>
        </w:rPr>
      </w:pPr>
      <w:r>
        <w:rPr>
          <w:sz w:val="28"/>
          <w:szCs w:val="28"/>
        </w:rPr>
        <w:t>Astfel, d</w:t>
      </w:r>
      <w:r w:rsidR="00895280" w:rsidRPr="00651044">
        <w:rPr>
          <w:sz w:val="28"/>
          <w:szCs w:val="28"/>
        </w:rPr>
        <w:t xml:space="preserve">in totalul costurilor şi cheltuielilor </w:t>
      </w:r>
      <w:r>
        <w:rPr>
          <w:sz w:val="28"/>
          <w:szCs w:val="28"/>
        </w:rPr>
        <w:t xml:space="preserve">societăților pe acțiuni </w:t>
      </w:r>
      <w:r w:rsidR="00895280" w:rsidRPr="00651044">
        <w:rPr>
          <w:sz w:val="28"/>
          <w:szCs w:val="28"/>
        </w:rPr>
        <w:t>aferente trimestrului II al anului curent, 42,3% (sau 727,6 mil. lei) revine costurilor şi chelt</w:t>
      </w:r>
      <w:r>
        <w:rPr>
          <w:sz w:val="28"/>
          <w:szCs w:val="28"/>
        </w:rPr>
        <w:t>uielilor materiale (figura 3.2),</w:t>
      </w:r>
      <w:r w:rsidR="00895280" w:rsidRPr="00651044">
        <w:rPr>
          <w:sz w:val="28"/>
          <w:szCs w:val="28"/>
        </w:rPr>
        <w:t xml:space="preserve"> </w:t>
      </w:r>
      <w:r>
        <w:rPr>
          <w:sz w:val="28"/>
          <w:szCs w:val="28"/>
        </w:rPr>
        <w:t>d</w:t>
      </w:r>
      <w:r w:rsidR="00895280" w:rsidRPr="00651044">
        <w:rPr>
          <w:sz w:val="28"/>
          <w:szCs w:val="28"/>
        </w:rPr>
        <w:t xml:space="preserve">in valoarea totală a acestora, pentru procurarea materiilor prime, materialelor, semifabricatelor şi pieselor de schimb </w:t>
      </w:r>
      <w:r>
        <w:rPr>
          <w:sz w:val="28"/>
          <w:szCs w:val="28"/>
        </w:rPr>
        <w:t>fiind</w:t>
      </w:r>
      <w:r w:rsidR="00895280" w:rsidRPr="00651044">
        <w:rPr>
          <w:sz w:val="28"/>
          <w:szCs w:val="28"/>
        </w:rPr>
        <w:t xml:space="preserve"> cheltuit</w:t>
      </w:r>
      <w:r>
        <w:rPr>
          <w:sz w:val="28"/>
          <w:szCs w:val="28"/>
        </w:rPr>
        <w:t>e</w:t>
      </w:r>
      <w:r w:rsidR="00895280" w:rsidRPr="00651044">
        <w:rPr>
          <w:sz w:val="28"/>
          <w:szCs w:val="28"/>
        </w:rPr>
        <w:t xml:space="preserve"> 621,8 mil. lei, iar pentru combustibil – 29,7 mil. lei. </w:t>
      </w:r>
    </w:p>
    <w:p w:rsidR="00895280" w:rsidRPr="00651044" w:rsidRDefault="00895280" w:rsidP="00895280">
      <w:pPr>
        <w:spacing w:line="276" w:lineRule="auto"/>
        <w:ind w:firstLine="708"/>
        <w:jc w:val="both"/>
        <w:rPr>
          <w:sz w:val="28"/>
          <w:szCs w:val="28"/>
        </w:rPr>
      </w:pPr>
    </w:p>
    <w:p w:rsidR="00895280" w:rsidRPr="00651044" w:rsidRDefault="00763829" w:rsidP="00895280">
      <w:pPr>
        <w:jc w:val="center"/>
      </w:pPr>
      <w:r>
        <w:rPr>
          <w:noProof/>
          <w:lang w:val="ru-RU"/>
        </w:rPr>
        <w:lastRenderedPageBreak/>
        <w:drawing>
          <wp:inline distT="0" distB="0" distL="0" distR="0">
            <wp:extent cx="5951855" cy="948055"/>
            <wp:effectExtent l="0" t="0" r="0" b="0"/>
            <wp:docPr id="29"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00651044">
        <w:t xml:space="preserve"> </w:t>
      </w:r>
      <w:r w:rsidR="00895280" w:rsidRPr="00651044">
        <w:rPr>
          <w:b/>
          <w:i/>
        </w:rPr>
        <w:t>Figura 3.2. Structura costurilor şi cheltuielilor societăţilor pe acţiuni,</w:t>
      </w:r>
    </w:p>
    <w:p w:rsidR="00895280" w:rsidRPr="00651044" w:rsidRDefault="00895280" w:rsidP="00895280">
      <w:pPr>
        <w:jc w:val="center"/>
        <w:rPr>
          <w:b/>
          <w:i/>
        </w:rPr>
      </w:pPr>
      <w:r w:rsidRPr="00651044">
        <w:rPr>
          <w:b/>
          <w:i/>
        </w:rPr>
        <w:t>în trimestrul II al anului 2016</w:t>
      </w:r>
    </w:p>
    <w:p w:rsidR="00895280" w:rsidRPr="00651044" w:rsidRDefault="00895280" w:rsidP="00895280">
      <w:pPr>
        <w:spacing w:line="276" w:lineRule="auto"/>
        <w:ind w:firstLine="708"/>
        <w:jc w:val="both"/>
        <w:rPr>
          <w:sz w:val="28"/>
          <w:szCs w:val="28"/>
        </w:rPr>
      </w:pPr>
    </w:p>
    <w:p w:rsidR="00651044" w:rsidRDefault="00895280" w:rsidP="00E4660A">
      <w:pPr>
        <w:spacing w:line="276" w:lineRule="auto"/>
        <w:ind w:firstLine="567"/>
        <w:jc w:val="both"/>
        <w:rPr>
          <w:sz w:val="28"/>
          <w:szCs w:val="28"/>
        </w:rPr>
      </w:pPr>
      <w:r w:rsidRPr="00651044">
        <w:rPr>
          <w:sz w:val="28"/>
          <w:szCs w:val="28"/>
        </w:rPr>
        <w:t>O pondere semnificativă – 19,7% (sau 339,7 mil. lei) a revenit cheltuielilor cu personalul, acestea incluzînd şi contribuţii ale asigurărilor sociale de stat şi prime de asigurare obligatorie de asistenţă medicală.</w:t>
      </w:r>
      <w:r w:rsidR="00E4660A">
        <w:rPr>
          <w:sz w:val="28"/>
          <w:szCs w:val="28"/>
        </w:rPr>
        <w:t xml:space="preserve"> </w:t>
      </w:r>
      <w:r w:rsidRPr="00651044">
        <w:rPr>
          <w:sz w:val="28"/>
          <w:szCs w:val="28"/>
        </w:rPr>
        <w:t>Totodată, amortizarea activelor imobilizate a constituit 17,6% (sau 302,8 mil. lei) din total costuri şi cheltuieli, iar serviciile prestate de terţi au generat costuri şi cheltuieli în proporţie de 9,7% (sau 167,1 mil. lei). Din volumul total al costurilor şi cheltuielilor aferente serviciilor prestate de terţi, pentru serviciile de transport s-au cheltuit 22,9 mil. lei, pentru serviciile de</w:t>
      </w:r>
      <w:r w:rsidR="00E4660A">
        <w:rPr>
          <w:sz w:val="28"/>
          <w:szCs w:val="28"/>
        </w:rPr>
        <w:t xml:space="preserve"> comunicaţii – 9,2 mil. lei,</w:t>
      </w:r>
      <w:r w:rsidRPr="00651044">
        <w:rPr>
          <w:sz w:val="28"/>
          <w:szCs w:val="28"/>
        </w:rPr>
        <w:t xml:space="preserve"> pentru serviciile de prelucrare a materiei prime proprii – 0,3 mil. lei. </w:t>
      </w:r>
    </w:p>
    <w:p w:rsidR="00651044" w:rsidRDefault="00895280" w:rsidP="00651044">
      <w:pPr>
        <w:spacing w:line="276" w:lineRule="auto"/>
        <w:ind w:firstLine="567"/>
        <w:jc w:val="both"/>
        <w:rPr>
          <w:sz w:val="28"/>
          <w:szCs w:val="28"/>
        </w:rPr>
      </w:pPr>
      <w:r w:rsidRPr="00651044">
        <w:rPr>
          <w:sz w:val="28"/>
          <w:szCs w:val="28"/>
        </w:rPr>
        <w:t>De asemenea, ponderea altor costuri şi cheltuieli din activitatea operaţională a constituit 10,7% din total costuri şi cheltuieli (sau 183,9 mil. lei). Din cuantumul total al acestora, costurile şi cheltuielile privind locaţiunea au constituit 7,6 mil. lei, iar cele privind dobînzile pentru credite bancare şi împrumuturi – 25,0 mil. lei</w:t>
      </w:r>
    </w:p>
    <w:p w:rsidR="00651044" w:rsidRDefault="00E4660A" w:rsidP="00651044">
      <w:pPr>
        <w:spacing w:line="276" w:lineRule="auto"/>
        <w:ind w:firstLine="567"/>
        <w:jc w:val="both"/>
        <w:rPr>
          <w:sz w:val="28"/>
          <w:szCs w:val="28"/>
        </w:rPr>
      </w:pPr>
      <w:r>
        <w:rPr>
          <w:sz w:val="28"/>
          <w:szCs w:val="28"/>
        </w:rPr>
        <w:t>Concomitent</w:t>
      </w:r>
      <w:r w:rsidR="00895280" w:rsidRPr="00651044">
        <w:rPr>
          <w:sz w:val="28"/>
          <w:szCs w:val="28"/>
        </w:rPr>
        <w:t xml:space="preserve">, la 30 iunie 2016, în contabilitatea societăţilor pe acţiuni au fost înregistrate stocuri în sumă de 1054,4 mil. lei, cu 41,0 mil. lei mai puțin faţă de începutul trimestrului de gestiune. </w:t>
      </w:r>
    </w:p>
    <w:p w:rsidR="00651044" w:rsidRDefault="00895280" w:rsidP="00651044">
      <w:pPr>
        <w:spacing w:line="276" w:lineRule="auto"/>
        <w:ind w:firstLine="567"/>
        <w:jc w:val="both"/>
        <w:rPr>
          <w:sz w:val="28"/>
          <w:szCs w:val="28"/>
        </w:rPr>
      </w:pPr>
      <w:r w:rsidRPr="00651044">
        <w:rPr>
          <w:sz w:val="28"/>
          <w:szCs w:val="28"/>
        </w:rPr>
        <w:t>Totodată, în componenţa stocurilor, ponderea majoritară, atît la începutul trimestrului II al anului curent (43,7% sau 478,4 mil. lei), cît şi la sfîrşitul acestuia (43,9% sau 462,9 mil.lei) a revenit stocurilor de materiale (figura 3.3 şi 3.4). Stocurile produselor au constituit 25,9% din total stocuri (sau 273,5 mil. lei), iar stocurile producţiei în curs de execuţie – 21,8% (sau 229,8 mil. lei).</w:t>
      </w:r>
    </w:p>
    <w:p w:rsidR="00895280" w:rsidRPr="00651044" w:rsidRDefault="00895280" w:rsidP="00651044">
      <w:pPr>
        <w:spacing w:line="276" w:lineRule="auto"/>
        <w:ind w:firstLine="567"/>
        <w:jc w:val="both"/>
        <w:rPr>
          <w:sz w:val="28"/>
          <w:szCs w:val="28"/>
        </w:rPr>
      </w:pPr>
      <w:r w:rsidRPr="00651044">
        <w:rPr>
          <w:sz w:val="28"/>
          <w:szCs w:val="28"/>
        </w:rPr>
        <w:t xml:space="preserve">Ponderea minoritară în structura stocurilor societăţilor pe acţiuni a revenit obiectelor de mică valoare şi scurtă durată – 1,8% (sau 18,7 mil. lei), situaţie similară şi la începutul trimestrului de gestiune. </w:t>
      </w:r>
    </w:p>
    <w:p w:rsidR="00895280" w:rsidRPr="00651044" w:rsidRDefault="00763829" w:rsidP="00895280">
      <w:pPr>
        <w:jc w:val="center"/>
      </w:pPr>
      <w:r>
        <w:rPr>
          <w:noProof/>
          <w:lang w:val="ru-RU"/>
        </w:rPr>
        <w:drawing>
          <wp:inline distT="0" distB="0" distL="0" distR="0">
            <wp:extent cx="2903855" cy="1922145"/>
            <wp:effectExtent l="0" t="0" r="0" b="0"/>
            <wp:docPr id="30" name="Objec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Pr>
          <w:noProof/>
          <w:lang w:val="ru-RU"/>
        </w:rPr>
        <w:drawing>
          <wp:inline distT="0" distB="0" distL="0" distR="0">
            <wp:extent cx="2895600" cy="1981200"/>
            <wp:effectExtent l="0" t="0" r="0" b="0"/>
            <wp:docPr id="31" name="Object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895280" w:rsidRPr="00651044" w:rsidRDefault="00651044" w:rsidP="00895280">
      <w:pPr>
        <w:rPr>
          <w:b/>
          <w:i/>
        </w:rPr>
      </w:pPr>
      <w:r>
        <w:rPr>
          <w:b/>
          <w:i/>
        </w:rPr>
        <w:t xml:space="preserve">           </w:t>
      </w:r>
      <w:r w:rsidR="00895280" w:rsidRPr="00651044">
        <w:rPr>
          <w:b/>
          <w:i/>
        </w:rPr>
        <w:t xml:space="preserve">  Figura 3.3. Structura stocurilor       </w:t>
      </w:r>
      <w:r>
        <w:rPr>
          <w:b/>
          <w:i/>
        </w:rPr>
        <w:t xml:space="preserve">                  </w:t>
      </w:r>
      <w:r w:rsidR="00895280" w:rsidRPr="00651044">
        <w:rPr>
          <w:b/>
          <w:i/>
        </w:rPr>
        <w:t xml:space="preserve">   Figura 3.4. Structura stocurilor     </w:t>
      </w:r>
    </w:p>
    <w:p w:rsidR="00895280" w:rsidRPr="00651044" w:rsidRDefault="00651044" w:rsidP="00895280">
      <w:pPr>
        <w:rPr>
          <w:b/>
          <w:i/>
        </w:rPr>
      </w:pPr>
      <w:r>
        <w:rPr>
          <w:b/>
          <w:i/>
        </w:rPr>
        <w:t xml:space="preserve">        </w:t>
      </w:r>
      <w:r w:rsidR="00895280" w:rsidRPr="00651044">
        <w:rPr>
          <w:b/>
          <w:i/>
        </w:rPr>
        <w:t>societăţilor pe acţiuni la 01.04.2016                        societăţilor pe acţiuni la 30.06.2016</w:t>
      </w:r>
    </w:p>
    <w:p w:rsidR="00651044" w:rsidRDefault="00895280" w:rsidP="00651044">
      <w:pPr>
        <w:spacing w:line="276" w:lineRule="auto"/>
        <w:ind w:firstLine="567"/>
        <w:jc w:val="both"/>
        <w:rPr>
          <w:sz w:val="28"/>
          <w:szCs w:val="28"/>
        </w:rPr>
      </w:pPr>
      <w:r w:rsidRPr="00651044">
        <w:rPr>
          <w:sz w:val="28"/>
          <w:szCs w:val="28"/>
        </w:rPr>
        <w:lastRenderedPageBreak/>
        <w:t>Pe lîngă acestea, se remarcă faptul că, micșorarea valorică a stocurilor societăţilor pe acţiuni a fost generată, în mare parte de diminuarea cuantumului stocurilor de materiale (cu 15,5 mil. lei), a producţiei în curs de execuţie (cu 12,5 mil. lei), a stocurilor de produse (cu 9,6 mil. lei) şi a stocurilor de mărfuri (cu 3,9 mil. lei).</w:t>
      </w:r>
    </w:p>
    <w:p w:rsidR="00613593" w:rsidRDefault="00895280" w:rsidP="00814112">
      <w:pPr>
        <w:spacing w:line="276" w:lineRule="auto"/>
        <w:ind w:firstLine="567"/>
        <w:jc w:val="both"/>
        <w:rPr>
          <w:sz w:val="28"/>
          <w:szCs w:val="28"/>
        </w:rPr>
      </w:pPr>
      <w:r w:rsidRPr="00651044">
        <w:rPr>
          <w:sz w:val="28"/>
          <w:szCs w:val="28"/>
        </w:rPr>
        <w:t xml:space="preserve">Suplimentar aspectelor economice analizate anterior, </w:t>
      </w:r>
      <w:r w:rsidR="00E4660A">
        <w:rPr>
          <w:sz w:val="28"/>
          <w:szCs w:val="28"/>
        </w:rPr>
        <w:t>se enunţă</w:t>
      </w:r>
      <w:r w:rsidRPr="00651044">
        <w:rPr>
          <w:sz w:val="28"/>
          <w:szCs w:val="28"/>
        </w:rPr>
        <w:t xml:space="preserve"> că în conformitate cu art.12, alineat (5) din Legea nr. 419-XVI din 22 decembrie 2006, cu privire la datoria sectorului public, garanţiile de stat şi recreditarea de stat Ministerul Finanţelor generalizează datele statistice cu privire la datoria </w:t>
      </w:r>
      <w:r w:rsidR="00814112">
        <w:rPr>
          <w:sz w:val="28"/>
          <w:szCs w:val="28"/>
        </w:rPr>
        <w:t>sectorului public</w:t>
      </w:r>
      <w:r w:rsidRPr="00651044">
        <w:rPr>
          <w:sz w:val="28"/>
          <w:szCs w:val="28"/>
        </w:rPr>
        <w:t>, garanţiile de stat şi recreditarea de stat.</w:t>
      </w:r>
      <w:r w:rsidR="00814112">
        <w:rPr>
          <w:sz w:val="28"/>
          <w:szCs w:val="28"/>
        </w:rPr>
        <w:t xml:space="preserve"> </w:t>
      </w:r>
    </w:p>
    <w:p w:rsidR="00651044" w:rsidRDefault="00895280" w:rsidP="00814112">
      <w:pPr>
        <w:spacing w:line="276" w:lineRule="auto"/>
        <w:ind w:firstLine="567"/>
        <w:jc w:val="both"/>
        <w:rPr>
          <w:sz w:val="28"/>
          <w:szCs w:val="28"/>
        </w:rPr>
      </w:pPr>
      <w:r w:rsidRPr="00651044">
        <w:rPr>
          <w:sz w:val="28"/>
          <w:szCs w:val="28"/>
        </w:rPr>
        <w:t>Astfel, în temeiul Regulamentului privind raportarea datoriei</w:t>
      </w:r>
      <w:r w:rsidR="00814112">
        <w:rPr>
          <w:sz w:val="28"/>
          <w:szCs w:val="28"/>
        </w:rPr>
        <w:t xml:space="preserve"> sectorului public</w:t>
      </w:r>
      <w:r w:rsidRPr="00651044">
        <w:rPr>
          <w:sz w:val="28"/>
          <w:szCs w:val="28"/>
        </w:rPr>
        <w:t xml:space="preserve">, aprobat prin Hotărîrea Guvernului nr. 1136 din 18 octombrie 2007 cu privire la unele măsuri de executare a Legii nr. 419-XVI din 22 decembrie 2006 cu privire la datoria sectorului public, garanţiile de stat şi recreditarea de stat, au fost generalizate datele privind împrumuturile interne şi externe ale agenţilor economici monitorizaţi, care sunt contractate pe un termen de un an şi mai mare.  Prin urmare, la 30 iunie 2016, faţă de Ministerul Finanţelor, S.A. „Termoelectrica” dispune de datorii pe împrumuturi recreditate din surse externe în mărime de 3,28 mil. dolari SUA (65,17 mil. lei). </w:t>
      </w:r>
    </w:p>
    <w:p w:rsidR="00895280" w:rsidRDefault="00895280" w:rsidP="00651044">
      <w:pPr>
        <w:spacing w:line="276" w:lineRule="auto"/>
        <w:ind w:firstLine="567"/>
        <w:jc w:val="both"/>
        <w:rPr>
          <w:sz w:val="28"/>
          <w:szCs w:val="28"/>
        </w:rPr>
      </w:pPr>
      <w:r w:rsidRPr="00651044">
        <w:rPr>
          <w:sz w:val="28"/>
          <w:szCs w:val="28"/>
        </w:rPr>
        <w:t xml:space="preserve">Suplimentar, analizînd datele generalizate, </w:t>
      </w:r>
      <w:r w:rsidR="00814112">
        <w:rPr>
          <w:sz w:val="28"/>
          <w:szCs w:val="28"/>
        </w:rPr>
        <w:t>se menţionează</w:t>
      </w:r>
      <w:r w:rsidRPr="00651044">
        <w:rPr>
          <w:sz w:val="28"/>
          <w:szCs w:val="28"/>
        </w:rPr>
        <w:t xml:space="preserve"> că, societăţile pe acţiuni, care au contractat credite de la băncile comerciale pe o perioadă de un an şi mai mare, au înregistrat, la finele trimestrului II al anului de gestiune, un stoc al împrumuturilor interne în sumă de 1128,1 mil. lei, dintre care 0,1 mil. le</w:t>
      </w:r>
      <w:r w:rsidR="00651044">
        <w:rPr>
          <w:sz w:val="28"/>
          <w:szCs w:val="28"/>
        </w:rPr>
        <w:t>i constituie stocul de arierate –</w:t>
      </w:r>
      <w:r w:rsidRPr="00651044">
        <w:rPr>
          <w:sz w:val="28"/>
          <w:szCs w:val="28"/>
        </w:rPr>
        <w:t xml:space="preserve"> suma restantă ce nu a fost achitată conform contractelor încheiate (tabelul 3.4).</w:t>
      </w:r>
    </w:p>
    <w:p w:rsidR="00895280" w:rsidRPr="00651044" w:rsidRDefault="00895280" w:rsidP="00895280">
      <w:pPr>
        <w:spacing w:line="276" w:lineRule="auto"/>
        <w:ind w:firstLine="705"/>
        <w:jc w:val="right"/>
      </w:pPr>
      <w:r w:rsidRPr="00651044">
        <w:t>Tabelul 3.4</w:t>
      </w:r>
    </w:p>
    <w:p w:rsidR="00895280" w:rsidRPr="00651044" w:rsidRDefault="00895280" w:rsidP="00895280">
      <w:pPr>
        <w:ind w:firstLine="705"/>
        <w:jc w:val="center"/>
        <w:rPr>
          <w:b/>
          <w:i/>
          <w:sz w:val="22"/>
          <w:szCs w:val="22"/>
        </w:rPr>
      </w:pPr>
      <w:r w:rsidRPr="00651044">
        <w:rPr>
          <w:b/>
          <w:i/>
          <w:sz w:val="22"/>
          <w:szCs w:val="22"/>
        </w:rPr>
        <w:t xml:space="preserve">Informaţia privind stocul împrumuturilor interne, </w:t>
      </w:r>
    </w:p>
    <w:p w:rsidR="00895280" w:rsidRPr="00651044" w:rsidRDefault="00814112" w:rsidP="00895280">
      <w:pPr>
        <w:ind w:firstLine="705"/>
        <w:jc w:val="center"/>
        <w:rPr>
          <w:b/>
          <w:i/>
        </w:rPr>
      </w:pPr>
      <w:r>
        <w:rPr>
          <w:b/>
          <w:i/>
          <w:sz w:val="22"/>
          <w:szCs w:val="22"/>
        </w:rPr>
        <w:t>l</w:t>
      </w:r>
      <w:r w:rsidR="00895280" w:rsidRPr="00651044">
        <w:rPr>
          <w:b/>
          <w:i/>
          <w:sz w:val="22"/>
          <w:szCs w:val="22"/>
        </w:rPr>
        <w:t>a situația din 30.06.2016, ale societăţilor pe acţiuni</w:t>
      </w:r>
    </w:p>
    <w:p w:rsidR="00895280" w:rsidRPr="00651044" w:rsidRDefault="00895280" w:rsidP="00895280">
      <w:pPr>
        <w:ind w:firstLine="705"/>
        <w:jc w:val="center"/>
      </w:pPr>
      <w:r w:rsidRPr="00651044">
        <w:t xml:space="preserve">                                                                                                                                    (mil. lei)</w:t>
      </w:r>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3"/>
        <w:gridCol w:w="4603"/>
        <w:gridCol w:w="1551"/>
        <w:gridCol w:w="1647"/>
      </w:tblGrid>
      <w:tr w:rsidR="00895280" w:rsidRPr="00651044" w:rsidTr="004629DE">
        <w:trPr>
          <w:trHeight w:val="386"/>
          <w:jc w:val="center"/>
        </w:trPr>
        <w:tc>
          <w:tcPr>
            <w:tcW w:w="643" w:type="dxa"/>
            <w:noWrap/>
            <w:vAlign w:val="center"/>
            <w:hideMark/>
          </w:tcPr>
          <w:p w:rsidR="00895280" w:rsidRPr="004629DE" w:rsidRDefault="00895280" w:rsidP="004629DE">
            <w:pPr>
              <w:jc w:val="center"/>
              <w:rPr>
                <w:b/>
                <w:bCs/>
                <w:i/>
                <w:iCs/>
              </w:rPr>
            </w:pPr>
            <w:r w:rsidRPr="004629DE">
              <w:rPr>
                <w:b/>
                <w:bCs/>
                <w:i/>
                <w:iCs/>
              </w:rPr>
              <w:t>Nr.</w:t>
            </w:r>
          </w:p>
        </w:tc>
        <w:tc>
          <w:tcPr>
            <w:tcW w:w="4603" w:type="dxa"/>
            <w:vAlign w:val="center"/>
            <w:hideMark/>
          </w:tcPr>
          <w:p w:rsidR="00895280" w:rsidRPr="004629DE" w:rsidRDefault="00895280" w:rsidP="004629DE">
            <w:pPr>
              <w:jc w:val="center"/>
              <w:rPr>
                <w:b/>
                <w:bCs/>
                <w:i/>
                <w:iCs/>
              </w:rPr>
            </w:pPr>
            <w:r w:rsidRPr="004629DE">
              <w:rPr>
                <w:b/>
                <w:bCs/>
                <w:i/>
                <w:iCs/>
              </w:rPr>
              <w:t>Debitorul</w:t>
            </w:r>
          </w:p>
        </w:tc>
        <w:tc>
          <w:tcPr>
            <w:tcW w:w="1551" w:type="dxa"/>
            <w:vAlign w:val="center"/>
          </w:tcPr>
          <w:p w:rsidR="00895280" w:rsidRPr="004629DE" w:rsidRDefault="00895280" w:rsidP="004629DE">
            <w:pPr>
              <w:jc w:val="center"/>
              <w:rPr>
                <w:b/>
                <w:bCs/>
                <w:i/>
                <w:iCs/>
              </w:rPr>
            </w:pPr>
            <w:r w:rsidRPr="004629DE">
              <w:rPr>
                <w:b/>
                <w:bCs/>
                <w:i/>
                <w:iCs/>
              </w:rPr>
              <w:t>Stoc la 30.06.2016</w:t>
            </w:r>
          </w:p>
        </w:tc>
        <w:tc>
          <w:tcPr>
            <w:tcW w:w="1647" w:type="dxa"/>
            <w:vAlign w:val="center"/>
          </w:tcPr>
          <w:p w:rsidR="00895280" w:rsidRPr="004629DE" w:rsidRDefault="00895280" w:rsidP="004629DE">
            <w:pPr>
              <w:jc w:val="center"/>
              <w:rPr>
                <w:b/>
                <w:bCs/>
                <w:i/>
                <w:iCs/>
              </w:rPr>
            </w:pPr>
            <w:r w:rsidRPr="004629DE">
              <w:rPr>
                <w:b/>
                <w:bCs/>
                <w:i/>
                <w:iCs/>
              </w:rPr>
              <w:t>Stoc</w:t>
            </w:r>
          </w:p>
          <w:p w:rsidR="00895280" w:rsidRPr="004629DE" w:rsidRDefault="00895280" w:rsidP="004629DE">
            <w:pPr>
              <w:jc w:val="center"/>
              <w:rPr>
                <w:b/>
                <w:bCs/>
                <w:i/>
                <w:iCs/>
              </w:rPr>
            </w:pPr>
            <w:r w:rsidRPr="004629DE">
              <w:rPr>
                <w:b/>
                <w:bCs/>
                <w:i/>
                <w:iCs/>
              </w:rPr>
              <w:t>de arierate</w:t>
            </w:r>
          </w:p>
        </w:tc>
      </w:tr>
      <w:tr w:rsidR="00895280" w:rsidRPr="00651044" w:rsidTr="004629DE">
        <w:trPr>
          <w:trHeight w:val="65"/>
          <w:jc w:val="center"/>
        </w:trPr>
        <w:tc>
          <w:tcPr>
            <w:tcW w:w="643" w:type="dxa"/>
            <w:noWrap/>
            <w:hideMark/>
          </w:tcPr>
          <w:p w:rsidR="00895280" w:rsidRPr="004629DE" w:rsidRDefault="00895280" w:rsidP="004629DE">
            <w:pPr>
              <w:jc w:val="center"/>
              <w:rPr>
                <w:b/>
              </w:rPr>
            </w:pPr>
            <w:r w:rsidRPr="004629DE">
              <w:rPr>
                <w:b/>
              </w:rPr>
              <w:t>1.</w:t>
            </w:r>
          </w:p>
        </w:tc>
        <w:tc>
          <w:tcPr>
            <w:tcW w:w="4603" w:type="dxa"/>
            <w:hideMark/>
          </w:tcPr>
          <w:p w:rsidR="00895280" w:rsidRPr="004629DE" w:rsidRDefault="00895280" w:rsidP="00895280">
            <w:pPr>
              <w:rPr>
                <w:bCs/>
              </w:rPr>
            </w:pPr>
            <w:r w:rsidRPr="004629DE">
              <w:rPr>
                <w:bCs/>
              </w:rPr>
              <w:t>S.A. „Termoelectrica”</w:t>
            </w:r>
          </w:p>
        </w:tc>
        <w:tc>
          <w:tcPr>
            <w:tcW w:w="1551" w:type="dxa"/>
          </w:tcPr>
          <w:p w:rsidR="00895280" w:rsidRPr="004629DE" w:rsidRDefault="00895280" w:rsidP="004629DE">
            <w:pPr>
              <w:jc w:val="center"/>
              <w:rPr>
                <w:bCs/>
              </w:rPr>
            </w:pPr>
            <w:r w:rsidRPr="004629DE">
              <w:rPr>
                <w:bCs/>
              </w:rPr>
              <w:t>20,0</w:t>
            </w:r>
          </w:p>
        </w:tc>
        <w:tc>
          <w:tcPr>
            <w:tcW w:w="1647" w:type="dxa"/>
          </w:tcPr>
          <w:p w:rsidR="00895280" w:rsidRPr="004629DE" w:rsidRDefault="00895280" w:rsidP="004629DE">
            <w:pPr>
              <w:jc w:val="center"/>
              <w:rPr>
                <w:bCs/>
              </w:rPr>
            </w:pPr>
            <w:r w:rsidRPr="004629DE">
              <w:rPr>
                <w:bCs/>
              </w:rPr>
              <w:t>-</w:t>
            </w:r>
          </w:p>
        </w:tc>
      </w:tr>
      <w:tr w:rsidR="00895280" w:rsidRPr="00651044" w:rsidTr="004629DE">
        <w:trPr>
          <w:trHeight w:val="65"/>
          <w:jc w:val="center"/>
        </w:trPr>
        <w:tc>
          <w:tcPr>
            <w:tcW w:w="643" w:type="dxa"/>
            <w:noWrap/>
            <w:hideMark/>
          </w:tcPr>
          <w:p w:rsidR="00895280" w:rsidRPr="004629DE" w:rsidRDefault="00895280" w:rsidP="004629DE">
            <w:pPr>
              <w:jc w:val="center"/>
              <w:rPr>
                <w:b/>
              </w:rPr>
            </w:pPr>
            <w:r w:rsidRPr="004629DE">
              <w:rPr>
                <w:b/>
              </w:rPr>
              <w:t>2.</w:t>
            </w:r>
          </w:p>
        </w:tc>
        <w:tc>
          <w:tcPr>
            <w:tcW w:w="4603" w:type="dxa"/>
            <w:hideMark/>
          </w:tcPr>
          <w:p w:rsidR="00895280" w:rsidRPr="004629DE" w:rsidRDefault="00895280" w:rsidP="00895280">
            <w:pPr>
              <w:rPr>
                <w:bCs/>
              </w:rPr>
            </w:pPr>
            <w:r w:rsidRPr="004629DE">
              <w:rPr>
                <w:bCs/>
              </w:rPr>
              <w:t>S.A. „Răut”</w:t>
            </w:r>
          </w:p>
        </w:tc>
        <w:tc>
          <w:tcPr>
            <w:tcW w:w="1551" w:type="dxa"/>
          </w:tcPr>
          <w:p w:rsidR="00895280" w:rsidRPr="004629DE" w:rsidRDefault="00895280" w:rsidP="004629DE">
            <w:pPr>
              <w:jc w:val="center"/>
              <w:rPr>
                <w:bCs/>
              </w:rPr>
            </w:pPr>
            <w:r w:rsidRPr="004629DE">
              <w:rPr>
                <w:bCs/>
              </w:rPr>
              <w:t>7,9</w:t>
            </w:r>
          </w:p>
        </w:tc>
        <w:tc>
          <w:tcPr>
            <w:tcW w:w="1647" w:type="dxa"/>
          </w:tcPr>
          <w:p w:rsidR="00895280" w:rsidRPr="004629DE" w:rsidRDefault="00895280" w:rsidP="004629DE">
            <w:pPr>
              <w:jc w:val="center"/>
              <w:rPr>
                <w:bCs/>
              </w:rPr>
            </w:pPr>
            <w:r w:rsidRPr="004629DE">
              <w:rPr>
                <w:bCs/>
              </w:rPr>
              <w:t>0,02</w:t>
            </w:r>
          </w:p>
        </w:tc>
      </w:tr>
      <w:tr w:rsidR="00814112" w:rsidRPr="00651044" w:rsidTr="004629DE">
        <w:trPr>
          <w:trHeight w:val="65"/>
          <w:jc w:val="center"/>
        </w:trPr>
        <w:tc>
          <w:tcPr>
            <w:tcW w:w="643" w:type="dxa"/>
            <w:noWrap/>
            <w:hideMark/>
          </w:tcPr>
          <w:p w:rsidR="00814112" w:rsidRPr="004629DE" w:rsidRDefault="00814112" w:rsidP="004629DE">
            <w:pPr>
              <w:jc w:val="center"/>
              <w:rPr>
                <w:b/>
              </w:rPr>
            </w:pPr>
            <w:r w:rsidRPr="004629DE">
              <w:rPr>
                <w:b/>
              </w:rPr>
              <w:t>3.</w:t>
            </w:r>
          </w:p>
        </w:tc>
        <w:tc>
          <w:tcPr>
            <w:tcW w:w="4603" w:type="dxa"/>
            <w:hideMark/>
          </w:tcPr>
          <w:p w:rsidR="00814112" w:rsidRPr="004629DE" w:rsidRDefault="00814112" w:rsidP="00895280">
            <w:pPr>
              <w:rPr>
                <w:bCs/>
              </w:rPr>
            </w:pPr>
            <w:r w:rsidRPr="00651044">
              <w:t>S.A. „Furnizarea Energiei Electrice Nord”</w:t>
            </w:r>
          </w:p>
        </w:tc>
        <w:tc>
          <w:tcPr>
            <w:tcW w:w="1551" w:type="dxa"/>
          </w:tcPr>
          <w:p w:rsidR="00814112" w:rsidRPr="004629DE" w:rsidRDefault="00814112" w:rsidP="004629DE">
            <w:pPr>
              <w:jc w:val="center"/>
              <w:rPr>
                <w:bCs/>
              </w:rPr>
            </w:pPr>
            <w:r w:rsidRPr="004629DE">
              <w:rPr>
                <w:bCs/>
              </w:rPr>
              <w:t>8,0</w:t>
            </w:r>
          </w:p>
        </w:tc>
        <w:tc>
          <w:tcPr>
            <w:tcW w:w="1647" w:type="dxa"/>
          </w:tcPr>
          <w:p w:rsidR="00814112" w:rsidRPr="004629DE" w:rsidRDefault="00814112" w:rsidP="004629DE">
            <w:pPr>
              <w:jc w:val="center"/>
              <w:rPr>
                <w:bCs/>
              </w:rPr>
            </w:pPr>
            <w:r w:rsidRPr="004629DE">
              <w:rPr>
                <w:bCs/>
              </w:rPr>
              <w:t>-</w:t>
            </w:r>
          </w:p>
        </w:tc>
      </w:tr>
      <w:tr w:rsidR="00895280" w:rsidRPr="00651044" w:rsidTr="004629DE">
        <w:trPr>
          <w:trHeight w:val="163"/>
          <w:jc w:val="center"/>
        </w:trPr>
        <w:tc>
          <w:tcPr>
            <w:tcW w:w="643" w:type="dxa"/>
            <w:noWrap/>
            <w:hideMark/>
          </w:tcPr>
          <w:p w:rsidR="00895280" w:rsidRPr="004629DE" w:rsidRDefault="00895280" w:rsidP="004629DE">
            <w:pPr>
              <w:jc w:val="center"/>
              <w:rPr>
                <w:b/>
              </w:rPr>
            </w:pPr>
            <w:r w:rsidRPr="004629DE">
              <w:rPr>
                <w:b/>
              </w:rPr>
              <w:t>4.</w:t>
            </w:r>
          </w:p>
        </w:tc>
        <w:tc>
          <w:tcPr>
            <w:tcW w:w="4603" w:type="dxa"/>
            <w:hideMark/>
          </w:tcPr>
          <w:p w:rsidR="00895280" w:rsidRPr="004629DE" w:rsidRDefault="00895280" w:rsidP="00895280">
            <w:pPr>
              <w:rPr>
                <w:bCs/>
              </w:rPr>
            </w:pPr>
            <w:r w:rsidRPr="004629DE">
              <w:rPr>
                <w:bCs/>
              </w:rPr>
              <w:t>S.A. „Uzina de Tractoare „Tracom”</w:t>
            </w:r>
          </w:p>
        </w:tc>
        <w:tc>
          <w:tcPr>
            <w:tcW w:w="1551" w:type="dxa"/>
          </w:tcPr>
          <w:p w:rsidR="00895280" w:rsidRPr="004629DE" w:rsidRDefault="00895280" w:rsidP="004629DE">
            <w:pPr>
              <w:jc w:val="center"/>
              <w:rPr>
                <w:bCs/>
              </w:rPr>
            </w:pPr>
            <w:r w:rsidRPr="004629DE">
              <w:rPr>
                <w:bCs/>
              </w:rPr>
              <w:t>4,5</w:t>
            </w:r>
          </w:p>
        </w:tc>
        <w:tc>
          <w:tcPr>
            <w:tcW w:w="1647" w:type="dxa"/>
          </w:tcPr>
          <w:p w:rsidR="00895280" w:rsidRPr="004629DE" w:rsidRDefault="00895280" w:rsidP="004629DE">
            <w:pPr>
              <w:jc w:val="center"/>
              <w:rPr>
                <w:bCs/>
              </w:rPr>
            </w:pPr>
            <w:r w:rsidRPr="004629DE">
              <w:rPr>
                <w:bCs/>
              </w:rPr>
              <w:t>-</w:t>
            </w:r>
          </w:p>
        </w:tc>
      </w:tr>
      <w:tr w:rsidR="00895280" w:rsidRPr="00651044" w:rsidTr="004629DE">
        <w:trPr>
          <w:trHeight w:val="62"/>
          <w:jc w:val="center"/>
        </w:trPr>
        <w:tc>
          <w:tcPr>
            <w:tcW w:w="643" w:type="dxa"/>
            <w:noWrap/>
            <w:hideMark/>
          </w:tcPr>
          <w:p w:rsidR="00895280" w:rsidRPr="004629DE" w:rsidRDefault="00895280" w:rsidP="004629DE">
            <w:pPr>
              <w:jc w:val="center"/>
              <w:rPr>
                <w:b/>
              </w:rPr>
            </w:pPr>
            <w:r w:rsidRPr="004629DE">
              <w:rPr>
                <w:b/>
              </w:rPr>
              <w:t>5.</w:t>
            </w:r>
          </w:p>
        </w:tc>
        <w:tc>
          <w:tcPr>
            <w:tcW w:w="4603" w:type="dxa"/>
            <w:hideMark/>
          </w:tcPr>
          <w:p w:rsidR="00895280" w:rsidRPr="004629DE" w:rsidRDefault="00895280" w:rsidP="00895280">
            <w:pPr>
              <w:rPr>
                <w:bCs/>
              </w:rPr>
            </w:pPr>
            <w:r w:rsidRPr="004629DE">
              <w:rPr>
                <w:bCs/>
              </w:rPr>
              <w:t>S.A. „Combinatul de Vinuri Cricova”</w:t>
            </w:r>
          </w:p>
        </w:tc>
        <w:tc>
          <w:tcPr>
            <w:tcW w:w="1551" w:type="dxa"/>
          </w:tcPr>
          <w:p w:rsidR="00895280" w:rsidRPr="004629DE" w:rsidRDefault="00895280" w:rsidP="004629DE">
            <w:pPr>
              <w:jc w:val="center"/>
              <w:rPr>
                <w:bCs/>
              </w:rPr>
            </w:pPr>
            <w:r w:rsidRPr="004629DE">
              <w:rPr>
                <w:bCs/>
              </w:rPr>
              <w:t>236,7</w:t>
            </w:r>
          </w:p>
        </w:tc>
        <w:tc>
          <w:tcPr>
            <w:tcW w:w="1647" w:type="dxa"/>
          </w:tcPr>
          <w:p w:rsidR="00895280" w:rsidRPr="004629DE" w:rsidRDefault="00895280" w:rsidP="004629DE">
            <w:pPr>
              <w:jc w:val="center"/>
              <w:rPr>
                <w:bCs/>
              </w:rPr>
            </w:pPr>
            <w:r w:rsidRPr="004629DE">
              <w:rPr>
                <w:bCs/>
              </w:rPr>
              <w:t>-</w:t>
            </w:r>
          </w:p>
        </w:tc>
      </w:tr>
      <w:tr w:rsidR="00895280" w:rsidRPr="00651044" w:rsidTr="004629DE">
        <w:trPr>
          <w:trHeight w:val="62"/>
          <w:jc w:val="center"/>
        </w:trPr>
        <w:tc>
          <w:tcPr>
            <w:tcW w:w="643" w:type="dxa"/>
            <w:noWrap/>
            <w:hideMark/>
          </w:tcPr>
          <w:p w:rsidR="00895280" w:rsidRPr="004629DE" w:rsidRDefault="00895280" w:rsidP="004629DE">
            <w:pPr>
              <w:jc w:val="center"/>
              <w:rPr>
                <w:b/>
              </w:rPr>
            </w:pPr>
            <w:r w:rsidRPr="004629DE">
              <w:rPr>
                <w:b/>
              </w:rPr>
              <w:t>6.</w:t>
            </w:r>
          </w:p>
        </w:tc>
        <w:tc>
          <w:tcPr>
            <w:tcW w:w="4603" w:type="dxa"/>
            <w:hideMark/>
          </w:tcPr>
          <w:p w:rsidR="00895280" w:rsidRPr="004629DE" w:rsidRDefault="00895280" w:rsidP="00895280">
            <w:pPr>
              <w:rPr>
                <w:bCs/>
              </w:rPr>
            </w:pPr>
            <w:r w:rsidRPr="004629DE">
              <w:rPr>
                <w:bCs/>
              </w:rPr>
              <w:t>S.A. „Aqua-Prut”</w:t>
            </w:r>
          </w:p>
        </w:tc>
        <w:tc>
          <w:tcPr>
            <w:tcW w:w="1551" w:type="dxa"/>
          </w:tcPr>
          <w:p w:rsidR="00895280" w:rsidRPr="004629DE" w:rsidRDefault="00895280" w:rsidP="004629DE">
            <w:pPr>
              <w:jc w:val="center"/>
              <w:rPr>
                <w:bCs/>
              </w:rPr>
            </w:pPr>
            <w:r w:rsidRPr="004629DE">
              <w:rPr>
                <w:bCs/>
              </w:rPr>
              <w:t>1,6</w:t>
            </w:r>
          </w:p>
        </w:tc>
        <w:tc>
          <w:tcPr>
            <w:tcW w:w="1647" w:type="dxa"/>
          </w:tcPr>
          <w:p w:rsidR="00895280" w:rsidRPr="004629DE" w:rsidRDefault="00895280" w:rsidP="004629DE">
            <w:pPr>
              <w:jc w:val="center"/>
              <w:rPr>
                <w:bCs/>
              </w:rPr>
            </w:pPr>
            <w:r w:rsidRPr="004629DE">
              <w:rPr>
                <w:bCs/>
              </w:rPr>
              <w:t>-</w:t>
            </w:r>
          </w:p>
        </w:tc>
      </w:tr>
      <w:tr w:rsidR="00814112" w:rsidRPr="00651044" w:rsidTr="004629DE">
        <w:trPr>
          <w:trHeight w:val="62"/>
          <w:jc w:val="center"/>
        </w:trPr>
        <w:tc>
          <w:tcPr>
            <w:tcW w:w="643" w:type="dxa"/>
            <w:noWrap/>
            <w:hideMark/>
          </w:tcPr>
          <w:p w:rsidR="00814112" w:rsidRPr="004629DE" w:rsidRDefault="00814112" w:rsidP="004629DE">
            <w:pPr>
              <w:jc w:val="center"/>
              <w:rPr>
                <w:b/>
              </w:rPr>
            </w:pPr>
            <w:r w:rsidRPr="004629DE">
              <w:rPr>
                <w:b/>
              </w:rPr>
              <w:t>7.</w:t>
            </w:r>
          </w:p>
        </w:tc>
        <w:tc>
          <w:tcPr>
            <w:tcW w:w="4603" w:type="dxa"/>
            <w:hideMark/>
          </w:tcPr>
          <w:p w:rsidR="00814112" w:rsidRPr="004629DE" w:rsidRDefault="00814112" w:rsidP="00895280">
            <w:pPr>
              <w:rPr>
                <w:bCs/>
              </w:rPr>
            </w:pPr>
            <w:r w:rsidRPr="004629DE">
              <w:rPr>
                <w:bCs/>
              </w:rPr>
              <w:t>S.A. „Tutun-CTC</w:t>
            </w:r>
          </w:p>
        </w:tc>
        <w:tc>
          <w:tcPr>
            <w:tcW w:w="1551" w:type="dxa"/>
          </w:tcPr>
          <w:p w:rsidR="00814112" w:rsidRPr="004629DE" w:rsidRDefault="00814112" w:rsidP="004629DE">
            <w:pPr>
              <w:jc w:val="center"/>
              <w:rPr>
                <w:bCs/>
              </w:rPr>
            </w:pPr>
            <w:r w:rsidRPr="004629DE">
              <w:rPr>
                <w:bCs/>
              </w:rPr>
              <w:t>16,2</w:t>
            </w:r>
          </w:p>
        </w:tc>
        <w:tc>
          <w:tcPr>
            <w:tcW w:w="1647" w:type="dxa"/>
          </w:tcPr>
          <w:p w:rsidR="00814112" w:rsidRPr="004629DE" w:rsidRDefault="00814112" w:rsidP="004629DE">
            <w:pPr>
              <w:jc w:val="center"/>
              <w:rPr>
                <w:bCs/>
              </w:rPr>
            </w:pPr>
            <w:r w:rsidRPr="004629DE">
              <w:rPr>
                <w:bCs/>
              </w:rPr>
              <w:t>-</w:t>
            </w:r>
          </w:p>
        </w:tc>
      </w:tr>
      <w:tr w:rsidR="00895280" w:rsidRPr="00651044" w:rsidTr="004629DE">
        <w:trPr>
          <w:trHeight w:val="62"/>
          <w:jc w:val="center"/>
        </w:trPr>
        <w:tc>
          <w:tcPr>
            <w:tcW w:w="643" w:type="dxa"/>
            <w:noWrap/>
            <w:hideMark/>
          </w:tcPr>
          <w:p w:rsidR="00895280" w:rsidRPr="004629DE" w:rsidRDefault="00895280" w:rsidP="004629DE">
            <w:pPr>
              <w:jc w:val="center"/>
              <w:rPr>
                <w:b/>
              </w:rPr>
            </w:pPr>
            <w:r w:rsidRPr="004629DE">
              <w:rPr>
                <w:b/>
              </w:rPr>
              <w:t>8.</w:t>
            </w:r>
          </w:p>
        </w:tc>
        <w:tc>
          <w:tcPr>
            <w:tcW w:w="4603" w:type="dxa"/>
            <w:hideMark/>
          </w:tcPr>
          <w:p w:rsidR="00895280" w:rsidRPr="004629DE" w:rsidRDefault="00895280" w:rsidP="00895280">
            <w:pPr>
              <w:rPr>
                <w:bCs/>
              </w:rPr>
            </w:pPr>
            <w:r w:rsidRPr="004629DE">
              <w:rPr>
                <w:bCs/>
              </w:rPr>
              <w:t>S.A. „Barza Albă”</w:t>
            </w:r>
          </w:p>
        </w:tc>
        <w:tc>
          <w:tcPr>
            <w:tcW w:w="1551" w:type="dxa"/>
          </w:tcPr>
          <w:p w:rsidR="00895280" w:rsidRPr="004629DE" w:rsidRDefault="00895280" w:rsidP="004629DE">
            <w:pPr>
              <w:jc w:val="center"/>
              <w:rPr>
                <w:bCs/>
              </w:rPr>
            </w:pPr>
            <w:r w:rsidRPr="004629DE">
              <w:rPr>
                <w:bCs/>
              </w:rPr>
              <w:t>2,1</w:t>
            </w:r>
          </w:p>
        </w:tc>
        <w:tc>
          <w:tcPr>
            <w:tcW w:w="1647" w:type="dxa"/>
          </w:tcPr>
          <w:p w:rsidR="00895280" w:rsidRPr="004629DE" w:rsidRDefault="00895280" w:rsidP="004629DE">
            <w:pPr>
              <w:jc w:val="center"/>
              <w:rPr>
                <w:bCs/>
              </w:rPr>
            </w:pPr>
            <w:r w:rsidRPr="004629DE">
              <w:rPr>
                <w:bCs/>
              </w:rPr>
              <w:t>-</w:t>
            </w:r>
          </w:p>
        </w:tc>
      </w:tr>
      <w:tr w:rsidR="00814112" w:rsidRPr="00651044" w:rsidTr="004629DE">
        <w:trPr>
          <w:trHeight w:val="62"/>
          <w:jc w:val="center"/>
        </w:trPr>
        <w:tc>
          <w:tcPr>
            <w:tcW w:w="643" w:type="dxa"/>
            <w:noWrap/>
            <w:hideMark/>
          </w:tcPr>
          <w:p w:rsidR="00814112" w:rsidRPr="004629DE" w:rsidRDefault="00814112" w:rsidP="004629DE">
            <w:pPr>
              <w:jc w:val="center"/>
              <w:rPr>
                <w:b/>
              </w:rPr>
            </w:pPr>
            <w:r w:rsidRPr="004629DE">
              <w:rPr>
                <w:b/>
              </w:rPr>
              <w:t>9.</w:t>
            </w:r>
          </w:p>
        </w:tc>
        <w:tc>
          <w:tcPr>
            <w:tcW w:w="4603" w:type="dxa"/>
            <w:hideMark/>
          </w:tcPr>
          <w:p w:rsidR="00814112" w:rsidRPr="004629DE" w:rsidRDefault="00814112" w:rsidP="00895280">
            <w:pPr>
              <w:rPr>
                <w:bCs/>
              </w:rPr>
            </w:pPr>
            <w:r w:rsidRPr="004629DE">
              <w:rPr>
                <w:bCs/>
              </w:rPr>
              <w:t>S.A. „Metalferos”</w:t>
            </w:r>
          </w:p>
        </w:tc>
        <w:tc>
          <w:tcPr>
            <w:tcW w:w="1551" w:type="dxa"/>
          </w:tcPr>
          <w:p w:rsidR="00814112" w:rsidRPr="004629DE" w:rsidRDefault="00814112" w:rsidP="004629DE">
            <w:pPr>
              <w:jc w:val="center"/>
              <w:rPr>
                <w:bCs/>
              </w:rPr>
            </w:pPr>
            <w:r w:rsidRPr="004629DE">
              <w:rPr>
                <w:bCs/>
              </w:rPr>
              <w:t>7,9</w:t>
            </w:r>
          </w:p>
        </w:tc>
        <w:tc>
          <w:tcPr>
            <w:tcW w:w="1647" w:type="dxa"/>
          </w:tcPr>
          <w:p w:rsidR="00814112" w:rsidRPr="004629DE" w:rsidRDefault="00814112" w:rsidP="004629DE">
            <w:pPr>
              <w:jc w:val="center"/>
              <w:rPr>
                <w:bCs/>
              </w:rPr>
            </w:pPr>
            <w:r w:rsidRPr="004629DE">
              <w:rPr>
                <w:bCs/>
              </w:rPr>
              <w:t>-</w:t>
            </w:r>
          </w:p>
        </w:tc>
      </w:tr>
      <w:tr w:rsidR="00895280" w:rsidRPr="00651044" w:rsidTr="004629DE">
        <w:trPr>
          <w:trHeight w:val="62"/>
          <w:jc w:val="center"/>
        </w:trPr>
        <w:tc>
          <w:tcPr>
            <w:tcW w:w="643" w:type="dxa"/>
            <w:noWrap/>
            <w:hideMark/>
          </w:tcPr>
          <w:p w:rsidR="00895280" w:rsidRPr="004629DE" w:rsidRDefault="00895280" w:rsidP="004629DE">
            <w:pPr>
              <w:jc w:val="center"/>
              <w:rPr>
                <w:b/>
              </w:rPr>
            </w:pPr>
            <w:r w:rsidRPr="004629DE">
              <w:rPr>
                <w:b/>
              </w:rPr>
              <w:t>10.</w:t>
            </w:r>
          </w:p>
        </w:tc>
        <w:tc>
          <w:tcPr>
            <w:tcW w:w="4603" w:type="dxa"/>
            <w:hideMark/>
          </w:tcPr>
          <w:p w:rsidR="00895280" w:rsidRPr="004629DE" w:rsidRDefault="00895280" w:rsidP="00895280">
            <w:pPr>
              <w:rPr>
                <w:bCs/>
              </w:rPr>
            </w:pPr>
            <w:r w:rsidRPr="004629DE">
              <w:rPr>
                <w:bCs/>
              </w:rPr>
              <w:t>S.A. „Moldtelecom”</w:t>
            </w:r>
          </w:p>
        </w:tc>
        <w:tc>
          <w:tcPr>
            <w:tcW w:w="1551" w:type="dxa"/>
          </w:tcPr>
          <w:p w:rsidR="00895280" w:rsidRPr="004629DE" w:rsidRDefault="00895280" w:rsidP="004629DE">
            <w:pPr>
              <w:jc w:val="center"/>
              <w:rPr>
                <w:bCs/>
              </w:rPr>
            </w:pPr>
            <w:r w:rsidRPr="004629DE">
              <w:rPr>
                <w:bCs/>
              </w:rPr>
              <w:t>696,4</w:t>
            </w:r>
          </w:p>
        </w:tc>
        <w:tc>
          <w:tcPr>
            <w:tcW w:w="1647" w:type="dxa"/>
          </w:tcPr>
          <w:p w:rsidR="00895280" w:rsidRPr="004629DE" w:rsidRDefault="00895280" w:rsidP="004629DE">
            <w:pPr>
              <w:jc w:val="center"/>
              <w:rPr>
                <w:bCs/>
              </w:rPr>
            </w:pPr>
            <w:r w:rsidRPr="004629DE">
              <w:rPr>
                <w:bCs/>
              </w:rPr>
              <w:t>-</w:t>
            </w:r>
          </w:p>
        </w:tc>
      </w:tr>
      <w:tr w:rsidR="00895280" w:rsidRPr="00651044" w:rsidTr="004629DE">
        <w:trPr>
          <w:trHeight w:val="62"/>
          <w:jc w:val="center"/>
        </w:trPr>
        <w:tc>
          <w:tcPr>
            <w:tcW w:w="643" w:type="dxa"/>
            <w:noWrap/>
            <w:hideMark/>
          </w:tcPr>
          <w:p w:rsidR="00895280" w:rsidRPr="004629DE" w:rsidRDefault="00895280" w:rsidP="004629DE">
            <w:pPr>
              <w:jc w:val="center"/>
              <w:rPr>
                <w:b/>
              </w:rPr>
            </w:pPr>
            <w:r w:rsidRPr="004629DE">
              <w:rPr>
                <w:b/>
              </w:rPr>
              <w:t>11.</w:t>
            </w:r>
          </w:p>
        </w:tc>
        <w:tc>
          <w:tcPr>
            <w:tcW w:w="4603" w:type="dxa"/>
            <w:hideMark/>
          </w:tcPr>
          <w:p w:rsidR="00895280" w:rsidRPr="004629DE" w:rsidRDefault="00895280" w:rsidP="00895280">
            <w:pPr>
              <w:rPr>
                <w:bCs/>
              </w:rPr>
            </w:pPr>
            <w:r w:rsidRPr="004629DE">
              <w:rPr>
                <w:bCs/>
              </w:rPr>
              <w:t>S.A. „Franzeluţa”</w:t>
            </w:r>
          </w:p>
        </w:tc>
        <w:tc>
          <w:tcPr>
            <w:tcW w:w="1551" w:type="dxa"/>
          </w:tcPr>
          <w:p w:rsidR="00895280" w:rsidRPr="004629DE" w:rsidRDefault="00895280" w:rsidP="004629DE">
            <w:pPr>
              <w:jc w:val="center"/>
              <w:rPr>
                <w:bCs/>
              </w:rPr>
            </w:pPr>
            <w:r w:rsidRPr="004629DE">
              <w:rPr>
                <w:bCs/>
              </w:rPr>
              <w:t>76,5</w:t>
            </w:r>
          </w:p>
        </w:tc>
        <w:tc>
          <w:tcPr>
            <w:tcW w:w="1647" w:type="dxa"/>
          </w:tcPr>
          <w:p w:rsidR="00895280" w:rsidRPr="004629DE" w:rsidRDefault="00895280" w:rsidP="004629DE">
            <w:pPr>
              <w:jc w:val="center"/>
              <w:rPr>
                <w:bCs/>
              </w:rPr>
            </w:pPr>
            <w:r w:rsidRPr="004629DE">
              <w:rPr>
                <w:bCs/>
              </w:rPr>
              <w:t>-</w:t>
            </w:r>
          </w:p>
        </w:tc>
      </w:tr>
      <w:tr w:rsidR="00895280" w:rsidRPr="00651044" w:rsidTr="004629DE">
        <w:trPr>
          <w:trHeight w:val="62"/>
          <w:jc w:val="center"/>
        </w:trPr>
        <w:tc>
          <w:tcPr>
            <w:tcW w:w="643" w:type="dxa"/>
            <w:noWrap/>
            <w:hideMark/>
          </w:tcPr>
          <w:p w:rsidR="00895280" w:rsidRPr="004629DE" w:rsidRDefault="00895280" w:rsidP="004629DE">
            <w:pPr>
              <w:jc w:val="center"/>
              <w:rPr>
                <w:b/>
              </w:rPr>
            </w:pPr>
            <w:r w:rsidRPr="004629DE">
              <w:rPr>
                <w:b/>
              </w:rPr>
              <w:t>12.</w:t>
            </w:r>
          </w:p>
        </w:tc>
        <w:tc>
          <w:tcPr>
            <w:tcW w:w="4603" w:type="dxa"/>
            <w:hideMark/>
          </w:tcPr>
          <w:p w:rsidR="00895280" w:rsidRPr="004629DE" w:rsidRDefault="00895280" w:rsidP="00895280">
            <w:pPr>
              <w:rPr>
                <w:bCs/>
              </w:rPr>
            </w:pPr>
            <w:r w:rsidRPr="004629DE">
              <w:rPr>
                <w:bCs/>
              </w:rPr>
              <w:t>S.A. „Sanfarm Prim”</w:t>
            </w:r>
          </w:p>
        </w:tc>
        <w:tc>
          <w:tcPr>
            <w:tcW w:w="1551" w:type="dxa"/>
          </w:tcPr>
          <w:p w:rsidR="00895280" w:rsidRPr="004629DE" w:rsidRDefault="00895280" w:rsidP="004629DE">
            <w:pPr>
              <w:jc w:val="center"/>
              <w:rPr>
                <w:bCs/>
              </w:rPr>
            </w:pPr>
            <w:r w:rsidRPr="004629DE">
              <w:rPr>
                <w:bCs/>
              </w:rPr>
              <w:t>26,5</w:t>
            </w:r>
          </w:p>
        </w:tc>
        <w:tc>
          <w:tcPr>
            <w:tcW w:w="1647" w:type="dxa"/>
          </w:tcPr>
          <w:p w:rsidR="00895280" w:rsidRPr="004629DE" w:rsidRDefault="00895280" w:rsidP="004629DE">
            <w:pPr>
              <w:jc w:val="center"/>
              <w:rPr>
                <w:bCs/>
              </w:rPr>
            </w:pPr>
            <w:r w:rsidRPr="004629DE">
              <w:rPr>
                <w:bCs/>
              </w:rPr>
              <w:t>-</w:t>
            </w:r>
          </w:p>
        </w:tc>
      </w:tr>
      <w:tr w:rsidR="00895280" w:rsidRPr="00651044" w:rsidTr="004629DE">
        <w:trPr>
          <w:trHeight w:val="62"/>
          <w:jc w:val="center"/>
        </w:trPr>
        <w:tc>
          <w:tcPr>
            <w:tcW w:w="643" w:type="dxa"/>
            <w:noWrap/>
            <w:hideMark/>
          </w:tcPr>
          <w:p w:rsidR="00895280" w:rsidRPr="004629DE" w:rsidRDefault="00895280" w:rsidP="004629DE">
            <w:pPr>
              <w:jc w:val="center"/>
              <w:rPr>
                <w:b/>
              </w:rPr>
            </w:pPr>
            <w:r w:rsidRPr="004629DE">
              <w:rPr>
                <w:b/>
              </w:rPr>
              <w:t>13.</w:t>
            </w:r>
          </w:p>
        </w:tc>
        <w:tc>
          <w:tcPr>
            <w:tcW w:w="4603" w:type="dxa"/>
            <w:hideMark/>
          </w:tcPr>
          <w:p w:rsidR="00895280" w:rsidRPr="004629DE" w:rsidRDefault="00895280" w:rsidP="00895280">
            <w:pPr>
              <w:rPr>
                <w:bCs/>
              </w:rPr>
            </w:pPr>
            <w:r w:rsidRPr="004629DE">
              <w:rPr>
                <w:bCs/>
              </w:rPr>
              <w:t>S.A. „Floare-Carpet”</w:t>
            </w:r>
          </w:p>
        </w:tc>
        <w:tc>
          <w:tcPr>
            <w:tcW w:w="1551" w:type="dxa"/>
          </w:tcPr>
          <w:p w:rsidR="00895280" w:rsidRPr="004629DE" w:rsidRDefault="00895280" w:rsidP="004629DE">
            <w:pPr>
              <w:jc w:val="center"/>
              <w:rPr>
                <w:bCs/>
              </w:rPr>
            </w:pPr>
            <w:r w:rsidRPr="004629DE">
              <w:rPr>
                <w:bCs/>
              </w:rPr>
              <w:t>0,5</w:t>
            </w:r>
          </w:p>
        </w:tc>
        <w:tc>
          <w:tcPr>
            <w:tcW w:w="1647" w:type="dxa"/>
          </w:tcPr>
          <w:p w:rsidR="00895280" w:rsidRPr="004629DE" w:rsidRDefault="00895280" w:rsidP="004629DE">
            <w:pPr>
              <w:jc w:val="center"/>
              <w:rPr>
                <w:bCs/>
              </w:rPr>
            </w:pPr>
            <w:r w:rsidRPr="004629DE">
              <w:rPr>
                <w:bCs/>
              </w:rPr>
              <w:t>0,08</w:t>
            </w:r>
          </w:p>
        </w:tc>
      </w:tr>
      <w:tr w:rsidR="00895280" w:rsidRPr="00651044" w:rsidTr="004629DE">
        <w:trPr>
          <w:trHeight w:val="62"/>
          <w:jc w:val="center"/>
        </w:trPr>
        <w:tc>
          <w:tcPr>
            <w:tcW w:w="643" w:type="dxa"/>
            <w:noWrap/>
            <w:hideMark/>
          </w:tcPr>
          <w:p w:rsidR="00895280" w:rsidRPr="004629DE" w:rsidRDefault="00895280" w:rsidP="004629DE">
            <w:pPr>
              <w:jc w:val="center"/>
              <w:rPr>
                <w:b/>
              </w:rPr>
            </w:pPr>
            <w:r w:rsidRPr="004629DE">
              <w:rPr>
                <w:b/>
              </w:rPr>
              <w:t>14.</w:t>
            </w:r>
          </w:p>
        </w:tc>
        <w:tc>
          <w:tcPr>
            <w:tcW w:w="4603" w:type="dxa"/>
            <w:hideMark/>
          </w:tcPr>
          <w:p w:rsidR="00895280" w:rsidRPr="004629DE" w:rsidRDefault="00895280" w:rsidP="00895280">
            <w:pPr>
              <w:rPr>
                <w:bCs/>
              </w:rPr>
            </w:pPr>
            <w:r w:rsidRPr="004629DE">
              <w:rPr>
                <w:bCs/>
              </w:rPr>
              <w:t>S.A. „Red Nord-Vest”</w:t>
            </w:r>
          </w:p>
        </w:tc>
        <w:tc>
          <w:tcPr>
            <w:tcW w:w="1551" w:type="dxa"/>
          </w:tcPr>
          <w:p w:rsidR="00895280" w:rsidRPr="004629DE" w:rsidRDefault="00895280" w:rsidP="004629DE">
            <w:pPr>
              <w:jc w:val="center"/>
              <w:rPr>
                <w:bCs/>
              </w:rPr>
            </w:pPr>
            <w:r w:rsidRPr="004629DE">
              <w:rPr>
                <w:bCs/>
              </w:rPr>
              <w:t>23,3</w:t>
            </w:r>
          </w:p>
        </w:tc>
        <w:tc>
          <w:tcPr>
            <w:tcW w:w="1647" w:type="dxa"/>
          </w:tcPr>
          <w:p w:rsidR="00895280" w:rsidRPr="004629DE" w:rsidRDefault="00895280" w:rsidP="004629DE">
            <w:pPr>
              <w:jc w:val="center"/>
              <w:rPr>
                <w:bCs/>
              </w:rPr>
            </w:pPr>
            <w:r w:rsidRPr="004629DE">
              <w:rPr>
                <w:bCs/>
              </w:rPr>
              <w:t>-</w:t>
            </w:r>
          </w:p>
        </w:tc>
      </w:tr>
      <w:tr w:rsidR="00895280" w:rsidRPr="00651044" w:rsidTr="004629DE">
        <w:trPr>
          <w:trHeight w:val="62"/>
          <w:jc w:val="center"/>
        </w:trPr>
        <w:tc>
          <w:tcPr>
            <w:tcW w:w="643" w:type="dxa"/>
            <w:noWrap/>
            <w:hideMark/>
          </w:tcPr>
          <w:p w:rsidR="00895280" w:rsidRPr="004629DE" w:rsidRDefault="00895280" w:rsidP="004629DE">
            <w:pPr>
              <w:jc w:val="center"/>
              <w:rPr>
                <w:b/>
              </w:rPr>
            </w:pPr>
          </w:p>
        </w:tc>
        <w:tc>
          <w:tcPr>
            <w:tcW w:w="4603" w:type="dxa"/>
            <w:hideMark/>
          </w:tcPr>
          <w:p w:rsidR="00895280" w:rsidRPr="004629DE" w:rsidRDefault="00895280" w:rsidP="00895280">
            <w:pPr>
              <w:rPr>
                <w:b/>
                <w:bCs/>
              </w:rPr>
            </w:pPr>
            <w:r w:rsidRPr="004629DE">
              <w:rPr>
                <w:b/>
                <w:bCs/>
              </w:rPr>
              <w:t>Total</w:t>
            </w:r>
          </w:p>
        </w:tc>
        <w:tc>
          <w:tcPr>
            <w:tcW w:w="1551" w:type="dxa"/>
          </w:tcPr>
          <w:p w:rsidR="00895280" w:rsidRPr="004629DE" w:rsidRDefault="00895280" w:rsidP="004629DE">
            <w:pPr>
              <w:jc w:val="center"/>
              <w:rPr>
                <w:b/>
                <w:bCs/>
              </w:rPr>
            </w:pPr>
            <w:r w:rsidRPr="004629DE">
              <w:rPr>
                <w:b/>
                <w:bCs/>
              </w:rPr>
              <w:t>1128,1</w:t>
            </w:r>
          </w:p>
        </w:tc>
        <w:tc>
          <w:tcPr>
            <w:tcW w:w="1647" w:type="dxa"/>
          </w:tcPr>
          <w:p w:rsidR="00895280" w:rsidRPr="004629DE" w:rsidRDefault="00895280" w:rsidP="004629DE">
            <w:pPr>
              <w:jc w:val="center"/>
              <w:rPr>
                <w:b/>
                <w:bCs/>
              </w:rPr>
            </w:pPr>
            <w:r w:rsidRPr="004629DE">
              <w:rPr>
                <w:b/>
                <w:bCs/>
              </w:rPr>
              <w:t>0,1</w:t>
            </w:r>
          </w:p>
        </w:tc>
      </w:tr>
    </w:tbl>
    <w:p w:rsidR="00895280" w:rsidRPr="00651044" w:rsidRDefault="00895280" w:rsidP="00895280">
      <w:pPr>
        <w:spacing w:line="360" w:lineRule="auto"/>
        <w:ind w:firstLine="708"/>
        <w:jc w:val="both"/>
        <w:rPr>
          <w:sz w:val="10"/>
          <w:szCs w:val="10"/>
        </w:rPr>
      </w:pPr>
    </w:p>
    <w:p w:rsidR="00895280" w:rsidRDefault="00895280" w:rsidP="00613593">
      <w:pPr>
        <w:spacing w:line="276" w:lineRule="auto"/>
        <w:ind w:firstLine="567"/>
        <w:jc w:val="both"/>
        <w:rPr>
          <w:bCs/>
          <w:sz w:val="28"/>
          <w:szCs w:val="28"/>
        </w:rPr>
      </w:pPr>
      <w:r w:rsidRPr="00651044">
        <w:rPr>
          <w:sz w:val="28"/>
          <w:szCs w:val="28"/>
        </w:rPr>
        <w:lastRenderedPageBreak/>
        <w:t xml:space="preserve">De asemenea, potrivit informaţiilor privind fluxul şi stocul împrumuturilor externe ale societăţilor pe acţiuni, S.A. </w:t>
      </w:r>
      <w:r w:rsidRPr="00651044">
        <w:rPr>
          <w:bCs/>
          <w:sz w:val="28"/>
          <w:szCs w:val="28"/>
        </w:rPr>
        <w:t xml:space="preserve">„Combinatul de Vinuri „Cricova” </w:t>
      </w:r>
      <w:r w:rsidRPr="00651044">
        <w:rPr>
          <w:sz w:val="28"/>
          <w:szCs w:val="28"/>
        </w:rPr>
        <w:t>înregistrează, la la situația din 30 iunie 2016, un sold al împrumuturilor externe în sumă de 0,06</w:t>
      </w:r>
      <w:r w:rsidRPr="00651044">
        <w:rPr>
          <w:bCs/>
          <w:sz w:val="28"/>
          <w:szCs w:val="28"/>
        </w:rPr>
        <w:t xml:space="preserve"> mil. dolari SUA  (1,19 mil. lei) şi S.A. „Moldtelecom” – 1,15 mil. dolari SUA (22,85 mil. lei).</w:t>
      </w:r>
    </w:p>
    <w:p w:rsidR="00895280" w:rsidRPr="00651044" w:rsidRDefault="00895280" w:rsidP="00136F34">
      <w:pPr>
        <w:pStyle w:val="Title"/>
        <w:numPr>
          <w:ilvl w:val="0"/>
          <w:numId w:val="1"/>
        </w:numPr>
        <w:rPr>
          <w:b/>
          <w:i/>
          <w:sz w:val="28"/>
          <w:szCs w:val="28"/>
          <w:lang w:val="ro-RO"/>
        </w:rPr>
      </w:pPr>
      <w:r w:rsidRPr="00651044">
        <w:rPr>
          <w:b/>
          <w:i/>
          <w:sz w:val="28"/>
          <w:szCs w:val="28"/>
          <w:lang w:val="ro-RO"/>
        </w:rPr>
        <w:t>Conexiunile cu sistemul bugetar</w:t>
      </w:r>
    </w:p>
    <w:p w:rsidR="00895280" w:rsidRPr="00651044" w:rsidRDefault="00895280" w:rsidP="00895280">
      <w:pPr>
        <w:jc w:val="both"/>
      </w:pPr>
    </w:p>
    <w:p w:rsidR="00651044" w:rsidRDefault="00895280" w:rsidP="00651044">
      <w:pPr>
        <w:spacing w:line="276" w:lineRule="auto"/>
        <w:ind w:firstLine="567"/>
        <w:jc w:val="both"/>
        <w:rPr>
          <w:sz w:val="28"/>
          <w:szCs w:val="28"/>
        </w:rPr>
      </w:pPr>
      <w:r w:rsidRPr="00651044">
        <w:rPr>
          <w:sz w:val="28"/>
          <w:szCs w:val="28"/>
        </w:rPr>
        <w:t xml:space="preserve">Potrivit datelor </w:t>
      </w:r>
      <w:r w:rsidR="00814112">
        <w:rPr>
          <w:sz w:val="28"/>
          <w:szCs w:val="28"/>
        </w:rPr>
        <w:t>Inspectoratului Fiscal Principal de Stat</w:t>
      </w:r>
      <w:r w:rsidRPr="00651044">
        <w:t xml:space="preserve"> </w:t>
      </w:r>
      <w:r w:rsidRPr="00651044">
        <w:rPr>
          <w:sz w:val="28"/>
          <w:szCs w:val="28"/>
        </w:rPr>
        <w:t>cu privire la obligaţiile fiscale (calculate</w:t>
      </w:r>
      <w:r w:rsidR="00814112">
        <w:rPr>
          <w:sz w:val="28"/>
          <w:szCs w:val="28"/>
        </w:rPr>
        <w:t>, achitate</w:t>
      </w:r>
      <w:r w:rsidRPr="00651044">
        <w:rPr>
          <w:sz w:val="28"/>
          <w:szCs w:val="28"/>
        </w:rPr>
        <w:t xml:space="preserve"> şi restanţele admise), la situaţia din 30 iunie 2016, întreprinderile de stat şi societăţile pe acţiuni aveau înregistrate datorii privind impozitele şi taxele faţă de bugetul public naţional în mărime totală de 165,5 mil. lei inclusiv: datorii ale întreprinderilor de stat – 158,8 mil. lei şi datorii ale societăţilor pe acţiuni –</w:t>
      </w:r>
      <w:r w:rsidR="00651044">
        <w:rPr>
          <w:sz w:val="28"/>
          <w:szCs w:val="28"/>
        </w:rPr>
        <w:t xml:space="preserve"> </w:t>
      </w:r>
      <w:r w:rsidRPr="00651044">
        <w:rPr>
          <w:sz w:val="28"/>
          <w:szCs w:val="28"/>
        </w:rPr>
        <w:t>6,7 mil. lei.</w:t>
      </w:r>
    </w:p>
    <w:p w:rsidR="00895280" w:rsidRPr="00651044" w:rsidRDefault="00895280" w:rsidP="00651044">
      <w:pPr>
        <w:spacing w:line="276" w:lineRule="auto"/>
        <w:ind w:firstLine="567"/>
        <w:jc w:val="both"/>
        <w:rPr>
          <w:sz w:val="28"/>
          <w:szCs w:val="28"/>
        </w:rPr>
      </w:pPr>
      <w:r w:rsidRPr="00651044">
        <w:rPr>
          <w:sz w:val="28"/>
          <w:szCs w:val="28"/>
        </w:rPr>
        <w:t>Din valoarea totală a datoriilor întreprinderilor de stat, datoriile aferente plăţilor de bază au constituit 100,0 mil. lei, datoriile aferente penalităţilor –</w:t>
      </w:r>
      <w:r w:rsidR="00651044">
        <w:rPr>
          <w:sz w:val="28"/>
          <w:szCs w:val="28"/>
        </w:rPr>
        <w:t xml:space="preserve"> </w:t>
      </w:r>
      <w:r w:rsidRPr="00651044">
        <w:rPr>
          <w:sz w:val="28"/>
          <w:szCs w:val="28"/>
        </w:rPr>
        <w:t xml:space="preserve">55,4 mil. lei, iar datoriile privind amenzile – 3,4 mil. lei (vezi tabelul 4.1).  </w:t>
      </w:r>
    </w:p>
    <w:p w:rsidR="00895280" w:rsidRPr="00651044" w:rsidRDefault="00895280" w:rsidP="00895280">
      <w:pPr>
        <w:jc w:val="right"/>
      </w:pPr>
      <w:r w:rsidRPr="00651044">
        <w:t>Tabelul 4.1</w:t>
      </w:r>
    </w:p>
    <w:p w:rsidR="00895280" w:rsidRPr="00651044" w:rsidRDefault="00895280" w:rsidP="00895280">
      <w:pPr>
        <w:jc w:val="center"/>
        <w:rPr>
          <w:b/>
          <w:i/>
          <w:sz w:val="22"/>
          <w:szCs w:val="22"/>
        </w:rPr>
      </w:pPr>
      <w:r w:rsidRPr="00651044">
        <w:rPr>
          <w:b/>
          <w:i/>
          <w:sz w:val="22"/>
          <w:szCs w:val="22"/>
        </w:rPr>
        <w:t>Sinteza datoriilor întreprinderilor de stat faţă</w:t>
      </w:r>
    </w:p>
    <w:p w:rsidR="00895280" w:rsidRPr="00651044" w:rsidRDefault="00895280" w:rsidP="00895280">
      <w:pPr>
        <w:jc w:val="center"/>
        <w:rPr>
          <w:b/>
          <w:i/>
          <w:sz w:val="22"/>
          <w:szCs w:val="22"/>
        </w:rPr>
      </w:pPr>
      <w:r w:rsidRPr="00651044">
        <w:rPr>
          <w:b/>
          <w:i/>
          <w:sz w:val="22"/>
          <w:szCs w:val="22"/>
        </w:rPr>
        <w:t>de bugetul public naţional la situaţia din 30 iunie 2016</w:t>
      </w:r>
      <w:r w:rsidRPr="00651044">
        <w:rPr>
          <w:sz w:val="22"/>
          <w:szCs w:val="22"/>
        </w:rPr>
        <w:t xml:space="preserve">                                                                                                                                                                              </w:t>
      </w:r>
    </w:p>
    <w:p w:rsidR="00895280" w:rsidRPr="00651044" w:rsidRDefault="00895280" w:rsidP="00895280">
      <w:pPr>
        <w:jc w:val="right"/>
        <w:rPr>
          <w:b/>
          <w:i/>
        </w:rPr>
      </w:pPr>
      <w:r w:rsidRPr="00651044">
        <w:t>(mil. lei)</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1418"/>
        <w:gridCol w:w="1164"/>
        <w:gridCol w:w="1036"/>
        <w:gridCol w:w="1080"/>
      </w:tblGrid>
      <w:tr w:rsidR="00895280" w:rsidRPr="004629DE" w:rsidTr="004629DE">
        <w:trPr>
          <w:jc w:val="center"/>
        </w:trPr>
        <w:tc>
          <w:tcPr>
            <w:tcW w:w="4644" w:type="dxa"/>
            <w:vMerge w:val="restart"/>
          </w:tcPr>
          <w:p w:rsidR="00895280" w:rsidRPr="004629DE" w:rsidRDefault="00895280" w:rsidP="004629DE">
            <w:pPr>
              <w:spacing w:line="23" w:lineRule="atLeast"/>
              <w:jc w:val="both"/>
              <w:rPr>
                <w:b/>
                <w:i/>
                <w:iCs/>
                <w:sz w:val="20"/>
                <w:szCs w:val="20"/>
              </w:rPr>
            </w:pPr>
          </w:p>
          <w:p w:rsidR="00895280" w:rsidRPr="004629DE" w:rsidRDefault="00895280" w:rsidP="004629DE">
            <w:pPr>
              <w:spacing w:line="23" w:lineRule="atLeast"/>
              <w:jc w:val="both"/>
              <w:rPr>
                <w:b/>
                <w:i/>
                <w:iCs/>
                <w:sz w:val="20"/>
                <w:szCs w:val="20"/>
              </w:rPr>
            </w:pPr>
            <w:r w:rsidRPr="004629DE">
              <w:rPr>
                <w:b/>
                <w:i/>
                <w:iCs/>
                <w:sz w:val="20"/>
                <w:szCs w:val="20"/>
              </w:rPr>
              <w:t>Verigile sistemului bugetar:</w:t>
            </w:r>
          </w:p>
        </w:tc>
        <w:tc>
          <w:tcPr>
            <w:tcW w:w="3618" w:type="dxa"/>
            <w:gridSpan w:val="3"/>
          </w:tcPr>
          <w:p w:rsidR="00895280" w:rsidRPr="004629DE" w:rsidRDefault="00895280" w:rsidP="004629DE">
            <w:pPr>
              <w:spacing w:line="23" w:lineRule="atLeast"/>
              <w:jc w:val="center"/>
              <w:rPr>
                <w:b/>
                <w:i/>
                <w:iCs/>
                <w:sz w:val="20"/>
                <w:szCs w:val="20"/>
              </w:rPr>
            </w:pPr>
            <w:r w:rsidRPr="004629DE">
              <w:rPr>
                <w:b/>
                <w:i/>
                <w:iCs/>
                <w:sz w:val="20"/>
                <w:szCs w:val="20"/>
              </w:rPr>
              <w:t>Inclusiv:</w:t>
            </w:r>
          </w:p>
        </w:tc>
        <w:tc>
          <w:tcPr>
            <w:tcW w:w="1080" w:type="dxa"/>
            <w:vMerge w:val="restart"/>
          </w:tcPr>
          <w:p w:rsidR="00895280" w:rsidRPr="004629DE" w:rsidRDefault="00895280" w:rsidP="004629DE">
            <w:pPr>
              <w:spacing w:line="23" w:lineRule="atLeast"/>
              <w:jc w:val="center"/>
              <w:rPr>
                <w:b/>
                <w:bCs/>
                <w:sz w:val="20"/>
                <w:szCs w:val="20"/>
              </w:rPr>
            </w:pPr>
            <w:r w:rsidRPr="004629DE">
              <w:rPr>
                <w:b/>
                <w:bCs/>
                <w:sz w:val="20"/>
                <w:szCs w:val="20"/>
              </w:rPr>
              <w:t>Total pe bugete</w:t>
            </w:r>
          </w:p>
        </w:tc>
      </w:tr>
      <w:tr w:rsidR="00895280" w:rsidRPr="004629DE" w:rsidTr="004629DE">
        <w:trPr>
          <w:trHeight w:val="244"/>
          <w:jc w:val="center"/>
        </w:trPr>
        <w:tc>
          <w:tcPr>
            <w:tcW w:w="4644" w:type="dxa"/>
            <w:vMerge/>
          </w:tcPr>
          <w:p w:rsidR="00895280" w:rsidRPr="004629DE" w:rsidRDefault="00895280" w:rsidP="004629DE">
            <w:pPr>
              <w:spacing w:line="23" w:lineRule="atLeast"/>
              <w:rPr>
                <w:b/>
                <w:sz w:val="20"/>
                <w:szCs w:val="20"/>
              </w:rPr>
            </w:pPr>
          </w:p>
        </w:tc>
        <w:tc>
          <w:tcPr>
            <w:tcW w:w="1418" w:type="dxa"/>
          </w:tcPr>
          <w:p w:rsidR="00895280" w:rsidRPr="004629DE" w:rsidRDefault="00895280" w:rsidP="004629DE">
            <w:pPr>
              <w:jc w:val="center"/>
              <w:rPr>
                <w:b/>
                <w:sz w:val="20"/>
                <w:szCs w:val="20"/>
              </w:rPr>
            </w:pPr>
            <w:r w:rsidRPr="004629DE">
              <w:rPr>
                <w:b/>
                <w:sz w:val="20"/>
                <w:szCs w:val="20"/>
              </w:rPr>
              <w:t>plăţi de bază</w:t>
            </w:r>
          </w:p>
        </w:tc>
        <w:tc>
          <w:tcPr>
            <w:tcW w:w="1164" w:type="dxa"/>
          </w:tcPr>
          <w:p w:rsidR="00895280" w:rsidRPr="004629DE" w:rsidRDefault="00895280" w:rsidP="004629DE">
            <w:pPr>
              <w:spacing w:line="23" w:lineRule="atLeast"/>
              <w:jc w:val="center"/>
              <w:rPr>
                <w:b/>
                <w:sz w:val="20"/>
                <w:szCs w:val="20"/>
              </w:rPr>
            </w:pPr>
            <w:r w:rsidRPr="004629DE">
              <w:rPr>
                <w:b/>
                <w:sz w:val="20"/>
                <w:szCs w:val="20"/>
              </w:rPr>
              <w:t>penalităţi </w:t>
            </w:r>
          </w:p>
        </w:tc>
        <w:tc>
          <w:tcPr>
            <w:tcW w:w="1036" w:type="dxa"/>
          </w:tcPr>
          <w:p w:rsidR="00895280" w:rsidRPr="004629DE" w:rsidRDefault="00895280" w:rsidP="004629DE">
            <w:pPr>
              <w:spacing w:line="23" w:lineRule="atLeast"/>
              <w:jc w:val="center"/>
              <w:rPr>
                <w:b/>
                <w:sz w:val="20"/>
                <w:szCs w:val="20"/>
              </w:rPr>
            </w:pPr>
            <w:r w:rsidRPr="004629DE">
              <w:rPr>
                <w:b/>
                <w:sz w:val="20"/>
                <w:szCs w:val="20"/>
              </w:rPr>
              <w:t>amenzi</w:t>
            </w:r>
          </w:p>
        </w:tc>
        <w:tc>
          <w:tcPr>
            <w:tcW w:w="1080" w:type="dxa"/>
            <w:vMerge/>
          </w:tcPr>
          <w:p w:rsidR="00895280" w:rsidRPr="004629DE" w:rsidRDefault="00895280" w:rsidP="004629DE">
            <w:pPr>
              <w:spacing w:line="23" w:lineRule="atLeast"/>
              <w:rPr>
                <w:b/>
                <w:bCs/>
                <w:sz w:val="20"/>
                <w:szCs w:val="20"/>
              </w:rPr>
            </w:pPr>
          </w:p>
        </w:tc>
      </w:tr>
      <w:tr w:rsidR="00895280" w:rsidRPr="004629DE" w:rsidTr="004629DE">
        <w:trPr>
          <w:trHeight w:val="155"/>
          <w:jc w:val="center"/>
        </w:trPr>
        <w:tc>
          <w:tcPr>
            <w:tcW w:w="4644" w:type="dxa"/>
          </w:tcPr>
          <w:p w:rsidR="00895280" w:rsidRPr="004629DE" w:rsidRDefault="00895280" w:rsidP="004629DE">
            <w:pPr>
              <w:spacing w:line="23" w:lineRule="atLeast"/>
              <w:jc w:val="both"/>
              <w:rPr>
                <w:sz w:val="20"/>
                <w:szCs w:val="20"/>
              </w:rPr>
            </w:pPr>
            <w:r w:rsidRPr="004629DE">
              <w:rPr>
                <w:sz w:val="20"/>
                <w:szCs w:val="20"/>
              </w:rPr>
              <w:t>Bugetul de stat</w:t>
            </w:r>
          </w:p>
        </w:tc>
        <w:tc>
          <w:tcPr>
            <w:tcW w:w="1418" w:type="dxa"/>
          </w:tcPr>
          <w:p w:rsidR="00895280" w:rsidRPr="004629DE" w:rsidRDefault="00895280" w:rsidP="004629DE">
            <w:pPr>
              <w:spacing w:line="23" w:lineRule="atLeast"/>
              <w:jc w:val="center"/>
              <w:rPr>
                <w:sz w:val="20"/>
                <w:szCs w:val="20"/>
              </w:rPr>
            </w:pPr>
            <w:r w:rsidRPr="004629DE">
              <w:rPr>
                <w:sz w:val="20"/>
                <w:szCs w:val="20"/>
              </w:rPr>
              <w:t>39,2</w:t>
            </w:r>
          </w:p>
        </w:tc>
        <w:tc>
          <w:tcPr>
            <w:tcW w:w="1164" w:type="dxa"/>
          </w:tcPr>
          <w:p w:rsidR="00895280" w:rsidRPr="004629DE" w:rsidRDefault="00895280" w:rsidP="004629DE">
            <w:pPr>
              <w:spacing w:line="23" w:lineRule="atLeast"/>
              <w:jc w:val="center"/>
              <w:rPr>
                <w:sz w:val="20"/>
                <w:szCs w:val="20"/>
              </w:rPr>
            </w:pPr>
            <w:r w:rsidRPr="004629DE">
              <w:rPr>
                <w:sz w:val="20"/>
                <w:szCs w:val="20"/>
              </w:rPr>
              <w:t>11,6</w:t>
            </w:r>
          </w:p>
        </w:tc>
        <w:tc>
          <w:tcPr>
            <w:tcW w:w="1036" w:type="dxa"/>
          </w:tcPr>
          <w:p w:rsidR="00895280" w:rsidRPr="004629DE" w:rsidRDefault="00895280" w:rsidP="004629DE">
            <w:pPr>
              <w:spacing w:line="23" w:lineRule="atLeast"/>
              <w:jc w:val="center"/>
              <w:rPr>
                <w:sz w:val="20"/>
                <w:szCs w:val="20"/>
              </w:rPr>
            </w:pPr>
            <w:r w:rsidRPr="004629DE">
              <w:rPr>
                <w:sz w:val="20"/>
                <w:szCs w:val="20"/>
              </w:rPr>
              <w:t>2,7</w:t>
            </w:r>
          </w:p>
        </w:tc>
        <w:tc>
          <w:tcPr>
            <w:tcW w:w="1080" w:type="dxa"/>
          </w:tcPr>
          <w:p w:rsidR="00895280" w:rsidRPr="004629DE" w:rsidRDefault="00895280" w:rsidP="004629DE">
            <w:pPr>
              <w:spacing w:line="23" w:lineRule="atLeast"/>
              <w:jc w:val="center"/>
              <w:rPr>
                <w:b/>
                <w:bCs/>
                <w:sz w:val="20"/>
                <w:szCs w:val="20"/>
              </w:rPr>
            </w:pPr>
            <w:r w:rsidRPr="004629DE">
              <w:rPr>
                <w:b/>
                <w:bCs/>
                <w:sz w:val="20"/>
                <w:szCs w:val="20"/>
              </w:rPr>
              <w:t>53,5</w:t>
            </w:r>
          </w:p>
        </w:tc>
      </w:tr>
      <w:tr w:rsidR="00895280" w:rsidRPr="004629DE" w:rsidTr="004629DE">
        <w:trPr>
          <w:trHeight w:val="171"/>
          <w:jc w:val="center"/>
        </w:trPr>
        <w:tc>
          <w:tcPr>
            <w:tcW w:w="4644" w:type="dxa"/>
          </w:tcPr>
          <w:p w:rsidR="00895280" w:rsidRPr="004629DE" w:rsidRDefault="00895280" w:rsidP="004629DE">
            <w:pPr>
              <w:spacing w:line="23" w:lineRule="atLeast"/>
              <w:jc w:val="both"/>
              <w:rPr>
                <w:sz w:val="20"/>
                <w:szCs w:val="20"/>
              </w:rPr>
            </w:pPr>
            <w:r w:rsidRPr="004629DE">
              <w:rPr>
                <w:sz w:val="20"/>
                <w:szCs w:val="20"/>
              </w:rPr>
              <w:t>Bugetele unităţilor administrativ-teritoriale</w:t>
            </w:r>
          </w:p>
        </w:tc>
        <w:tc>
          <w:tcPr>
            <w:tcW w:w="1418" w:type="dxa"/>
          </w:tcPr>
          <w:p w:rsidR="00895280" w:rsidRPr="004629DE" w:rsidRDefault="00895280" w:rsidP="004629DE">
            <w:pPr>
              <w:spacing w:line="23" w:lineRule="atLeast"/>
              <w:jc w:val="center"/>
              <w:rPr>
                <w:sz w:val="20"/>
                <w:szCs w:val="20"/>
              </w:rPr>
            </w:pPr>
            <w:r w:rsidRPr="004629DE">
              <w:rPr>
                <w:sz w:val="20"/>
                <w:szCs w:val="20"/>
              </w:rPr>
              <w:t>9,7</w:t>
            </w:r>
          </w:p>
        </w:tc>
        <w:tc>
          <w:tcPr>
            <w:tcW w:w="1164" w:type="dxa"/>
          </w:tcPr>
          <w:p w:rsidR="00895280" w:rsidRPr="004629DE" w:rsidRDefault="00895280" w:rsidP="004629DE">
            <w:pPr>
              <w:spacing w:line="23" w:lineRule="atLeast"/>
              <w:jc w:val="center"/>
              <w:rPr>
                <w:sz w:val="20"/>
                <w:szCs w:val="20"/>
              </w:rPr>
            </w:pPr>
            <w:r w:rsidRPr="004629DE">
              <w:rPr>
                <w:sz w:val="20"/>
                <w:szCs w:val="20"/>
              </w:rPr>
              <w:t>3,0</w:t>
            </w:r>
          </w:p>
        </w:tc>
        <w:tc>
          <w:tcPr>
            <w:tcW w:w="1036" w:type="dxa"/>
          </w:tcPr>
          <w:p w:rsidR="00895280" w:rsidRPr="004629DE" w:rsidRDefault="00895280" w:rsidP="004629DE">
            <w:pPr>
              <w:spacing w:line="23" w:lineRule="atLeast"/>
              <w:jc w:val="center"/>
              <w:rPr>
                <w:sz w:val="20"/>
                <w:szCs w:val="20"/>
              </w:rPr>
            </w:pPr>
            <w:r w:rsidRPr="004629DE">
              <w:rPr>
                <w:sz w:val="20"/>
                <w:szCs w:val="20"/>
              </w:rPr>
              <w:t>0,0</w:t>
            </w:r>
          </w:p>
        </w:tc>
        <w:tc>
          <w:tcPr>
            <w:tcW w:w="1080" w:type="dxa"/>
          </w:tcPr>
          <w:p w:rsidR="00895280" w:rsidRPr="004629DE" w:rsidRDefault="00895280" w:rsidP="004629DE">
            <w:pPr>
              <w:spacing w:line="23" w:lineRule="atLeast"/>
              <w:jc w:val="center"/>
              <w:rPr>
                <w:b/>
                <w:bCs/>
                <w:sz w:val="20"/>
                <w:szCs w:val="20"/>
              </w:rPr>
            </w:pPr>
            <w:r w:rsidRPr="004629DE">
              <w:rPr>
                <w:b/>
                <w:bCs/>
                <w:sz w:val="20"/>
                <w:szCs w:val="20"/>
              </w:rPr>
              <w:t>12,7</w:t>
            </w:r>
          </w:p>
        </w:tc>
      </w:tr>
      <w:tr w:rsidR="00895280" w:rsidRPr="004629DE" w:rsidTr="004629DE">
        <w:trPr>
          <w:jc w:val="center"/>
        </w:trPr>
        <w:tc>
          <w:tcPr>
            <w:tcW w:w="4644" w:type="dxa"/>
          </w:tcPr>
          <w:p w:rsidR="00895280" w:rsidRPr="004629DE" w:rsidRDefault="00895280" w:rsidP="004629DE">
            <w:pPr>
              <w:spacing w:line="23" w:lineRule="atLeast"/>
              <w:jc w:val="both"/>
              <w:rPr>
                <w:sz w:val="20"/>
                <w:szCs w:val="20"/>
              </w:rPr>
            </w:pPr>
            <w:r w:rsidRPr="004629DE">
              <w:rPr>
                <w:sz w:val="20"/>
                <w:szCs w:val="20"/>
              </w:rPr>
              <w:t>Bugetul asigurărilor sociale de stat</w:t>
            </w:r>
          </w:p>
        </w:tc>
        <w:tc>
          <w:tcPr>
            <w:tcW w:w="1418" w:type="dxa"/>
          </w:tcPr>
          <w:p w:rsidR="00895280" w:rsidRPr="004629DE" w:rsidRDefault="00895280" w:rsidP="004629DE">
            <w:pPr>
              <w:spacing w:line="23" w:lineRule="atLeast"/>
              <w:jc w:val="center"/>
              <w:rPr>
                <w:sz w:val="20"/>
                <w:szCs w:val="20"/>
              </w:rPr>
            </w:pPr>
            <w:r w:rsidRPr="004629DE">
              <w:rPr>
                <w:sz w:val="20"/>
                <w:szCs w:val="20"/>
              </w:rPr>
              <w:t>46,8</w:t>
            </w:r>
          </w:p>
        </w:tc>
        <w:tc>
          <w:tcPr>
            <w:tcW w:w="1164" w:type="dxa"/>
          </w:tcPr>
          <w:p w:rsidR="00895280" w:rsidRPr="004629DE" w:rsidRDefault="00895280" w:rsidP="004629DE">
            <w:pPr>
              <w:spacing w:line="23" w:lineRule="atLeast"/>
              <w:jc w:val="center"/>
              <w:rPr>
                <w:sz w:val="20"/>
                <w:szCs w:val="20"/>
              </w:rPr>
            </w:pPr>
            <w:r w:rsidRPr="004629DE">
              <w:rPr>
                <w:sz w:val="20"/>
                <w:szCs w:val="20"/>
              </w:rPr>
              <w:t>36,0</w:t>
            </w:r>
          </w:p>
        </w:tc>
        <w:tc>
          <w:tcPr>
            <w:tcW w:w="1036" w:type="dxa"/>
          </w:tcPr>
          <w:p w:rsidR="00895280" w:rsidRPr="004629DE" w:rsidRDefault="00895280" w:rsidP="004629DE">
            <w:pPr>
              <w:spacing w:line="23" w:lineRule="atLeast"/>
              <w:jc w:val="center"/>
              <w:rPr>
                <w:sz w:val="20"/>
                <w:szCs w:val="20"/>
              </w:rPr>
            </w:pPr>
            <w:r w:rsidRPr="004629DE">
              <w:rPr>
                <w:sz w:val="20"/>
                <w:szCs w:val="20"/>
              </w:rPr>
              <w:t>0,3</w:t>
            </w:r>
          </w:p>
        </w:tc>
        <w:tc>
          <w:tcPr>
            <w:tcW w:w="1080" w:type="dxa"/>
          </w:tcPr>
          <w:p w:rsidR="00895280" w:rsidRPr="004629DE" w:rsidRDefault="00895280" w:rsidP="004629DE">
            <w:pPr>
              <w:spacing w:line="23" w:lineRule="atLeast"/>
              <w:jc w:val="center"/>
              <w:rPr>
                <w:b/>
                <w:bCs/>
                <w:sz w:val="20"/>
                <w:szCs w:val="20"/>
              </w:rPr>
            </w:pPr>
            <w:r w:rsidRPr="004629DE">
              <w:rPr>
                <w:b/>
                <w:bCs/>
                <w:sz w:val="20"/>
                <w:szCs w:val="20"/>
              </w:rPr>
              <w:t>83,1</w:t>
            </w:r>
          </w:p>
        </w:tc>
      </w:tr>
      <w:tr w:rsidR="00895280" w:rsidRPr="004629DE" w:rsidTr="004629DE">
        <w:trPr>
          <w:jc w:val="center"/>
        </w:trPr>
        <w:tc>
          <w:tcPr>
            <w:tcW w:w="4644" w:type="dxa"/>
          </w:tcPr>
          <w:p w:rsidR="00895280" w:rsidRPr="004629DE" w:rsidRDefault="00895280" w:rsidP="004629DE">
            <w:pPr>
              <w:spacing w:line="23" w:lineRule="atLeast"/>
              <w:jc w:val="both"/>
              <w:rPr>
                <w:sz w:val="20"/>
                <w:szCs w:val="20"/>
              </w:rPr>
            </w:pPr>
            <w:r w:rsidRPr="004629DE">
              <w:rPr>
                <w:sz w:val="20"/>
                <w:szCs w:val="20"/>
              </w:rPr>
              <w:t>Fondurile asigurării obligatorii de asistenţă medicală</w:t>
            </w:r>
          </w:p>
        </w:tc>
        <w:tc>
          <w:tcPr>
            <w:tcW w:w="1418" w:type="dxa"/>
          </w:tcPr>
          <w:p w:rsidR="00895280" w:rsidRPr="004629DE" w:rsidRDefault="00895280" w:rsidP="004629DE">
            <w:pPr>
              <w:spacing w:line="23" w:lineRule="atLeast"/>
              <w:jc w:val="center"/>
              <w:rPr>
                <w:sz w:val="20"/>
                <w:szCs w:val="20"/>
              </w:rPr>
            </w:pPr>
            <w:r w:rsidRPr="004629DE">
              <w:rPr>
                <w:sz w:val="20"/>
                <w:szCs w:val="20"/>
              </w:rPr>
              <w:t>4,3</w:t>
            </w:r>
          </w:p>
        </w:tc>
        <w:tc>
          <w:tcPr>
            <w:tcW w:w="1164" w:type="dxa"/>
          </w:tcPr>
          <w:p w:rsidR="00895280" w:rsidRPr="004629DE" w:rsidRDefault="00895280" w:rsidP="004629DE">
            <w:pPr>
              <w:spacing w:line="23" w:lineRule="atLeast"/>
              <w:jc w:val="center"/>
              <w:rPr>
                <w:sz w:val="20"/>
                <w:szCs w:val="20"/>
              </w:rPr>
            </w:pPr>
            <w:r w:rsidRPr="004629DE">
              <w:rPr>
                <w:sz w:val="20"/>
                <w:szCs w:val="20"/>
              </w:rPr>
              <w:t>4,8</w:t>
            </w:r>
          </w:p>
        </w:tc>
        <w:tc>
          <w:tcPr>
            <w:tcW w:w="1036" w:type="dxa"/>
          </w:tcPr>
          <w:p w:rsidR="00895280" w:rsidRPr="004629DE" w:rsidRDefault="00895280" w:rsidP="004629DE">
            <w:pPr>
              <w:spacing w:line="23" w:lineRule="atLeast"/>
              <w:jc w:val="center"/>
              <w:rPr>
                <w:sz w:val="20"/>
                <w:szCs w:val="20"/>
              </w:rPr>
            </w:pPr>
            <w:r w:rsidRPr="004629DE">
              <w:rPr>
                <w:sz w:val="20"/>
                <w:szCs w:val="20"/>
              </w:rPr>
              <w:t>0,4</w:t>
            </w:r>
          </w:p>
        </w:tc>
        <w:tc>
          <w:tcPr>
            <w:tcW w:w="1080" w:type="dxa"/>
          </w:tcPr>
          <w:p w:rsidR="00895280" w:rsidRPr="004629DE" w:rsidRDefault="00895280" w:rsidP="004629DE">
            <w:pPr>
              <w:spacing w:line="23" w:lineRule="atLeast"/>
              <w:jc w:val="center"/>
              <w:rPr>
                <w:b/>
                <w:bCs/>
                <w:sz w:val="20"/>
                <w:szCs w:val="20"/>
              </w:rPr>
            </w:pPr>
            <w:r w:rsidRPr="004629DE">
              <w:rPr>
                <w:b/>
                <w:bCs/>
                <w:sz w:val="20"/>
                <w:szCs w:val="20"/>
              </w:rPr>
              <w:t>9,5</w:t>
            </w:r>
          </w:p>
        </w:tc>
      </w:tr>
      <w:tr w:rsidR="00895280" w:rsidRPr="004629DE" w:rsidTr="004629DE">
        <w:trPr>
          <w:trHeight w:val="305"/>
          <w:jc w:val="center"/>
        </w:trPr>
        <w:tc>
          <w:tcPr>
            <w:tcW w:w="4644" w:type="dxa"/>
          </w:tcPr>
          <w:p w:rsidR="00895280" w:rsidRPr="004629DE" w:rsidRDefault="00895280" w:rsidP="004629DE">
            <w:pPr>
              <w:spacing w:line="23" w:lineRule="atLeast"/>
              <w:jc w:val="both"/>
              <w:rPr>
                <w:b/>
                <w:bCs/>
                <w:sz w:val="20"/>
                <w:szCs w:val="20"/>
              </w:rPr>
            </w:pPr>
            <w:r w:rsidRPr="004629DE">
              <w:rPr>
                <w:b/>
                <w:bCs/>
                <w:sz w:val="20"/>
                <w:szCs w:val="20"/>
              </w:rPr>
              <w:t>TOTAL</w:t>
            </w:r>
          </w:p>
        </w:tc>
        <w:tc>
          <w:tcPr>
            <w:tcW w:w="1418" w:type="dxa"/>
          </w:tcPr>
          <w:p w:rsidR="00895280" w:rsidRPr="004629DE" w:rsidRDefault="00895280" w:rsidP="004629DE">
            <w:pPr>
              <w:spacing w:line="23" w:lineRule="atLeast"/>
              <w:jc w:val="center"/>
              <w:rPr>
                <w:b/>
                <w:bCs/>
                <w:sz w:val="20"/>
                <w:szCs w:val="20"/>
              </w:rPr>
            </w:pPr>
            <w:r w:rsidRPr="004629DE">
              <w:rPr>
                <w:b/>
                <w:bCs/>
                <w:sz w:val="20"/>
                <w:szCs w:val="20"/>
              </w:rPr>
              <w:t>100,0</w:t>
            </w:r>
          </w:p>
        </w:tc>
        <w:tc>
          <w:tcPr>
            <w:tcW w:w="1164" w:type="dxa"/>
          </w:tcPr>
          <w:p w:rsidR="00895280" w:rsidRPr="004629DE" w:rsidRDefault="00895280" w:rsidP="004629DE">
            <w:pPr>
              <w:spacing w:line="23" w:lineRule="atLeast"/>
              <w:jc w:val="center"/>
              <w:rPr>
                <w:b/>
                <w:bCs/>
                <w:sz w:val="20"/>
                <w:szCs w:val="20"/>
              </w:rPr>
            </w:pPr>
            <w:r w:rsidRPr="004629DE">
              <w:rPr>
                <w:b/>
                <w:bCs/>
                <w:sz w:val="20"/>
                <w:szCs w:val="20"/>
              </w:rPr>
              <w:t>55,4</w:t>
            </w:r>
          </w:p>
        </w:tc>
        <w:tc>
          <w:tcPr>
            <w:tcW w:w="1036" w:type="dxa"/>
          </w:tcPr>
          <w:p w:rsidR="00895280" w:rsidRPr="004629DE" w:rsidRDefault="00895280" w:rsidP="004629DE">
            <w:pPr>
              <w:spacing w:line="23" w:lineRule="atLeast"/>
              <w:jc w:val="center"/>
              <w:rPr>
                <w:b/>
                <w:bCs/>
                <w:sz w:val="20"/>
                <w:szCs w:val="20"/>
              </w:rPr>
            </w:pPr>
            <w:r w:rsidRPr="004629DE">
              <w:rPr>
                <w:b/>
                <w:bCs/>
                <w:sz w:val="20"/>
                <w:szCs w:val="20"/>
              </w:rPr>
              <w:t>3,4</w:t>
            </w:r>
          </w:p>
        </w:tc>
        <w:tc>
          <w:tcPr>
            <w:tcW w:w="1080" w:type="dxa"/>
          </w:tcPr>
          <w:p w:rsidR="00895280" w:rsidRPr="004629DE" w:rsidRDefault="00895280" w:rsidP="004629DE">
            <w:pPr>
              <w:spacing w:line="23" w:lineRule="atLeast"/>
              <w:jc w:val="center"/>
              <w:rPr>
                <w:b/>
                <w:bCs/>
                <w:sz w:val="20"/>
                <w:szCs w:val="20"/>
              </w:rPr>
            </w:pPr>
            <w:r w:rsidRPr="004629DE">
              <w:rPr>
                <w:b/>
                <w:bCs/>
                <w:sz w:val="20"/>
                <w:szCs w:val="20"/>
              </w:rPr>
              <w:t>158,8</w:t>
            </w:r>
          </w:p>
        </w:tc>
      </w:tr>
    </w:tbl>
    <w:p w:rsidR="00895280" w:rsidRPr="00651044" w:rsidRDefault="00895280" w:rsidP="00895280">
      <w:pPr>
        <w:spacing w:line="120" w:lineRule="auto"/>
        <w:jc w:val="both"/>
        <w:rPr>
          <w:b/>
        </w:rPr>
      </w:pPr>
    </w:p>
    <w:p w:rsidR="00507EC6" w:rsidRDefault="00507EC6" w:rsidP="00613593">
      <w:pPr>
        <w:spacing w:line="120" w:lineRule="auto"/>
        <w:ind w:firstLine="709"/>
        <w:jc w:val="both"/>
        <w:rPr>
          <w:sz w:val="28"/>
          <w:szCs w:val="28"/>
        </w:rPr>
      </w:pPr>
    </w:p>
    <w:p w:rsidR="00507EC6" w:rsidRDefault="00895280" w:rsidP="00507EC6">
      <w:pPr>
        <w:spacing w:line="276" w:lineRule="auto"/>
        <w:ind w:firstLine="567"/>
        <w:jc w:val="both"/>
        <w:rPr>
          <w:sz w:val="28"/>
          <w:szCs w:val="28"/>
        </w:rPr>
      </w:pPr>
      <w:r w:rsidRPr="00651044">
        <w:rPr>
          <w:sz w:val="28"/>
          <w:szCs w:val="28"/>
        </w:rPr>
        <w:t xml:space="preserve">Prin urmare, cele mai mari datorii privind impozitele şi taxele (83,1 mil. lei) au fost înregistrate faţă de bugetul asigurărilor sociale de stat, dintre care 46,8 mil. lei reprezintă datorii aferente plăţilor de bază. Totodată, datoriile aferente plăţilor de bază faţă de bugetul de stat constituie 39,2 mil. lei. Datorii aferente impozitelor şi taxelor se observă la fondurile asigurării obligatorii de asistenţă medicală -  9,5 mil.lei. </w:t>
      </w:r>
    </w:p>
    <w:p w:rsidR="00895280" w:rsidRDefault="00895280" w:rsidP="00507EC6">
      <w:pPr>
        <w:spacing w:line="276" w:lineRule="auto"/>
        <w:ind w:firstLine="567"/>
        <w:jc w:val="both"/>
        <w:rPr>
          <w:sz w:val="28"/>
          <w:szCs w:val="28"/>
        </w:rPr>
      </w:pPr>
      <w:r w:rsidRPr="00651044">
        <w:rPr>
          <w:sz w:val="28"/>
          <w:szCs w:val="28"/>
        </w:rPr>
        <w:t>În partea ce ţine de societăţile pe acţiuni, din valoarea totală a datoriilor în sumă de 6,7 mil. lei, datoriile aferente plăţilor de bază au constituit 4,4 mil. lei, penalităţile – 2,3 mil. lei.</w:t>
      </w:r>
    </w:p>
    <w:p w:rsidR="00895280" w:rsidRPr="00651044" w:rsidRDefault="00895280" w:rsidP="00895280">
      <w:pPr>
        <w:spacing w:line="23" w:lineRule="atLeast"/>
        <w:ind w:left="720"/>
        <w:jc w:val="right"/>
      </w:pPr>
      <w:r w:rsidRPr="00651044">
        <w:t>Tabelul 4.2</w:t>
      </w:r>
    </w:p>
    <w:p w:rsidR="00895280" w:rsidRPr="00651044" w:rsidRDefault="00895280" w:rsidP="00895280">
      <w:pPr>
        <w:jc w:val="center"/>
        <w:rPr>
          <w:b/>
          <w:i/>
          <w:sz w:val="22"/>
          <w:szCs w:val="22"/>
        </w:rPr>
      </w:pPr>
      <w:r w:rsidRPr="00651044">
        <w:rPr>
          <w:b/>
          <w:i/>
          <w:sz w:val="22"/>
          <w:szCs w:val="22"/>
        </w:rPr>
        <w:t>Sinteza datoriilor societăţilor pe acţiuni faţă</w:t>
      </w:r>
    </w:p>
    <w:p w:rsidR="00895280" w:rsidRPr="00651044" w:rsidRDefault="00895280" w:rsidP="00895280">
      <w:pPr>
        <w:jc w:val="center"/>
        <w:rPr>
          <w:b/>
          <w:i/>
          <w:sz w:val="22"/>
          <w:szCs w:val="22"/>
        </w:rPr>
      </w:pPr>
      <w:r w:rsidRPr="00651044">
        <w:rPr>
          <w:b/>
          <w:i/>
          <w:sz w:val="22"/>
          <w:szCs w:val="22"/>
        </w:rPr>
        <w:t>de bugetul public naţional, la situaţia din 30 iunie 2016</w:t>
      </w:r>
    </w:p>
    <w:p w:rsidR="00895280" w:rsidRPr="00507EC6" w:rsidRDefault="00895280" w:rsidP="00507EC6">
      <w:pPr>
        <w:spacing w:line="23" w:lineRule="atLeast"/>
        <w:rPr>
          <w:sz w:val="20"/>
          <w:szCs w:val="20"/>
        </w:rPr>
      </w:pPr>
      <w:r w:rsidRPr="00651044">
        <w:t xml:space="preserve">                                                                                                                                                 </w:t>
      </w:r>
      <w:r w:rsidRPr="00507EC6">
        <w:rPr>
          <w:sz w:val="20"/>
          <w:szCs w:val="20"/>
        </w:rPr>
        <w:t>(mil. lei)</w:t>
      </w:r>
    </w:p>
    <w:tbl>
      <w:tblPr>
        <w:tblW w:w="8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1418"/>
        <w:gridCol w:w="1370"/>
        <w:gridCol w:w="1049"/>
      </w:tblGrid>
      <w:tr w:rsidR="00895280" w:rsidRPr="004629DE" w:rsidTr="004629DE">
        <w:trPr>
          <w:jc w:val="center"/>
        </w:trPr>
        <w:tc>
          <w:tcPr>
            <w:tcW w:w="4678" w:type="dxa"/>
            <w:vMerge w:val="restart"/>
          </w:tcPr>
          <w:p w:rsidR="00895280" w:rsidRPr="004629DE" w:rsidRDefault="00895280" w:rsidP="004629DE">
            <w:pPr>
              <w:spacing w:line="23" w:lineRule="atLeast"/>
              <w:jc w:val="center"/>
              <w:rPr>
                <w:b/>
                <w:i/>
                <w:iCs/>
                <w:sz w:val="20"/>
                <w:szCs w:val="20"/>
              </w:rPr>
            </w:pPr>
            <w:r w:rsidRPr="004629DE">
              <w:rPr>
                <w:b/>
                <w:i/>
                <w:iCs/>
                <w:sz w:val="20"/>
                <w:szCs w:val="20"/>
              </w:rPr>
              <w:t>Verigile sistemului bugetar:</w:t>
            </w:r>
          </w:p>
        </w:tc>
        <w:tc>
          <w:tcPr>
            <w:tcW w:w="2788" w:type="dxa"/>
            <w:gridSpan w:val="2"/>
          </w:tcPr>
          <w:p w:rsidR="00895280" w:rsidRPr="004629DE" w:rsidRDefault="00895280" w:rsidP="004629DE">
            <w:pPr>
              <w:spacing w:line="23" w:lineRule="atLeast"/>
              <w:jc w:val="center"/>
              <w:rPr>
                <w:b/>
                <w:i/>
                <w:iCs/>
                <w:sz w:val="20"/>
                <w:szCs w:val="20"/>
              </w:rPr>
            </w:pPr>
            <w:r w:rsidRPr="004629DE">
              <w:rPr>
                <w:b/>
                <w:i/>
                <w:iCs/>
                <w:sz w:val="20"/>
                <w:szCs w:val="20"/>
              </w:rPr>
              <w:t>Inclusiv:</w:t>
            </w:r>
          </w:p>
        </w:tc>
        <w:tc>
          <w:tcPr>
            <w:tcW w:w="1049" w:type="dxa"/>
            <w:vMerge w:val="restart"/>
          </w:tcPr>
          <w:p w:rsidR="00895280" w:rsidRPr="004629DE" w:rsidRDefault="00895280" w:rsidP="004629DE">
            <w:pPr>
              <w:spacing w:line="23" w:lineRule="atLeast"/>
              <w:jc w:val="center"/>
              <w:rPr>
                <w:b/>
                <w:bCs/>
                <w:sz w:val="20"/>
                <w:szCs w:val="20"/>
              </w:rPr>
            </w:pPr>
            <w:r w:rsidRPr="004629DE">
              <w:rPr>
                <w:b/>
                <w:bCs/>
                <w:sz w:val="20"/>
                <w:szCs w:val="20"/>
              </w:rPr>
              <w:t>Total pe bugete</w:t>
            </w:r>
          </w:p>
        </w:tc>
      </w:tr>
      <w:tr w:rsidR="00B05AB1" w:rsidRPr="004629DE" w:rsidTr="004629DE">
        <w:trPr>
          <w:trHeight w:val="206"/>
          <w:jc w:val="center"/>
        </w:trPr>
        <w:tc>
          <w:tcPr>
            <w:tcW w:w="4678" w:type="dxa"/>
            <w:vMerge/>
          </w:tcPr>
          <w:p w:rsidR="00B05AB1" w:rsidRPr="004629DE" w:rsidRDefault="00B05AB1" w:rsidP="004629DE">
            <w:pPr>
              <w:spacing w:line="23" w:lineRule="atLeast"/>
              <w:rPr>
                <w:b/>
                <w:sz w:val="20"/>
                <w:szCs w:val="20"/>
              </w:rPr>
            </w:pPr>
          </w:p>
        </w:tc>
        <w:tc>
          <w:tcPr>
            <w:tcW w:w="1418" w:type="dxa"/>
          </w:tcPr>
          <w:p w:rsidR="00B05AB1" w:rsidRPr="004629DE" w:rsidRDefault="00B05AB1" w:rsidP="004629DE">
            <w:pPr>
              <w:jc w:val="center"/>
              <w:rPr>
                <w:b/>
                <w:sz w:val="20"/>
                <w:szCs w:val="20"/>
              </w:rPr>
            </w:pPr>
            <w:r w:rsidRPr="004629DE">
              <w:rPr>
                <w:b/>
                <w:sz w:val="20"/>
                <w:szCs w:val="20"/>
              </w:rPr>
              <w:t>plăţi de bază</w:t>
            </w:r>
          </w:p>
        </w:tc>
        <w:tc>
          <w:tcPr>
            <w:tcW w:w="1370" w:type="dxa"/>
          </w:tcPr>
          <w:p w:rsidR="00B05AB1" w:rsidRPr="004629DE" w:rsidRDefault="00B05AB1" w:rsidP="004629DE">
            <w:pPr>
              <w:spacing w:line="23" w:lineRule="atLeast"/>
              <w:jc w:val="center"/>
              <w:rPr>
                <w:b/>
                <w:sz w:val="20"/>
                <w:szCs w:val="20"/>
              </w:rPr>
            </w:pPr>
            <w:r w:rsidRPr="004629DE">
              <w:rPr>
                <w:b/>
                <w:sz w:val="20"/>
                <w:szCs w:val="20"/>
              </w:rPr>
              <w:t>penalităţi </w:t>
            </w:r>
          </w:p>
        </w:tc>
        <w:tc>
          <w:tcPr>
            <w:tcW w:w="1049" w:type="dxa"/>
            <w:vMerge/>
          </w:tcPr>
          <w:p w:rsidR="00B05AB1" w:rsidRPr="004629DE" w:rsidRDefault="00B05AB1" w:rsidP="004629DE">
            <w:pPr>
              <w:spacing w:line="23" w:lineRule="atLeast"/>
              <w:rPr>
                <w:b/>
                <w:bCs/>
                <w:sz w:val="20"/>
                <w:szCs w:val="20"/>
              </w:rPr>
            </w:pPr>
          </w:p>
        </w:tc>
      </w:tr>
      <w:tr w:rsidR="00B05AB1" w:rsidRPr="004629DE" w:rsidTr="004629DE">
        <w:trPr>
          <w:trHeight w:val="155"/>
          <w:jc w:val="center"/>
        </w:trPr>
        <w:tc>
          <w:tcPr>
            <w:tcW w:w="4678" w:type="dxa"/>
          </w:tcPr>
          <w:p w:rsidR="00B05AB1" w:rsidRPr="004629DE" w:rsidRDefault="00B05AB1" w:rsidP="004629DE">
            <w:pPr>
              <w:spacing w:line="23" w:lineRule="atLeast"/>
              <w:jc w:val="both"/>
              <w:rPr>
                <w:sz w:val="20"/>
                <w:szCs w:val="20"/>
              </w:rPr>
            </w:pPr>
            <w:r w:rsidRPr="004629DE">
              <w:rPr>
                <w:sz w:val="20"/>
                <w:szCs w:val="20"/>
              </w:rPr>
              <w:t>Bugetul de stat</w:t>
            </w:r>
          </w:p>
        </w:tc>
        <w:tc>
          <w:tcPr>
            <w:tcW w:w="1418" w:type="dxa"/>
          </w:tcPr>
          <w:p w:rsidR="00B05AB1" w:rsidRPr="004629DE" w:rsidRDefault="00B05AB1" w:rsidP="004629DE">
            <w:pPr>
              <w:spacing w:line="23" w:lineRule="atLeast"/>
              <w:jc w:val="center"/>
              <w:rPr>
                <w:sz w:val="20"/>
                <w:szCs w:val="20"/>
              </w:rPr>
            </w:pPr>
            <w:r w:rsidRPr="004629DE">
              <w:rPr>
                <w:sz w:val="20"/>
                <w:szCs w:val="20"/>
              </w:rPr>
              <w:t>1,9</w:t>
            </w:r>
          </w:p>
        </w:tc>
        <w:tc>
          <w:tcPr>
            <w:tcW w:w="1370" w:type="dxa"/>
          </w:tcPr>
          <w:p w:rsidR="00B05AB1" w:rsidRPr="004629DE" w:rsidRDefault="00B05AB1" w:rsidP="004629DE">
            <w:pPr>
              <w:spacing w:line="23" w:lineRule="atLeast"/>
              <w:jc w:val="center"/>
              <w:rPr>
                <w:sz w:val="20"/>
                <w:szCs w:val="20"/>
              </w:rPr>
            </w:pPr>
            <w:r w:rsidRPr="004629DE">
              <w:rPr>
                <w:sz w:val="20"/>
                <w:szCs w:val="20"/>
              </w:rPr>
              <w:t>0,4</w:t>
            </w:r>
          </w:p>
        </w:tc>
        <w:tc>
          <w:tcPr>
            <w:tcW w:w="1049" w:type="dxa"/>
          </w:tcPr>
          <w:p w:rsidR="00B05AB1" w:rsidRPr="004629DE" w:rsidRDefault="00B05AB1" w:rsidP="004629DE">
            <w:pPr>
              <w:spacing w:line="23" w:lineRule="atLeast"/>
              <w:jc w:val="center"/>
              <w:rPr>
                <w:b/>
                <w:bCs/>
                <w:sz w:val="20"/>
                <w:szCs w:val="20"/>
              </w:rPr>
            </w:pPr>
            <w:r w:rsidRPr="004629DE">
              <w:rPr>
                <w:b/>
                <w:bCs/>
                <w:sz w:val="20"/>
                <w:szCs w:val="20"/>
              </w:rPr>
              <w:t>2,3</w:t>
            </w:r>
          </w:p>
        </w:tc>
      </w:tr>
      <w:tr w:rsidR="00B05AB1" w:rsidRPr="004629DE" w:rsidTr="004629DE">
        <w:trPr>
          <w:trHeight w:val="174"/>
          <w:jc w:val="center"/>
        </w:trPr>
        <w:tc>
          <w:tcPr>
            <w:tcW w:w="4678" w:type="dxa"/>
          </w:tcPr>
          <w:p w:rsidR="00B05AB1" w:rsidRPr="004629DE" w:rsidRDefault="00B05AB1" w:rsidP="004629DE">
            <w:pPr>
              <w:spacing w:line="23" w:lineRule="atLeast"/>
              <w:jc w:val="both"/>
              <w:rPr>
                <w:sz w:val="20"/>
                <w:szCs w:val="20"/>
              </w:rPr>
            </w:pPr>
            <w:r w:rsidRPr="004629DE">
              <w:rPr>
                <w:sz w:val="20"/>
                <w:szCs w:val="20"/>
              </w:rPr>
              <w:t>Bugetele unităţilor administrativ-teritoriale</w:t>
            </w:r>
          </w:p>
        </w:tc>
        <w:tc>
          <w:tcPr>
            <w:tcW w:w="1418" w:type="dxa"/>
          </w:tcPr>
          <w:p w:rsidR="00B05AB1" w:rsidRPr="004629DE" w:rsidRDefault="00B05AB1" w:rsidP="004629DE">
            <w:pPr>
              <w:spacing w:line="23" w:lineRule="atLeast"/>
              <w:jc w:val="center"/>
              <w:rPr>
                <w:sz w:val="20"/>
                <w:szCs w:val="20"/>
              </w:rPr>
            </w:pPr>
            <w:r w:rsidRPr="004629DE">
              <w:rPr>
                <w:sz w:val="20"/>
                <w:szCs w:val="20"/>
              </w:rPr>
              <w:t>0,5</w:t>
            </w:r>
          </w:p>
        </w:tc>
        <w:tc>
          <w:tcPr>
            <w:tcW w:w="1370" w:type="dxa"/>
          </w:tcPr>
          <w:p w:rsidR="00B05AB1" w:rsidRPr="004629DE" w:rsidRDefault="00B05AB1" w:rsidP="004629DE">
            <w:pPr>
              <w:spacing w:line="23" w:lineRule="atLeast"/>
              <w:jc w:val="center"/>
              <w:rPr>
                <w:sz w:val="20"/>
                <w:szCs w:val="20"/>
              </w:rPr>
            </w:pPr>
            <w:r w:rsidRPr="004629DE">
              <w:rPr>
                <w:sz w:val="20"/>
                <w:szCs w:val="20"/>
              </w:rPr>
              <w:t>0,1</w:t>
            </w:r>
          </w:p>
        </w:tc>
        <w:tc>
          <w:tcPr>
            <w:tcW w:w="1049" w:type="dxa"/>
          </w:tcPr>
          <w:p w:rsidR="00B05AB1" w:rsidRPr="004629DE" w:rsidRDefault="00B05AB1" w:rsidP="004629DE">
            <w:pPr>
              <w:spacing w:line="23" w:lineRule="atLeast"/>
              <w:jc w:val="center"/>
              <w:rPr>
                <w:b/>
                <w:bCs/>
                <w:sz w:val="20"/>
                <w:szCs w:val="20"/>
              </w:rPr>
            </w:pPr>
            <w:r w:rsidRPr="004629DE">
              <w:rPr>
                <w:b/>
                <w:bCs/>
                <w:sz w:val="20"/>
                <w:szCs w:val="20"/>
              </w:rPr>
              <w:t>0,6</w:t>
            </w:r>
          </w:p>
        </w:tc>
      </w:tr>
      <w:tr w:rsidR="00B05AB1" w:rsidRPr="004629DE" w:rsidTr="004629DE">
        <w:trPr>
          <w:jc w:val="center"/>
        </w:trPr>
        <w:tc>
          <w:tcPr>
            <w:tcW w:w="4678" w:type="dxa"/>
          </w:tcPr>
          <w:p w:rsidR="00B05AB1" w:rsidRPr="004629DE" w:rsidRDefault="00B05AB1" w:rsidP="004629DE">
            <w:pPr>
              <w:spacing w:line="23" w:lineRule="atLeast"/>
              <w:jc w:val="both"/>
              <w:rPr>
                <w:sz w:val="20"/>
                <w:szCs w:val="20"/>
              </w:rPr>
            </w:pPr>
            <w:r w:rsidRPr="004629DE">
              <w:rPr>
                <w:sz w:val="20"/>
                <w:szCs w:val="20"/>
              </w:rPr>
              <w:t>Bugetul asigurărilor sociale de stat</w:t>
            </w:r>
          </w:p>
        </w:tc>
        <w:tc>
          <w:tcPr>
            <w:tcW w:w="1418" w:type="dxa"/>
          </w:tcPr>
          <w:p w:rsidR="00B05AB1" w:rsidRPr="004629DE" w:rsidRDefault="00B05AB1" w:rsidP="004629DE">
            <w:pPr>
              <w:spacing w:line="23" w:lineRule="atLeast"/>
              <w:jc w:val="center"/>
              <w:rPr>
                <w:sz w:val="20"/>
                <w:szCs w:val="20"/>
              </w:rPr>
            </w:pPr>
            <w:r w:rsidRPr="004629DE">
              <w:rPr>
                <w:sz w:val="20"/>
                <w:szCs w:val="20"/>
              </w:rPr>
              <w:t>1,9</w:t>
            </w:r>
          </w:p>
        </w:tc>
        <w:tc>
          <w:tcPr>
            <w:tcW w:w="1370" w:type="dxa"/>
          </w:tcPr>
          <w:p w:rsidR="00B05AB1" w:rsidRPr="004629DE" w:rsidRDefault="00B05AB1" w:rsidP="004629DE">
            <w:pPr>
              <w:spacing w:line="23" w:lineRule="atLeast"/>
              <w:jc w:val="center"/>
              <w:rPr>
                <w:sz w:val="20"/>
                <w:szCs w:val="20"/>
              </w:rPr>
            </w:pPr>
            <w:r w:rsidRPr="004629DE">
              <w:rPr>
                <w:sz w:val="20"/>
                <w:szCs w:val="20"/>
              </w:rPr>
              <w:t>1,4</w:t>
            </w:r>
          </w:p>
        </w:tc>
        <w:tc>
          <w:tcPr>
            <w:tcW w:w="1049" w:type="dxa"/>
          </w:tcPr>
          <w:p w:rsidR="00B05AB1" w:rsidRPr="004629DE" w:rsidRDefault="00B05AB1" w:rsidP="004629DE">
            <w:pPr>
              <w:spacing w:line="23" w:lineRule="atLeast"/>
              <w:jc w:val="center"/>
              <w:rPr>
                <w:b/>
                <w:bCs/>
                <w:sz w:val="20"/>
                <w:szCs w:val="20"/>
              </w:rPr>
            </w:pPr>
            <w:r w:rsidRPr="004629DE">
              <w:rPr>
                <w:b/>
                <w:bCs/>
                <w:sz w:val="20"/>
                <w:szCs w:val="20"/>
              </w:rPr>
              <w:t>3,3</w:t>
            </w:r>
          </w:p>
        </w:tc>
      </w:tr>
      <w:tr w:rsidR="00B05AB1" w:rsidRPr="004629DE" w:rsidTr="004629DE">
        <w:trPr>
          <w:jc w:val="center"/>
        </w:trPr>
        <w:tc>
          <w:tcPr>
            <w:tcW w:w="4678" w:type="dxa"/>
          </w:tcPr>
          <w:p w:rsidR="00B05AB1" w:rsidRPr="004629DE" w:rsidRDefault="00B05AB1" w:rsidP="004629DE">
            <w:pPr>
              <w:spacing w:line="23" w:lineRule="atLeast"/>
              <w:jc w:val="both"/>
              <w:rPr>
                <w:sz w:val="20"/>
                <w:szCs w:val="20"/>
              </w:rPr>
            </w:pPr>
            <w:r w:rsidRPr="004629DE">
              <w:rPr>
                <w:sz w:val="20"/>
                <w:szCs w:val="20"/>
              </w:rPr>
              <w:t>Fondurile asigurării obligatorii de asistenţă medicală</w:t>
            </w:r>
          </w:p>
        </w:tc>
        <w:tc>
          <w:tcPr>
            <w:tcW w:w="1418" w:type="dxa"/>
          </w:tcPr>
          <w:p w:rsidR="00B05AB1" w:rsidRPr="004629DE" w:rsidRDefault="00B05AB1" w:rsidP="004629DE">
            <w:pPr>
              <w:spacing w:line="23" w:lineRule="atLeast"/>
              <w:jc w:val="center"/>
              <w:rPr>
                <w:sz w:val="20"/>
                <w:szCs w:val="20"/>
              </w:rPr>
            </w:pPr>
            <w:r w:rsidRPr="004629DE">
              <w:rPr>
                <w:sz w:val="20"/>
                <w:szCs w:val="20"/>
              </w:rPr>
              <w:t>0,1</w:t>
            </w:r>
          </w:p>
        </w:tc>
        <w:tc>
          <w:tcPr>
            <w:tcW w:w="1370" w:type="dxa"/>
          </w:tcPr>
          <w:p w:rsidR="00B05AB1" w:rsidRPr="004629DE" w:rsidRDefault="00B05AB1" w:rsidP="004629DE">
            <w:pPr>
              <w:spacing w:line="23" w:lineRule="atLeast"/>
              <w:jc w:val="center"/>
              <w:rPr>
                <w:sz w:val="20"/>
                <w:szCs w:val="20"/>
              </w:rPr>
            </w:pPr>
            <w:r w:rsidRPr="004629DE">
              <w:rPr>
                <w:sz w:val="20"/>
                <w:szCs w:val="20"/>
              </w:rPr>
              <w:t>0,4</w:t>
            </w:r>
          </w:p>
        </w:tc>
        <w:tc>
          <w:tcPr>
            <w:tcW w:w="1049" w:type="dxa"/>
          </w:tcPr>
          <w:p w:rsidR="00B05AB1" w:rsidRPr="004629DE" w:rsidRDefault="00B05AB1" w:rsidP="004629DE">
            <w:pPr>
              <w:spacing w:line="23" w:lineRule="atLeast"/>
              <w:jc w:val="center"/>
              <w:rPr>
                <w:b/>
                <w:bCs/>
                <w:sz w:val="20"/>
                <w:szCs w:val="20"/>
              </w:rPr>
            </w:pPr>
            <w:r w:rsidRPr="004629DE">
              <w:rPr>
                <w:b/>
                <w:bCs/>
                <w:sz w:val="20"/>
                <w:szCs w:val="20"/>
              </w:rPr>
              <w:t>0,5</w:t>
            </w:r>
          </w:p>
        </w:tc>
      </w:tr>
      <w:tr w:rsidR="00B05AB1" w:rsidRPr="004629DE" w:rsidTr="004629DE">
        <w:trPr>
          <w:trHeight w:val="128"/>
          <w:jc w:val="center"/>
        </w:trPr>
        <w:tc>
          <w:tcPr>
            <w:tcW w:w="4678" w:type="dxa"/>
          </w:tcPr>
          <w:p w:rsidR="00B05AB1" w:rsidRPr="004629DE" w:rsidRDefault="00B05AB1" w:rsidP="004629DE">
            <w:pPr>
              <w:spacing w:line="23" w:lineRule="atLeast"/>
              <w:jc w:val="both"/>
              <w:rPr>
                <w:b/>
                <w:bCs/>
                <w:sz w:val="20"/>
                <w:szCs w:val="20"/>
              </w:rPr>
            </w:pPr>
            <w:r w:rsidRPr="004629DE">
              <w:rPr>
                <w:b/>
                <w:bCs/>
                <w:sz w:val="20"/>
                <w:szCs w:val="20"/>
              </w:rPr>
              <w:t>TOTAL</w:t>
            </w:r>
          </w:p>
        </w:tc>
        <w:tc>
          <w:tcPr>
            <w:tcW w:w="1418" w:type="dxa"/>
          </w:tcPr>
          <w:p w:rsidR="00B05AB1" w:rsidRPr="004629DE" w:rsidRDefault="00B05AB1" w:rsidP="004629DE">
            <w:pPr>
              <w:spacing w:line="23" w:lineRule="atLeast"/>
              <w:jc w:val="center"/>
              <w:rPr>
                <w:b/>
                <w:bCs/>
                <w:sz w:val="20"/>
                <w:szCs w:val="20"/>
              </w:rPr>
            </w:pPr>
            <w:r w:rsidRPr="004629DE">
              <w:rPr>
                <w:b/>
                <w:bCs/>
                <w:sz w:val="20"/>
                <w:szCs w:val="20"/>
              </w:rPr>
              <w:t>4,4</w:t>
            </w:r>
          </w:p>
        </w:tc>
        <w:tc>
          <w:tcPr>
            <w:tcW w:w="1370" w:type="dxa"/>
          </w:tcPr>
          <w:p w:rsidR="00B05AB1" w:rsidRPr="004629DE" w:rsidRDefault="00B05AB1" w:rsidP="004629DE">
            <w:pPr>
              <w:spacing w:line="23" w:lineRule="atLeast"/>
              <w:jc w:val="center"/>
              <w:rPr>
                <w:b/>
                <w:bCs/>
                <w:sz w:val="20"/>
                <w:szCs w:val="20"/>
              </w:rPr>
            </w:pPr>
            <w:r w:rsidRPr="004629DE">
              <w:rPr>
                <w:b/>
                <w:bCs/>
                <w:sz w:val="20"/>
                <w:szCs w:val="20"/>
              </w:rPr>
              <w:t>2,3</w:t>
            </w:r>
          </w:p>
        </w:tc>
        <w:tc>
          <w:tcPr>
            <w:tcW w:w="1049" w:type="dxa"/>
          </w:tcPr>
          <w:p w:rsidR="00B05AB1" w:rsidRPr="004629DE" w:rsidRDefault="00B05AB1" w:rsidP="004629DE">
            <w:pPr>
              <w:spacing w:line="23" w:lineRule="atLeast"/>
              <w:jc w:val="center"/>
              <w:rPr>
                <w:b/>
                <w:bCs/>
                <w:sz w:val="20"/>
                <w:szCs w:val="20"/>
              </w:rPr>
            </w:pPr>
            <w:r w:rsidRPr="004629DE">
              <w:rPr>
                <w:b/>
                <w:bCs/>
                <w:sz w:val="20"/>
                <w:szCs w:val="20"/>
              </w:rPr>
              <w:t>6,7</w:t>
            </w:r>
          </w:p>
        </w:tc>
      </w:tr>
    </w:tbl>
    <w:p w:rsidR="005F3307" w:rsidRPr="00651044" w:rsidRDefault="005F3307" w:rsidP="005F3307">
      <w:pPr>
        <w:spacing w:line="276" w:lineRule="auto"/>
        <w:ind w:firstLine="567"/>
        <w:jc w:val="both"/>
        <w:rPr>
          <w:sz w:val="28"/>
          <w:szCs w:val="28"/>
        </w:rPr>
      </w:pPr>
      <w:r w:rsidRPr="00651044">
        <w:rPr>
          <w:sz w:val="28"/>
          <w:szCs w:val="28"/>
        </w:rPr>
        <w:lastRenderedPageBreak/>
        <w:t>Datoriile societăţilor pe acţiuni faţă de bugetul asigurărilor sociale de stat constituie 3,3 mil. lei, dintre care plăţi de bază – 1,9 mil. lei. De altfel, similar situaţiei întreprinderilor de stat, cele mai mici datorii ale societăţilor pe acţiuni s-au înregistrat la fondurile asigurării obligatorii de asistenţă medicală – 0,5 mil. lei.</w:t>
      </w:r>
    </w:p>
    <w:p w:rsidR="00507EC6" w:rsidRDefault="00895280" w:rsidP="00507EC6">
      <w:pPr>
        <w:spacing w:line="276" w:lineRule="auto"/>
        <w:ind w:firstLine="567"/>
        <w:jc w:val="both"/>
        <w:rPr>
          <w:sz w:val="28"/>
          <w:szCs w:val="28"/>
        </w:rPr>
      </w:pPr>
      <w:r w:rsidRPr="00651044">
        <w:rPr>
          <w:sz w:val="28"/>
          <w:szCs w:val="28"/>
        </w:rPr>
        <w:t xml:space="preserve">De asemenea, conform datelor </w:t>
      </w:r>
      <w:r w:rsidR="00814112">
        <w:rPr>
          <w:sz w:val="28"/>
          <w:szCs w:val="28"/>
        </w:rPr>
        <w:t>Inspectoratului Fiscal Principal de Stat</w:t>
      </w:r>
      <w:r w:rsidRPr="00651044">
        <w:rPr>
          <w:sz w:val="28"/>
          <w:szCs w:val="28"/>
        </w:rPr>
        <w:t xml:space="preserve"> cu privire la obligaţiile fiscale (calculate şi achitate), pentru semestrul I al anului gestionar, s-au înregistrat achitări de impozite şi taxe în bugetul public naţional în cuantum total de 1217,0 mil. lei, acestea cuprinzînd achitări efectuate de întreprinderile de stat – 664,7 mil. lei şi achitări efectuate de către societăţile pe acţiuni – 552,3 mil. lei.</w:t>
      </w:r>
    </w:p>
    <w:p w:rsidR="00895280" w:rsidRDefault="00895280" w:rsidP="00507EC6">
      <w:pPr>
        <w:spacing w:line="276" w:lineRule="auto"/>
        <w:ind w:firstLine="567"/>
        <w:jc w:val="both"/>
        <w:rPr>
          <w:sz w:val="28"/>
          <w:szCs w:val="28"/>
        </w:rPr>
      </w:pPr>
      <w:r w:rsidRPr="00651044">
        <w:rPr>
          <w:sz w:val="28"/>
          <w:szCs w:val="28"/>
        </w:rPr>
        <w:t>Achitările efectuate de întreprinderile de stat au fost distribuite după cum urmează: bugetul de stat – 251,3 mil. lei; bugetele unităţilor administrativ-teritoriale – 54,8 mil. lei; bugetul asigurărilor sociale de stat – 270,4 mil. lei şi fondurile asigurării obligatorii de asistenţă medicală – 88,2 mil. lei.</w:t>
      </w:r>
    </w:p>
    <w:p w:rsidR="009F5B0C" w:rsidRPr="00651044" w:rsidRDefault="00763829" w:rsidP="00507EC6">
      <w:pPr>
        <w:spacing w:line="276" w:lineRule="auto"/>
        <w:ind w:firstLine="567"/>
        <w:jc w:val="both"/>
        <w:rPr>
          <w:sz w:val="28"/>
          <w:szCs w:val="28"/>
        </w:rPr>
      </w:pPr>
      <w:r>
        <w:rPr>
          <w:noProof/>
          <w:color w:val="FF0000"/>
          <w:sz w:val="28"/>
          <w:szCs w:val="28"/>
          <w:lang w:val="ru-RU"/>
        </w:rPr>
        <w:drawing>
          <wp:inline distT="0" distB="0" distL="0" distR="0">
            <wp:extent cx="5351145" cy="1701800"/>
            <wp:effectExtent l="0" t="0" r="0" b="0"/>
            <wp:docPr id="32" name="Object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895280" w:rsidRPr="00651044" w:rsidRDefault="00895280" w:rsidP="00895280">
      <w:pPr>
        <w:tabs>
          <w:tab w:val="left" w:pos="180"/>
        </w:tabs>
        <w:spacing w:line="23" w:lineRule="atLeast"/>
        <w:jc w:val="center"/>
        <w:rPr>
          <w:b/>
          <w:i/>
        </w:rPr>
      </w:pPr>
      <w:r w:rsidRPr="00651044">
        <w:rPr>
          <w:b/>
          <w:i/>
        </w:rPr>
        <w:t>Figura 4.1. Structura achitărilor impozitelor şi taxelor în bugetul public naţional de către</w:t>
      </w:r>
    </w:p>
    <w:p w:rsidR="00895280" w:rsidRPr="00651044" w:rsidRDefault="00895280" w:rsidP="00895280">
      <w:pPr>
        <w:tabs>
          <w:tab w:val="left" w:pos="180"/>
        </w:tabs>
        <w:spacing w:line="23" w:lineRule="atLeast"/>
        <w:jc w:val="center"/>
        <w:rPr>
          <w:b/>
          <w:i/>
        </w:rPr>
      </w:pPr>
      <w:r w:rsidRPr="00651044">
        <w:rPr>
          <w:b/>
          <w:i/>
        </w:rPr>
        <w:t>întreprinderile de stat, pentru 6 luni ale anului 2016</w:t>
      </w:r>
    </w:p>
    <w:p w:rsidR="00895280" w:rsidRPr="00651044" w:rsidRDefault="00895280" w:rsidP="00895280">
      <w:pPr>
        <w:tabs>
          <w:tab w:val="left" w:pos="180"/>
        </w:tabs>
        <w:spacing w:line="120" w:lineRule="auto"/>
        <w:jc w:val="center"/>
        <w:rPr>
          <w:b/>
          <w:i/>
        </w:rPr>
      </w:pPr>
    </w:p>
    <w:p w:rsidR="00507EC6" w:rsidRDefault="00507EC6" w:rsidP="00507EC6">
      <w:pPr>
        <w:spacing w:line="120" w:lineRule="auto"/>
        <w:ind w:firstLine="567"/>
        <w:jc w:val="both"/>
        <w:rPr>
          <w:sz w:val="28"/>
          <w:szCs w:val="28"/>
        </w:rPr>
      </w:pPr>
    </w:p>
    <w:p w:rsidR="00895280" w:rsidRPr="00651044" w:rsidRDefault="00895280" w:rsidP="00507EC6">
      <w:pPr>
        <w:spacing w:line="276" w:lineRule="auto"/>
        <w:ind w:firstLine="567"/>
        <w:jc w:val="both"/>
        <w:rPr>
          <w:sz w:val="28"/>
          <w:szCs w:val="28"/>
        </w:rPr>
      </w:pPr>
      <w:r w:rsidRPr="00651044">
        <w:rPr>
          <w:sz w:val="28"/>
          <w:szCs w:val="28"/>
        </w:rPr>
        <w:t xml:space="preserve">În contextul figurii 4.1 se constată că, majoritatea achitărilor (40,7%) au fost efectuate în contul bugetului asigurărilor sociale de stat, iar ponderea minoritară (8,2%) în totalul achitărilor efectuate revine plăţilor în bugetul unităţilor administrativ-teritoriale.  </w:t>
      </w:r>
    </w:p>
    <w:p w:rsidR="00895280" w:rsidRDefault="00895280" w:rsidP="00895280">
      <w:pPr>
        <w:spacing w:line="276" w:lineRule="auto"/>
        <w:ind w:firstLine="708"/>
        <w:jc w:val="both"/>
        <w:rPr>
          <w:sz w:val="28"/>
          <w:szCs w:val="28"/>
        </w:rPr>
      </w:pPr>
      <w:r w:rsidRPr="00651044">
        <w:rPr>
          <w:sz w:val="28"/>
          <w:szCs w:val="28"/>
        </w:rPr>
        <w:t xml:space="preserve">Cu privire la achitările societăţilor pe acţiuni în bugetul public naţional, acestea au fost transferate către bugetul de stat în mărime de 300,5 mil. lei; bugetele unităţilor administrativ–teritoriale – 37,0 mil. lei; bugetul asigurărilor sociale de stat – 162,0 mil. lei şi fondurile asigurării obligatorii de asistenţă medicală – 52,8 mil. lei. </w:t>
      </w:r>
    </w:p>
    <w:p w:rsidR="009F5B0C" w:rsidRPr="00651044" w:rsidRDefault="00763829" w:rsidP="00895280">
      <w:pPr>
        <w:spacing w:line="276" w:lineRule="auto"/>
        <w:ind w:firstLine="708"/>
        <w:jc w:val="both"/>
        <w:rPr>
          <w:sz w:val="28"/>
          <w:szCs w:val="28"/>
        </w:rPr>
      </w:pPr>
      <w:r>
        <w:rPr>
          <w:noProof/>
          <w:color w:val="FF0000"/>
          <w:sz w:val="28"/>
          <w:szCs w:val="28"/>
          <w:lang w:val="ru-RU"/>
        </w:rPr>
        <w:drawing>
          <wp:inline distT="0" distB="0" distL="0" distR="0">
            <wp:extent cx="5351145" cy="1617345"/>
            <wp:effectExtent l="0" t="0" r="0" b="0"/>
            <wp:docPr id="33" name="Object 3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895280" w:rsidRPr="00651044" w:rsidRDefault="00895280" w:rsidP="00895280">
      <w:pPr>
        <w:tabs>
          <w:tab w:val="left" w:pos="180"/>
        </w:tabs>
        <w:spacing w:line="23" w:lineRule="atLeast"/>
        <w:ind w:left="360"/>
        <w:jc w:val="center"/>
        <w:rPr>
          <w:b/>
          <w:i/>
        </w:rPr>
      </w:pPr>
      <w:r w:rsidRPr="00651044">
        <w:rPr>
          <w:b/>
          <w:i/>
        </w:rPr>
        <w:t>Figura 4.2. Structura achitărilor impozitelor şi taxelor în bugetul public naţional de către</w:t>
      </w:r>
    </w:p>
    <w:p w:rsidR="00895280" w:rsidRPr="00651044" w:rsidRDefault="00895280" w:rsidP="00895280">
      <w:pPr>
        <w:tabs>
          <w:tab w:val="left" w:pos="180"/>
        </w:tabs>
        <w:spacing w:line="23" w:lineRule="atLeast"/>
        <w:ind w:left="360"/>
        <w:jc w:val="center"/>
        <w:rPr>
          <w:b/>
          <w:i/>
        </w:rPr>
      </w:pPr>
      <w:r w:rsidRPr="00651044">
        <w:rPr>
          <w:b/>
          <w:i/>
        </w:rPr>
        <w:t>societăţile pe acţiuni, pentru 6 luni ale anului 2016</w:t>
      </w:r>
    </w:p>
    <w:p w:rsidR="00895280" w:rsidRPr="00651044" w:rsidRDefault="00895280" w:rsidP="00507EC6">
      <w:pPr>
        <w:spacing w:line="276" w:lineRule="auto"/>
        <w:ind w:firstLine="567"/>
        <w:jc w:val="both"/>
        <w:rPr>
          <w:sz w:val="28"/>
          <w:szCs w:val="28"/>
        </w:rPr>
      </w:pPr>
      <w:r w:rsidRPr="00651044">
        <w:rPr>
          <w:sz w:val="28"/>
          <w:szCs w:val="28"/>
        </w:rPr>
        <w:lastRenderedPageBreak/>
        <w:t xml:space="preserve">Totodată, conform legislaţiei în vigoare, entităţile beneficiază de înlesniri şi facilităţi fiscale la principalele tipuri de impozite. Astfel, pentru 6 luni ale anului 2016, </w:t>
      </w:r>
      <w:r w:rsidRPr="00966692">
        <w:rPr>
          <w:i/>
          <w:sz w:val="28"/>
          <w:szCs w:val="28"/>
        </w:rPr>
        <w:t>întreprinderile de stat aveau înregistrate înlesniri şi facilităţi fiscale la plata unor impozite şi taxe</w:t>
      </w:r>
      <w:r w:rsidRPr="00651044">
        <w:rPr>
          <w:sz w:val="28"/>
          <w:szCs w:val="28"/>
        </w:rPr>
        <w:t xml:space="preserve"> în mărime de 33,476 mil. lei, inclusiv:</w:t>
      </w:r>
    </w:p>
    <w:p w:rsidR="00895280" w:rsidRPr="00651044" w:rsidRDefault="00895280" w:rsidP="00895280">
      <w:pPr>
        <w:tabs>
          <w:tab w:val="left" w:pos="720"/>
        </w:tabs>
        <w:spacing w:line="276" w:lineRule="auto"/>
        <w:jc w:val="both"/>
        <w:rPr>
          <w:color w:val="000000"/>
          <w:sz w:val="28"/>
          <w:szCs w:val="28"/>
        </w:rPr>
      </w:pPr>
      <w:r w:rsidRPr="00651044">
        <w:rPr>
          <w:color w:val="FF0000"/>
          <w:sz w:val="28"/>
          <w:szCs w:val="28"/>
        </w:rPr>
        <w:tab/>
      </w:r>
      <w:r w:rsidRPr="00651044">
        <w:rPr>
          <w:color w:val="000000"/>
          <w:sz w:val="28"/>
          <w:szCs w:val="28"/>
        </w:rPr>
        <w:t>- 32,742 mil. lei la plata impozitului pe bunurile imobiliare, în conformitate cu prevederile art. 282, 283, 284 ale Codului Fiscal</w:t>
      </w:r>
      <w:r w:rsidRPr="00651044">
        <w:rPr>
          <w:sz w:val="28"/>
          <w:szCs w:val="28"/>
        </w:rPr>
        <w:t xml:space="preserve"> şi prevederile Legii pentru punerea în aplicare a titlului VI al Codului Fiscal nr. 1056-XIV din 16 iunie 2000</w:t>
      </w:r>
      <w:r w:rsidRPr="00651044">
        <w:rPr>
          <w:color w:val="000000"/>
          <w:sz w:val="28"/>
          <w:szCs w:val="28"/>
        </w:rPr>
        <w:t xml:space="preserve">; </w:t>
      </w:r>
    </w:p>
    <w:p w:rsidR="00895280" w:rsidRPr="00651044" w:rsidRDefault="00895280" w:rsidP="00895280">
      <w:pPr>
        <w:spacing w:line="276" w:lineRule="auto"/>
        <w:ind w:firstLine="708"/>
        <w:jc w:val="both"/>
        <w:rPr>
          <w:color w:val="000000"/>
          <w:sz w:val="28"/>
          <w:szCs w:val="28"/>
        </w:rPr>
      </w:pPr>
      <w:r w:rsidRPr="00651044">
        <w:rPr>
          <w:color w:val="000000"/>
          <w:sz w:val="28"/>
          <w:szCs w:val="28"/>
        </w:rPr>
        <w:t>- 0,561 mil. lei – la plata taxei pentru apă, în conformitate cu prevederile art. 306 al Codului Fiscal</w:t>
      </w:r>
      <w:r w:rsidRPr="00651044">
        <w:rPr>
          <w:sz w:val="28"/>
          <w:szCs w:val="28"/>
        </w:rPr>
        <w:t xml:space="preserve"> şi prevederile Legii pentru punerea în aplicare a titlului VIII al Codului Fiscal nr. 68 -XVI din 5 mai 2005</w:t>
      </w:r>
      <w:r w:rsidRPr="00651044">
        <w:rPr>
          <w:color w:val="000000"/>
          <w:sz w:val="28"/>
          <w:szCs w:val="28"/>
        </w:rPr>
        <w:t>;</w:t>
      </w:r>
    </w:p>
    <w:p w:rsidR="00895280" w:rsidRPr="00651044" w:rsidRDefault="00895280" w:rsidP="00895280">
      <w:pPr>
        <w:spacing w:line="276" w:lineRule="auto"/>
        <w:ind w:firstLine="708"/>
        <w:jc w:val="both"/>
        <w:rPr>
          <w:color w:val="000000"/>
          <w:sz w:val="28"/>
          <w:szCs w:val="28"/>
        </w:rPr>
      </w:pPr>
      <w:r w:rsidRPr="00651044">
        <w:rPr>
          <w:color w:val="000000"/>
          <w:sz w:val="28"/>
          <w:szCs w:val="28"/>
        </w:rPr>
        <w:t>- 0,002 mil. lei – la plata taxei privind amenajarea teritoriului, în conformitate cu prevederile art. 295, 296  ale Codului Fiscal</w:t>
      </w:r>
      <w:r w:rsidRPr="00651044">
        <w:rPr>
          <w:sz w:val="28"/>
          <w:szCs w:val="28"/>
        </w:rPr>
        <w:t xml:space="preserve"> şi prevederile Legii pentru punerea în aplicare a titlului VII al Codului Fiscal nr. 94 -XV din 1 aprilie 2004</w:t>
      </w:r>
      <w:r w:rsidRPr="00651044">
        <w:rPr>
          <w:color w:val="000000"/>
          <w:sz w:val="28"/>
          <w:szCs w:val="28"/>
        </w:rPr>
        <w:t xml:space="preserve">; </w:t>
      </w:r>
    </w:p>
    <w:p w:rsidR="00895280" w:rsidRPr="00651044" w:rsidRDefault="00895280" w:rsidP="00895280">
      <w:pPr>
        <w:spacing w:line="276" w:lineRule="auto"/>
        <w:ind w:firstLine="708"/>
        <w:jc w:val="both"/>
        <w:rPr>
          <w:sz w:val="28"/>
          <w:szCs w:val="28"/>
        </w:rPr>
      </w:pPr>
      <w:r w:rsidRPr="00651044">
        <w:rPr>
          <w:sz w:val="28"/>
          <w:szCs w:val="28"/>
        </w:rPr>
        <w:t xml:space="preserve">- 0,163 mil. lei – la plata taxei pentru extragerea mineralelor utile, în conformitate cu prevederile art. 319 al Codului Fiscal şi prevederile Legii pentru punerea în aplicare a titlului VIII al Codului Fiscal nr. 68 -XVI din 5 mai 2005; </w:t>
      </w:r>
    </w:p>
    <w:p w:rsidR="00895280" w:rsidRPr="00651044" w:rsidRDefault="00895280" w:rsidP="00895280">
      <w:pPr>
        <w:spacing w:line="276" w:lineRule="auto"/>
        <w:ind w:firstLine="708"/>
        <w:jc w:val="both"/>
        <w:rPr>
          <w:sz w:val="28"/>
          <w:szCs w:val="28"/>
        </w:rPr>
      </w:pPr>
      <w:r w:rsidRPr="00651044">
        <w:rPr>
          <w:sz w:val="28"/>
          <w:szCs w:val="28"/>
        </w:rPr>
        <w:t xml:space="preserve">- 0,008 mil. lei – la plata taxei pentru eliberarea lemnului pe picior, în conformitate cu prevederile art. 334 al Codului Fiscal şi prevederile Legii pentru punerea în aplicare a titlului VIII al Codului Fiscal nr. 68 -XVI din 5 mai 2005. </w:t>
      </w:r>
    </w:p>
    <w:p w:rsidR="00895280" w:rsidRPr="00651044" w:rsidRDefault="00895280" w:rsidP="00507EC6">
      <w:pPr>
        <w:spacing w:line="276" w:lineRule="auto"/>
        <w:ind w:firstLine="567"/>
        <w:jc w:val="both"/>
        <w:rPr>
          <w:sz w:val="28"/>
          <w:szCs w:val="28"/>
        </w:rPr>
      </w:pPr>
      <w:r w:rsidRPr="00966692">
        <w:rPr>
          <w:i/>
          <w:sz w:val="28"/>
          <w:szCs w:val="28"/>
        </w:rPr>
        <w:t xml:space="preserve">Suma înlesnirilor şi facilităţilor fiscale </w:t>
      </w:r>
      <w:r w:rsidRPr="00966692">
        <w:rPr>
          <w:bCs/>
          <w:i/>
          <w:sz w:val="28"/>
          <w:szCs w:val="28"/>
        </w:rPr>
        <w:t>acordate societăţilor pe acţiuni</w:t>
      </w:r>
      <w:r w:rsidRPr="00651044">
        <w:rPr>
          <w:bCs/>
          <w:sz w:val="28"/>
          <w:szCs w:val="28"/>
        </w:rPr>
        <w:t xml:space="preserve"> la principalele tipuri de impozite </w:t>
      </w:r>
      <w:r w:rsidRPr="00651044">
        <w:rPr>
          <w:sz w:val="28"/>
          <w:szCs w:val="28"/>
        </w:rPr>
        <w:t>constituie 0,185 mil. lei, inclusiv:</w:t>
      </w:r>
    </w:p>
    <w:p w:rsidR="00895280" w:rsidRPr="00651044" w:rsidRDefault="00895280" w:rsidP="00895280">
      <w:pPr>
        <w:tabs>
          <w:tab w:val="left" w:pos="900"/>
        </w:tabs>
        <w:spacing w:line="276" w:lineRule="auto"/>
        <w:ind w:firstLine="540"/>
        <w:jc w:val="both"/>
        <w:rPr>
          <w:sz w:val="28"/>
          <w:szCs w:val="28"/>
        </w:rPr>
      </w:pPr>
      <w:r w:rsidRPr="00651044">
        <w:rPr>
          <w:sz w:val="28"/>
          <w:szCs w:val="28"/>
        </w:rPr>
        <w:t>- 0,184 mil. lei – la plata impozitului pe bunurile imobiliare, în conformitate cu prevederile art. 282, 283, 284 ale Codului Fiscal şi prevederile Legii pentru punerea în aplicare a titlului VI al Codului Fiscal nr. 1056-XIV din 16 iunie 2000;</w:t>
      </w:r>
    </w:p>
    <w:p w:rsidR="00895280" w:rsidRPr="00651044" w:rsidRDefault="00895280" w:rsidP="00136F34">
      <w:pPr>
        <w:numPr>
          <w:ilvl w:val="0"/>
          <w:numId w:val="6"/>
        </w:numPr>
        <w:tabs>
          <w:tab w:val="clear" w:pos="800"/>
          <w:tab w:val="left" w:pos="0"/>
        </w:tabs>
        <w:spacing w:line="276" w:lineRule="auto"/>
        <w:ind w:left="0" w:firstLine="440"/>
        <w:jc w:val="both"/>
        <w:rPr>
          <w:sz w:val="28"/>
          <w:szCs w:val="28"/>
        </w:rPr>
      </w:pPr>
      <w:r w:rsidRPr="00651044">
        <w:rPr>
          <w:sz w:val="28"/>
          <w:szCs w:val="28"/>
        </w:rPr>
        <w:t>0,001 mil. lei – la plata taxei pentru apă, în conformitate cu prevederile art. 306 al Codului Fiscal şi prevederile Legii pentru punerea în aplicare a titlului VIII al Codului Fiscal nr. 68 -XVI din 5 mai 2005.</w:t>
      </w:r>
    </w:p>
    <w:p w:rsidR="00507EC6" w:rsidRDefault="00895280" w:rsidP="00507EC6">
      <w:pPr>
        <w:spacing w:line="276" w:lineRule="auto"/>
        <w:ind w:firstLine="567"/>
        <w:jc w:val="both"/>
        <w:rPr>
          <w:sz w:val="28"/>
          <w:szCs w:val="28"/>
        </w:rPr>
      </w:pPr>
      <w:r w:rsidRPr="00651044">
        <w:rPr>
          <w:sz w:val="28"/>
          <w:szCs w:val="28"/>
        </w:rPr>
        <w:t>Suplimentar, în temeiul prevederilor art. 96, 103 şi 104 ale Codu</w:t>
      </w:r>
      <w:r w:rsidR="00966692">
        <w:rPr>
          <w:sz w:val="28"/>
          <w:szCs w:val="28"/>
        </w:rPr>
        <w:t xml:space="preserve">lui Fiscal </w:t>
      </w:r>
      <w:r w:rsidRPr="00651044">
        <w:rPr>
          <w:sz w:val="28"/>
          <w:szCs w:val="28"/>
        </w:rPr>
        <w:t>nr. 1163-XIII din 24 aprilie 1997, în perioada semestrului I, 2016, entităţile au efectuat livrări de mărfuri şi servicii scutite de taxa pe valoarea adăugată (TVA), livrări de mărfuri şi servicii la cota redusă a TVA şi livrări la cota „0” a TVA.</w:t>
      </w:r>
    </w:p>
    <w:p w:rsidR="00507EC6" w:rsidRDefault="00895280" w:rsidP="00507EC6">
      <w:pPr>
        <w:spacing w:line="276" w:lineRule="auto"/>
        <w:ind w:firstLine="567"/>
        <w:jc w:val="both"/>
        <w:rPr>
          <w:sz w:val="28"/>
          <w:szCs w:val="28"/>
        </w:rPr>
      </w:pPr>
      <w:r w:rsidRPr="00651044">
        <w:rPr>
          <w:sz w:val="28"/>
          <w:szCs w:val="28"/>
        </w:rPr>
        <w:t xml:space="preserve">Prin urmare, </w:t>
      </w:r>
      <w:r w:rsidRPr="00966692">
        <w:rPr>
          <w:i/>
          <w:sz w:val="28"/>
          <w:szCs w:val="28"/>
        </w:rPr>
        <w:t>valoarea</w:t>
      </w:r>
      <w:r w:rsidRPr="00966692">
        <w:rPr>
          <w:i/>
          <w:color w:val="000000"/>
          <w:sz w:val="28"/>
          <w:szCs w:val="28"/>
        </w:rPr>
        <w:t xml:space="preserve"> livrărilor de mărfuri, servicii la cota redusă a TVA, de care au beneficiat întreprinderile de stat</w:t>
      </w:r>
      <w:r w:rsidRPr="00651044">
        <w:rPr>
          <w:color w:val="000000"/>
          <w:sz w:val="28"/>
          <w:szCs w:val="28"/>
        </w:rPr>
        <w:t xml:space="preserve"> în 6 luni ale anului 2016, a constituit 5,9 mil. lei, cele mai semnificative revenind întreprinderilor din administrarea Ministerului Agriculturii şi Industriei Alimentare – 3,1 mil. lei, Ministerului Tehnologiei Informației și Comunicațiilor – 0,8 mil. lei, Agenţiei „Moldsilva” – 0,7 mil. lei şi celor din gestiunea Ministerului Transporturilor și Infrastructurii Drumurilor – 0,6 mil. lei. </w:t>
      </w:r>
      <w:r w:rsidRPr="00966692">
        <w:rPr>
          <w:i/>
          <w:sz w:val="28"/>
          <w:szCs w:val="28"/>
        </w:rPr>
        <w:t>Valoarea livrărilor de mărfuri şi servicii la cota redusă a TVA, efectuate de societăţile pe acţiuni</w:t>
      </w:r>
      <w:r w:rsidRPr="00651044">
        <w:rPr>
          <w:sz w:val="28"/>
          <w:szCs w:val="28"/>
        </w:rPr>
        <w:t xml:space="preserve"> a înregistrat 257,6 mil. lei, dintre care cele mai considerabile fiind </w:t>
      </w:r>
      <w:r w:rsidRPr="00651044">
        <w:rPr>
          <w:sz w:val="28"/>
          <w:szCs w:val="28"/>
        </w:rPr>
        <w:lastRenderedPageBreak/>
        <w:t xml:space="preserve">înregistrate de societăţile din administrarea Ministerului Agriculturii şi Industriei Alimentare – 211,1 mil. lei.   </w:t>
      </w:r>
    </w:p>
    <w:p w:rsidR="00507EC6" w:rsidRDefault="00895280" w:rsidP="00507EC6">
      <w:pPr>
        <w:spacing w:line="276" w:lineRule="auto"/>
        <w:ind w:firstLine="567"/>
        <w:jc w:val="both"/>
        <w:rPr>
          <w:sz w:val="28"/>
          <w:szCs w:val="28"/>
        </w:rPr>
      </w:pPr>
      <w:r w:rsidRPr="00651044">
        <w:rPr>
          <w:sz w:val="28"/>
          <w:szCs w:val="28"/>
        </w:rPr>
        <w:t>Livrările de mărfuri şi servicii scutite de TVA, efectuate de întreprinderile de stat constituie 336,1 mil. lei, cele mai semnificative livrări scutite fiind înregistrate la întreprinderile din administrarea Ministerului Tehnologiei Infor</w:t>
      </w:r>
      <w:r w:rsidR="00507EC6">
        <w:rPr>
          <w:sz w:val="28"/>
          <w:szCs w:val="28"/>
        </w:rPr>
        <w:t xml:space="preserve">maţiei şi </w:t>
      </w:r>
      <w:r w:rsidRPr="00651044">
        <w:rPr>
          <w:sz w:val="28"/>
          <w:szCs w:val="28"/>
        </w:rPr>
        <w:t xml:space="preserve">Comunicaţiilor – 178,5 mil. lei (în mare parte </w:t>
      </w:r>
      <w:r w:rsidR="00966692">
        <w:rPr>
          <w:sz w:val="28"/>
          <w:szCs w:val="28"/>
        </w:rPr>
        <w:t xml:space="preserve">de </w:t>
      </w:r>
      <w:r w:rsidRPr="00651044">
        <w:rPr>
          <w:sz w:val="28"/>
          <w:szCs w:val="28"/>
        </w:rPr>
        <w:t>Î.S. „Poşta Moldovei” –  177,7 mil. lei).</w:t>
      </w:r>
      <w:r w:rsidRPr="00651044">
        <w:rPr>
          <w:color w:val="000000"/>
          <w:sz w:val="28"/>
          <w:szCs w:val="28"/>
        </w:rPr>
        <w:t xml:space="preserve"> </w:t>
      </w:r>
      <w:r w:rsidRPr="00966692">
        <w:rPr>
          <w:i/>
          <w:color w:val="000000"/>
          <w:sz w:val="28"/>
          <w:szCs w:val="28"/>
        </w:rPr>
        <w:t>Referitor la societăţile pe acţiuni,</w:t>
      </w:r>
      <w:r w:rsidRPr="00651044">
        <w:rPr>
          <w:color w:val="000000"/>
          <w:sz w:val="28"/>
          <w:szCs w:val="28"/>
        </w:rPr>
        <w:t xml:space="preserve"> </w:t>
      </w:r>
      <w:r w:rsidRPr="00651044">
        <w:rPr>
          <w:sz w:val="28"/>
          <w:szCs w:val="28"/>
        </w:rPr>
        <w:t>acestea au înregistrat, pentru 6 luni ale anului 2016, livrări de mărfuri şi servicii scutite de TVA în sumă de 1943,8 mil. lei, dintre care cele mai considerabile livrări scutite fiind înregistrate de societăţile pe acţiuni din administrarea Ministerului Economiei – 1937,9 mil. lei.</w:t>
      </w:r>
    </w:p>
    <w:p w:rsidR="00507EC6" w:rsidRDefault="00895280" w:rsidP="00507EC6">
      <w:pPr>
        <w:spacing w:line="276" w:lineRule="auto"/>
        <w:ind w:firstLine="567"/>
        <w:jc w:val="both"/>
        <w:rPr>
          <w:sz w:val="28"/>
          <w:szCs w:val="28"/>
        </w:rPr>
      </w:pPr>
      <w:r w:rsidRPr="00651044">
        <w:rPr>
          <w:sz w:val="28"/>
          <w:szCs w:val="28"/>
        </w:rPr>
        <w:t xml:space="preserve">Totodată, în 6 luni ale anului 2016, </w:t>
      </w:r>
      <w:r w:rsidRPr="00966692">
        <w:rPr>
          <w:i/>
          <w:sz w:val="28"/>
          <w:szCs w:val="28"/>
        </w:rPr>
        <w:t>întreprinderile de stat au efectuat livrări la cota „0” a TVA</w:t>
      </w:r>
      <w:r w:rsidRPr="00651044">
        <w:rPr>
          <w:sz w:val="28"/>
          <w:szCs w:val="28"/>
        </w:rPr>
        <w:t xml:space="preserve"> în mărime totală de 1671,1 mil. lei, valorile cele mai mari fiind înregistrate la întreprinderile de stat din administrarea Ministerului Transporturilor şi Infrastructurii Drumurilor – 1528,4 mil. lei (în special</w:t>
      </w:r>
      <w:r w:rsidR="00966692">
        <w:rPr>
          <w:sz w:val="28"/>
          <w:szCs w:val="28"/>
        </w:rPr>
        <w:t xml:space="preserve"> de</w:t>
      </w:r>
      <w:r w:rsidRPr="00651044">
        <w:rPr>
          <w:sz w:val="28"/>
          <w:szCs w:val="28"/>
        </w:rPr>
        <w:t xml:space="preserve"> Î.S. Compania Aeriană „Air Moldova” – 1104,8 mil. lei) şi întreprinderile din administrarea Ministerului Economiei – 86,2 mil. lei (în mare parte </w:t>
      </w:r>
      <w:r w:rsidR="00966692">
        <w:rPr>
          <w:sz w:val="28"/>
          <w:szCs w:val="28"/>
        </w:rPr>
        <w:t xml:space="preserve">de </w:t>
      </w:r>
      <w:r w:rsidRPr="00651044">
        <w:rPr>
          <w:sz w:val="28"/>
          <w:szCs w:val="28"/>
        </w:rPr>
        <w:t xml:space="preserve">Î.S. „Fabrica de Sticlă din Chişinău” – 82,9 mil. lei). În aceeaşi perioadă a anului curent, </w:t>
      </w:r>
      <w:r w:rsidRPr="00966692">
        <w:rPr>
          <w:i/>
          <w:sz w:val="28"/>
          <w:szCs w:val="28"/>
        </w:rPr>
        <w:t>societăţile pe acţiuni au efectuat livrări la cota „0” a TVA</w:t>
      </w:r>
      <w:r w:rsidRPr="00651044">
        <w:rPr>
          <w:sz w:val="28"/>
          <w:szCs w:val="28"/>
        </w:rPr>
        <w:t xml:space="preserve"> în sumă totală de 1739,9 mil. lei, dintre care cele mai semnificative fiind înregistrate de societăţile pe acţiuni administrate de Ministerul Economiei – 1666,4 mil. lei şi societăţile administrate de Ministerul Agriculturii şi Industriei Alimentare – 69,5 mil. lei.</w:t>
      </w:r>
    </w:p>
    <w:p w:rsidR="00532941" w:rsidRDefault="00895280" w:rsidP="00532941">
      <w:pPr>
        <w:spacing w:line="276" w:lineRule="auto"/>
        <w:ind w:firstLine="567"/>
        <w:jc w:val="both"/>
        <w:rPr>
          <w:sz w:val="28"/>
          <w:szCs w:val="28"/>
        </w:rPr>
      </w:pPr>
      <w:r w:rsidRPr="00651044">
        <w:rPr>
          <w:sz w:val="28"/>
          <w:szCs w:val="28"/>
        </w:rPr>
        <w:t>Suplimentar, se enunţă că, în Legea bugetului de</w:t>
      </w:r>
      <w:r w:rsidR="000236F7">
        <w:rPr>
          <w:sz w:val="28"/>
          <w:szCs w:val="28"/>
        </w:rPr>
        <w:t xml:space="preserve"> stat pe anul 2016 nr. 154 din </w:t>
      </w:r>
      <w:r w:rsidRPr="00651044">
        <w:rPr>
          <w:sz w:val="28"/>
          <w:szCs w:val="28"/>
        </w:rPr>
        <w:t>1 iulie 2016,</w:t>
      </w:r>
      <w:r w:rsidRPr="00651044">
        <w:t xml:space="preserve"> </w:t>
      </w:r>
      <w:r w:rsidRPr="00651044">
        <w:rPr>
          <w:sz w:val="28"/>
          <w:szCs w:val="28"/>
        </w:rPr>
        <w:t>pentru rezultatele obţinute în anul 2015, au fost prevăzute venituri ce urmează a fi încasate la bugetul de stat sub formă de defalcări din profitul net al întreprinderilor de stat şi dividende aferente cotei de participare a statului în societăţile pe acţiuni, în mărime de  83,4 mil. lei.</w:t>
      </w:r>
      <w:r w:rsidR="00532941" w:rsidRPr="00532941">
        <w:rPr>
          <w:sz w:val="28"/>
          <w:szCs w:val="28"/>
        </w:rPr>
        <w:t xml:space="preserve"> </w:t>
      </w:r>
    </w:p>
    <w:p w:rsidR="00507EC6" w:rsidRDefault="00895280" w:rsidP="00507EC6">
      <w:pPr>
        <w:spacing w:line="276" w:lineRule="auto"/>
        <w:ind w:firstLine="567"/>
        <w:jc w:val="both"/>
        <w:rPr>
          <w:sz w:val="28"/>
          <w:szCs w:val="28"/>
        </w:rPr>
      </w:pPr>
      <w:r w:rsidRPr="00651044">
        <w:rPr>
          <w:sz w:val="28"/>
          <w:szCs w:val="28"/>
        </w:rPr>
        <w:t xml:space="preserve">Astfel, conform datelor Trezoreriei de Stat, </w:t>
      </w:r>
      <w:r w:rsidRPr="00BC6CE8">
        <w:rPr>
          <w:sz w:val="28"/>
          <w:szCs w:val="28"/>
        </w:rPr>
        <w:t xml:space="preserve">la situaţia din </w:t>
      </w:r>
      <w:r w:rsidR="00BC6CE8" w:rsidRPr="00BC6CE8">
        <w:rPr>
          <w:sz w:val="28"/>
          <w:szCs w:val="28"/>
        </w:rPr>
        <w:t>30</w:t>
      </w:r>
      <w:r w:rsidRPr="00BC6CE8">
        <w:rPr>
          <w:sz w:val="28"/>
          <w:szCs w:val="28"/>
        </w:rPr>
        <w:t xml:space="preserve"> septembrie 2016,</w:t>
      </w:r>
      <w:r w:rsidRPr="00651044">
        <w:rPr>
          <w:sz w:val="28"/>
          <w:szCs w:val="28"/>
        </w:rPr>
        <w:t xml:space="preserve"> pentru rezultatele obţinute în anul 2015, întreprinderile de stat au transferat la bugetul de stat defalcări în valoare totală de 48,1 mil. lei, iar societăţile pe acţiuni au transferat divid</w:t>
      </w:r>
      <w:r w:rsidR="00BC6CE8">
        <w:rPr>
          <w:sz w:val="28"/>
          <w:szCs w:val="28"/>
        </w:rPr>
        <w:t>ende în mărime de 76,3 mil. lei</w:t>
      </w:r>
      <w:r w:rsidR="000236F7" w:rsidRPr="00651044">
        <w:rPr>
          <w:sz w:val="28"/>
          <w:szCs w:val="28"/>
        </w:rPr>
        <w:t>.</w:t>
      </w:r>
    </w:p>
    <w:p w:rsidR="00895280" w:rsidRDefault="00895280" w:rsidP="00507EC6">
      <w:pPr>
        <w:spacing w:line="276" w:lineRule="auto"/>
        <w:ind w:firstLine="567"/>
        <w:jc w:val="both"/>
        <w:rPr>
          <w:sz w:val="28"/>
          <w:szCs w:val="28"/>
        </w:rPr>
      </w:pPr>
      <w:r w:rsidRPr="00651044">
        <w:rPr>
          <w:sz w:val="28"/>
          <w:szCs w:val="28"/>
        </w:rPr>
        <w:t>Conform Hotărîrii Guvernului nr.944 din 1 august 2016 a fost scutită de plata defalcărilor din profitul net obținut în anul 2015 Î.S. pentru utilizarea spațiului aerian și deserv</w:t>
      </w:r>
      <w:r w:rsidR="00966692">
        <w:rPr>
          <w:sz w:val="28"/>
          <w:szCs w:val="28"/>
        </w:rPr>
        <w:t>irea traficului aerian „MoldATSA</w:t>
      </w:r>
      <w:r w:rsidRPr="00651044">
        <w:rPr>
          <w:sz w:val="28"/>
          <w:szCs w:val="28"/>
        </w:rPr>
        <w:t>” cu condiția achitării defalcărilor din profitul net obținut în anul 2016 în mărime de 50,0 la sută. Suma scutirii constituie 1,95 mil. lei.</w:t>
      </w:r>
    </w:p>
    <w:p w:rsidR="00895280" w:rsidRPr="00651044" w:rsidRDefault="00895280" w:rsidP="00895280">
      <w:pPr>
        <w:spacing w:line="276" w:lineRule="auto"/>
        <w:ind w:firstLine="708"/>
        <w:jc w:val="both"/>
      </w:pPr>
    </w:p>
    <w:p w:rsidR="00895280" w:rsidRPr="00651044" w:rsidRDefault="00895280" w:rsidP="00136F34">
      <w:pPr>
        <w:pStyle w:val="Title"/>
        <w:numPr>
          <w:ilvl w:val="0"/>
          <w:numId w:val="8"/>
        </w:numPr>
        <w:rPr>
          <w:b/>
          <w:i/>
          <w:sz w:val="28"/>
          <w:szCs w:val="28"/>
          <w:lang w:val="ro-RO"/>
        </w:rPr>
      </w:pPr>
      <w:r w:rsidRPr="00651044">
        <w:rPr>
          <w:b/>
          <w:i/>
          <w:sz w:val="28"/>
          <w:szCs w:val="28"/>
          <w:lang w:val="ro-RO"/>
        </w:rPr>
        <w:t>Circulaţia proprietăţii statului</w:t>
      </w:r>
    </w:p>
    <w:p w:rsidR="00895280" w:rsidRPr="00651044" w:rsidRDefault="00895280" w:rsidP="00895280">
      <w:pPr>
        <w:spacing w:line="276" w:lineRule="auto"/>
        <w:jc w:val="both"/>
        <w:rPr>
          <w:sz w:val="10"/>
          <w:szCs w:val="10"/>
        </w:rPr>
      </w:pPr>
    </w:p>
    <w:p w:rsidR="00895280" w:rsidRPr="00651044" w:rsidRDefault="00895280" w:rsidP="00895280">
      <w:pPr>
        <w:spacing w:line="276" w:lineRule="auto"/>
        <w:ind w:firstLine="567"/>
        <w:jc w:val="both"/>
        <w:rPr>
          <w:sz w:val="28"/>
          <w:szCs w:val="28"/>
        </w:rPr>
      </w:pPr>
      <w:r w:rsidRPr="00651044">
        <w:rPr>
          <w:sz w:val="28"/>
          <w:szCs w:val="28"/>
          <w:lang w:eastAsia="ro-RO"/>
        </w:rPr>
        <w:t xml:space="preserve">În conformitate cu prevederile Legii </w:t>
      </w:r>
      <w:r w:rsidR="00966692" w:rsidRPr="00651044">
        <w:rPr>
          <w:sz w:val="28"/>
          <w:szCs w:val="28"/>
          <w:lang w:eastAsia="ro-RO"/>
        </w:rPr>
        <w:t xml:space="preserve">nr. 121-XVI din 4 mai 2007 </w:t>
      </w:r>
      <w:r w:rsidRPr="00651044">
        <w:rPr>
          <w:sz w:val="28"/>
          <w:szCs w:val="28"/>
          <w:lang w:eastAsia="ro-RO"/>
        </w:rPr>
        <w:t xml:space="preserve">privind administrarea şi deetatizarea proprietăţii publice şi Hotărîrii Guvernului nr. 945 din 20 </w:t>
      </w:r>
      <w:r w:rsidRPr="00651044">
        <w:rPr>
          <w:sz w:val="28"/>
          <w:szCs w:val="28"/>
          <w:lang w:eastAsia="ro-RO"/>
        </w:rPr>
        <w:lastRenderedPageBreak/>
        <w:t>august 2007 cu privire la măsurile de realizare a Legii privind administrarea şi deetatizarea proprietăţii publice nr. 121-XVI din 4 mai 2007,</w:t>
      </w:r>
      <w:r w:rsidRPr="00651044">
        <w:rPr>
          <w:lang w:eastAsia="ro-RO"/>
        </w:rPr>
        <w:t xml:space="preserve"> </w:t>
      </w:r>
      <w:r w:rsidRPr="00651044">
        <w:rPr>
          <w:sz w:val="28"/>
          <w:szCs w:val="28"/>
        </w:rPr>
        <w:t>în luna aprilie a anului 2016 au fost efectuate tranzacţii cu acţiunile statului. Astfel, la licitaţiile cu strigare la Bursa de Valori au fost vîndute valori mob</w:t>
      </w:r>
      <w:r w:rsidR="00966692">
        <w:rPr>
          <w:sz w:val="28"/>
          <w:szCs w:val="28"/>
        </w:rPr>
        <w:t xml:space="preserve">iliare - proprietate publică a </w:t>
      </w:r>
      <w:r w:rsidRPr="00651044">
        <w:rPr>
          <w:sz w:val="28"/>
          <w:szCs w:val="28"/>
        </w:rPr>
        <w:t>3 societăţi pe acţiuni cu cotă de stat (S.A. Magazinul Universal Central „Unic”, S.A. „Aeroport Catering” şi S.A. „Amelioratorul”) la preţul de 252,24 mil</w:t>
      </w:r>
      <w:r w:rsidR="00966692">
        <w:rPr>
          <w:sz w:val="28"/>
          <w:szCs w:val="28"/>
        </w:rPr>
        <w:t xml:space="preserve">. lei, </w:t>
      </w:r>
      <w:r w:rsidRPr="00651044">
        <w:rPr>
          <w:sz w:val="28"/>
          <w:szCs w:val="28"/>
        </w:rPr>
        <w:t>5,07 mil. lei şi respectiv, la preţul de 0,98 mil. lei.</w:t>
      </w:r>
    </w:p>
    <w:p w:rsidR="00895280" w:rsidRPr="00651044" w:rsidRDefault="00895280" w:rsidP="00895280">
      <w:pPr>
        <w:spacing w:line="276" w:lineRule="auto"/>
        <w:ind w:firstLine="567"/>
        <w:jc w:val="both"/>
        <w:rPr>
          <w:sz w:val="28"/>
          <w:szCs w:val="28"/>
        </w:rPr>
      </w:pPr>
      <w:r w:rsidRPr="00651044">
        <w:rPr>
          <w:sz w:val="28"/>
          <w:szCs w:val="28"/>
        </w:rPr>
        <w:t>Totodată, la concurs</w:t>
      </w:r>
      <w:r w:rsidR="00966692">
        <w:rPr>
          <w:sz w:val="28"/>
          <w:szCs w:val="28"/>
        </w:rPr>
        <w:t>ul comercial</w:t>
      </w:r>
      <w:r w:rsidRPr="00651044">
        <w:rPr>
          <w:sz w:val="28"/>
          <w:szCs w:val="28"/>
        </w:rPr>
        <w:t xml:space="preserve"> organizat de Agenția Proprietății Publice, </w:t>
      </w:r>
      <w:r w:rsidR="00436E7E">
        <w:rPr>
          <w:sz w:val="28"/>
          <w:szCs w:val="28"/>
        </w:rPr>
        <w:t xml:space="preserve">a fost privatizată </w:t>
      </w:r>
      <w:r w:rsidRPr="00651044">
        <w:rPr>
          <w:sz w:val="28"/>
          <w:szCs w:val="28"/>
        </w:rPr>
        <w:t>Î.S. „Întreprinderea de Reparare și Exploatare Auto” din municipiul Chișinău la prețul de 19,0 mil. lei.</w:t>
      </w:r>
    </w:p>
    <w:p w:rsidR="00895280" w:rsidRPr="00651044" w:rsidRDefault="00895280" w:rsidP="00895280">
      <w:pPr>
        <w:spacing w:line="276" w:lineRule="auto"/>
        <w:ind w:firstLine="567"/>
        <w:jc w:val="both"/>
        <w:rPr>
          <w:sz w:val="28"/>
          <w:szCs w:val="28"/>
        </w:rPr>
      </w:pPr>
      <w:r w:rsidRPr="00651044">
        <w:rPr>
          <w:sz w:val="28"/>
          <w:szCs w:val="28"/>
        </w:rPr>
        <w:t>În rezultatul privatizării/comercializării bunurilor proprietate publică de stat, în baza datelor Trezoreri</w:t>
      </w:r>
      <w:r w:rsidR="00966692">
        <w:rPr>
          <w:sz w:val="28"/>
          <w:szCs w:val="28"/>
        </w:rPr>
        <w:t>ei</w:t>
      </w:r>
      <w:r w:rsidRPr="00651044">
        <w:rPr>
          <w:sz w:val="28"/>
          <w:szCs w:val="28"/>
        </w:rPr>
        <w:t xml:space="preserve"> de Stat a Ministerului Finanțelor, la situația din 30 iunie 2016, în bugetul de stat au fost încasate venituri în sumă totală de 283,97 mil. lei.</w:t>
      </w:r>
    </w:p>
    <w:p w:rsidR="00507EC6" w:rsidRDefault="00507EC6" w:rsidP="00507EC6">
      <w:pPr>
        <w:pStyle w:val="Title"/>
        <w:ind w:left="1260"/>
        <w:jc w:val="left"/>
        <w:rPr>
          <w:b/>
          <w:i/>
          <w:sz w:val="28"/>
          <w:szCs w:val="28"/>
          <w:lang w:val="ro-RO"/>
        </w:rPr>
      </w:pPr>
    </w:p>
    <w:p w:rsidR="00895280" w:rsidRPr="00651044" w:rsidRDefault="00895280" w:rsidP="00136F34">
      <w:pPr>
        <w:pStyle w:val="Title"/>
        <w:numPr>
          <w:ilvl w:val="0"/>
          <w:numId w:val="8"/>
        </w:numPr>
        <w:rPr>
          <w:b/>
          <w:i/>
          <w:sz w:val="28"/>
          <w:szCs w:val="28"/>
          <w:lang w:val="ro-RO"/>
        </w:rPr>
      </w:pPr>
      <w:r w:rsidRPr="00651044">
        <w:rPr>
          <w:b/>
          <w:i/>
          <w:sz w:val="28"/>
          <w:szCs w:val="28"/>
          <w:lang w:val="ro-RO"/>
        </w:rPr>
        <w:t>Audit extern și inspecție financiară</w:t>
      </w:r>
    </w:p>
    <w:p w:rsidR="00895280" w:rsidRPr="00651044" w:rsidRDefault="00895280" w:rsidP="00895280">
      <w:pPr>
        <w:pStyle w:val="Title"/>
        <w:spacing w:line="120" w:lineRule="auto"/>
        <w:ind w:left="539"/>
        <w:jc w:val="left"/>
        <w:rPr>
          <w:b/>
          <w:i/>
          <w:sz w:val="28"/>
          <w:szCs w:val="28"/>
          <w:lang w:val="ro-RO"/>
        </w:rPr>
      </w:pPr>
    </w:p>
    <w:p w:rsidR="00895280" w:rsidRPr="00651044" w:rsidRDefault="00895280" w:rsidP="00895280">
      <w:pPr>
        <w:pStyle w:val="Title"/>
        <w:spacing w:line="120" w:lineRule="auto"/>
        <w:ind w:left="539"/>
        <w:jc w:val="left"/>
        <w:rPr>
          <w:b/>
          <w:i/>
          <w:sz w:val="28"/>
          <w:szCs w:val="28"/>
          <w:lang w:val="ro-RO"/>
        </w:rPr>
      </w:pPr>
    </w:p>
    <w:p w:rsidR="00507EC6" w:rsidRDefault="00895280" w:rsidP="00507EC6">
      <w:pPr>
        <w:spacing w:line="276" w:lineRule="auto"/>
        <w:ind w:firstLine="567"/>
        <w:jc w:val="both"/>
        <w:rPr>
          <w:sz w:val="28"/>
          <w:szCs w:val="28"/>
        </w:rPr>
      </w:pPr>
      <w:r w:rsidRPr="00651044">
        <w:rPr>
          <w:sz w:val="28"/>
          <w:szCs w:val="28"/>
        </w:rPr>
        <w:t xml:space="preserve">Cu referire la inspectarea financiară a activității economico-financiare a entităților economice cu proprietate de stat, menționăm că în 6 luni ale anului 2016, conform planului de activitate, Inspecţia Financiară a efectuat inspectări financiare complexe şi tematice a Î.S. „Serviciul Asistență Beneficiari la Obiecte Sociale” şi S.A. „Floare Carpet”, în cadrul cărora au fost depistate unele neajunsuri şi încălcări ale legislaţiei în vigoare din domeniul financiar-contabil. </w:t>
      </w:r>
    </w:p>
    <w:p w:rsidR="00895280" w:rsidRPr="00651044" w:rsidRDefault="00966692" w:rsidP="00507EC6">
      <w:pPr>
        <w:spacing w:line="276" w:lineRule="auto"/>
        <w:ind w:firstLine="567"/>
        <w:jc w:val="both"/>
        <w:rPr>
          <w:sz w:val="28"/>
          <w:szCs w:val="28"/>
        </w:rPr>
      </w:pPr>
      <w:r>
        <w:rPr>
          <w:sz w:val="28"/>
          <w:szCs w:val="28"/>
        </w:rPr>
        <w:t>Este de remarcat</w:t>
      </w:r>
      <w:r w:rsidR="00895280" w:rsidRPr="00651044">
        <w:rPr>
          <w:sz w:val="28"/>
          <w:szCs w:val="28"/>
        </w:rPr>
        <w:t>, că în conformitate cu Legea nr.</w:t>
      </w:r>
      <w:r w:rsidR="00507EC6">
        <w:rPr>
          <w:sz w:val="28"/>
          <w:szCs w:val="28"/>
        </w:rPr>
        <w:t xml:space="preserve"> </w:t>
      </w:r>
      <w:r w:rsidR="00895280" w:rsidRPr="00651044">
        <w:rPr>
          <w:sz w:val="28"/>
          <w:szCs w:val="28"/>
        </w:rPr>
        <w:t>18 din 4 martie 2016 privind moratoriul asupra controlului de stat și în scopul creării condițiilor favorabile dezvoltării mediului de afaceri a fost instituit moratoriu, pentru o perioada de 3 luni, asupra controlului de stat, inclusiv și financiar, care a fost prelungit</w:t>
      </w:r>
      <w:r w:rsidR="00895280" w:rsidRPr="00651044">
        <w:t xml:space="preserve"> </w:t>
      </w:r>
      <w:r w:rsidR="00895280" w:rsidRPr="00651044">
        <w:rPr>
          <w:sz w:val="28"/>
          <w:szCs w:val="28"/>
        </w:rPr>
        <w:t>pentru o perioadă de trei luni, începînd cu 1 iulie 2016 prin Hotărîrea Guvernului nr.810 din 29 iunie 2016.</w:t>
      </w:r>
    </w:p>
    <w:p w:rsidR="00895280" w:rsidRDefault="00895280" w:rsidP="00966692">
      <w:pPr>
        <w:spacing w:line="276" w:lineRule="auto"/>
        <w:ind w:firstLine="567"/>
        <w:jc w:val="both"/>
        <w:rPr>
          <w:sz w:val="28"/>
          <w:szCs w:val="28"/>
        </w:rPr>
      </w:pPr>
      <w:r w:rsidRPr="00651044">
        <w:rPr>
          <w:sz w:val="28"/>
          <w:szCs w:val="28"/>
        </w:rPr>
        <w:t xml:space="preserve">De asemenea, în conformitate cu lit.e) din art.8 al Legii nr.146-XIII din 16 iunie 1994 cu privire la întreprinderea de stat şi în conformitate cu alin.(6) din art.69 al Legii nr.1134-XIII din 2 aprilie 1997 privind societăţile pe acţiuni, administratorul întreprinderii de stat şi organul executiv al societăţii pe acţiuni în care cota statului reprezintă 50% plus o acţiune urmează să prezinte Ministerului Finanţelor copia de pe raportul auditorului. </w:t>
      </w:r>
      <w:r w:rsidR="00532941" w:rsidRPr="005F3307">
        <w:rPr>
          <w:sz w:val="28"/>
          <w:szCs w:val="28"/>
        </w:rPr>
        <w:t>Astfel</w:t>
      </w:r>
      <w:r w:rsidRPr="005F3307">
        <w:rPr>
          <w:sz w:val="28"/>
          <w:szCs w:val="28"/>
        </w:rPr>
        <w:t xml:space="preserve">, Ministerului Finanțelor </w:t>
      </w:r>
      <w:r w:rsidR="005F3307" w:rsidRPr="005F3307">
        <w:rPr>
          <w:sz w:val="28"/>
          <w:szCs w:val="28"/>
        </w:rPr>
        <w:t xml:space="preserve">au fost prezentate </w:t>
      </w:r>
      <w:r w:rsidRPr="005F3307">
        <w:rPr>
          <w:sz w:val="28"/>
          <w:szCs w:val="28"/>
        </w:rPr>
        <w:t xml:space="preserve">copiile rapoartelor de audit a </w:t>
      </w:r>
      <w:r w:rsidR="005F3307" w:rsidRPr="005F3307">
        <w:rPr>
          <w:sz w:val="28"/>
          <w:szCs w:val="28"/>
        </w:rPr>
        <w:t>26</w:t>
      </w:r>
      <w:r w:rsidRPr="005F3307">
        <w:rPr>
          <w:sz w:val="28"/>
          <w:szCs w:val="28"/>
        </w:rPr>
        <w:t xml:space="preserve"> întreprinderi de stat și </w:t>
      </w:r>
      <w:r w:rsidR="00613593" w:rsidRPr="005F3307">
        <w:rPr>
          <w:sz w:val="28"/>
          <w:szCs w:val="28"/>
        </w:rPr>
        <w:t>20</w:t>
      </w:r>
      <w:r w:rsidRPr="005F3307">
        <w:rPr>
          <w:sz w:val="28"/>
          <w:szCs w:val="28"/>
        </w:rPr>
        <w:t xml:space="preserve"> societăți pe acțiuni.</w:t>
      </w:r>
    </w:p>
    <w:p w:rsidR="00532941" w:rsidRPr="00651044" w:rsidRDefault="00532941" w:rsidP="00966692">
      <w:pPr>
        <w:spacing w:line="276" w:lineRule="auto"/>
        <w:ind w:firstLine="567"/>
        <w:jc w:val="both"/>
        <w:rPr>
          <w:sz w:val="28"/>
          <w:szCs w:val="28"/>
        </w:rPr>
      </w:pPr>
    </w:p>
    <w:p w:rsidR="00895280" w:rsidRPr="00651044" w:rsidRDefault="00895280" w:rsidP="00136F34">
      <w:pPr>
        <w:pStyle w:val="Title"/>
        <w:numPr>
          <w:ilvl w:val="0"/>
          <w:numId w:val="8"/>
        </w:numPr>
        <w:rPr>
          <w:b/>
          <w:i/>
          <w:sz w:val="28"/>
          <w:szCs w:val="28"/>
          <w:lang w:val="ro-RO"/>
        </w:rPr>
      </w:pPr>
      <w:r w:rsidRPr="00651044">
        <w:rPr>
          <w:b/>
          <w:i/>
          <w:sz w:val="28"/>
          <w:szCs w:val="28"/>
          <w:lang w:val="ro-RO"/>
        </w:rPr>
        <w:t>Concluzii</w:t>
      </w:r>
    </w:p>
    <w:p w:rsidR="00895280" w:rsidRPr="00651044" w:rsidRDefault="00895280" w:rsidP="00895280">
      <w:pPr>
        <w:spacing w:line="276" w:lineRule="auto"/>
        <w:ind w:firstLine="708"/>
        <w:jc w:val="both"/>
        <w:rPr>
          <w:sz w:val="28"/>
          <w:szCs w:val="28"/>
        </w:rPr>
      </w:pPr>
    </w:p>
    <w:p w:rsidR="00507EC6" w:rsidRDefault="00895280" w:rsidP="00507EC6">
      <w:pPr>
        <w:spacing w:line="276" w:lineRule="auto"/>
        <w:ind w:firstLine="567"/>
        <w:jc w:val="both"/>
        <w:rPr>
          <w:sz w:val="28"/>
          <w:szCs w:val="28"/>
        </w:rPr>
      </w:pPr>
      <w:r w:rsidRPr="00651044">
        <w:rPr>
          <w:sz w:val="28"/>
          <w:szCs w:val="28"/>
        </w:rPr>
        <w:t>În  rezultatul  monitoringului  financiar  al activităţii economico-financiare a</w:t>
      </w:r>
      <w:r w:rsidR="00507EC6">
        <w:rPr>
          <w:sz w:val="28"/>
          <w:szCs w:val="28"/>
        </w:rPr>
        <w:t xml:space="preserve"> </w:t>
      </w:r>
      <w:r w:rsidRPr="00651044">
        <w:rPr>
          <w:sz w:val="28"/>
          <w:szCs w:val="28"/>
        </w:rPr>
        <w:t xml:space="preserve">întreprinderilor de stat şi societăţilor pe acţiuni, efectuat în baza datelor </w:t>
      </w:r>
      <w:r w:rsidR="00966692">
        <w:rPr>
          <w:sz w:val="28"/>
          <w:szCs w:val="28"/>
        </w:rPr>
        <w:t xml:space="preserve">cumulative ale </w:t>
      </w:r>
      <w:r w:rsidRPr="00651044">
        <w:rPr>
          <w:sz w:val="28"/>
          <w:szCs w:val="28"/>
        </w:rPr>
        <w:lastRenderedPageBreak/>
        <w:t>raportului „Cercetare statistică trimestrială Nr. 5-CI „Consumurile, cheltuielile şi investiţiile întreprinderii”</w:t>
      </w:r>
      <w:r w:rsidR="00966692">
        <w:rPr>
          <w:sz w:val="28"/>
          <w:szCs w:val="28"/>
        </w:rPr>
        <w:t xml:space="preserve"> pentru trimestrul I și trimestrul II, 2016</w:t>
      </w:r>
      <w:r w:rsidRPr="00651044">
        <w:rPr>
          <w:sz w:val="28"/>
          <w:szCs w:val="28"/>
        </w:rPr>
        <w:t xml:space="preserve">, datelor </w:t>
      </w:r>
      <w:r w:rsidR="00966692">
        <w:rPr>
          <w:sz w:val="28"/>
          <w:szCs w:val="28"/>
        </w:rPr>
        <w:t>Inspectoratului Fiscal Principal de Stat</w:t>
      </w:r>
      <w:r w:rsidRPr="00651044">
        <w:rPr>
          <w:sz w:val="28"/>
          <w:szCs w:val="28"/>
        </w:rPr>
        <w:t xml:space="preserve"> privind obligaţiile fiscale (calculate, achitate şi restanţele admise) şi datelor privind datoria</w:t>
      </w:r>
      <w:r w:rsidR="00DB63CE">
        <w:rPr>
          <w:sz w:val="28"/>
          <w:szCs w:val="28"/>
        </w:rPr>
        <w:t xml:space="preserve"> sectorului public</w:t>
      </w:r>
      <w:r w:rsidRPr="00651044">
        <w:rPr>
          <w:sz w:val="28"/>
          <w:szCs w:val="28"/>
        </w:rPr>
        <w:t xml:space="preserve">, </w:t>
      </w:r>
      <w:r w:rsidR="00DB63CE">
        <w:rPr>
          <w:sz w:val="28"/>
          <w:szCs w:val="28"/>
        </w:rPr>
        <w:t>s-a constatat că</w:t>
      </w:r>
      <w:r w:rsidRPr="00651044">
        <w:rPr>
          <w:sz w:val="28"/>
          <w:szCs w:val="28"/>
        </w:rPr>
        <w:t xml:space="preserve"> potrivit bazei comparabile, per ansamblu, valoarea veniturilor din vînzări ale întreprinderilor de stat, înregistrate în semestrul I al anului curent, </w:t>
      </w:r>
      <w:r w:rsidR="00DB63CE">
        <w:rPr>
          <w:sz w:val="28"/>
          <w:szCs w:val="28"/>
        </w:rPr>
        <w:t>s-a</w:t>
      </w:r>
      <w:r w:rsidRPr="00651044">
        <w:rPr>
          <w:sz w:val="28"/>
          <w:szCs w:val="28"/>
        </w:rPr>
        <w:t xml:space="preserve"> majorat cu 158,3 mil. lei faţă de semestrul I al anului 2015, iar </w:t>
      </w:r>
      <w:r w:rsidR="00DB63CE">
        <w:rPr>
          <w:sz w:val="28"/>
          <w:szCs w:val="28"/>
        </w:rPr>
        <w:t>veniturile din vînzări</w:t>
      </w:r>
      <w:r w:rsidRPr="00651044">
        <w:rPr>
          <w:sz w:val="28"/>
          <w:szCs w:val="28"/>
        </w:rPr>
        <w:t xml:space="preserve"> ale societăţilor pe acţiuni s-au majorat cu 230,7 mil. lei.</w:t>
      </w:r>
    </w:p>
    <w:p w:rsidR="00507EC6" w:rsidRDefault="00895280" w:rsidP="00507EC6">
      <w:pPr>
        <w:spacing w:line="276" w:lineRule="auto"/>
        <w:ind w:firstLine="567"/>
        <w:jc w:val="both"/>
        <w:rPr>
          <w:sz w:val="28"/>
          <w:szCs w:val="28"/>
        </w:rPr>
      </w:pPr>
      <w:r w:rsidRPr="00651044">
        <w:rPr>
          <w:sz w:val="28"/>
          <w:szCs w:val="28"/>
        </w:rPr>
        <w:t>Veniturile din vînzări ale întreprinderilor de stat, înregistrate în trimestrul II al anului 2016, s-a</w:t>
      </w:r>
      <w:r w:rsidR="00DB63CE">
        <w:rPr>
          <w:sz w:val="28"/>
          <w:szCs w:val="28"/>
        </w:rPr>
        <w:t>u</w:t>
      </w:r>
      <w:r w:rsidRPr="00651044">
        <w:rPr>
          <w:sz w:val="28"/>
          <w:szCs w:val="28"/>
        </w:rPr>
        <w:t xml:space="preserve"> majorat cu 102,2 mil. lei faţă de trimestrul II al anului </w:t>
      </w:r>
      <w:r w:rsidR="00300CE1">
        <w:rPr>
          <w:sz w:val="28"/>
          <w:szCs w:val="28"/>
        </w:rPr>
        <w:t>2015</w:t>
      </w:r>
      <w:r w:rsidRPr="00651044">
        <w:rPr>
          <w:sz w:val="28"/>
          <w:szCs w:val="28"/>
        </w:rPr>
        <w:t>. În același timp, societăţile pe acţiuni înregistrează în trimestrul gestionar o micșorare a veniturilor din vînzări cu 201,0 mil. lei.</w:t>
      </w:r>
      <w:r w:rsidRPr="00651044">
        <w:rPr>
          <w:color w:val="FF0000"/>
          <w:sz w:val="28"/>
          <w:szCs w:val="28"/>
        </w:rPr>
        <w:t xml:space="preserve"> </w:t>
      </w:r>
    </w:p>
    <w:p w:rsidR="00507EC6" w:rsidRDefault="00895280" w:rsidP="00507EC6">
      <w:pPr>
        <w:spacing w:line="276" w:lineRule="auto"/>
        <w:ind w:firstLine="567"/>
        <w:jc w:val="both"/>
        <w:rPr>
          <w:sz w:val="28"/>
          <w:szCs w:val="28"/>
        </w:rPr>
      </w:pPr>
      <w:r w:rsidRPr="00651044">
        <w:rPr>
          <w:sz w:val="28"/>
          <w:szCs w:val="28"/>
        </w:rPr>
        <w:t>Concomitent, în semestrul I al anului curent,</w:t>
      </w:r>
      <w:r w:rsidR="00300CE1">
        <w:rPr>
          <w:sz w:val="28"/>
          <w:szCs w:val="28"/>
        </w:rPr>
        <w:t xml:space="preserve"> </w:t>
      </w:r>
      <w:r w:rsidRPr="00651044">
        <w:rPr>
          <w:sz w:val="28"/>
          <w:szCs w:val="28"/>
        </w:rPr>
        <w:t xml:space="preserve">conform bazei comparabile, </w:t>
      </w:r>
      <w:r w:rsidR="00300CE1">
        <w:rPr>
          <w:sz w:val="28"/>
          <w:szCs w:val="28"/>
        </w:rPr>
        <w:t xml:space="preserve">                    </w:t>
      </w:r>
      <w:r w:rsidRPr="00651044">
        <w:rPr>
          <w:sz w:val="28"/>
          <w:szCs w:val="28"/>
        </w:rPr>
        <w:t>66 întreprinderi de stat şi 12</w:t>
      </w:r>
      <w:r w:rsidRPr="00651044">
        <w:rPr>
          <w:color w:val="FF0000"/>
          <w:sz w:val="28"/>
          <w:szCs w:val="28"/>
        </w:rPr>
        <w:t xml:space="preserve"> </w:t>
      </w:r>
      <w:r w:rsidRPr="00651044">
        <w:rPr>
          <w:sz w:val="28"/>
          <w:szCs w:val="28"/>
        </w:rPr>
        <w:t>societăţi pe acţiuni din totalul entităţilor economice monitorizate, au înregistrat diminuări ale veniturilor din vînzări în mărime de 190,7 mil. lei şi respectiv 827,5 mil. lei, ceea ce atrage micşorarea taxei pe valoarea adăugată încasată în bugetul de stat şi prezintă un risc fiscal pentru bugetul public naţional.</w:t>
      </w:r>
    </w:p>
    <w:p w:rsidR="00507EC6" w:rsidRDefault="00895280" w:rsidP="00507EC6">
      <w:pPr>
        <w:spacing w:line="276" w:lineRule="auto"/>
        <w:ind w:firstLine="567"/>
        <w:jc w:val="both"/>
        <w:rPr>
          <w:sz w:val="28"/>
          <w:szCs w:val="28"/>
        </w:rPr>
      </w:pPr>
      <w:r w:rsidRPr="00651044">
        <w:rPr>
          <w:sz w:val="28"/>
          <w:szCs w:val="28"/>
        </w:rPr>
        <w:t>În partea ce ţine de costurile şi cheltuielile suportate de agenţii economici în perioada semestrului I al anului 2016, valoarea costurilor şi cheltuielilor întreprinderilor de stat s-a majorat, conform bazei comparabile, cu 40,4 mil. lei faţă de semestrul I al anului 2015, iar costurile şi cheltuielile totale ale societăţilor pe acţiuni s-au micșorat cu 296,0 mil. lei.</w:t>
      </w:r>
    </w:p>
    <w:p w:rsidR="00507EC6" w:rsidRDefault="00895280" w:rsidP="00507EC6">
      <w:pPr>
        <w:spacing w:line="276" w:lineRule="auto"/>
        <w:ind w:firstLine="567"/>
        <w:jc w:val="both"/>
        <w:rPr>
          <w:sz w:val="28"/>
          <w:szCs w:val="28"/>
        </w:rPr>
      </w:pPr>
      <w:r w:rsidRPr="00651044">
        <w:rPr>
          <w:sz w:val="28"/>
          <w:szCs w:val="28"/>
        </w:rPr>
        <w:t xml:space="preserve">Totodată, în perioada trimestrului II al anului 2016, constatăm că, potrivit bazei comparabile, întreprinderile de stat au înregistrat o micșorare a </w:t>
      </w:r>
      <w:r w:rsidR="00300CE1">
        <w:rPr>
          <w:sz w:val="28"/>
          <w:szCs w:val="28"/>
        </w:rPr>
        <w:t>costurilor și cheltuielilor</w:t>
      </w:r>
      <w:r w:rsidRPr="00651044">
        <w:rPr>
          <w:sz w:val="28"/>
          <w:szCs w:val="28"/>
        </w:rPr>
        <w:t xml:space="preserve"> cu 17,6 mil. lei, iar societăţile pe acţiuni – cu 218,3 mil. lei comparativ cu trimestrul II, 2015. </w:t>
      </w:r>
    </w:p>
    <w:p w:rsidR="00507EC6" w:rsidRDefault="00895280" w:rsidP="00507EC6">
      <w:pPr>
        <w:spacing w:line="276" w:lineRule="auto"/>
        <w:ind w:firstLine="567"/>
        <w:jc w:val="both"/>
        <w:rPr>
          <w:sz w:val="28"/>
          <w:szCs w:val="28"/>
        </w:rPr>
      </w:pPr>
      <w:r w:rsidRPr="00651044">
        <w:rPr>
          <w:sz w:val="28"/>
          <w:szCs w:val="28"/>
        </w:rPr>
        <w:t>De asemenea, valoarea stocurilor totale înregistrate la situaţia din 30 iunie 2016 de către întreprinderile de stat este cu 18,6 mil. lei mai mare faţă de începutul trimestrului gestionar, iar de către societăţile pe acţiuni, este respectiv cu 41,0 mil. lei mai mică faţă de începutul trimestrului gestionar.</w:t>
      </w:r>
    </w:p>
    <w:p w:rsidR="00507EC6" w:rsidRPr="00507EC6" w:rsidRDefault="00895280" w:rsidP="00507EC6">
      <w:pPr>
        <w:spacing w:line="276" w:lineRule="auto"/>
        <w:ind w:firstLine="567"/>
        <w:jc w:val="both"/>
        <w:rPr>
          <w:sz w:val="28"/>
          <w:szCs w:val="28"/>
        </w:rPr>
      </w:pPr>
      <w:r w:rsidRPr="00651044">
        <w:rPr>
          <w:sz w:val="28"/>
          <w:szCs w:val="28"/>
        </w:rPr>
        <w:t xml:space="preserve">Cu referire la relaţiile entităţilor economice cu bugetul public naţional, </w:t>
      </w:r>
      <w:r w:rsidR="00300CE1">
        <w:rPr>
          <w:sz w:val="28"/>
          <w:szCs w:val="28"/>
        </w:rPr>
        <w:t>se menţionează</w:t>
      </w:r>
      <w:r w:rsidRPr="00651044">
        <w:rPr>
          <w:sz w:val="28"/>
          <w:szCs w:val="28"/>
        </w:rPr>
        <w:t xml:space="preserve"> că, la data raportării</w:t>
      </w:r>
      <w:r w:rsidRPr="00507EC6">
        <w:rPr>
          <w:sz w:val="28"/>
          <w:szCs w:val="28"/>
        </w:rPr>
        <w:t>, întreprinderile de stat aveau înregistrate datorii faţă de bugetul public naţional  în mărime de 158,8 mil. lei,  iar societăţile pe acţiuni – 6,7 mil. lei. Totodată, în perioada semestrului I al anului gestionar, întreprinderile de stat au efectuat achitări în bugetul de stat în mărime de 664,7 mil. lei, iar societăţile pe acţiuni – 552,3 mil. lei.</w:t>
      </w:r>
    </w:p>
    <w:p w:rsidR="00507EC6" w:rsidRPr="00507EC6" w:rsidRDefault="00895280" w:rsidP="00507EC6">
      <w:pPr>
        <w:spacing w:line="276" w:lineRule="auto"/>
        <w:ind w:firstLine="567"/>
        <w:jc w:val="both"/>
        <w:rPr>
          <w:sz w:val="28"/>
          <w:szCs w:val="28"/>
        </w:rPr>
      </w:pPr>
      <w:r w:rsidRPr="00507EC6">
        <w:rPr>
          <w:sz w:val="28"/>
          <w:szCs w:val="28"/>
        </w:rPr>
        <w:t xml:space="preserve">Suplimentar </w:t>
      </w:r>
      <w:r w:rsidR="00300CE1">
        <w:rPr>
          <w:sz w:val="28"/>
          <w:szCs w:val="28"/>
        </w:rPr>
        <w:t>se remarcă</w:t>
      </w:r>
      <w:r w:rsidRPr="00507EC6">
        <w:rPr>
          <w:sz w:val="28"/>
          <w:szCs w:val="28"/>
        </w:rPr>
        <w:t xml:space="preserve"> că, la situaţia din 30 iunie 2016, Î.S. „Moldtranselectro” dispune de datorii pe împrumuturi recreditate din surse interne şi externe faţă de Ministerul Finanţelor, în mărime de 37,3 mil. lei şi 1,74 mil. dolari SUA şi Î.S. </w:t>
      </w:r>
      <w:r w:rsidRPr="00507EC6">
        <w:rPr>
          <w:sz w:val="28"/>
          <w:szCs w:val="28"/>
        </w:rPr>
        <w:lastRenderedPageBreak/>
        <w:t>„Moldelectrica” – 15,52 mil. dolari SUA. Totodată, Î.S. „Moldtranselectro” are datorie pe împrumutul extern acordat sub garanţia statului în mărime de 0,86 mil. dolari SUA.</w:t>
      </w:r>
    </w:p>
    <w:p w:rsidR="00507EC6" w:rsidRPr="00507EC6" w:rsidRDefault="00895280" w:rsidP="00507EC6">
      <w:pPr>
        <w:spacing w:line="276" w:lineRule="auto"/>
        <w:ind w:firstLine="567"/>
        <w:jc w:val="both"/>
        <w:rPr>
          <w:sz w:val="28"/>
          <w:szCs w:val="28"/>
        </w:rPr>
      </w:pPr>
      <w:r w:rsidRPr="00507EC6">
        <w:rPr>
          <w:sz w:val="28"/>
          <w:szCs w:val="28"/>
        </w:rPr>
        <w:t xml:space="preserve">De asemenea, un sold al împrumuturilor externe în sumă de 0,06 mil. dolari SUA se înregistrează la S.A. </w:t>
      </w:r>
      <w:r w:rsidRPr="00507EC6">
        <w:rPr>
          <w:bCs/>
          <w:sz w:val="28"/>
          <w:szCs w:val="28"/>
        </w:rPr>
        <w:t xml:space="preserve">„Combinatul de Vinuri Cricova” şi 1,15 mil. dolari SUA – la S.A. „Moldtelecom”. </w:t>
      </w:r>
      <w:r w:rsidRPr="00507EC6">
        <w:rPr>
          <w:sz w:val="28"/>
          <w:szCs w:val="28"/>
        </w:rPr>
        <w:t xml:space="preserve">La situaţia din 30 iunie 2016, faţă de Ministerul Finanţelor, S.A. „Termoelectrica” dispune de datorii pe împrumuturi recreditate din surse externe în mărime de 3,28 mil. dolari SUA. </w:t>
      </w:r>
    </w:p>
    <w:p w:rsidR="00532941" w:rsidRDefault="00895280" w:rsidP="00532941">
      <w:pPr>
        <w:spacing w:line="276" w:lineRule="auto"/>
        <w:ind w:firstLine="567"/>
        <w:jc w:val="both"/>
        <w:rPr>
          <w:sz w:val="28"/>
          <w:szCs w:val="28"/>
        </w:rPr>
      </w:pPr>
      <w:r w:rsidRPr="00507EC6">
        <w:rPr>
          <w:sz w:val="28"/>
          <w:szCs w:val="28"/>
        </w:rPr>
        <w:t xml:space="preserve">Neachitarea obligaţiilor faţă de instituţiile financiare pe creditele interne şi externe, precum şi cele acordate sub garanţia statului devine obligaţiune convenţională de stat, fapt ce creează o situaţie dificilă privind independenţa financiară a entităţilor economice. Totodată, neachitarea acestor obligaţiuni generează </w:t>
      </w:r>
      <w:r w:rsidRPr="00507EC6">
        <w:rPr>
          <w:i/>
          <w:sz w:val="28"/>
          <w:szCs w:val="28"/>
        </w:rPr>
        <w:t>riscul financiar de stingere din contul surselor bugetului de stat</w:t>
      </w:r>
      <w:r w:rsidRPr="00507EC6">
        <w:rPr>
          <w:sz w:val="28"/>
          <w:szCs w:val="28"/>
        </w:rPr>
        <w:t>.</w:t>
      </w:r>
    </w:p>
    <w:p w:rsidR="00572040" w:rsidRPr="00651044" w:rsidRDefault="00572040" w:rsidP="00532941">
      <w:pPr>
        <w:spacing w:line="276" w:lineRule="auto"/>
        <w:ind w:firstLine="567"/>
        <w:jc w:val="both"/>
        <w:rPr>
          <w:sz w:val="28"/>
          <w:szCs w:val="28"/>
        </w:rPr>
      </w:pPr>
      <w:r w:rsidRPr="00651044">
        <w:rPr>
          <w:sz w:val="28"/>
          <w:szCs w:val="28"/>
        </w:rPr>
        <w:t>Urmare a monitorizărilor financiare efectuate</w:t>
      </w:r>
      <w:r w:rsidR="00532941">
        <w:rPr>
          <w:sz w:val="28"/>
          <w:szCs w:val="28"/>
        </w:rPr>
        <w:t xml:space="preserve"> pentru rezultatele anului 2015 și semestrului I al anului 2016</w:t>
      </w:r>
      <w:r w:rsidRPr="00651044">
        <w:rPr>
          <w:sz w:val="28"/>
          <w:szCs w:val="28"/>
        </w:rPr>
        <w:t>, au fost înaintate către fondatorii/ acţionarii ce reprezintă statul în cadrul entităţilor economice analizate, note analitice în acest sens, prin care au fost sistematizaţi şi generalizaţi indicatorii de rezultat înregistraţi de către întreprinderile de stat şi societăţile pe acţiuni. Despre măsurile întreprinse întru menţinerea stabilităţii financiare şi asigurarea unui management eficient al procesului de administrare a proprietăţii publice la entităţile economice analizate, fondatorii/acţionarii ce reprezintă statul urmează să informeze Ministerul Finanţelor.</w:t>
      </w:r>
    </w:p>
    <w:p w:rsidR="00572040" w:rsidRPr="00651044" w:rsidRDefault="00572040" w:rsidP="00572040">
      <w:pPr>
        <w:spacing w:line="276" w:lineRule="auto"/>
        <w:ind w:firstLine="540"/>
        <w:jc w:val="both"/>
        <w:rPr>
          <w:sz w:val="28"/>
          <w:szCs w:val="28"/>
        </w:rPr>
      </w:pPr>
      <w:r w:rsidRPr="00651044">
        <w:rPr>
          <w:sz w:val="28"/>
          <w:szCs w:val="28"/>
        </w:rPr>
        <w:t>Totodată, au fost înaintate anumite recomandări de îmbunătăţire a activităţii economico-financiare reieşind din rezultatele monitoringului financiar, inclusiv a fost recomandat fondatorilor/acţionarilor ce reprezintă statul</w:t>
      </w:r>
      <w:r>
        <w:rPr>
          <w:sz w:val="28"/>
          <w:szCs w:val="28"/>
        </w:rPr>
        <w:t>,</w:t>
      </w:r>
      <w:r w:rsidRPr="00651044">
        <w:rPr>
          <w:sz w:val="28"/>
          <w:szCs w:val="28"/>
        </w:rPr>
        <w:t xml:space="preserve"> solicitarea elaborării de către  entităţile din gestiune a planurilor de acţiuni care să urmărească redresarea/dezvoltarea activităţii entităţilor respective. Rezultatele monitorizărilor efectuate vor servi ulterior, drept temei de luare a deciziilor </w:t>
      </w:r>
      <w:r>
        <w:rPr>
          <w:sz w:val="28"/>
          <w:szCs w:val="28"/>
        </w:rPr>
        <w:t xml:space="preserve">de către autoritățile competente </w:t>
      </w:r>
      <w:r w:rsidRPr="00651044">
        <w:rPr>
          <w:sz w:val="28"/>
          <w:szCs w:val="28"/>
        </w:rPr>
        <w:t>cu privire la potenţialele achiziţii de bunuri şi servicii, extinderii spectrului de servicii prestate în vederea eficientizării activităţii, deciziilor privind gestiunea</w:t>
      </w:r>
      <w:r>
        <w:rPr>
          <w:sz w:val="28"/>
          <w:szCs w:val="28"/>
        </w:rPr>
        <w:t xml:space="preserve"> eficientă a</w:t>
      </w:r>
      <w:r w:rsidRPr="00651044">
        <w:rPr>
          <w:sz w:val="28"/>
          <w:szCs w:val="28"/>
        </w:rPr>
        <w:t xml:space="preserve"> patrimoniului de stat în entităţile vizate, dar şi în procesul de organizare şi desfăşurare a deetatizării bunurilor proprietăţii publice.</w:t>
      </w:r>
    </w:p>
    <w:p w:rsidR="00895280" w:rsidRPr="00651044" w:rsidRDefault="00895280" w:rsidP="00E72302">
      <w:pPr>
        <w:spacing w:line="276" w:lineRule="auto"/>
        <w:ind w:firstLine="540"/>
        <w:jc w:val="both"/>
        <w:rPr>
          <w:sz w:val="28"/>
          <w:szCs w:val="28"/>
        </w:rPr>
      </w:pPr>
    </w:p>
    <w:sectPr w:rsidR="00895280" w:rsidRPr="00651044" w:rsidSect="00806E4D">
      <w:footerReference w:type="even" r:id="rId48"/>
      <w:footerReference w:type="default" r:id="rId49"/>
      <w:pgSz w:w="11906" w:h="16838" w:code="9"/>
      <w:pgMar w:top="992" w:right="566" w:bottom="567" w:left="1559"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D28" w:rsidRDefault="00726D28">
      <w:r>
        <w:separator/>
      </w:r>
    </w:p>
  </w:endnote>
  <w:endnote w:type="continuationSeparator" w:id="1">
    <w:p w:rsidR="00726D28" w:rsidRDefault="00726D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0A" w:rsidRDefault="005F3028" w:rsidP="00D01D45">
    <w:pPr>
      <w:pStyle w:val="Footer"/>
      <w:framePr w:wrap="around" w:vAnchor="text" w:hAnchor="margin" w:xAlign="right" w:y="1"/>
      <w:rPr>
        <w:rStyle w:val="PageNumber"/>
      </w:rPr>
    </w:pPr>
    <w:r>
      <w:rPr>
        <w:rStyle w:val="PageNumber"/>
      </w:rPr>
      <w:fldChar w:fldCharType="begin"/>
    </w:r>
    <w:r w:rsidR="00E4660A">
      <w:rPr>
        <w:rStyle w:val="PageNumber"/>
      </w:rPr>
      <w:instrText xml:space="preserve">PAGE  </w:instrText>
    </w:r>
    <w:r>
      <w:rPr>
        <w:rStyle w:val="PageNumber"/>
      </w:rPr>
      <w:fldChar w:fldCharType="end"/>
    </w:r>
  </w:p>
  <w:p w:rsidR="00E4660A" w:rsidRDefault="00E4660A" w:rsidP="00D01D4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60A" w:rsidRPr="00563FE3" w:rsidRDefault="00E4660A">
    <w:pPr>
      <w:pStyle w:val="Footer"/>
      <w:jc w:val="center"/>
      <w:rPr>
        <w:rFonts w:ascii="Cambria" w:hAnsi="Cambria"/>
        <w:sz w:val="18"/>
        <w:szCs w:val="18"/>
      </w:rPr>
    </w:pPr>
    <w:r w:rsidRPr="00563FE3">
      <w:rPr>
        <w:rFonts w:ascii="Cambria" w:hAnsi="Cambria"/>
        <w:sz w:val="18"/>
        <w:szCs w:val="18"/>
      </w:rPr>
      <w:t xml:space="preserve">~ </w:t>
    </w:r>
    <w:r w:rsidR="005F3028" w:rsidRPr="00563FE3">
      <w:rPr>
        <w:sz w:val="18"/>
        <w:szCs w:val="18"/>
      </w:rPr>
      <w:fldChar w:fldCharType="begin"/>
    </w:r>
    <w:r w:rsidRPr="00563FE3">
      <w:rPr>
        <w:sz w:val="18"/>
        <w:szCs w:val="18"/>
      </w:rPr>
      <w:instrText xml:space="preserve"> PAGE    \* MERGEFORMAT </w:instrText>
    </w:r>
    <w:r w:rsidR="005F3028" w:rsidRPr="00563FE3">
      <w:rPr>
        <w:sz w:val="18"/>
        <w:szCs w:val="18"/>
      </w:rPr>
      <w:fldChar w:fldCharType="separate"/>
    </w:r>
    <w:r w:rsidR="00C54432" w:rsidRPr="00C54432">
      <w:rPr>
        <w:rFonts w:ascii="Cambria" w:hAnsi="Cambria"/>
        <w:noProof/>
        <w:sz w:val="18"/>
        <w:szCs w:val="18"/>
      </w:rPr>
      <w:t>54</w:t>
    </w:r>
    <w:r w:rsidR="005F3028" w:rsidRPr="00563FE3">
      <w:rPr>
        <w:sz w:val="18"/>
        <w:szCs w:val="18"/>
      </w:rPr>
      <w:fldChar w:fldCharType="end"/>
    </w:r>
    <w:r w:rsidRPr="00563FE3">
      <w:rPr>
        <w:rFonts w:ascii="Cambria" w:hAnsi="Cambria"/>
        <w:sz w:val="18"/>
        <w:szCs w:val="18"/>
      </w:rPr>
      <w:t xml:space="preserve"> ~</w:t>
    </w:r>
  </w:p>
  <w:p w:rsidR="00E4660A" w:rsidRDefault="00E4660A" w:rsidP="00D01D4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D28" w:rsidRDefault="00726D28">
      <w:r>
        <w:separator/>
      </w:r>
    </w:p>
  </w:footnote>
  <w:footnote w:type="continuationSeparator" w:id="1">
    <w:p w:rsidR="00726D28" w:rsidRDefault="00726D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D549F"/>
    <w:multiLevelType w:val="hybridMultilevel"/>
    <w:tmpl w:val="B202AC9E"/>
    <w:lvl w:ilvl="0" w:tplc="957EAF3A">
      <w:numFmt w:val="bullet"/>
      <w:lvlText w:val="-"/>
      <w:lvlJc w:val="left"/>
      <w:pPr>
        <w:tabs>
          <w:tab w:val="num" w:pos="800"/>
        </w:tabs>
        <w:ind w:left="800" w:hanging="360"/>
      </w:pPr>
      <w:rPr>
        <w:rFonts w:ascii="Times New Roman" w:eastAsia="SimSu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E5769B2"/>
    <w:multiLevelType w:val="hybridMultilevel"/>
    <w:tmpl w:val="33EEBD7A"/>
    <w:lvl w:ilvl="0" w:tplc="F348994C">
      <w:numFmt w:val="bullet"/>
      <w:lvlText w:val="-"/>
      <w:lvlJc w:val="left"/>
      <w:pPr>
        <w:tabs>
          <w:tab w:val="num" w:pos="1560"/>
        </w:tabs>
        <w:ind w:left="1560" w:hanging="420"/>
      </w:pPr>
      <w:rPr>
        <w:rFonts w:ascii="Cambria" w:eastAsia="Times New Roman" w:hAnsi="Cambria" w:cs="Times New Roman"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nsid w:val="36744E21"/>
    <w:multiLevelType w:val="hybridMultilevel"/>
    <w:tmpl w:val="A4A60EC2"/>
    <w:lvl w:ilvl="0" w:tplc="634AA536">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6F0492F"/>
    <w:multiLevelType w:val="hybridMultilevel"/>
    <w:tmpl w:val="B7326DE8"/>
    <w:lvl w:ilvl="0" w:tplc="3FD43C32">
      <w:start w:val="19"/>
      <w:numFmt w:val="bullet"/>
      <w:lvlText w:val="-"/>
      <w:lvlJc w:val="left"/>
      <w:pPr>
        <w:ind w:left="1140" w:hanging="360"/>
      </w:pPr>
      <w:rPr>
        <w:rFonts w:ascii="Times New Roman" w:eastAsia="Times New Roman"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
    <w:nsid w:val="39704AD5"/>
    <w:multiLevelType w:val="hybridMultilevel"/>
    <w:tmpl w:val="16A054EE"/>
    <w:lvl w:ilvl="0" w:tplc="39605F72">
      <w:numFmt w:val="bullet"/>
      <w:lvlText w:val="-"/>
      <w:lvlJc w:val="left"/>
      <w:pPr>
        <w:tabs>
          <w:tab w:val="num" w:pos="900"/>
        </w:tabs>
        <w:ind w:left="900" w:hanging="360"/>
      </w:pPr>
      <w:rPr>
        <w:rFonts w:ascii="Times New Roman" w:eastAsia="SimSun" w:hAnsi="Times New Roman" w:cs="Times New Roman" w:hint="default"/>
      </w:rPr>
    </w:lvl>
    <w:lvl w:ilvl="1" w:tplc="04190003" w:tentative="1">
      <w:start w:val="1"/>
      <w:numFmt w:val="bullet"/>
      <w:lvlText w:val="o"/>
      <w:lvlJc w:val="left"/>
      <w:pPr>
        <w:tabs>
          <w:tab w:val="num" w:pos="1540"/>
        </w:tabs>
        <w:ind w:left="1540" w:hanging="360"/>
      </w:pPr>
      <w:rPr>
        <w:rFonts w:ascii="Courier New" w:hAnsi="Courier New" w:cs="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cs="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cs="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abstractNum w:abstractNumId="5">
    <w:nsid w:val="3FDC1483"/>
    <w:multiLevelType w:val="hybridMultilevel"/>
    <w:tmpl w:val="0F06BD1A"/>
    <w:lvl w:ilvl="0" w:tplc="39605F72">
      <w:numFmt w:val="bullet"/>
      <w:lvlText w:val="-"/>
      <w:lvlJc w:val="left"/>
      <w:pPr>
        <w:tabs>
          <w:tab w:val="num" w:pos="800"/>
        </w:tabs>
        <w:ind w:left="800" w:hanging="360"/>
      </w:pPr>
      <w:rPr>
        <w:rFonts w:ascii="Times New Roman" w:eastAsia="SimSu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8C97EE4"/>
    <w:multiLevelType w:val="hybridMultilevel"/>
    <w:tmpl w:val="68669FC8"/>
    <w:lvl w:ilvl="0" w:tplc="39605F72">
      <w:numFmt w:val="bullet"/>
      <w:lvlText w:val="-"/>
      <w:lvlJc w:val="left"/>
      <w:pPr>
        <w:tabs>
          <w:tab w:val="num" w:pos="800"/>
        </w:tabs>
        <w:ind w:left="800" w:hanging="360"/>
      </w:pPr>
      <w:rPr>
        <w:rFonts w:ascii="Times New Roman" w:eastAsia="SimSu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4381D1B"/>
    <w:multiLevelType w:val="hybridMultilevel"/>
    <w:tmpl w:val="DF46245E"/>
    <w:lvl w:ilvl="0" w:tplc="DEEC81BE">
      <w:start w:val="4"/>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5A93072B"/>
    <w:multiLevelType w:val="hybridMultilevel"/>
    <w:tmpl w:val="6A9C56B6"/>
    <w:lvl w:ilvl="0" w:tplc="39605F72">
      <w:numFmt w:val="bullet"/>
      <w:lvlText w:val="-"/>
      <w:lvlJc w:val="left"/>
      <w:pPr>
        <w:tabs>
          <w:tab w:val="num" w:pos="800"/>
        </w:tabs>
        <w:ind w:left="800" w:hanging="360"/>
      </w:pPr>
      <w:rPr>
        <w:rFonts w:ascii="Times New Roman" w:eastAsia="SimSu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F2D0955"/>
    <w:multiLevelType w:val="hybridMultilevel"/>
    <w:tmpl w:val="D41A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096972"/>
    <w:multiLevelType w:val="hybridMultilevel"/>
    <w:tmpl w:val="2772896C"/>
    <w:lvl w:ilvl="0" w:tplc="39605F72">
      <w:numFmt w:val="bullet"/>
      <w:lvlText w:val="-"/>
      <w:lvlJc w:val="left"/>
      <w:pPr>
        <w:tabs>
          <w:tab w:val="num" w:pos="800"/>
        </w:tabs>
        <w:ind w:left="800" w:hanging="360"/>
      </w:pPr>
      <w:rPr>
        <w:rFonts w:ascii="Times New Roman" w:eastAsia="SimSu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D951B7B"/>
    <w:multiLevelType w:val="hybridMultilevel"/>
    <w:tmpl w:val="D93C956A"/>
    <w:lvl w:ilvl="0" w:tplc="7ECE092E">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1"/>
  </w:num>
  <w:num w:numId="2">
    <w:abstractNumId w:val="6"/>
  </w:num>
  <w:num w:numId="3">
    <w:abstractNumId w:val="0"/>
  </w:num>
  <w:num w:numId="4">
    <w:abstractNumId w:val="4"/>
  </w:num>
  <w:num w:numId="5">
    <w:abstractNumId w:val="5"/>
  </w:num>
  <w:num w:numId="6">
    <w:abstractNumId w:val="8"/>
  </w:num>
  <w:num w:numId="7">
    <w:abstractNumId w:val="10"/>
  </w:num>
  <w:num w:numId="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2"/>
  </w:num>
  <w:num w:numId="12">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stylePaneFormatFilter w:val="3F01"/>
  <w:defaultTabStop w:val="708"/>
  <w:characterSpacingControl w:val="doNotCompress"/>
  <w:footnotePr>
    <w:footnote w:id="0"/>
    <w:footnote w:id="1"/>
  </w:footnotePr>
  <w:endnotePr>
    <w:endnote w:id="0"/>
    <w:endnote w:id="1"/>
  </w:endnotePr>
  <w:compat/>
  <w:rsids>
    <w:rsidRoot w:val="00D01D45"/>
    <w:rsid w:val="000019C9"/>
    <w:rsid w:val="00001C49"/>
    <w:rsid w:val="00001E1B"/>
    <w:rsid w:val="00002468"/>
    <w:rsid w:val="000027B4"/>
    <w:rsid w:val="00002A59"/>
    <w:rsid w:val="0000577E"/>
    <w:rsid w:val="000057CC"/>
    <w:rsid w:val="00006FC8"/>
    <w:rsid w:val="0001131C"/>
    <w:rsid w:val="000136FD"/>
    <w:rsid w:val="00015F72"/>
    <w:rsid w:val="000163A3"/>
    <w:rsid w:val="000202F3"/>
    <w:rsid w:val="00021D08"/>
    <w:rsid w:val="000236F7"/>
    <w:rsid w:val="00027A32"/>
    <w:rsid w:val="00031341"/>
    <w:rsid w:val="000329D1"/>
    <w:rsid w:val="00032A0E"/>
    <w:rsid w:val="00034173"/>
    <w:rsid w:val="000344E8"/>
    <w:rsid w:val="00035469"/>
    <w:rsid w:val="0003595B"/>
    <w:rsid w:val="0003668E"/>
    <w:rsid w:val="00037D37"/>
    <w:rsid w:val="000437F2"/>
    <w:rsid w:val="00043C0B"/>
    <w:rsid w:val="00044203"/>
    <w:rsid w:val="00044A11"/>
    <w:rsid w:val="00044FF3"/>
    <w:rsid w:val="00046B8E"/>
    <w:rsid w:val="000500E3"/>
    <w:rsid w:val="00052860"/>
    <w:rsid w:val="00052A5D"/>
    <w:rsid w:val="00056646"/>
    <w:rsid w:val="00056FF7"/>
    <w:rsid w:val="00057351"/>
    <w:rsid w:val="00057E79"/>
    <w:rsid w:val="000609FA"/>
    <w:rsid w:val="0006158E"/>
    <w:rsid w:val="00062283"/>
    <w:rsid w:val="0006246A"/>
    <w:rsid w:val="00063B28"/>
    <w:rsid w:val="00063E82"/>
    <w:rsid w:val="00063F6C"/>
    <w:rsid w:val="00064338"/>
    <w:rsid w:val="00066652"/>
    <w:rsid w:val="00066FD6"/>
    <w:rsid w:val="00071116"/>
    <w:rsid w:val="00073E8A"/>
    <w:rsid w:val="00073EE6"/>
    <w:rsid w:val="00076691"/>
    <w:rsid w:val="000770E4"/>
    <w:rsid w:val="000801A9"/>
    <w:rsid w:val="000803C5"/>
    <w:rsid w:val="00085077"/>
    <w:rsid w:val="00085DD3"/>
    <w:rsid w:val="00085F9A"/>
    <w:rsid w:val="00086A1E"/>
    <w:rsid w:val="00090FA3"/>
    <w:rsid w:val="00092225"/>
    <w:rsid w:val="00094D71"/>
    <w:rsid w:val="00095E06"/>
    <w:rsid w:val="00096DD6"/>
    <w:rsid w:val="000A0657"/>
    <w:rsid w:val="000A0743"/>
    <w:rsid w:val="000A11D3"/>
    <w:rsid w:val="000A4159"/>
    <w:rsid w:val="000A4DE4"/>
    <w:rsid w:val="000A5B44"/>
    <w:rsid w:val="000A6145"/>
    <w:rsid w:val="000A61DD"/>
    <w:rsid w:val="000A7C32"/>
    <w:rsid w:val="000A7F09"/>
    <w:rsid w:val="000B0BBB"/>
    <w:rsid w:val="000B0E9D"/>
    <w:rsid w:val="000B0EF2"/>
    <w:rsid w:val="000B2062"/>
    <w:rsid w:val="000B4522"/>
    <w:rsid w:val="000B5095"/>
    <w:rsid w:val="000B5E79"/>
    <w:rsid w:val="000B7957"/>
    <w:rsid w:val="000C0078"/>
    <w:rsid w:val="000C10C5"/>
    <w:rsid w:val="000C1B1B"/>
    <w:rsid w:val="000C29D7"/>
    <w:rsid w:val="000C3226"/>
    <w:rsid w:val="000C3830"/>
    <w:rsid w:val="000C4C93"/>
    <w:rsid w:val="000C6E9E"/>
    <w:rsid w:val="000C7A68"/>
    <w:rsid w:val="000D1573"/>
    <w:rsid w:val="000D2D4D"/>
    <w:rsid w:val="000D4572"/>
    <w:rsid w:val="000D4E83"/>
    <w:rsid w:val="000E0E80"/>
    <w:rsid w:val="000E4DEF"/>
    <w:rsid w:val="000E5DB3"/>
    <w:rsid w:val="000E5FE7"/>
    <w:rsid w:val="000E7125"/>
    <w:rsid w:val="000F06DF"/>
    <w:rsid w:val="000F0C17"/>
    <w:rsid w:val="000F6073"/>
    <w:rsid w:val="000F6AFB"/>
    <w:rsid w:val="001010CA"/>
    <w:rsid w:val="00101817"/>
    <w:rsid w:val="00101E0D"/>
    <w:rsid w:val="00103BB6"/>
    <w:rsid w:val="0010476D"/>
    <w:rsid w:val="00110643"/>
    <w:rsid w:val="00112390"/>
    <w:rsid w:val="00113028"/>
    <w:rsid w:val="001132DC"/>
    <w:rsid w:val="00113F34"/>
    <w:rsid w:val="00114A13"/>
    <w:rsid w:val="001151FD"/>
    <w:rsid w:val="00115A6D"/>
    <w:rsid w:val="00115C32"/>
    <w:rsid w:val="00116D2A"/>
    <w:rsid w:val="00120BC2"/>
    <w:rsid w:val="00122F2A"/>
    <w:rsid w:val="001230DF"/>
    <w:rsid w:val="001241E5"/>
    <w:rsid w:val="00126241"/>
    <w:rsid w:val="00126CCE"/>
    <w:rsid w:val="00126F40"/>
    <w:rsid w:val="00127231"/>
    <w:rsid w:val="0013198E"/>
    <w:rsid w:val="00132638"/>
    <w:rsid w:val="001358C4"/>
    <w:rsid w:val="00136F34"/>
    <w:rsid w:val="00140FEB"/>
    <w:rsid w:val="0014390E"/>
    <w:rsid w:val="00144212"/>
    <w:rsid w:val="00144765"/>
    <w:rsid w:val="00144E98"/>
    <w:rsid w:val="001452D4"/>
    <w:rsid w:val="001456B2"/>
    <w:rsid w:val="00145B4D"/>
    <w:rsid w:val="00145C81"/>
    <w:rsid w:val="0014603D"/>
    <w:rsid w:val="00146B0B"/>
    <w:rsid w:val="00146F8E"/>
    <w:rsid w:val="001474D4"/>
    <w:rsid w:val="00147877"/>
    <w:rsid w:val="00147A23"/>
    <w:rsid w:val="0015368D"/>
    <w:rsid w:val="001544E1"/>
    <w:rsid w:val="00156E2B"/>
    <w:rsid w:val="00160643"/>
    <w:rsid w:val="00161FD4"/>
    <w:rsid w:val="0016447E"/>
    <w:rsid w:val="00165440"/>
    <w:rsid w:val="00165931"/>
    <w:rsid w:val="00165D18"/>
    <w:rsid w:val="00166DB7"/>
    <w:rsid w:val="00167BFA"/>
    <w:rsid w:val="0017027D"/>
    <w:rsid w:val="001707BC"/>
    <w:rsid w:val="00170EED"/>
    <w:rsid w:val="00171C94"/>
    <w:rsid w:val="001749BB"/>
    <w:rsid w:val="0017601B"/>
    <w:rsid w:val="0017619F"/>
    <w:rsid w:val="001762BF"/>
    <w:rsid w:val="00180FE5"/>
    <w:rsid w:val="00181FAF"/>
    <w:rsid w:val="00182E0E"/>
    <w:rsid w:val="00183408"/>
    <w:rsid w:val="00183466"/>
    <w:rsid w:val="001834D2"/>
    <w:rsid w:val="00184E3A"/>
    <w:rsid w:val="0018566F"/>
    <w:rsid w:val="00187C21"/>
    <w:rsid w:val="00190194"/>
    <w:rsid w:val="00190903"/>
    <w:rsid w:val="00193119"/>
    <w:rsid w:val="00195020"/>
    <w:rsid w:val="001A0C0D"/>
    <w:rsid w:val="001A2D55"/>
    <w:rsid w:val="001A3469"/>
    <w:rsid w:val="001A46FB"/>
    <w:rsid w:val="001A4835"/>
    <w:rsid w:val="001A5579"/>
    <w:rsid w:val="001A57F3"/>
    <w:rsid w:val="001A5E00"/>
    <w:rsid w:val="001A727D"/>
    <w:rsid w:val="001B18F0"/>
    <w:rsid w:val="001B1BC2"/>
    <w:rsid w:val="001B2089"/>
    <w:rsid w:val="001B3615"/>
    <w:rsid w:val="001B67ED"/>
    <w:rsid w:val="001B6858"/>
    <w:rsid w:val="001B6BCB"/>
    <w:rsid w:val="001C0323"/>
    <w:rsid w:val="001C0887"/>
    <w:rsid w:val="001C0D54"/>
    <w:rsid w:val="001C18A7"/>
    <w:rsid w:val="001C4078"/>
    <w:rsid w:val="001C73EB"/>
    <w:rsid w:val="001C7E68"/>
    <w:rsid w:val="001D23C7"/>
    <w:rsid w:val="001D2503"/>
    <w:rsid w:val="001D2E39"/>
    <w:rsid w:val="001D3DC0"/>
    <w:rsid w:val="001D413D"/>
    <w:rsid w:val="001D43D6"/>
    <w:rsid w:val="001D598A"/>
    <w:rsid w:val="001D70EB"/>
    <w:rsid w:val="001E05F2"/>
    <w:rsid w:val="001E09D1"/>
    <w:rsid w:val="001E1B10"/>
    <w:rsid w:val="001E3170"/>
    <w:rsid w:val="001E5AB2"/>
    <w:rsid w:val="001E5F05"/>
    <w:rsid w:val="001E7C2D"/>
    <w:rsid w:val="001F0FB8"/>
    <w:rsid w:val="001F18F9"/>
    <w:rsid w:val="001F1B0D"/>
    <w:rsid w:val="001F219C"/>
    <w:rsid w:val="001F2510"/>
    <w:rsid w:val="001F33BD"/>
    <w:rsid w:val="001F4E5F"/>
    <w:rsid w:val="001F5C67"/>
    <w:rsid w:val="001F6733"/>
    <w:rsid w:val="001F76C4"/>
    <w:rsid w:val="002004E9"/>
    <w:rsid w:val="002028B2"/>
    <w:rsid w:val="00205B8E"/>
    <w:rsid w:val="00211C6A"/>
    <w:rsid w:val="00212AD2"/>
    <w:rsid w:val="002161DD"/>
    <w:rsid w:val="00217F5F"/>
    <w:rsid w:val="002231C2"/>
    <w:rsid w:val="00223771"/>
    <w:rsid w:val="00223B91"/>
    <w:rsid w:val="00223D39"/>
    <w:rsid w:val="0022511A"/>
    <w:rsid w:val="00227327"/>
    <w:rsid w:val="002278AF"/>
    <w:rsid w:val="00227B6B"/>
    <w:rsid w:val="0023174E"/>
    <w:rsid w:val="002342E8"/>
    <w:rsid w:val="00235926"/>
    <w:rsid w:val="00237991"/>
    <w:rsid w:val="002405CB"/>
    <w:rsid w:val="002407E9"/>
    <w:rsid w:val="00241543"/>
    <w:rsid w:val="00242AD8"/>
    <w:rsid w:val="00244BFA"/>
    <w:rsid w:val="002463D5"/>
    <w:rsid w:val="00247B30"/>
    <w:rsid w:val="0025073E"/>
    <w:rsid w:val="0025077D"/>
    <w:rsid w:val="00250E0F"/>
    <w:rsid w:val="00253020"/>
    <w:rsid w:val="00253993"/>
    <w:rsid w:val="002539EE"/>
    <w:rsid w:val="00253FAF"/>
    <w:rsid w:val="002579A3"/>
    <w:rsid w:val="00262341"/>
    <w:rsid w:val="00262AA0"/>
    <w:rsid w:val="00262E29"/>
    <w:rsid w:val="0026304E"/>
    <w:rsid w:val="00264E2F"/>
    <w:rsid w:val="002731EA"/>
    <w:rsid w:val="00275027"/>
    <w:rsid w:val="00277718"/>
    <w:rsid w:val="0028112A"/>
    <w:rsid w:val="0028182C"/>
    <w:rsid w:val="00281EE5"/>
    <w:rsid w:val="002851B7"/>
    <w:rsid w:val="00287143"/>
    <w:rsid w:val="00287C04"/>
    <w:rsid w:val="00291E50"/>
    <w:rsid w:val="00292629"/>
    <w:rsid w:val="00294516"/>
    <w:rsid w:val="00296759"/>
    <w:rsid w:val="002A25F2"/>
    <w:rsid w:val="002A3156"/>
    <w:rsid w:val="002A37EB"/>
    <w:rsid w:val="002A4B97"/>
    <w:rsid w:val="002A546B"/>
    <w:rsid w:val="002A635D"/>
    <w:rsid w:val="002B0408"/>
    <w:rsid w:val="002B1C3A"/>
    <w:rsid w:val="002B20C3"/>
    <w:rsid w:val="002B22B0"/>
    <w:rsid w:val="002B37E5"/>
    <w:rsid w:val="002B4AC2"/>
    <w:rsid w:val="002B55D7"/>
    <w:rsid w:val="002B5DEA"/>
    <w:rsid w:val="002B64ED"/>
    <w:rsid w:val="002B6BFB"/>
    <w:rsid w:val="002B6C91"/>
    <w:rsid w:val="002B72A5"/>
    <w:rsid w:val="002C07E8"/>
    <w:rsid w:val="002C0910"/>
    <w:rsid w:val="002C0D98"/>
    <w:rsid w:val="002C1F0F"/>
    <w:rsid w:val="002C218C"/>
    <w:rsid w:val="002C3606"/>
    <w:rsid w:val="002C7963"/>
    <w:rsid w:val="002D0C12"/>
    <w:rsid w:val="002D1243"/>
    <w:rsid w:val="002D1D96"/>
    <w:rsid w:val="002D22AA"/>
    <w:rsid w:val="002D3E64"/>
    <w:rsid w:val="002D4495"/>
    <w:rsid w:val="002D57A7"/>
    <w:rsid w:val="002D5A01"/>
    <w:rsid w:val="002D5E25"/>
    <w:rsid w:val="002E091D"/>
    <w:rsid w:val="002E3952"/>
    <w:rsid w:val="002E4010"/>
    <w:rsid w:val="002E546E"/>
    <w:rsid w:val="002E7F2B"/>
    <w:rsid w:val="002F2582"/>
    <w:rsid w:val="002F2D5B"/>
    <w:rsid w:val="002F2F42"/>
    <w:rsid w:val="002F36E1"/>
    <w:rsid w:val="002F4A94"/>
    <w:rsid w:val="002F5E0E"/>
    <w:rsid w:val="002F61A3"/>
    <w:rsid w:val="002F6C65"/>
    <w:rsid w:val="002F7E58"/>
    <w:rsid w:val="00300CE1"/>
    <w:rsid w:val="00303D9B"/>
    <w:rsid w:val="00303E8A"/>
    <w:rsid w:val="00303FDD"/>
    <w:rsid w:val="003041A5"/>
    <w:rsid w:val="0030481E"/>
    <w:rsid w:val="0030530F"/>
    <w:rsid w:val="003058D7"/>
    <w:rsid w:val="00306764"/>
    <w:rsid w:val="0030756A"/>
    <w:rsid w:val="003100F7"/>
    <w:rsid w:val="003101E2"/>
    <w:rsid w:val="00311AA9"/>
    <w:rsid w:val="00313802"/>
    <w:rsid w:val="00313903"/>
    <w:rsid w:val="00314409"/>
    <w:rsid w:val="00315420"/>
    <w:rsid w:val="0031583D"/>
    <w:rsid w:val="00316756"/>
    <w:rsid w:val="00316F7F"/>
    <w:rsid w:val="003222E3"/>
    <w:rsid w:val="00324222"/>
    <w:rsid w:val="00326811"/>
    <w:rsid w:val="00330035"/>
    <w:rsid w:val="00333246"/>
    <w:rsid w:val="00335D4F"/>
    <w:rsid w:val="003368A5"/>
    <w:rsid w:val="00336972"/>
    <w:rsid w:val="003371EC"/>
    <w:rsid w:val="00340F32"/>
    <w:rsid w:val="00341504"/>
    <w:rsid w:val="00342274"/>
    <w:rsid w:val="00346306"/>
    <w:rsid w:val="00347C68"/>
    <w:rsid w:val="00350344"/>
    <w:rsid w:val="00352B5B"/>
    <w:rsid w:val="00353504"/>
    <w:rsid w:val="00353BAA"/>
    <w:rsid w:val="00353F3D"/>
    <w:rsid w:val="0035429F"/>
    <w:rsid w:val="00354EC1"/>
    <w:rsid w:val="0035549D"/>
    <w:rsid w:val="00360011"/>
    <w:rsid w:val="00360E4A"/>
    <w:rsid w:val="00361B4F"/>
    <w:rsid w:val="00362253"/>
    <w:rsid w:val="00362BE9"/>
    <w:rsid w:val="003631AF"/>
    <w:rsid w:val="003631E3"/>
    <w:rsid w:val="003637E9"/>
    <w:rsid w:val="00365130"/>
    <w:rsid w:val="00365D74"/>
    <w:rsid w:val="003666A2"/>
    <w:rsid w:val="00370BEC"/>
    <w:rsid w:val="00371A20"/>
    <w:rsid w:val="003723C3"/>
    <w:rsid w:val="00373B9C"/>
    <w:rsid w:val="00374CD4"/>
    <w:rsid w:val="00374DA8"/>
    <w:rsid w:val="00377F9B"/>
    <w:rsid w:val="00382A82"/>
    <w:rsid w:val="00384DEC"/>
    <w:rsid w:val="003859EE"/>
    <w:rsid w:val="00385D86"/>
    <w:rsid w:val="00390910"/>
    <w:rsid w:val="00393506"/>
    <w:rsid w:val="00395ABB"/>
    <w:rsid w:val="003A0D32"/>
    <w:rsid w:val="003A4696"/>
    <w:rsid w:val="003A46B5"/>
    <w:rsid w:val="003A6321"/>
    <w:rsid w:val="003B0A4B"/>
    <w:rsid w:val="003B1C50"/>
    <w:rsid w:val="003B2179"/>
    <w:rsid w:val="003B33F9"/>
    <w:rsid w:val="003B36D9"/>
    <w:rsid w:val="003B5837"/>
    <w:rsid w:val="003B65AB"/>
    <w:rsid w:val="003B66C0"/>
    <w:rsid w:val="003B6D82"/>
    <w:rsid w:val="003C05FE"/>
    <w:rsid w:val="003C0E35"/>
    <w:rsid w:val="003C11DC"/>
    <w:rsid w:val="003C1936"/>
    <w:rsid w:val="003C2B47"/>
    <w:rsid w:val="003C336E"/>
    <w:rsid w:val="003C33BC"/>
    <w:rsid w:val="003C3D23"/>
    <w:rsid w:val="003C4768"/>
    <w:rsid w:val="003C4826"/>
    <w:rsid w:val="003C4F7F"/>
    <w:rsid w:val="003C52DD"/>
    <w:rsid w:val="003C685D"/>
    <w:rsid w:val="003D297A"/>
    <w:rsid w:val="003D408B"/>
    <w:rsid w:val="003D4A46"/>
    <w:rsid w:val="003D563F"/>
    <w:rsid w:val="003D5FCE"/>
    <w:rsid w:val="003D701A"/>
    <w:rsid w:val="003D7B9B"/>
    <w:rsid w:val="003D7F13"/>
    <w:rsid w:val="003E03B6"/>
    <w:rsid w:val="003E0ED2"/>
    <w:rsid w:val="003E25C3"/>
    <w:rsid w:val="003E2674"/>
    <w:rsid w:val="003E298B"/>
    <w:rsid w:val="003E2FD5"/>
    <w:rsid w:val="003E3369"/>
    <w:rsid w:val="003E3C88"/>
    <w:rsid w:val="003E3ED5"/>
    <w:rsid w:val="003E7C51"/>
    <w:rsid w:val="003F2310"/>
    <w:rsid w:val="003F3F6C"/>
    <w:rsid w:val="003F74F7"/>
    <w:rsid w:val="003F7B47"/>
    <w:rsid w:val="0040200D"/>
    <w:rsid w:val="00403341"/>
    <w:rsid w:val="00403A57"/>
    <w:rsid w:val="004065BC"/>
    <w:rsid w:val="00406FA7"/>
    <w:rsid w:val="00407218"/>
    <w:rsid w:val="00410C59"/>
    <w:rsid w:val="0041282C"/>
    <w:rsid w:val="00413849"/>
    <w:rsid w:val="00415AA0"/>
    <w:rsid w:val="004179D7"/>
    <w:rsid w:val="00420FCC"/>
    <w:rsid w:val="00425609"/>
    <w:rsid w:val="004260BE"/>
    <w:rsid w:val="00426BFE"/>
    <w:rsid w:val="0042753F"/>
    <w:rsid w:val="00430868"/>
    <w:rsid w:val="0043247B"/>
    <w:rsid w:val="004353A2"/>
    <w:rsid w:val="004359E8"/>
    <w:rsid w:val="004364F2"/>
    <w:rsid w:val="00436E7E"/>
    <w:rsid w:val="004401CB"/>
    <w:rsid w:val="004406B8"/>
    <w:rsid w:val="004434C3"/>
    <w:rsid w:val="0044428D"/>
    <w:rsid w:val="00446800"/>
    <w:rsid w:val="00446E11"/>
    <w:rsid w:val="0045156A"/>
    <w:rsid w:val="0045239D"/>
    <w:rsid w:val="004532A9"/>
    <w:rsid w:val="00456CFD"/>
    <w:rsid w:val="0046037F"/>
    <w:rsid w:val="004612D9"/>
    <w:rsid w:val="00461ACA"/>
    <w:rsid w:val="004629DE"/>
    <w:rsid w:val="004631BB"/>
    <w:rsid w:val="00464DF4"/>
    <w:rsid w:val="0046723D"/>
    <w:rsid w:val="00470DD5"/>
    <w:rsid w:val="00472D80"/>
    <w:rsid w:val="00473551"/>
    <w:rsid w:val="00473FC6"/>
    <w:rsid w:val="00474520"/>
    <w:rsid w:val="0047673F"/>
    <w:rsid w:val="00477F2D"/>
    <w:rsid w:val="00480FEF"/>
    <w:rsid w:val="0048134B"/>
    <w:rsid w:val="004813FE"/>
    <w:rsid w:val="00481C73"/>
    <w:rsid w:val="00482399"/>
    <w:rsid w:val="00483853"/>
    <w:rsid w:val="004859C1"/>
    <w:rsid w:val="00485A33"/>
    <w:rsid w:val="0048714B"/>
    <w:rsid w:val="004901E0"/>
    <w:rsid w:val="00490E5F"/>
    <w:rsid w:val="00491B86"/>
    <w:rsid w:val="004939E8"/>
    <w:rsid w:val="004A109C"/>
    <w:rsid w:val="004A10A5"/>
    <w:rsid w:val="004A10F1"/>
    <w:rsid w:val="004A23A9"/>
    <w:rsid w:val="004A5640"/>
    <w:rsid w:val="004A7A26"/>
    <w:rsid w:val="004B08F6"/>
    <w:rsid w:val="004B1BB5"/>
    <w:rsid w:val="004B2167"/>
    <w:rsid w:val="004B64CA"/>
    <w:rsid w:val="004C071A"/>
    <w:rsid w:val="004C1804"/>
    <w:rsid w:val="004C2556"/>
    <w:rsid w:val="004C2B3B"/>
    <w:rsid w:val="004C2EB6"/>
    <w:rsid w:val="004C55AD"/>
    <w:rsid w:val="004C5D95"/>
    <w:rsid w:val="004C7A57"/>
    <w:rsid w:val="004D01BB"/>
    <w:rsid w:val="004D1356"/>
    <w:rsid w:val="004D149C"/>
    <w:rsid w:val="004D1756"/>
    <w:rsid w:val="004D1AB0"/>
    <w:rsid w:val="004D30E5"/>
    <w:rsid w:val="004D4436"/>
    <w:rsid w:val="004D4593"/>
    <w:rsid w:val="004D4B99"/>
    <w:rsid w:val="004D55DB"/>
    <w:rsid w:val="004D5DBE"/>
    <w:rsid w:val="004D6168"/>
    <w:rsid w:val="004D6344"/>
    <w:rsid w:val="004D63A7"/>
    <w:rsid w:val="004D79C9"/>
    <w:rsid w:val="004D7BCB"/>
    <w:rsid w:val="004D7E72"/>
    <w:rsid w:val="004E0611"/>
    <w:rsid w:val="004E077E"/>
    <w:rsid w:val="004E0D15"/>
    <w:rsid w:val="004E1CD8"/>
    <w:rsid w:val="004E3798"/>
    <w:rsid w:val="004F2599"/>
    <w:rsid w:val="004F28B4"/>
    <w:rsid w:val="004F4C83"/>
    <w:rsid w:val="004F65D9"/>
    <w:rsid w:val="00503E4B"/>
    <w:rsid w:val="00505259"/>
    <w:rsid w:val="00507EC6"/>
    <w:rsid w:val="00510CE8"/>
    <w:rsid w:val="00511A11"/>
    <w:rsid w:val="00512E69"/>
    <w:rsid w:val="00514980"/>
    <w:rsid w:val="00521A47"/>
    <w:rsid w:val="00522550"/>
    <w:rsid w:val="005255D8"/>
    <w:rsid w:val="005256A9"/>
    <w:rsid w:val="00526BED"/>
    <w:rsid w:val="005276A5"/>
    <w:rsid w:val="00532941"/>
    <w:rsid w:val="005354F1"/>
    <w:rsid w:val="00535B8A"/>
    <w:rsid w:val="00537EDB"/>
    <w:rsid w:val="00541D55"/>
    <w:rsid w:val="0054210F"/>
    <w:rsid w:val="0054284B"/>
    <w:rsid w:val="00542B87"/>
    <w:rsid w:val="00542F3A"/>
    <w:rsid w:val="005432A4"/>
    <w:rsid w:val="00544424"/>
    <w:rsid w:val="00546489"/>
    <w:rsid w:val="00552877"/>
    <w:rsid w:val="0055300E"/>
    <w:rsid w:val="00553330"/>
    <w:rsid w:val="005560CC"/>
    <w:rsid w:val="00557633"/>
    <w:rsid w:val="00557DE1"/>
    <w:rsid w:val="00563FE3"/>
    <w:rsid w:val="005640DF"/>
    <w:rsid w:val="00564632"/>
    <w:rsid w:val="00564C52"/>
    <w:rsid w:val="00565923"/>
    <w:rsid w:val="00571605"/>
    <w:rsid w:val="00572040"/>
    <w:rsid w:val="005737ED"/>
    <w:rsid w:val="00574B90"/>
    <w:rsid w:val="00577300"/>
    <w:rsid w:val="00577D6A"/>
    <w:rsid w:val="0058065A"/>
    <w:rsid w:val="0058164B"/>
    <w:rsid w:val="0058170C"/>
    <w:rsid w:val="00586195"/>
    <w:rsid w:val="00587DF7"/>
    <w:rsid w:val="00590496"/>
    <w:rsid w:val="005915C1"/>
    <w:rsid w:val="00597A5B"/>
    <w:rsid w:val="005A101C"/>
    <w:rsid w:val="005A233E"/>
    <w:rsid w:val="005A3EC8"/>
    <w:rsid w:val="005A5ABF"/>
    <w:rsid w:val="005A5B9D"/>
    <w:rsid w:val="005A644E"/>
    <w:rsid w:val="005A71C4"/>
    <w:rsid w:val="005A78C2"/>
    <w:rsid w:val="005B0618"/>
    <w:rsid w:val="005B0628"/>
    <w:rsid w:val="005B0750"/>
    <w:rsid w:val="005B09D1"/>
    <w:rsid w:val="005B2D6A"/>
    <w:rsid w:val="005B39B3"/>
    <w:rsid w:val="005B3A5E"/>
    <w:rsid w:val="005B40A8"/>
    <w:rsid w:val="005B43C8"/>
    <w:rsid w:val="005B6600"/>
    <w:rsid w:val="005B6647"/>
    <w:rsid w:val="005C05DA"/>
    <w:rsid w:val="005C0EA2"/>
    <w:rsid w:val="005C4186"/>
    <w:rsid w:val="005C4C26"/>
    <w:rsid w:val="005C5389"/>
    <w:rsid w:val="005C654D"/>
    <w:rsid w:val="005C6F2C"/>
    <w:rsid w:val="005C746C"/>
    <w:rsid w:val="005D0C0C"/>
    <w:rsid w:val="005D229D"/>
    <w:rsid w:val="005D2316"/>
    <w:rsid w:val="005D28CB"/>
    <w:rsid w:val="005D4C84"/>
    <w:rsid w:val="005D5118"/>
    <w:rsid w:val="005E1C4C"/>
    <w:rsid w:val="005E33C1"/>
    <w:rsid w:val="005E443C"/>
    <w:rsid w:val="005E46F0"/>
    <w:rsid w:val="005E68D1"/>
    <w:rsid w:val="005F0203"/>
    <w:rsid w:val="005F2803"/>
    <w:rsid w:val="005F3028"/>
    <w:rsid w:val="005F3307"/>
    <w:rsid w:val="005F5256"/>
    <w:rsid w:val="005F5ABF"/>
    <w:rsid w:val="005F7880"/>
    <w:rsid w:val="00600227"/>
    <w:rsid w:val="00601E32"/>
    <w:rsid w:val="00603376"/>
    <w:rsid w:val="006039D6"/>
    <w:rsid w:val="006043F7"/>
    <w:rsid w:val="00604BA8"/>
    <w:rsid w:val="00605402"/>
    <w:rsid w:val="006067B8"/>
    <w:rsid w:val="00607CF3"/>
    <w:rsid w:val="0061131A"/>
    <w:rsid w:val="00613394"/>
    <w:rsid w:val="00613593"/>
    <w:rsid w:val="006136FC"/>
    <w:rsid w:val="0061381B"/>
    <w:rsid w:val="006142FF"/>
    <w:rsid w:val="00614AB5"/>
    <w:rsid w:val="006167A5"/>
    <w:rsid w:val="00621BB7"/>
    <w:rsid w:val="0062449A"/>
    <w:rsid w:val="00625A1C"/>
    <w:rsid w:val="00631C19"/>
    <w:rsid w:val="00632F5B"/>
    <w:rsid w:val="00635EC8"/>
    <w:rsid w:val="00636C1E"/>
    <w:rsid w:val="00636F18"/>
    <w:rsid w:val="00641C1F"/>
    <w:rsid w:val="00643BD9"/>
    <w:rsid w:val="00644B9F"/>
    <w:rsid w:val="00647E40"/>
    <w:rsid w:val="00651044"/>
    <w:rsid w:val="0065139E"/>
    <w:rsid w:val="0065192F"/>
    <w:rsid w:val="0065265B"/>
    <w:rsid w:val="00652D12"/>
    <w:rsid w:val="006531D7"/>
    <w:rsid w:val="006556C9"/>
    <w:rsid w:val="006557CF"/>
    <w:rsid w:val="006603E5"/>
    <w:rsid w:val="00662681"/>
    <w:rsid w:val="00662F84"/>
    <w:rsid w:val="00663A36"/>
    <w:rsid w:val="006640BA"/>
    <w:rsid w:val="00670823"/>
    <w:rsid w:val="00672363"/>
    <w:rsid w:val="006737C0"/>
    <w:rsid w:val="00674E12"/>
    <w:rsid w:val="00676476"/>
    <w:rsid w:val="006770A1"/>
    <w:rsid w:val="006808EB"/>
    <w:rsid w:val="00680A3B"/>
    <w:rsid w:val="006823FD"/>
    <w:rsid w:val="00682480"/>
    <w:rsid w:val="006828EE"/>
    <w:rsid w:val="00683115"/>
    <w:rsid w:val="00683AFB"/>
    <w:rsid w:val="00684F6A"/>
    <w:rsid w:val="00686448"/>
    <w:rsid w:val="00691ABD"/>
    <w:rsid w:val="0069384D"/>
    <w:rsid w:val="00695318"/>
    <w:rsid w:val="006953C7"/>
    <w:rsid w:val="006953FD"/>
    <w:rsid w:val="00695E7A"/>
    <w:rsid w:val="00696A4C"/>
    <w:rsid w:val="006971D2"/>
    <w:rsid w:val="006A022C"/>
    <w:rsid w:val="006A0F83"/>
    <w:rsid w:val="006A223A"/>
    <w:rsid w:val="006A39A0"/>
    <w:rsid w:val="006A4980"/>
    <w:rsid w:val="006A5A34"/>
    <w:rsid w:val="006B0B3D"/>
    <w:rsid w:val="006B34B0"/>
    <w:rsid w:val="006B4952"/>
    <w:rsid w:val="006B4E33"/>
    <w:rsid w:val="006C2247"/>
    <w:rsid w:val="006C51D7"/>
    <w:rsid w:val="006C55B5"/>
    <w:rsid w:val="006C5BBA"/>
    <w:rsid w:val="006C60BB"/>
    <w:rsid w:val="006C72F5"/>
    <w:rsid w:val="006D0379"/>
    <w:rsid w:val="006D0D8F"/>
    <w:rsid w:val="006D1464"/>
    <w:rsid w:val="006D2855"/>
    <w:rsid w:val="006D286D"/>
    <w:rsid w:val="006D2E98"/>
    <w:rsid w:val="006D3577"/>
    <w:rsid w:val="006D3EA9"/>
    <w:rsid w:val="006D5D1C"/>
    <w:rsid w:val="006D6904"/>
    <w:rsid w:val="006E32F4"/>
    <w:rsid w:val="006E45D2"/>
    <w:rsid w:val="006E4717"/>
    <w:rsid w:val="006E63E9"/>
    <w:rsid w:val="006E6FE5"/>
    <w:rsid w:val="006F136F"/>
    <w:rsid w:val="006F1649"/>
    <w:rsid w:val="006F24F3"/>
    <w:rsid w:val="006F30D5"/>
    <w:rsid w:val="006F5DE4"/>
    <w:rsid w:val="00707258"/>
    <w:rsid w:val="007101E0"/>
    <w:rsid w:val="00710259"/>
    <w:rsid w:val="00711E8B"/>
    <w:rsid w:val="007135ED"/>
    <w:rsid w:val="00713FE4"/>
    <w:rsid w:val="00716C4A"/>
    <w:rsid w:val="00717B4A"/>
    <w:rsid w:val="007215A1"/>
    <w:rsid w:val="007220D7"/>
    <w:rsid w:val="00722ABD"/>
    <w:rsid w:val="00724400"/>
    <w:rsid w:val="00724644"/>
    <w:rsid w:val="00726D28"/>
    <w:rsid w:val="0072791F"/>
    <w:rsid w:val="00731591"/>
    <w:rsid w:val="0073353C"/>
    <w:rsid w:val="00734770"/>
    <w:rsid w:val="00736F17"/>
    <w:rsid w:val="00737910"/>
    <w:rsid w:val="007379DD"/>
    <w:rsid w:val="00737EB1"/>
    <w:rsid w:val="00741A42"/>
    <w:rsid w:val="00743F1F"/>
    <w:rsid w:val="00744CBD"/>
    <w:rsid w:val="00746924"/>
    <w:rsid w:val="007474AC"/>
    <w:rsid w:val="00752D00"/>
    <w:rsid w:val="00756349"/>
    <w:rsid w:val="007603DF"/>
    <w:rsid w:val="00763452"/>
    <w:rsid w:val="00763829"/>
    <w:rsid w:val="007648AB"/>
    <w:rsid w:val="00765703"/>
    <w:rsid w:val="00766C5A"/>
    <w:rsid w:val="007707ED"/>
    <w:rsid w:val="00770CB2"/>
    <w:rsid w:val="007711F9"/>
    <w:rsid w:val="0077147C"/>
    <w:rsid w:val="00771CA1"/>
    <w:rsid w:val="00771E03"/>
    <w:rsid w:val="007730B2"/>
    <w:rsid w:val="007745DF"/>
    <w:rsid w:val="00775CE3"/>
    <w:rsid w:val="00776BF4"/>
    <w:rsid w:val="00777C61"/>
    <w:rsid w:val="00780679"/>
    <w:rsid w:val="00781DB5"/>
    <w:rsid w:val="0078331D"/>
    <w:rsid w:val="00785E8E"/>
    <w:rsid w:val="00787927"/>
    <w:rsid w:val="00792F5F"/>
    <w:rsid w:val="00793257"/>
    <w:rsid w:val="007A0660"/>
    <w:rsid w:val="007A0B3E"/>
    <w:rsid w:val="007A1089"/>
    <w:rsid w:val="007A2CD8"/>
    <w:rsid w:val="007A4655"/>
    <w:rsid w:val="007A720C"/>
    <w:rsid w:val="007B0D3C"/>
    <w:rsid w:val="007B5C4B"/>
    <w:rsid w:val="007C2621"/>
    <w:rsid w:val="007C2796"/>
    <w:rsid w:val="007C3659"/>
    <w:rsid w:val="007C4B7C"/>
    <w:rsid w:val="007C5B15"/>
    <w:rsid w:val="007D0A68"/>
    <w:rsid w:val="007D11A9"/>
    <w:rsid w:val="007D24B6"/>
    <w:rsid w:val="007D4250"/>
    <w:rsid w:val="007D48D0"/>
    <w:rsid w:val="007D5DBF"/>
    <w:rsid w:val="007D791C"/>
    <w:rsid w:val="007D7EC5"/>
    <w:rsid w:val="007E0FB8"/>
    <w:rsid w:val="007E3A5A"/>
    <w:rsid w:val="007E401A"/>
    <w:rsid w:val="007E4021"/>
    <w:rsid w:val="007E5B42"/>
    <w:rsid w:val="007E5ED6"/>
    <w:rsid w:val="007E70EA"/>
    <w:rsid w:val="007F08F7"/>
    <w:rsid w:val="007F0B5F"/>
    <w:rsid w:val="007F1F7B"/>
    <w:rsid w:val="007F28B4"/>
    <w:rsid w:val="007F2EED"/>
    <w:rsid w:val="007F34EA"/>
    <w:rsid w:val="007F3CD0"/>
    <w:rsid w:val="007F7408"/>
    <w:rsid w:val="00800583"/>
    <w:rsid w:val="008005C9"/>
    <w:rsid w:val="0080074E"/>
    <w:rsid w:val="00800E70"/>
    <w:rsid w:val="008011E4"/>
    <w:rsid w:val="00803BC6"/>
    <w:rsid w:val="00804B33"/>
    <w:rsid w:val="008057D3"/>
    <w:rsid w:val="00805E21"/>
    <w:rsid w:val="008063FD"/>
    <w:rsid w:val="0080674F"/>
    <w:rsid w:val="00806BE3"/>
    <w:rsid w:val="00806E4D"/>
    <w:rsid w:val="00807519"/>
    <w:rsid w:val="00807CF8"/>
    <w:rsid w:val="00807D25"/>
    <w:rsid w:val="00810ADF"/>
    <w:rsid w:val="00811E2B"/>
    <w:rsid w:val="00813F2F"/>
    <w:rsid w:val="00814112"/>
    <w:rsid w:val="008145D3"/>
    <w:rsid w:val="00814B62"/>
    <w:rsid w:val="00814D97"/>
    <w:rsid w:val="0081540C"/>
    <w:rsid w:val="008161B8"/>
    <w:rsid w:val="00817018"/>
    <w:rsid w:val="00820D69"/>
    <w:rsid w:val="00820F3A"/>
    <w:rsid w:val="0082338E"/>
    <w:rsid w:val="008238C5"/>
    <w:rsid w:val="008247D3"/>
    <w:rsid w:val="0082530E"/>
    <w:rsid w:val="00826914"/>
    <w:rsid w:val="00831299"/>
    <w:rsid w:val="00832A18"/>
    <w:rsid w:val="008347D1"/>
    <w:rsid w:val="00836DCB"/>
    <w:rsid w:val="008372DE"/>
    <w:rsid w:val="00837411"/>
    <w:rsid w:val="008406DF"/>
    <w:rsid w:val="00841E9D"/>
    <w:rsid w:val="008465A8"/>
    <w:rsid w:val="00847B88"/>
    <w:rsid w:val="00847C14"/>
    <w:rsid w:val="00851B73"/>
    <w:rsid w:val="00851E60"/>
    <w:rsid w:val="00852F70"/>
    <w:rsid w:val="00853B57"/>
    <w:rsid w:val="0085511C"/>
    <w:rsid w:val="00856552"/>
    <w:rsid w:val="008567C4"/>
    <w:rsid w:val="00857038"/>
    <w:rsid w:val="00857E04"/>
    <w:rsid w:val="008605EA"/>
    <w:rsid w:val="00860894"/>
    <w:rsid w:val="00861342"/>
    <w:rsid w:val="00864263"/>
    <w:rsid w:val="008668B0"/>
    <w:rsid w:val="00867091"/>
    <w:rsid w:val="00867FB1"/>
    <w:rsid w:val="00873901"/>
    <w:rsid w:val="00874973"/>
    <w:rsid w:val="008757DB"/>
    <w:rsid w:val="00880123"/>
    <w:rsid w:val="008804B3"/>
    <w:rsid w:val="0088072F"/>
    <w:rsid w:val="008808CD"/>
    <w:rsid w:val="008812EF"/>
    <w:rsid w:val="00882D2F"/>
    <w:rsid w:val="00887015"/>
    <w:rsid w:val="0089018B"/>
    <w:rsid w:val="008901F0"/>
    <w:rsid w:val="00890F2A"/>
    <w:rsid w:val="0089218A"/>
    <w:rsid w:val="00892401"/>
    <w:rsid w:val="008945B4"/>
    <w:rsid w:val="00895280"/>
    <w:rsid w:val="00895CB4"/>
    <w:rsid w:val="00895D6B"/>
    <w:rsid w:val="00897BE4"/>
    <w:rsid w:val="008A12C0"/>
    <w:rsid w:val="008A1F98"/>
    <w:rsid w:val="008A21CC"/>
    <w:rsid w:val="008A2631"/>
    <w:rsid w:val="008A2B6D"/>
    <w:rsid w:val="008A43CE"/>
    <w:rsid w:val="008A4BDD"/>
    <w:rsid w:val="008A5DC7"/>
    <w:rsid w:val="008A793F"/>
    <w:rsid w:val="008B0581"/>
    <w:rsid w:val="008B0A88"/>
    <w:rsid w:val="008B1202"/>
    <w:rsid w:val="008B1521"/>
    <w:rsid w:val="008B1884"/>
    <w:rsid w:val="008B2DD1"/>
    <w:rsid w:val="008B493B"/>
    <w:rsid w:val="008B65E0"/>
    <w:rsid w:val="008B661E"/>
    <w:rsid w:val="008B6C9B"/>
    <w:rsid w:val="008B704C"/>
    <w:rsid w:val="008B70D1"/>
    <w:rsid w:val="008B78F7"/>
    <w:rsid w:val="008C0676"/>
    <w:rsid w:val="008C1A4A"/>
    <w:rsid w:val="008C3052"/>
    <w:rsid w:val="008C5681"/>
    <w:rsid w:val="008C5D23"/>
    <w:rsid w:val="008C5EC2"/>
    <w:rsid w:val="008C6128"/>
    <w:rsid w:val="008C68E3"/>
    <w:rsid w:val="008C70B4"/>
    <w:rsid w:val="008D1B31"/>
    <w:rsid w:val="008D3DB0"/>
    <w:rsid w:val="008E14E8"/>
    <w:rsid w:val="008E23C9"/>
    <w:rsid w:val="008E3BAC"/>
    <w:rsid w:val="008E4AD0"/>
    <w:rsid w:val="008E5813"/>
    <w:rsid w:val="008E5EFC"/>
    <w:rsid w:val="008E651C"/>
    <w:rsid w:val="008E6EDB"/>
    <w:rsid w:val="008E6F12"/>
    <w:rsid w:val="008E6F65"/>
    <w:rsid w:val="008F08E8"/>
    <w:rsid w:val="008F1057"/>
    <w:rsid w:val="008F1F1F"/>
    <w:rsid w:val="008F25ED"/>
    <w:rsid w:val="008F378D"/>
    <w:rsid w:val="008F5252"/>
    <w:rsid w:val="008F7707"/>
    <w:rsid w:val="00900B29"/>
    <w:rsid w:val="00900C9A"/>
    <w:rsid w:val="00901ACA"/>
    <w:rsid w:val="00901BBF"/>
    <w:rsid w:val="009038F4"/>
    <w:rsid w:val="00903A0E"/>
    <w:rsid w:val="00905F1E"/>
    <w:rsid w:val="00910692"/>
    <w:rsid w:val="009119E3"/>
    <w:rsid w:val="00911D14"/>
    <w:rsid w:val="00912304"/>
    <w:rsid w:val="009128BB"/>
    <w:rsid w:val="00914A66"/>
    <w:rsid w:val="00914FE0"/>
    <w:rsid w:val="00915D8D"/>
    <w:rsid w:val="00916B67"/>
    <w:rsid w:val="0092095C"/>
    <w:rsid w:val="00921103"/>
    <w:rsid w:val="009245AE"/>
    <w:rsid w:val="009247E9"/>
    <w:rsid w:val="00924A71"/>
    <w:rsid w:val="0092688E"/>
    <w:rsid w:val="00931A58"/>
    <w:rsid w:val="00932E26"/>
    <w:rsid w:val="0093312E"/>
    <w:rsid w:val="009333EE"/>
    <w:rsid w:val="009339C2"/>
    <w:rsid w:val="00937284"/>
    <w:rsid w:val="00937FEC"/>
    <w:rsid w:val="0094028E"/>
    <w:rsid w:val="00940298"/>
    <w:rsid w:val="00942CAB"/>
    <w:rsid w:val="009452AC"/>
    <w:rsid w:val="009470D3"/>
    <w:rsid w:val="009470D5"/>
    <w:rsid w:val="009479C1"/>
    <w:rsid w:val="0095026A"/>
    <w:rsid w:val="00950383"/>
    <w:rsid w:val="00950FA9"/>
    <w:rsid w:val="009513E4"/>
    <w:rsid w:val="0095248E"/>
    <w:rsid w:val="00952A05"/>
    <w:rsid w:val="00953A37"/>
    <w:rsid w:val="00955B76"/>
    <w:rsid w:val="00960513"/>
    <w:rsid w:val="009609F0"/>
    <w:rsid w:val="00960B0F"/>
    <w:rsid w:val="00961134"/>
    <w:rsid w:val="00963C45"/>
    <w:rsid w:val="00966692"/>
    <w:rsid w:val="009676CB"/>
    <w:rsid w:val="00967EF9"/>
    <w:rsid w:val="00970E55"/>
    <w:rsid w:val="00973F36"/>
    <w:rsid w:val="00974625"/>
    <w:rsid w:val="00976555"/>
    <w:rsid w:val="00976BC3"/>
    <w:rsid w:val="00977DC6"/>
    <w:rsid w:val="009831EA"/>
    <w:rsid w:val="00984299"/>
    <w:rsid w:val="009844E0"/>
    <w:rsid w:val="00984F84"/>
    <w:rsid w:val="00987202"/>
    <w:rsid w:val="00991684"/>
    <w:rsid w:val="009919FD"/>
    <w:rsid w:val="00991AFD"/>
    <w:rsid w:val="009935AC"/>
    <w:rsid w:val="0099387B"/>
    <w:rsid w:val="0099624A"/>
    <w:rsid w:val="009975AD"/>
    <w:rsid w:val="009A16CD"/>
    <w:rsid w:val="009A3657"/>
    <w:rsid w:val="009A7FAF"/>
    <w:rsid w:val="009B072B"/>
    <w:rsid w:val="009B19D4"/>
    <w:rsid w:val="009B3597"/>
    <w:rsid w:val="009B4AC6"/>
    <w:rsid w:val="009B567A"/>
    <w:rsid w:val="009B7AAA"/>
    <w:rsid w:val="009B7E0D"/>
    <w:rsid w:val="009C2FDD"/>
    <w:rsid w:val="009C3288"/>
    <w:rsid w:val="009C45E0"/>
    <w:rsid w:val="009C4638"/>
    <w:rsid w:val="009C54E0"/>
    <w:rsid w:val="009C5D06"/>
    <w:rsid w:val="009C7860"/>
    <w:rsid w:val="009C79C8"/>
    <w:rsid w:val="009D258B"/>
    <w:rsid w:val="009D36A3"/>
    <w:rsid w:val="009D4345"/>
    <w:rsid w:val="009D61BB"/>
    <w:rsid w:val="009E01A1"/>
    <w:rsid w:val="009E1150"/>
    <w:rsid w:val="009E310C"/>
    <w:rsid w:val="009E39C2"/>
    <w:rsid w:val="009E4048"/>
    <w:rsid w:val="009E79E3"/>
    <w:rsid w:val="009E7B70"/>
    <w:rsid w:val="009F016F"/>
    <w:rsid w:val="009F0430"/>
    <w:rsid w:val="009F0C18"/>
    <w:rsid w:val="009F3385"/>
    <w:rsid w:val="009F535E"/>
    <w:rsid w:val="009F5B0C"/>
    <w:rsid w:val="009F5FC8"/>
    <w:rsid w:val="009F6C71"/>
    <w:rsid w:val="009F7904"/>
    <w:rsid w:val="00A00E31"/>
    <w:rsid w:val="00A014BF"/>
    <w:rsid w:val="00A01ED6"/>
    <w:rsid w:val="00A026EA"/>
    <w:rsid w:val="00A02A36"/>
    <w:rsid w:val="00A02BAD"/>
    <w:rsid w:val="00A031F0"/>
    <w:rsid w:val="00A044D2"/>
    <w:rsid w:val="00A100CC"/>
    <w:rsid w:val="00A114C2"/>
    <w:rsid w:val="00A1372C"/>
    <w:rsid w:val="00A141FB"/>
    <w:rsid w:val="00A160C4"/>
    <w:rsid w:val="00A171F6"/>
    <w:rsid w:val="00A17A3D"/>
    <w:rsid w:val="00A23F03"/>
    <w:rsid w:val="00A249F6"/>
    <w:rsid w:val="00A25B36"/>
    <w:rsid w:val="00A30985"/>
    <w:rsid w:val="00A30F59"/>
    <w:rsid w:val="00A33A74"/>
    <w:rsid w:val="00A35775"/>
    <w:rsid w:val="00A37C0D"/>
    <w:rsid w:val="00A40E43"/>
    <w:rsid w:val="00A4236B"/>
    <w:rsid w:val="00A454BB"/>
    <w:rsid w:val="00A473C7"/>
    <w:rsid w:val="00A47AD5"/>
    <w:rsid w:val="00A50240"/>
    <w:rsid w:val="00A5136D"/>
    <w:rsid w:val="00A517F5"/>
    <w:rsid w:val="00A51E68"/>
    <w:rsid w:val="00A535FD"/>
    <w:rsid w:val="00A55336"/>
    <w:rsid w:val="00A55AA3"/>
    <w:rsid w:val="00A60976"/>
    <w:rsid w:val="00A617FA"/>
    <w:rsid w:val="00A627D4"/>
    <w:rsid w:val="00A6415F"/>
    <w:rsid w:val="00A65833"/>
    <w:rsid w:val="00A65AE8"/>
    <w:rsid w:val="00A7054E"/>
    <w:rsid w:val="00A73576"/>
    <w:rsid w:val="00A73C18"/>
    <w:rsid w:val="00A748CB"/>
    <w:rsid w:val="00A76A50"/>
    <w:rsid w:val="00A76CBB"/>
    <w:rsid w:val="00A77072"/>
    <w:rsid w:val="00A81C7D"/>
    <w:rsid w:val="00A8249C"/>
    <w:rsid w:val="00A82D42"/>
    <w:rsid w:val="00A832B8"/>
    <w:rsid w:val="00A84074"/>
    <w:rsid w:val="00A8419D"/>
    <w:rsid w:val="00A84DD9"/>
    <w:rsid w:val="00A85414"/>
    <w:rsid w:val="00A854A6"/>
    <w:rsid w:val="00A866E3"/>
    <w:rsid w:val="00A86F4E"/>
    <w:rsid w:val="00A908DA"/>
    <w:rsid w:val="00A90ABA"/>
    <w:rsid w:val="00A90BB2"/>
    <w:rsid w:val="00A919A5"/>
    <w:rsid w:val="00A9221D"/>
    <w:rsid w:val="00A93123"/>
    <w:rsid w:val="00A95D71"/>
    <w:rsid w:val="00A960FF"/>
    <w:rsid w:val="00AA09CF"/>
    <w:rsid w:val="00AA0A2E"/>
    <w:rsid w:val="00AA0DC0"/>
    <w:rsid w:val="00AA210B"/>
    <w:rsid w:val="00AA314D"/>
    <w:rsid w:val="00AA3242"/>
    <w:rsid w:val="00AA3A6F"/>
    <w:rsid w:val="00AA4211"/>
    <w:rsid w:val="00AA6EDD"/>
    <w:rsid w:val="00AB1083"/>
    <w:rsid w:val="00AB2B3A"/>
    <w:rsid w:val="00AB3857"/>
    <w:rsid w:val="00AB4D42"/>
    <w:rsid w:val="00AB4EAC"/>
    <w:rsid w:val="00AB66F2"/>
    <w:rsid w:val="00AB7749"/>
    <w:rsid w:val="00AC16EB"/>
    <w:rsid w:val="00AC39D2"/>
    <w:rsid w:val="00AC3AF0"/>
    <w:rsid w:val="00AC4DC9"/>
    <w:rsid w:val="00AC7F44"/>
    <w:rsid w:val="00AD0070"/>
    <w:rsid w:val="00AD1842"/>
    <w:rsid w:val="00AD31C8"/>
    <w:rsid w:val="00AD35B6"/>
    <w:rsid w:val="00AD4031"/>
    <w:rsid w:val="00AD546A"/>
    <w:rsid w:val="00AD677D"/>
    <w:rsid w:val="00AD6A54"/>
    <w:rsid w:val="00AD6C9C"/>
    <w:rsid w:val="00AD7FFC"/>
    <w:rsid w:val="00AE0638"/>
    <w:rsid w:val="00AE1058"/>
    <w:rsid w:val="00AE1C39"/>
    <w:rsid w:val="00AE24AF"/>
    <w:rsid w:val="00AE3927"/>
    <w:rsid w:val="00AE3EED"/>
    <w:rsid w:val="00AE4B41"/>
    <w:rsid w:val="00AE562E"/>
    <w:rsid w:val="00AE730F"/>
    <w:rsid w:val="00AF0D60"/>
    <w:rsid w:val="00AF1697"/>
    <w:rsid w:val="00AF594E"/>
    <w:rsid w:val="00AF5C7E"/>
    <w:rsid w:val="00B00056"/>
    <w:rsid w:val="00B0052F"/>
    <w:rsid w:val="00B00AA5"/>
    <w:rsid w:val="00B0120F"/>
    <w:rsid w:val="00B0158D"/>
    <w:rsid w:val="00B03C12"/>
    <w:rsid w:val="00B0450F"/>
    <w:rsid w:val="00B055C7"/>
    <w:rsid w:val="00B057CF"/>
    <w:rsid w:val="00B05AB1"/>
    <w:rsid w:val="00B066E2"/>
    <w:rsid w:val="00B06A77"/>
    <w:rsid w:val="00B1022A"/>
    <w:rsid w:val="00B110A9"/>
    <w:rsid w:val="00B1133D"/>
    <w:rsid w:val="00B1211D"/>
    <w:rsid w:val="00B167F3"/>
    <w:rsid w:val="00B1700F"/>
    <w:rsid w:val="00B175EF"/>
    <w:rsid w:val="00B218C5"/>
    <w:rsid w:val="00B233B5"/>
    <w:rsid w:val="00B2429F"/>
    <w:rsid w:val="00B24857"/>
    <w:rsid w:val="00B25EB6"/>
    <w:rsid w:val="00B2638B"/>
    <w:rsid w:val="00B30144"/>
    <w:rsid w:val="00B326A9"/>
    <w:rsid w:val="00B35301"/>
    <w:rsid w:val="00B35864"/>
    <w:rsid w:val="00B37D35"/>
    <w:rsid w:val="00B41237"/>
    <w:rsid w:val="00B43EAA"/>
    <w:rsid w:val="00B44D2C"/>
    <w:rsid w:val="00B44E18"/>
    <w:rsid w:val="00B45C75"/>
    <w:rsid w:val="00B45D12"/>
    <w:rsid w:val="00B51538"/>
    <w:rsid w:val="00B5241A"/>
    <w:rsid w:val="00B54B71"/>
    <w:rsid w:val="00B57F84"/>
    <w:rsid w:val="00B6119F"/>
    <w:rsid w:val="00B61963"/>
    <w:rsid w:val="00B62E6D"/>
    <w:rsid w:val="00B6333F"/>
    <w:rsid w:val="00B63448"/>
    <w:rsid w:val="00B648E4"/>
    <w:rsid w:val="00B64CC1"/>
    <w:rsid w:val="00B65D87"/>
    <w:rsid w:val="00B66433"/>
    <w:rsid w:val="00B66D4B"/>
    <w:rsid w:val="00B6726C"/>
    <w:rsid w:val="00B70A72"/>
    <w:rsid w:val="00B71C06"/>
    <w:rsid w:val="00B75FAD"/>
    <w:rsid w:val="00B80534"/>
    <w:rsid w:val="00B80AE1"/>
    <w:rsid w:val="00B81651"/>
    <w:rsid w:val="00B82722"/>
    <w:rsid w:val="00B82E98"/>
    <w:rsid w:val="00B846B5"/>
    <w:rsid w:val="00B84DD6"/>
    <w:rsid w:val="00B9250F"/>
    <w:rsid w:val="00B9289E"/>
    <w:rsid w:val="00B95158"/>
    <w:rsid w:val="00B959BD"/>
    <w:rsid w:val="00B95A0C"/>
    <w:rsid w:val="00B9606A"/>
    <w:rsid w:val="00BA0A86"/>
    <w:rsid w:val="00BA19A0"/>
    <w:rsid w:val="00BA4087"/>
    <w:rsid w:val="00BA43A1"/>
    <w:rsid w:val="00BA440A"/>
    <w:rsid w:val="00BA4BA4"/>
    <w:rsid w:val="00BA5B74"/>
    <w:rsid w:val="00BA63DB"/>
    <w:rsid w:val="00BA66E9"/>
    <w:rsid w:val="00BB09D9"/>
    <w:rsid w:val="00BB1C7A"/>
    <w:rsid w:val="00BB1E57"/>
    <w:rsid w:val="00BB2112"/>
    <w:rsid w:val="00BB33B2"/>
    <w:rsid w:val="00BB622F"/>
    <w:rsid w:val="00BB651E"/>
    <w:rsid w:val="00BB7899"/>
    <w:rsid w:val="00BC10E2"/>
    <w:rsid w:val="00BC347F"/>
    <w:rsid w:val="00BC3F71"/>
    <w:rsid w:val="00BC4A38"/>
    <w:rsid w:val="00BC4F08"/>
    <w:rsid w:val="00BC4F0F"/>
    <w:rsid w:val="00BC5A47"/>
    <w:rsid w:val="00BC6823"/>
    <w:rsid w:val="00BC6CE8"/>
    <w:rsid w:val="00BC7F0F"/>
    <w:rsid w:val="00BD08FF"/>
    <w:rsid w:val="00BD0D0E"/>
    <w:rsid w:val="00BD0EE2"/>
    <w:rsid w:val="00BD1559"/>
    <w:rsid w:val="00BD281D"/>
    <w:rsid w:val="00BD5BBC"/>
    <w:rsid w:val="00BD5CE9"/>
    <w:rsid w:val="00BD645E"/>
    <w:rsid w:val="00BE0483"/>
    <w:rsid w:val="00BE214E"/>
    <w:rsid w:val="00BE5716"/>
    <w:rsid w:val="00BE6718"/>
    <w:rsid w:val="00BF16D9"/>
    <w:rsid w:val="00BF18EB"/>
    <w:rsid w:val="00BF2516"/>
    <w:rsid w:val="00BF268D"/>
    <w:rsid w:val="00BF37A5"/>
    <w:rsid w:val="00BF4DE6"/>
    <w:rsid w:val="00BF517D"/>
    <w:rsid w:val="00BF575B"/>
    <w:rsid w:val="00C005B9"/>
    <w:rsid w:val="00C00CCE"/>
    <w:rsid w:val="00C0111E"/>
    <w:rsid w:val="00C066A4"/>
    <w:rsid w:val="00C07C9B"/>
    <w:rsid w:val="00C11EB9"/>
    <w:rsid w:val="00C13DA2"/>
    <w:rsid w:val="00C1449A"/>
    <w:rsid w:val="00C14B25"/>
    <w:rsid w:val="00C1518A"/>
    <w:rsid w:val="00C154AC"/>
    <w:rsid w:val="00C1669A"/>
    <w:rsid w:val="00C16EF4"/>
    <w:rsid w:val="00C179BD"/>
    <w:rsid w:val="00C210B6"/>
    <w:rsid w:val="00C21BEC"/>
    <w:rsid w:val="00C22F2E"/>
    <w:rsid w:val="00C31552"/>
    <w:rsid w:val="00C3216B"/>
    <w:rsid w:val="00C326CC"/>
    <w:rsid w:val="00C3301A"/>
    <w:rsid w:val="00C339CF"/>
    <w:rsid w:val="00C34EC0"/>
    <w:rsid w:val="00C36650"/>
    <w:rsid w:val="00C37564"/>
    <w:rsid w:val="00C400E6"/>
    <w:rsid w:val="00C50ED8"/>
    <w:rsid w:val="00C51450"/>
    <w:rsid w:val="00C53BCF"/>
    <w:rsid w:val="00C54155"/>
    <w:rsid w:val="00C54432"/>
    <w:rsid w:val="00C6076E"/>
    <w:rsid w:val="00C60985"/>
    <w:rsid w:val="00C6277E"/>
    <w:rsid w:val="00C6280E"/>
    <w:rsid w:val="00C62923"/>
    <w:rsid w:val="00C62D98"/>
    <w:rsid w:val="00C6323E"/>
    <w:rsid w:val="00C63DC3"/>
    <w:rsid w:val="00C63F73"/>
    <w:rsid w:val="00C6539D"/>
    <w:rsid w:val="00C6556D"/>
    <w:rsid w:val="00C659A6"/>
    <w:rsid w:val="00C67165"/>
    <w:rsid w:val="00C6752E"/>
    <w:rsid w:val="00C67F44"/>
    <w:rsid w:val="00C718F3"/>
    <w:rsid w:val="00C72FBF"/>
    <w:rsid w:val="00C77D49"/>
    <w:rsid w:val="00C80C29"/>
    <w:rsid w:val="00C8145D"/>
    <w:rsid w:val="00C82164"/>
    <w:rsid w:val="00C8472C"/>
    <w:rsid w:val="00C86222"/>
    <w:rsid w:val="00C90F83"/>
    <w:rsid w:val="00C91106"/>
    <w:rsid w:val="00C929A5"/>
    <w:rsid w:val="00C92C47"/>
    <w:rsid w:val="00C9395B"/>
    <w:rsid w:val="00C95A71"/>
    <w:rsid w:val="00C96599"/>
    <w:rsid w:val="00C96941"/>
    <w:rsid w:val="00CA184E"/>
    <w:rsid w:val="00CA1F66"/>
    <w:rsid w:val="00CA23A8"/>
    <w:rsid w:val="00CA250D"/>
    <w:rsid w:val="00CA25A3"/>
    <w:rsid w:val="00CA7EE8"/>
    <w:rsid w:val="00CB021D"/>
    <w:rsid w:val="00CB09DC"/>
    <w:rsid w:val="00CB12A0"/>
    <w:rsid w:val="00CB17FE"/>
    <w:rsid w:val="00CB1DFD"/>
    <w:rsid w:val="00CB44E7"/>
    <w:rsid w:val="00CB6331"/>
    <w:rsid w:val="00CB6498"/>
    <w:rsid w:val="00CB6F4F"/>
    <w:rsid w:val="00CB7CB7"/>
    <w:rsid w:val="00CC1A9B"/>
    <w:rsid w:val="00CC1CCB"/>
    <w:rsid w:val="00CC4E4A"/>
    <w:rsid w:val="00CC6619"/>
    <w:rsid w:val="00CC7390"/>
    <w:rsid w:val="00CC7425"/>
    <w:rsid w:val="00CC761D"/>
    <w:rsid w:val="00CD10B7"/>
    <w:rsid w:val="00CD1F5E"/>
    <w:rsid w:val="00CD36DB"/>
    <w:rsid w:val="00CD4660"/>
    <w:rsid w:val="00CD5D9C"/>
    <w:rsid w:val="00CD756F"/>
    <w:rsid w:val="00CE4220"/>
    <w:rsid w:val="00CE72C0"/>
    <w:rsid w:val="00CF027E"/>
    <w:rsid w:val="00CF3EB3"/>
    <w:rsid w:val="00CF550E"/>
    <w:rsid w:val="00CF771D"/>
    <w:rsid w:val="00CF7E5F"/>
    <w:rsid w:val="00D0099D"/>
    <w:rsid w:val="00D01D45"/>
    <w:rsid w:val="00D03CBD"/>
    <w:rsid w:val="00D0460F"/>
    <w:rsid w:val="00D12CB8"/>
    <w:rsid w:val="00D13FFA"/>
    <w:rsid w:val="00D14562"/>
    <w:rsid w:val="00D16F92"/>
    <w:rsid w:val="00D17992"/>
    <w:rsid w:val="00D21426"/>
    <w:rsid w:val="00D22267"/>
    <w:rsid w:val="00D22523"/>
    <w:rsid w:val="00D237A0"/>
    <w:rsid w:val="00D23EDB"/>
    <w:rsid w:val="00D2481B"/>
    <w:rsid w:val="00D26463"/>
    <w:rsid w:val="00D27CCD"/>
    <w:rsid w:val="00D3078E"/>
    <w:rsid w:val="00D31030"/>
    <w:rsid w:val="00D33E08"/>
    <w:rsid w:val="00D347DA"/>
    <w:rsid w:val="00D358AA"/>
    <w:rsid w:val="00D35A76"/>
    <w:rsid w:val="00D36C5E"/>
    <w:rsid w:val="00D370E6"/>
    <w:rsid w:val="00D4102F"/>
    <w:rsid w:val="00D436EE"/>
    <w:rsid w:val="00D43C3E"/>
    <w:rsid w:val="00D5019E"/>
    <w:rsid w:val="00D5057C"/>
    <w:rsid w:val="00D5070F"/>
    <w:rsid w:val="00D50779"/>
    <w:rsid w:val="00D50A14"/>
    <w:rsid w:val="00D53E9C"/>
    <w:rsid w:val="00D55C17"/>
    <w:rsid w:val="00D55DF9"/>
    <w:rsid w:val="00D56054"/>
    <w:rsid w:val="00D574D6"/>
    <w:rsid w:val="00D60BC1"/>
    <w:rsid w:val="00D60EE7"/>
    <w:rsid w:val="00D614FB"/>
    <w:rsid w:val="00D668A8"/>
    <w:rsid w:val="00D66915"/>
    <w:rsid w:val="00D66A4B"/>
    <w:rsid w:val="00D67949"/>
    <w:rsid w:val="00D71AF2"/>
    <w:rsid w:val="00D72B83"/>
    <w:rsid w:val="00D72FD4"/>
    <w:rsid w:val="00D734CC"/>
    <w:rsid w:val="00D758FD"/>
    <w:rsid w:val="00D763D9"/>
    <w:rsid w:val="00D7641A"/>
    <w:rsid w:val="00D77BE5"/>
    <w:rsid w:val="00D77E1E"/>
    <w:rsid w:val="00D80E21"/>
    <w:rsid w:val="00D818AB"/>
    <w:rsid w:val="00D828A6"/>
    <w:rsid w:val="00D82B51"/>
    <w:rsid w:val="00D8478E"/>
    <w:rsid w:val="00D84C5B"/>
    <w:rsid w:val="00D8571F"/>
    <w:rsid w:val="00D85AF4"/>
    <w:rsid w:val="00D908C8"/>
    <w:rsid w:val="00D9102C"/>
    <w:rsid w:val="00D936D4"/>
    <w:rsid w:val="00D9377C"/>
    <w:rsid w:val="00D949B9"/>
    <w:rsid w:val="00D96B7C"/>
    <w:rsid w:val="00DA1222"/>
    <w:rsid w:val="00DA197A"/>
    <w:rsid w:val="00DA1C48"/>
    <w:rsid w:val="00DA1EB9"/>
    <w:rsid w:val="00DA21C2"/>
    <w:rsid w:val="00DA2543"/>
    <w:rsid w:val="00DA37BB"/>
    <w:rsid w:val="00DA381A"/>
    <w:rsid w:val="00DA48D6"/>
    <w:rsid w:val="00DA764C"/>
    <w:rsid w:val="00DA781D"/>
    <w:rsid w:val="00DB0D9B"/>
    <w:rsid w:val="00DB0F62"/>
    <w:rsid w:val="00DB183F"/>
    <w:rsid w:val="00DB3363"/>
    <w:rsid w:val="00DB36AE"/>
    <w:rsid w:val="00DB5BDC"/>
    <w:rsid w:val="00DB5D5B"/>
    <w:rsid w:val="00DB63CE"/>
    <w:rsid w:val="00DB6ACD"/>
    <w:rsid w:val="00DB7549"/>
    <w:rsid w:val="00DB7658"/>
    <w:rsid w:val="00DC2D1B"/>
    <w:rsid w:val="00DC3B9C"/>
    <w:rsid w:val="00DC3F47"/>
    <w:rsid w:val="00DC4C81"/>
    <w:rsid w:val="00DC76AA"/>
    <w:rsid w:val="00DC795E"/>
    <w:rsid w:val="00DC7B5E"/>
    <w:rsid w:val="00DD0958"/>
    <w:rsid w:val="00DD0D98"/>
    <w:rsid w:val="00DD4856"/>
    <w:rsid w:val="00DD6177"/>
    <w:rsid w:val="00DD6399"/>
    <w:rsid w:val="00DE1F78"/>
    <w:rsid w:val="00DE28EB"/>
    <w:rsid w:val="00DE3D35"/>
    <w:rsid w:val="00DE46B9"/>
    <w:rsid w:val="00DE4B5F"/>
    <w:rsid w:val="00DE6647"/>
    <w:rsid w:val="00DE68D4"/>
    <w:rsid w:val="00DE72E9"/>
    <w:rsid w:val="00DE7DED"/>
    <w:rsid w:val="00DE7F4C"/>
    <w:rsid w:val="00E02AF0"/>
    <w:rsid w:val="00E030E4"/>
    <w:rsid w:val="00E031DD"/>
    <w:rsid w:val="00E034E5"/>
    <w:rsid w:val="00E0482F"/>
    <w:rsid w:val="00E04C4C"/>
    <w:rsid w:val="00E05163"/>
    <w:rsid w:val="00E053E2"/>
    <w:rsid w:val="00E07151"/>
    <w:rsid w:val="00E07B07"/>
    <w:rsid w:val="00E10CAA"/>
    <w:rsid w:val="00E11CAB"/>
    <w:rsid w:val="00E11E0E"/>
    <w:rsid w:val="00E129A2"/>
    <w:rsid w:val="00E13116"/>
    <w:rsid w:val="00E13C00"/>
    <w:rsid w:val="00E1536B"/>
    <w:rsid w:val="00E16708"/>
    <w:rsid w:val="00E1750D"/>
    <w:rsid w:val="00E17967"/>
    <w:rsid w:val="00E17EA3"/>
    <w:rsid w:val="00E203F1"/>
    <w:rsid w:val="00E207E4"/>
    <w:rsid w:val="00E207F0"/>
    <w:rsid w:val="00E208D9"/>
    <w:rsid w:val="00E2200F"/>
    <w:rsid w:val="00E22139"/>
    <w:rsid w:val="00E23B26"/>
    <w:rsid w:val="00E249AE"/>
    <w:rsid w:val="00E2588B"/>
    <w:rsid w:val="00E26D7D"/>
    <w:rsid w:val="00E26FB0"/>
    <w:rsid w:val="00E2712F"/>
    <w:rsid w:val="00E2798D"/>
    <w:rsid w:val="00E33061"/>
    <w:rsid w:val="00E35EC4"/>
    <w:rsid w:val="00E361AF"/>
    <w:rsid w:val="00E3723A"/>
    <w:rsid w:val="00E376C4"/>
    <w:rsid w:val="00E4032B"/>
    <w:rsid w:val="00E41BDF"/>
    <w:rsid w:val="00E42073"/>
    <w:rsid w:val="00E44864"/>
    <w:rsid w:val="00E459FC"/>
    <w:rsid w:val="00E4660A"/>
    <w:rsid w:val="00E468DB"/>
    <w:rsid w:val="00E50F2B"/>
    <w:rsid w:val="00E51BD3"/>
    <w:rsid w:val="00E53F1C"/>
    <w:rsid w:val="00E53F49"/>
    <w:rsid w:val="00E5507B"/>
    <w:rsid w:val="00E60BD9"/>
    <w:rsid w:val="00E61D1E"/>
    <w:rsid w:val="00E61D79"/>
    <w:rsid w:val="00E61E03"/>
    <w:rsid w:val="00E62EAF"/>
    <w:rsid w:val="00E63462"/>
    <w:rsid w:val="00E65AC5"/>
    <w:rsid w:val="00E65EE2"/>
    <w:rsid w:val="00E65F74"/>
    <w:rsid w:val="00E715F0"/>
    <w:rsid w:val="00E72302"/>
    <w:rsid w:val="00E72B09"/>
    <w:rsid w:val="00E72D0D"/>
    <w:rsid w:val="00E7351D"/>
    <w:rsid w:val="00E7463C"/>
    <w:rsid w:val="00E75005"/>
    <w:rsid w:val="00E77E69"/>
    <w:rsid w:val="00E817CC"/>
    <w:rsid w:val="00E83699"/>
    <w:rsid w:val="00E84592"/>
    <w:rsid w:val="00E8500C"/>
    <w:rsid w:val="00E87B2D"/>
    <w:rsid w:val="00E90C12"/>
    <w:rsid w:val="00E9310B"/>
    <w:rsid w:val="00E93194"/>
    <w:rsid w:val="00E9364C"/>
    <w:rsid w:val="00E95DE4"/>
    <w:rsid w:val="00E97DE9"/>
    <w:rsid w:val="00EA2327"/>
    <w:rsid w:val="00EA28A6"/>
    <w:rsid w:val="00EA3869"/>
    <w:rsid w:val="00EA46EF"/>
    <w:rsid w:val="00EA706C"/>
    <w:rsid w:val="00EA70F3"/>
    <w:rsid w:val="00EB00AF"/>
    <w:rsid w:val="00EB09C9"/>
    <w:rsid w:val="00EB0B0C"/>
    <w:rsid w:val="00EB213B"/>
    <w:rsid w:val="00EB2380"/>
    <w:rsid w:val="00EB43AA"/>
    <w:rsid w:val="00EB50D2"/>
    <w:rsid w:val="00EB6397"/>
    <w:rsid w:val="00EB64DF"/>
    <w:rsid w:val="00EC0074"/>
    <w:rsid w:val="00EC108A"/>
    <w:rsid w:val="00EC128A"/>
    <w:rsid w:val="00EC1786"/>
    <w:rsid w:val="00EC1AEA"/>
    <w:rsid w:val="00EC1D40"/>
    <w:rsid w:val="00EC2C5E"/>
    <w:rsid w:val="00EC5232"/>
    <w:rsid w:val="00EC639E"/>
    <w:rsid w:val="00EC6F29"/>
    <w:rsid w:val="00ED6263"/>
    <w:rsid w:val="00ED77D8"/>
    <w:rsid w:val="00EE086D"/>
    <w:rsid w:val="00EE0AB5"/>
    <w:rsid w:val="00EE2484"/>
    <w:rsid w:val="00EE393A"/>
    <w:rsid w:val="00EE3B73"/>
    <w:rsid w:val="00EE473E"/>
    <w:rsid w:val="00EE4836"/>
    <w:rsid w:val="00EE4C5E"/>
    <w:rsid w:val="00EE532E"/>
    <w:rsid w:val="00EE5767"/>
    <w:rsid w:val="00EE66F6"/>
    <w:rsid w:val="00EE684E"/>
    <w:rsid w:val="00EE6C1E"/>
    <w:rsid w:val="00EF11AA"/>
    <w:rsid w:val="00EF1CBA"/>
    <w:rsid w:val="00EF2AA8"/>
    <w:rsid w:val="00EF43C1"/>
    <w:rsid w:val="00EF4B08"/>
    <w:rsid w:val="00EF515A"/>
    <w:rsid w:val="00EF5251"/>
    <w:rsid w:val="00EF53A8"/>
    <w:rsid w:val="00EF5A6B"/>
    <w:rsid w:val="00EF6BF4"/>
    <w:rsid w:val="00EF7C48"/>
    <w:rsid w:val="00F033EA"/>
    <w:rsid w:val="00F03AE0"/>
    <w:rsid w:val="00F03B0B"/>
    <w:rsid w:val="00F04D7C"/>
    <w:rsid w:val="00F05260"/>
    <w:rsid w:val="00F06C43"/>
    <w:rsid w:val="00F06FD1"/>
    <w:rsid w:val="00F07912"/>
    <w:rsid w:val="00F10535"/>
    <w:rsid w:val="00F119F8"/>
    <w:rsid w:val="00F11A25"/>
    <w:rsid w:val="00F131F8"/>
    <w:rsid w:val="00F1411E"/>
    <w:rsid w:val="00F14611"/>
    <w:rsid w:val="00F16B5A"/>
    <w:rsid w:val="00F16DD1"/>
    <w:rsid w:val="00F2072F"/>
    <w:rsid w:val="00F211F5"/>
    <w:rsid w:val="00F21B20"/>
    <w:rsid w:val="00F23CE6"/>
    <w:rsid w:val="00F24221"/>
    <w:rsid w:val="00F253D5"/>
    <w:rsid w:val="00F254C2"/>
    <w:rsid w:val="00F2587B"/>
    <w:rsid w:val="00F264E6"/>
    <w:rsid w:val="00F269EA"/>
    <w:rsid w:val="00F27065"/>
    <w:rsid w:val="00F30BA3"/>
    <w:rsid w:val="00F32295"/>
    <w:rsid w:val="00F32A35"/>
    <w:rsid w:val="00F336B4"/>
    <w:rsid w:val="00F33AF7"/>
    <w:rsid w:val="00F340BD"/>
    <w:rsid w:val="00F35649"/>
    <w:rsid w:val="00F35CEB"/>
    <w:rsid w:val="00F36B0F"/>
    <w:rsid w:val="00F36CC8"/>
    <w:rsid w:val="00F410B1"/>
    <w:rsid w:val="00F41612"/>
    <w:rsid w:val="00F43E63"/>
    <w:rsid w:val="00F4527D"/>
    <w:rsid w:val="00F45A4A"/>
    <w:rsid w:val="00F51FA2"/>
    <w:rsid w:val="00F54795"/>
    <w:rsid w:val="00F56871"/>
    <w:rsid w:val="00F57960"/>
    <w:rsid w:val="00F57D72"/>
    <w:rsid w:val="00F6123C"/>
    <w:rsid w:val="00F6252E"/>
    <w:rsid w:val="00F64C85"/>
    <w:rsid w:val="00F65ECB"/>
    <w:rsid w:val="00F67C07"/>
    <w:rsid w:val="00F73242"/>
    <w:rsid w:val="00F741C7"/>
    <w:rsid w:val="00F7428D"/>
    <w:rsid w:val="00F811C7"/>
    <w:rsid w:val="00F81B54"/>
    <w:rsid w:val="00F82F7C"/>
    <w:rsid w:val="00F83737"/>
    <w:rsid w:val="00F86527"/>
    <w:rsid w:val="00F86EB6"/>
    <w:rsid w:val="00F8725D"/>
    <w:rsid w:val="00F87280"/>
    <w:rsid w:val="00F87B3B"/>
    <w:rsid w:val="00F87EF7"/>
    <w:rsid w:val="00F91E60"/>
    <w:rsid w:val="00F931C8"/>
    <w:rsid w:val="00F935EF"/>
    <w:rsid w:val="00F93A78"/>
    <w:rsid w:val="00F9680D"/>
    <w:rsid w:val="00F97222"/>
    <w:rsid w:val="00FA00DD"/>
    <w:rsid w:val="00FA130E"/>
    <w:rsid w:val="00FA2296"/>
    <w:rsid w:val="00FA2549"/>
    <w:rsid w:val="00FA422A"/>
    <w:rsid w:val="00FA4AB7"/>
    <w:rsid w:val="00FA4E9A"/>
    <w:rsid w:val="00FA4F2F"/>
    <w:rsid w:val="00FA52EB"/>
    <w:rsid w:val="00FA7F0F"/>
    <w:rsid w:val="00FB182E"/>
    <w:rsid w:val="00FB325C"/>
    <w:rsid w:val="00FB391C"/>
    <w:rsid w:val="00FC0DA9"/>
    <w:rsid w:val="00FC2FC3"/>
    <w:rsid w:val="00FC3C83"/>
    <w:rsid w:val="00FC450C"/>
    <w:rsid w:val="00FC6C23"/>
    <w:rsid w:val="00FC7123"/>
    <w:rsid w:val="00FC7B7E"/>
    <w:rsid w:val="00FC7BC1"/>
    <w:rsid w:val="00FD0C00"/>
    <w:rsid w:val="00FD2BCB"/>
    <w:rsid w:val="00FD345C"/>
    <w:rsid w:val="00FD440C"/>
    <w:rsid w:val="00FD613C"/>
    <w:rsid w:val="00FE34B1"/>
    <w:rsid w:val="00FE673C"/>
    <w:rsid w:val="00FE6F6C"/>
    <w:rsid w:val="00FF0186"/>
    <w:rsid w:val="00FF050C"/>
    <w:rsid w:val="00FF30FE"/>
    <w:rsid w:val="00FF3881"/>
    <w:rsid w:val="00FF39B1"/>
    <w:rsid w:val="00FF5781"/>
    <w:rsid w:val="00FF5A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1D45"/>
    <w:rPr>
      <w:sz w:val="24"/>
      <w:szCs w:val="24"/>
      <w:lang w:val="ro-RO"/>
    </w:rPr>
  </w:style>
  <w:style w:type="paragraph" w:styleId="Heading2">
    <w:name w:val="heading 2"/>
    <w:basedOn w:val="Normal"/>
    <w:next w:val="Normal"/>
    <w:link w:val="Heading2Char"/>
    <w:qFormat/>
    <w:rsid w:val="00D01D45"/>
    <w:pPr>
      <w:keepNext/>
      <w:jc w:val="center"/>
      <w:outlineLvl w:val="1"/>
    </w:pPr>
    <w:rPr>
      <w:b/>
      <w:i/>
    </w:rPr>
  </w:style>
  <w:style w:type="paragraph" w:styleId="Heading3">
    <w:name w:val="heading 3"/>
    <w:basedOn w:val="Normal"/>
    <w:next w:val="Normal"/>
    <w:link w:val="Heading3Char"/>
    <w:qFormat/>
    <w:rsid w:val="00D01D45"/>
    <w:pPr>
      <w:keepNext/>
      <w:jc w:val="center"/>
      <w:outlineLvl w:val="2"/>
    </w:pPr>
    <w:rPr>
      <w:b/>
      <w:bCs/>
      <w:sz w:val="20"/>
    </w:rPr>
  </w:style>
  <w:style w:type="paragraph" w:styleId="Heading6">
    <w:name w:val="heading 6"/>
    <w:basedOn w:val="Normal"/>
    <w:next w:val="Normal"/>
    <w:link w:val="Heading6Char"/>
    <w:qFormat/>
    <w:rsid w:val="00D01D45"/>
    <w:pPr>
      <w:keepNext/>
      <w:jc w:val="both"/>
      <w:outlineLvl w:val="5"/>
    </w:pPr>
    <w:rPr>
      <w:b/>
      <w:sz w:val="18"/>
    </w:rPr>
  </w:style>
  <w:style w:type="paragraph" w:styleId="Heading7">
    <w:name w:val="heading 7"/>
    <w:basedOn w:val="Normal"/>
    <w:next w:val="Normal"/>
    <w:link w:val="Heading7Char"/>
    <w:qFormat/>
    <w:rsid w:val="00D01D45"/>
    <w:pPr>
      <w:keepNext/>
      <w:jc w:val="center"/>
      <w:outlineLvl w:val="6"/>
    </w:pPr>
    <w:rPr>
      <w:b/>
      <w:bCs/>
      <w:sz w:val="18"/>
    </w:rPr>
  </w:style>
  <w:style w:type="paragraph" w:styleId="Heading8">
    <w:name w:val="heading 8"/>
    <w:basedOn w:val="Normal"/>
    <w:next w:val="Normal"/>
    <w:link w:val="Heading8Char"/>
    <w:qFormat/>
    <w:rsid w:val="00D01D45"/>
    <w:pPr>
      <w:keepNext/>
      <w:ind w:firstLine="708"/>
      <w:jc w:val="center"/>
      <w:outlineLvl w:val="7"/>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7CCD"/>
    <w:rPr>
      <w:b/>
      <w:i/>
      <w:sz w:val="24"/>
      <w:szCs w:val="24"/>
      <w:lang w:val="ro-RO"/>
    </w:rPr>
  </w:style>
  <w:style w:type="character" w:customStyle="1" w:styleId="Heading3Char">
    <w:name w:val="Heading 3 Char"/>
    <w:basedOn w:val="DefaultParagraphFont"/>
    <w:link w:val="Heading3"/>
    <w:rsid w:val="00563FE3"/>
    <w:rPr>
      <w:b/>
      <w:bCs/>
      <w:szCs w:val="24"/>
      <w:lang w:val="ro-RO" w:eastAsia="ru-RU"/>
    </w:rPr>
  </w:style>
  <w:style w:type="character" w:customStyle="1" w:styleId="Heading6Char">
    <w:name w:val="Heading 6 Char"/>
    <w:basedOn w:val="DefaultParagraphFont"/>
    <w:link w:val="Heading6"/>
    <w:rsid w:val="00D27CCD"/>
    <w:rPr>
      <w:b/>
      <w:sz w:val="18"/>
      <w:szCs w:val="24"/>
      <w:lang w:val="ro-RO"/>
    </w:rPr>
  </w:style>
  <w:style w:type="character" w:customStyle="1" w:styleId="Heading7Char">
    <w:name w:val="Heading 7 Char"/>
    <w:basedOn w:val="DefaultParagraphFont"/>
    <w:link w:val="Heading7"/>
    <w:rsid w:val="00D27CCD"/>
    <w:rPr>
      <w:b/>
      <w:bCs/>
      <w:sz w:val="18"/>
      <w:szCs w:val="24"/>
      <w:lang w:val="ro-RO"/>
    </w:rPr>
  </w:style>
  <w:style w:type="character" w:customStyle="1" w:styleId="Heading8Char">
    <w:name w:val="Heading 8 Char"/>
    <w:basedOn w:val="DefaultParagraphFont"/>
    <w:link w:val="Heading8"/>
    <w:rsid w:val="00D27CCD"/>
    <w:rPr>
      <w:sz w:val="28"/>
      <w:lang w:val="ro-RO"/>
    </w:rPr>
  </w:style>
  <w:style w:type="paragraph" w:styleId="Title">
    <w:name w:val="Title"/>
    <w:basedOn w:val="Normal"/>
    <w:link w:val="TitleChar"/>
    <w:qFormat/>
    <w:rsid w:val="00D01D45"/>
    <w:pPr>
      <w:jc w:val="center"/>
    </w:pPr>
    <w:rPr>
      <w:sz w:val="32"/>
      <w:lang w:val="en-US"/>
    </w:rPr>
  </w:style>
  <w:style w:type="character" w:customStyle="1" w:styleId="TitleChar">
    <w:name w:val="Title Char"/>
    <w:basedOn w:val="DefaultParagraphFont"/>
    <w:link w:val="Title"/>
    <w:rsid w:val="00EF53A8"/>
    <w:rPr>
      <w:sz w:val="32"/>
      <w:szCs w:val="24"/>
      <w:lang w:val="en-US"/>
    </w:rPr>
  </w:style>
  <w:style w:type="paragraph" w:styleId="BodyText">
    <w:name w:val="Body Text"/>
    <w:basedOn w:val="Normal"/>
    <w:link w:val="BodyTextChar"/>
    <w:rsid w:val="00D01D45"/>
    <w:pPr>
      <w:jc w:val="both"/>
    </w:pPr>
    <w:rPr>
      <w:sz w:val="28"/>
      <w:szCs w:val="20"/>
    </w:rPr>
  </w:style>
  <w:style w:type="character" w:customStyle="1" w:styleId="BodyTextChar">
    <w:name w:val="Body Text Char"/>
    <w:basedOn w:val="DefaultParagraphFont"/>
    <w:link w:val="BodyText"/>
    <w:rsid w:val="00D27CCD"/>
    <w:rPr>
      <w:sz w:val="28"/>
      <w:lang w:val="ro-RO"/>
    </w:rPr>
  </w:style>
  <w:style w:type="paragraph" w:styleId="BodyTextIndent">
    <w:name w:val="Body Text Indent"/>
    <w:basedOn w:val="Normal"/>
    <w:link w:val="BodyTextIndentChar"/>
    <w:rsid w:val="00D01D45"/>
    <w:pPr>
      <w:ind w:firstLine="600"/>
      <w:jc w:val="center"/>
    </w:pPr>
    <w:rPr>
      <w:b/>
      <w:bCs/>
      <w:i/>
      <w:iCs/>
      <w:sz w:val="25"/>
      <w:szCs w:val="25"/>
    </w:rPr>
  </w:style>
  <w:style w:type="character" w:customStyle="1" w:styleId="BodyTextIndentChar">
    <w:name w:val="Body Text Indent Char"/>
    <w:basedOn w:val="DefaultParagraphFont"/>
    <w:link w:val="BodyTextIndent"/>
    <w:rsid w:val="00BF37A5"/>
    <w:rPr>
      <w:b/>
      <w:bCs/>
      <w:i/>
      <w:iCs/>
      <w:sz w:val="25"/>
      <w:szCs w:val="25"/>
      <w:lang w:val="ro-RO"/>
    </w:rPr>
  </w:style>
  <w:style w:type="paragraph" w:styleId="BodyTextIndent2">
    <w:name w:val="Body Text Indent 2"/>
    <w:basedOn w:val="Normal"/>
    <w:link w:val="BodyTextIndent2Char"/>
    <w:rsid w:val="00D01D45"/>
    <w:pPr>
      <w:ind w:firstLine="708"/>
      <w:jc w:val="both"/>
    </w:pPr>
    <w:rPr>
      <w:sz w:val="28"/>
      <w:szCs w:val="20"/>
    </w:rPr>
  </w:style>
  <w:style w:type="character" w:customStyle="1" w:styleId="BodyTextIndent2Char">
    <w:name w:val="Body Text Indent 2 Char"/>
    <w:basedOn w:val="DefaultParagraphFont"/>
    <w:link w:val="BodyTextIndent2"/>
    <w:rsid w:val="00563FE3"/>
    <w:rPr>
      <w:sz w:val="28"/>
      <w:lang w:val="ro-RO" w:eastAsia="ru-RU"/>
    </w:rPr>
  </w:style>
  <w:style w:type="paragraph" w:styleId="Footer">
    <w:name w:val="footer"/>
    <w:basedOn w:val="Normal"/>
    <w:link w:val="FooterChar"/>
    <w:uiPriority w:val="99"/>
    <w:rsid w:val="00D01D45"/>
    <w:pPr>
      <w:tabs>
        <w:tab w:val="center" w:pos="4677"/>
        <w:tab w:val="right" w:pos="9355"/>
      </w:tabs>
    </w:pPr>
    <w:rPr>
      <w:szCs w:val="20"/>
      <w:lang w:val="ru-RU"/>
    </w:rPr>
  </w:style>
  <w:style w:type="character" w:customStyle="1" w:styleId="FooterChar">
    <w:name w:val="Footer Char"/>
    <w:basedOn w:val="DefaultParagraphFont"/>
    <w:link w:val="Footer"/>
    <w:uiPriority w:val="99"/>
    <w:rsid w:val="00563FE3"/>
    <w:rPr>
      <w:sz w:val="24"/>
      <w:lang w:val="ru-RU" w:eastAsia="ru-RU"/>
    </w:rPr>
  </w:style>
  <w:style w:type="paragraph" w:styleId="BodyText2">
    <w:name w:val="Body Text 2"/>
    <w:basedOn w:val="Normal"/>
    <w:link w:val="BodyText2Char"/>
    <w:rsid w:val="00D01D45"/>
    <w:pPr>
      <w:tabs>
        <w:tab w:val="left" w:pos="2311"/>
      </w:tabs>
      <w:jc w:val="both"/>
    </w:pPr>
  </w:style>
  <w:style w:type="character" w:customStyle="1" w:styleId="BodyText2Char">
    <w:name w:val="Body Text 2 Char"/>
    <w:basedOn w:val="DefaultParagraphFont"/>
    <w:link w:val="BodyText2"/>
    <w:rsid w:val="00563FE3"/>
    <w:rPr>
      <w:sz w:val="24"/>
      <w:szCs w:val="24"/>
      <w:lang w:val="ro-RO" w:eastAsia="ru-RU"/>
    </w:rPr>
  </w:style>
  <w:style w:type="table" w:styleId="TableGrid">
    <w:name w:val="Table Grid"/>
    <w:basedOn w:val="TableNormal"/>
    <w:rsid w:val="00D01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01D45"/>
    <w:pPr>
      <w:ind w:firstLine="567"/>
      <w:jc w:val="both"/>
    </w:pPr>
    <w:rPr>
      <w:lang w:val="ru-RU"/>
    </w:rPr>
  </w:style>
  <w:style w:type="character" w:styleId="PageNumber">
    <w:name w:val="page number"/>
    <w:basedOn w:val="DefaultParagraphFont"/>
    <w:rsid w:val="00D01D45"/>
  </w:style>
  <w:style w:type="paragraph" w:customStyle="1" w:styleId="tt">
    <w:name w:val="tt"/>
    <w:basedOn w:val="Normal"/>
    <w:rsid w:val="008A793F"/>
    <w:pPr>
      <w:jc w:val="center"/>
    </w:pPr>
    <w:rPr>
      <w:b/>
      <w:bCs/>
      <w:lang w:val="ru-RU"/>
    </w:rPr>
  </w:style>
  <w:style w:type="paragraph" w:customStyle="1" w:styleId="cn">
    <w:name w:val="cn"/>
    <w:basedOn w:val="Normal"/>
    <w:rsid w:val="008A793F"/>
    <w:pPr>
      <w:jc w:val="center"/>
    </w:pPr>
    <w:rPr>
      <w:lang w:val="ru-RU"/>
    </w:rPr>
  </w:style>
  <w:style w:type="paragraph" w:styleId="BalloonText">
    <w:name w:val="Balloon Text"/>
    <w:basedOn w:val="Normal"/>
    <w:link w:val="BalloonTextChar"/>
    <w:rsid w:val="00482399"/>
    <w:rPr>
      <w:rFonts w:ascii="Tahoma" w:hAnsi="Tahoma" w:cs="Tahoma"/>
      <w:sz w:val="16"/>
      <w:szCs w:val="16"/>
    </w:rPr>
  </w:style>
  <w:style w:type="character" w:customStyle="1" w:styleId="BalloonTextChar">
    <w:name w:val="Balloon Text Char"/>
    <w:basedOn w:val="DefaultParagraphFont"/>
    <w:link w:val="BalloonText"/>
    <w:rsid w:val="00D27CCD"/>
    <w:rPr>
      <w:rFonts w:ascii="Tahoma" w:hAnsi="Tahoma" w:cs="Tahoma"/>
      <w:sz w:val="16"/>
      <w:szCs w:val="16"/>
      <w:lang w:val="ro-RO"/>
    </w:rPr>
  </w:style>
  <w:style w:type="paragraph" w:styleId="Header">
    <w:name w:val="header"/>
    <w:basedOn w:val="Normal"/>
    <w:link w:val="HeaderChar"/>
    <w:rsid w:val="00341504"/>
    <w:pPr>
      <w:tabs>
        <w:tab w:val="center" w:pos="4677"/>
        <w:tab w:val="right" w:pos="9355"/>
      </w:tabs>
    </w:pPr>
  </w:style>
  <w:style w:type="character" w:customStyle="1" w:styleId="HeaderChar">
    <w:name w:val="Header Char"/>
    <w:basedOn w:val="DefaultParagraphFont"/>
    <w:link w:val="Header"/>
    <w:rsid w:val="00D27CCD"/>
    <w:rPr>
      <w:sz w:val="24"/>
      <w:szCs w:val="24"/>
      <w:lang w:val="ro-RO"/>
    </w:rPr>
  </w:style>
  <w:style w:type="paragraph" w:customStyle="1" w:styleId="cb">
    <w:name w:val="cb"/>
    <w:basedOn w:val="Normal"/>
    <w:rsid w:val="00961134"/>
    <w:pPr>
      <w:jc w:val="center"/>
    </w:pPr>
    <w:rPr>
      <w:b/>
      <w:bCs/>
      <w:lang w:val="ru-RU" w:eastAsia="zh-CN"/>
    </w:rPr>
  </w:style>
  <w:style w:type="paragraph" w:styleId="NoSpacing">
    <w:name w:val="No Spacing"/>
    <w:link w:val="NoSpacingChar"/>
    <w:qFormat/>
    <w:rsid w:val="00A95D71"/>
    <w:rPr>
      <w:sz w:val="24"/>
      <w:szCs w:val="24"/>
      <w:lang w:val="ro-RO"/>
    </w:rPr>
  </w:style>
  <w:style w:type="character" w:customStyle="1" w:styleId="NoSpacingChar">
    <w:name w:val="No Spacing Char"/>
    <w:basedOn w:val="DefaultParagraphFont"/>
    <w:link w:val="NoSpacing"/>
    <w:rsid w:val="00806E4D"/>
    <w:rPr>
      <w:sz w:val="24"/>
      <w:szCs w:val="24"/>
      <w:lang w:val="ro-RO" w:eastAsia="ru-RU" w:bidi="ar-SA"/>
    </w:rPr>
  </w:style>
  <w:style w:type="table" w:styleId="TableSubtle2">
    <w:name w:val="Table Subtle 2"/>
    <w:basedOn w:val="TableNormal"/>
    <w:rsid w:val="005F280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4">
    <w:name w:val="Table Grid 4"/>
    <w:basedOn w:val="TableNormal"/>
    <w:rsid w:val="005F280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Style9">
    <w:name w:val="Style9"/>
    <w:basedOn w:val="Normal"/>
    <w:rsid w:val="00F33AF7"/>
    <w:rPr>
      <w:sz w:val="20"/>
      <w:szCs w:val="20"/>
      <w:lang w:val="ru-RU"/>
    </w:rPr>
  </w:style>
  <w:style w:type="paragraph" w:customStyle="1" w:styleId="Style19">
    <w:name w:val="Style19"/>
    <w:basedOn w:val="Normal"/>
    <w:rsid w:val="00F33AF7"/>
    <w:rPr>
      <w:sz w:val="20"/>
      <w:szCs w:val="20"/>
      <w:lang w:val="ru-RU"/>
    </w:rPr>
  </w:style>
  <w:style w:type="character" w:customStyle="1" w:styleId="CharStyle5">
    <w:name w:val="CharStyle5"/>
    <w:basedOn w:val="DefaultParagraphFont"/>
    <w:rsid w:val="00F33AF7"/>
    <w:rPr>
      <w:rFonts w:ascii="Times New Roman" w:eastAsia="Times New Roman" w:hAnsi="Times New Roman" w:cs="Times New Roman"/>
      <w:b/>
      <w:bCs/>
      <w:i/>
      <w:iCs/>
      <w:smallCaps w:val="0"/>
      <w:sz w:val="20"/>
      <w:szCs w:val="20"/>
    </w:rPr>
  </w:style>
  <w:style w:type="character" w:customStyle="1" w:styleId="CharStyle15">
    <w:name w:val="CharStyle15"/>
    <w:basedOn w:val="DefaultParagraphFont"/>
    <w:rsid w:val="00F33AF7"/>
    <w:rPr>
      <w:rFonts w:ascii="Times New Roman" w:eastAsia="Times New Roman" w:hAnsi="Times New Roman" w:cs="Times New Roman"/>
      <w:b w:val="0"/>
      <w:bCs w:val="0"/>
      <w:i w:val="0"/>
      <w:iCs w:val="0"/>
      <w:smallCaps w:val="0"/>
      <w:sz w:val="22"/>
      <w:szCs w:val="22"/>
    </w:rPr>
  </w:style>
  <w:style w:type="paragraph" w:styleId="ListParagraph">
    <w:name w:val="List Paragraph"/>
    <w:basedOn w:val="Normal"/>
    <w:uiPriority w:val="34"/>
    <w:qFormat/>
    <w:rsid w:val="00AD31C8"/>
    <w:pPr>
      <w:ind w:left="708"/>
    </w:pPr>
  </w:style>
  <w:style w:type="table" w:styleId="TableClassic1">
    <w:name w:val="Table Classic 1"/>
    <w:basedOn w:val="TableNormal"/>
    <w:rsid w:val="006737C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62D9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Elegant">
    <w:name w:val="Table Elegant"/>
    <w:basedOn w:val="TableNormal"/>
    <w:rsid w:val="001762B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newscontent1">
    <w:name w:val="newscontent1"/>
    <w:basedOn w:val="DefaultParagraphFont"/>
    <w:rsid w:val="00895280"/>
    <w:rPr>
      <w:rFonts w:ascii="Arial" w:hAnsi="Arial" w:cs="Arial" w:hint="default"/>
      <w:b w:val="0"/>
      <w:bCs w:val="0"/>
      <w:i w:val="0"/>
      <w:iCs w:val="0"/>
      <w:color w:val="444444"/>
      <w:sz w:val="12"/>
      <w:szCs w:val="12"/>
    </w:rPr>
  </w:style>
  <w:style w:type="character" w:customStyle="1" w:styleId="a">
    <w:name w:val="a"/>
    <w:basedOn w:val="DefaultParagraphFont"/>
    <w:rsid w:val="00895280"/>
  </w:style>
  <w:style w:type="character" w:customStyle="1" w:styleId="apple-converted-space">
    <w:name w:val="apple-converted-space"/>
    <w:basedOn w:val="DefaultParagraphFont"/>
    <w:rsid w:val="00895280"/>
  </w:style>
</w:styles>
</file>

<file path=word/webSettings.xml><?xml version="1.0" encoding="utf-8"?>
<w:webSettings xmlns:r="http://schemas.openxmlformats.org/officeDocument/2006/relationships" xmlns:w="http://schemas.openxmlformats.org/wordprocessingml/2006/main">
  <w:divs>
    <w:div w:id="237448583">
      <w:bodyDiv w:val="1"/>
      <w:marLeft w:val="0"/>
      <w:marRight w:val="0"/>
      <w:marTop w:val="0"/>
      <w:marBottom w:val="0"/>
      <w:divBdr>
        <w:top w:val="none" w:sz="0" w:space="0" w:color="auto"/>
        <w:left w:val="none" w:sz="0" w:space="0" w:color="auto"/>
        <w:bottom w:val="none" w:sz="0" w:space="0" w:color="auto"/>
        <w:right w:val="none" w:sz="0" w:space="0" w:color="auto"/>
      </w:divBdr>
    </w:div>
    <w:div w:id="363286639">
      <w:bodyDiv w:val="1"/>
      <w:marLeft w:val="0"/>
      <w:marRight w:val="0"/>
      <w:marTop w:val="0"/>
      <w:marBottom w:val="0"/>
      <w:divBdr>
        <w:top w:val="none" w:sz="0" w:space="0" w:color="auto"/>
        <w:left w:val="none" w:sz="0" w:space="0" w:color="auto"/>
        <w:bottom w:val="none" w:sz="0" w:space="0" w:color="auto"/>
        <w:right w:val="none" w:sz="0" w:space="0" w:color="auto"/>
      </w:divBdr>
    </w:div>
    <w:div w:id="386690154">
      <w:bodyDiv w:val="1"/>
      <w:marLeft w:val="0"/>
      <w:marRight w:val="0"/>
      <w:marTop w:val="0"/>
      <w:marBottom w:val="0"/>
      <w:divBdr>
        <w:top w:val="none" w:sz="0" w:space="0" w:color="auto"/>
        <w:left w:val="none" w:sz="0" w:space="0" w:color="auto"/>
        <w:bottom w:val="none" w:sz="0" w:space="0" w:color="auto"/>
        <w:right w:val="none" w:sz="0" w:space="0" w:color="auto"/>
      </w:divBdr>
    </w:div>
    <w:div w:id="404494374">
      <w:bodyDiv w:val="1"/>
      <w:marLeft w:val="0"/>
      <w:marRight w:val="0"/>
      <w:marTop w:val="0"/>
      <w:marBottom w:val="0"/>
      <w:divBdr>
        <w:top w:val="none" w:sz="0" w:space="0" w:color="auto"/>
        <w:left w:val="none" w:sz="0" w:space="0" w:color="auto"/>
        <w:bottom w:val="none" w:sz="0" w:space="0" w:color="auto"/>
        <w:right w:val="none" w:sz="0" w:space="0" w:color="auto"/>
      </w:divBdr>
    </w:div>
    <w:div w:id="427239656">
      <w:bodyDiv w:val="1"/>
      <w:marLeft w:val="0"/>
      <w:marRight w:val="0"/>
      <w:marTop w:val="0"/>
      <w:marBottom w:val="0"/>
      <w:divBdr>
        <w:top w:val="none" w:sz="0" w:space="0" w:color="auto"/>
        <w:left w:val="none" w:sz="0" w:space="0" w:color="auto"/>
        <w:bottom w:val="none" w:sz="0" w:space="0" w:color="auto"/>
        <w:right w:val="none" w:sz="0" w:space="0" w:color="auto"/>
      </w:divBdr>
    </w:div>
    <w:div w:id="820199645">
      <w:bodyDiv w:val="1"/>
      <w:marLeft w:val="0"/>
      <w:marRight w:val="0"/>
      <w:marTop w:val="0"/>
      <w:marBottom w:val="0"/>
      <w:divBdr>
        <w:top w:val="none" w:sz="0" w:space="0" w:color="auto"/>
        <w:left w:val="none" w:sz="0" w:space="0" w:color="auto"/>
        <w:bottom w:val="none" w:sz="0" w:space="0" w:color="auto"/>
        <w:right w:val="none" w:sz="0" w:space="0" w:color="auto"/>
      </w:divBdr>
    </w:div>
    <w:div w:id="889221468">
      <w:bodyDiv w:val="1"/>
      <w:marLeft w:val="0"/>
      <w:marRight w:val="0"/>
      <w:marTop w:val="0"/>
      <w:marBottom w:val="0"/>
      <w:divBdr>
        <w:top w:val="none" w:sz="0" w:space="0" w:color="auto"/>
        <w:left w:val="none" w:sz="0" w:space="0" w:color="auto"/>
        <w:bottom w:val="none" w:sz="0" w:space="0" w:color="auto"/>
        <w:right w:val="none" w:sz="0" w:space="0" w:color="auto"/>
      </w:divBdr>
    </w:div>
    <w:div w:id="939030118">
      <w:bodyDiv w:val="1"/>
      <w:marLeft w:val="0"/>
      <w:marRight w:val="0"/>
      <w:marTop w:val="0"/>
      <w:marBottom w:val="0"/>
      <w:divBdr>
        <w:top w:val="none" w:sz="0" w:space="0" w:color="auto"/>
        <w:left w:val="none" w:sz="0" w:space="0" w:color="auto"/>
        <w:bottom w:val="none" w:sz="0" w:space="0" w:color="auto"/>
        <w:right w:val="none" w:sz="0" w:space="0" w:color="auto"/>
      </w:divBdr>
    </w:div>
    <w:div w:id="1208840318">
      <w:bodyDiv w:val="1"/>
      <w:marLeft w:val="0"/>
      <w:marRight w:val="0"/>
      <w:marTop w:val="0"/>
      <w:marBottom w:val="0"/>
      <w:divBdr>
        <w:top w:val="none" w:sz="0" w:space="0" w:color="auto"/>
        <w:left w:val="none" w:sz="0" w:space="0" w:color="auto"/>
        <w:bottom w:val="none" w:sz="0" w:space="0" w:color="auto"/>
        <w:right w:val="none" w:sz="0" w:space="0" w:color="auto"/>
      </w:divBdr>
    </w:div>
    <w:div w:id="1410038198">
      <w:bodyDiv w:val="1"/>
      <w:marLeft w:val="0"/>
      <w:marRight w:val="0"/>
      <w:marTop w:val="0"/>
      <w:marBottom w:val="0"/>
      <w:divBdr>
        <w:top w:val="none" w:sz="0" w:space="0" w:color="auto"/>
        <w:left w:val="none" w:sz="0" w:space="0" w:color="auto"/>
        <w:bottom w:val="none" w:sz="0" w:space="0" w:color="auto"/>
        <w:right w:val="none" w:sz="0" w:space="0" w:color="auto"/>
      </w:divBdr>
    </w:div>
    <w:div w:id="1786533614">
      <w:bodyDiv w:val="1"/>
      <w:marLeft w:val="0"/>
      <w:marRight w:val="0"/>
      <w:marTop w:val="0"/>
      <w:marBottom w:val="0"/>
      <w:divBdr>
        <w:top w:val="none" w:sz="0" w:space="0" w:color="auto"/>
        <w:left w:val="none" w:sz="0" w:space="0" w:color="auto"/>
        <w:bottom w:val="none" w:sz="0" w:space="0" w:color="auto"/>
        <w:right w:val="none" w:sz="0" w:space="0" w:color="auto"/>
      </w:divBdr>
    </w:div>
    <w:div w:id="1897398800">
      <w:bodyDiv w:val="1"/>
      <w:marLeft w:val="0"/>
      <w:marRight w:val="0"/>
      <w:marTop w:val="0"/>
      <w:marBottom w:val="0"/>
      <w:divBdr>
        <w:top w:val="none" w:sz="0" w:space="0" w:color="auto"/>
        <w:left w:val="none" w:sz="0" w:space="0" w:color="auto"/>
        <w:bottom w:val="none" w:sz="0" w:space="0" w:color="auto"/>
        <w:right w:val="none" w:sz="0" w:space="0" w:color="auto"/>
      </w:divBdr>
    </w:div>
    <w:div w:id="2073772450">
      <w:bodyDiv w:val="1"/>
      <w:marLeft w:val="0"/>
      <w:marRight w:val="0"/>
      <w:marTop w:val="0"/>
      <w:marBottom w:val="0"/>
      <w:divBdr>
        <w:top w:val="none" w:sz="0" w:space="0" w:color="auto"/>
        <w:left w:val="none" w:sz="0" w:space="0" w:color="auto"/>
        <w:bottom w:val="none" w:sz="0" w:space="0" w:color="auto"/>
        <w:right w:val="none" w:sz="0" w:space="0" w:color="auto"/>
      </w:divBdr>
    </w:div>
    <w:div w:id="2093039251">
      <w:bodyDiv w:val="1"/>
      <w:marLeft w:val="0"/>
      <w:marRight w:val="0"/>
      <w:marTop w:val="0"/>
      <w:marBottom w:val="0"/>
      <w:divBdr>
        <w:top w:val="none" w:sz="0" w:space="0" w:color="auto"/>
        <w:left w:val="none" w:sz="0" w:space="0" w:color="auto"/>
        <w:bottom w:val="none" w:sz="0" w:space="0" w:color="auto"/>
        <w:right w:val="none" w:sz="0" w:space="0" w:color="auto"/>
      </w:divBdr>
    </w:div>
    <w:div w:id="20955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diagramColors" Target="diagrams/colors1.xml"/><Relationship Id="rId42" Type="http://schemas.openxmlformats.org/officeDocument/2006/relationships/diagramColors" Target="diagrams/colors2.xml"/><Relationship Id="rId47" Type="http://schemas.openxmlformats.org/officeDocument/2006/relationships/chart" Target="charts/chart3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diagramQuickStyle" Target="diagrams/quickStyle1.xml"/><Relationship Id="rId38" Type="http://schemas.openxmlformats.org/officeDocument/2006/relationships/chart" Target="charts/chart27.xml"/><Relationship Id="rId46" Type="http://schemas.openxmlformats.org/officeDocument/2006/relationships/chart" Target="charts/chart3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diagramLayout" Target="diagrams/layout1.xml"/><Relationship Id="rId37" Type="http://schemas.openxmlformats.org/officeDocument/2006/relationships/chart" Target="charts/chart26.xml"/><Relationship Id="rId40" Type="http://schemas.openxmlformats.org/officeDocument/2006/relationships/diagramLayout" Target="diagrams/layout2.xml"/><Relationship Id="rId45" Type="http://schemas.openxmlformats.org/officeDocument/2006/relationships/chart" Target="charts/chart30.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5.xml"/><Relationship Id="rId49"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diagramData" Target="diagrams/data1.xml"/><Relationship Id="rId44" Type="http://schemas.openxmlformats.org/officeDocument/2006/relationships/chart" Target="charts/chart29.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4.xml"/><Relationship Id="rId43" Type="http://schemas.openxmlformats.org/officeDocument/2006/relationships/chart" Target="charts/chart28.xml"/><Relationship Id="rId48" Type="http://schemas.openxmlformats.org/officeDocument/2006/relationships/footer" Target="footer1.xml"/><Relationship Id="rId8" Type="http://schemas.openxmlformats.org/officeDocument/2006/relationships/chart" Target="charts/chart1.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Office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Office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Office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Office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Office_Excel_Worksheet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Office_Excel_Worksheet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Office_Excel_Worksheet22.xlsx"/></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Office_Excel_Worksheet23.xlsx"/><Relationship Id="rId1" Type="http://schemas.openxmlformats.org/officeDocument/2006/relationships/themeOverride" Target="../theme/themeOverride1.xml"/></Relationships>
</file>

<file path=word/charts/_rels/chart24.xml.rels><?xml version="1.0" encoding="UTF-8" standalone="yes"?>
<Relationships xmlns="http://schemas.openxmlformats.org/package/2006/relationships"><Relationship Id="rId2" Type="http://schemas.openxmlformats.org/officeDocument/2006/relationships/package" Target="../embeddings/Microsoft_Office_Excel_Worksheet24.xlsx"/><Relationship Id="rId1" Type="http://schemas.openxmlformats.org/officeDocument/2006/relationships/themeOverride" Target="../theme/themeOverride2.xml"/></Relationships>
</file>

<file path=word/charts/_rels/chart25.xml.rels><?xml version="1.0" encoding="UTF-8" standalone="yes"?>
<Relationships xmlns="http://schemas.openxmlformats.org/package/2006/relationships"><Relationship Id="rId2" Type="http://schemas.openxmlformats.org/officeDocument/2006/relationships/package" Target="../embeddings/Microsoft_Office_Excel_Worksheet25.xlsx"/><Relationship Id="rId1" Type="http://schemas.openxmlformats.org/officeDocument/2006/relationships/themeOverride" Target="../theme/themeOverride3.xml"/></Relationships>
</file>

<file path=word/charts/_rels/chart26.xml.rels><?xml version="1.0" encoding="UTF-8" standalone="yes"?>
<Relationships xmlns="http://schemas.openxmlformats.org/package/2006/relationships"><Relationship Id="rId2" Type="http://schemas.openxmlformats.org/officeDocument/2006/relationships/package" Target="../embeddings/Microsoft_Office_Excel_Worksheet26.xlsx"/><Relationship Id="rId1" Type="http://schemas.openxmlformats.org/officeDocument/2006/relationships/themeOverride" Target="../theme/themeOverride4.xml"/></Relationships>
</file>

<file path=word/charts/_rels/chart27.xml.rels><?xml version="1.0" encoding="UTF-8" standalone="yes"?>
<Relationships xmlns="http://schemas.openxmlformats.org/package/2006/relationships"><Relationship Id="rId2" Type="http://schemas.openxmlformats.org/officeDocument/2006/relationships/package" Target="../embeddings/Microsoft_Office_Excel_Worksheet27.xlsx"/><Relationship Id="rId1" Type="http://schemas.openxmlformats.org/officeDocument/2006/relationships/themeOverride" Target="../theme/themeOverride5.xml"/></Relationships>
</file>

<file path=word/charts/_rels/chart28.xml.rels><?xml version="1.0" encoding="UTF-8" standalone="yes"?>
<Relationships xmlns="http://schemas.openxmlformats.org/package/2006/relationships"><Relationship Id="rId2" Type="http://schemas.openxmlformats.org/officeDocument/2006/relationships/package" Target="../embeddings/Microsoft_Office_Excel_Worksheet28.xlsx"/><Relationship Id="rId1" Type="http://schemas.openxmlformats.org/officeDocument/2006/relationships/themeOverride" Target="../theme/themeOverride6.xml"/></Relationships>
</file>

<file path=word/charts/_rels/chart29.xml.rels><?xml version="1.0" encoding="UTF-8" standalone="yes"?>
<Relationships xmlns="http://schemas.openxmlformats.org/package/2006/relationships"><Relationship Id="rId2" Type="http://schemas.openxmlformats.org/officeDocument/2006/relationships/package" Target="../embeddings/Microsoft_Office_Excel_Worksheet29.xlsx"/><Relationship Id="rId1" Type="http://schemas.openxmlformats.org/officeDocument/2006/relationships/themeOverride" Target="../theme/themeOverride7.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30.xml.rels><?xml version="1.0" encoding="UTF-8" standalone="yes"?>
<Relationships xmlns="http://schemas.openxmlformats.org/package/2006/relationships"><Relationship Id="rId2" Type="http://schemas.openxmlformats.org/officeDocument/2006/relationships/package" Target="../embeddings/Microsoft_Office_Excel_Worksheet30.xlsx"/><Relationship Id="rId1" Type="http://schemas.openxmlformats.org/officeDocument/2006/relationships/themeOverride" Target="../theme/themeOverride8.xml"/></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Office_Excel_Worksheet31.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Office_Excel_Worksheet3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0.18902439024390244"/>
          <c:y val="8.0882352941176572E-2"/>
          <c:w val="0.6036585365853665"/>
          <c:h val="0.58088235294117652"/>
        </c:manualLayout>
      </c:layout>
      <c:pie3DChart>
        <c:varyColors val="1"/>
        <c:ser>
          <c:idx val="0"/>
          <c:order val="0"/>
          <c:tx>
            <c:strRef>
              <c:f>Sheet1!$A$2</c:f>
              <c:strCache>
                <c:ptCount val="1"/>
                <c:pt idx="0">
                  <c:v>Восток</c:v>
                </c:pt>
              </c:strCache>
            </c:strRef>
          </c:tx>
          <c:spPr>
            <a:solidFill>
              <a:srgbClr val="9999FF"/>
            </a:solidFill>
            <a:ln w="12701">
              <a:solidFill>
                <a:srgbClr val="000000"/>
              </a:solidFill>
              <a:prstDash val="solid"/>
            </a:ln>
          </c:spPr>
          <c:explosion val="6"/>
          <c:dPt>
            <c:idx val="1"/>
            <c:spPr>
              <a:pattFill prst="horzBrick">
                <a:fgClr>
                  <a:srgbClr val="993366"/>
                </a:fgClr>
                <a:bgClr>
                  <a:srgbClr val="FFFFFF"/>
                </a:bgClr>
              </a:pattFill>
              <a:ln w="12701">
                <a:solidFill>
                  <a:srgbClr val="000000"/>
                </a:solidFill>
                <a:prstDash val="solid"/>
              </a:ln>
            </c:spPr>
          </c:dPt>
          <c:dLbls>
            <c:dLbl>
              <c:idx val="0"/>
              <c:layout>
                <c:manualLayout>
                  <c:x val="3.0750949524631487E-2"/>
                  <c:y val="9.8657506047038421E-2"/>
                </c:manualLayout>
              </c:layout>
              <c:dLblPos val="bestFit"/>
              <c:showPercent val="1"/>
            </c:dLbl>
            <c:dLbl>
              <c:idx val="1"/>
              <c:layout>
                <c:manualLayout>
                  <c:x val="-2.9880426088107693E-2"/>
                  <c:y val="3.7653594771241881E-2"/>
                </c:manualLayout>
              </c:layout>
              <c:dLblPos val="bestFit"/>
              <c:showPercent val="1"/>
            </c:dLbl>
            <c:numFmt formatCode="0.0%" sourceLinked="0"/>
            <c:spPr>
              <a:noFill/>
              <a:ln w="25402">
                <a:noFill/>
              </a:ln>
            </c:spPr>
            <c:txPr>
              <a:bodyPr/>
              <a:lstStyle/>
              <a:p>
                <a:pPr>
                  <a:defRPr sz="800" b="0" i="0" u="none" strike="noStrike" baseline="0">
                    <a:solidFill>
                      <a:srgbClr val="000000"/>
                    </a:solidFill>
                    <a:latin typeface="Times New Roman"/>
                    <a:ea typeface="Times New Roman"/>
                    <a:cs typeface="Times New Roman"/>
                  </a:defRPr>
                </a:pPr>
                <a:endParaRPr lang="ru-RU"/>
              </a:p>
            </c:txPr>
            <c:showPercent val="1"/>
            <c:showLeaderLines val="1"/>
          </c:dLbls>
          <c:cat>
            <c:strRef>
              <c:f>Sheet1!$B$1:$C$1</c:f>
              <c:strCache>
                <c:ptCount val="2"/>
                <c:pt idx="0">
                  <c:v>întreprinderi de stat</c:v>
                </c:pt>
                <c:pt idx="1">
                  <c:v>societăţi pe acţiuni</c:v>
                </c:pt>
              </c:strCache>
            </c:strRef>
          </c:cat>
          <c:val>
            <c:numRef>
              <c:f>Sheet1!$B$2:$C$2</c:f>
              <c:numCache>
                <c:formatCode>0.00%</c:formatCode>
                <c:ptCount val="2"/>
                <c:pt idx="0">
                  <c:v>0.67600000000000071</c:v>
                </c:pt>
                <c:pt idx="1">
                  <c:v>0.32400000000000023</c:v>
                </c:pt>
              </c:numCache>
            </c:numRef>
          </c:val>
        </c:ser>
        <c:ser>
          <c:idx val="1"/>
          <c:order val="1"/>
          <c:tx>
            <c:strRef>
              <c:f>Sheet1!$A$3</c:f>
              <c:strCache>
                <c:ptCount val="1"/>
              </c:strCache>
            </c:strRef>
          </c:tx>
          <c:spPr>
            <a:solidFill>
              <a:srgbClr val="993366"/>
            </a:solidFill>
            <a:ln w="12701">
              <a:solidFill>
                <a:srgbClr val="000000"/>
              </a:solidFill>
              <a:prstDash val="solid"/>
            </a:ln>
          </c:spPr>
          <c:explosion val="6"/>
          <c:dPt>
            <c:idx val="0"/>
            <c:spPr>
              <a:solidFill>
                <a:srgbClr val="9999FF"/>
              </a:solidFill>
              <a:ln w="12701">
                <a:solidFill>
                  <a:srgbClr val="000000"/>
                </a:solidFill>
                <a:prstDash val="solid"/>
              </a:ln>
            </c:spPr>
          </c:dPt>
          <c:dLbls>
            <c:numFmt formatCode="0%" sourceLinked="0"/>
            <c:spPr>
              <a:noFill/>
              <a:ln w="25402">
                <a:noFill/>
              </a:ln>
            </c:spPr>
            <c:txPr>
              <a:bodyPr/>
              <a:lstStyle/>
              <a:p>
                <a:pPr>
                  <a:defRPr sz="800" b="1" i="0" u="none" strike="noStrike" baseline="0">
                    <a:solidFill>
                      <a:srgbClr val="000000"/>
                    </a:solidFill>
                    <a:latin typeface="Arial Cyr"/>
                    <a:ea typeface="Arial Cyr"/>
                    <a:cs typeface="Arial Cyr"/>
                  </a:defRPr>
                </a:pPr>
                <a:endParaRPr lang="ru-RU"/>
              </a:p>
            </c:txPr>
            <c:showPercent val="1"/>
            <c:showLeaderLines val="1"/>
          </c:dLbls>
          <c:cat>
            <c:strRef>
              <c:f>Sheet1!$B$1:$C$1</c:f>
              <c:strCache>
                <c:ptCount val="2"/>
                <c:pt idx="0">
                  <c:v>întreprinderi de stat</c:v>
                </c:pt>
                <c:pt idx="1">
                  <c:v>societăţi pe acţiuni</c:v>
                </c:pt>
              </c:strCache>
            </c:strRef>
          </c:cat>
          <c:val>
            <c:numRef>
              <c:f>Sheet1!$B$3:$C$3</c:f>
              <c:numCache>
                <c:formatCode>General</c:formatCode>
                <c:ptCount val="2"/>
              </c:numCache>
            </c:numRef>
          </c:val>
        </c:ser>
        <c:ser>
          <c:idx val="2"/>
          <c:order val="2"/>
          <c:tx>
            <c:strRef>
              <c:f>Sheet1!$A$4</c:f>
              <c:strCache>
                <c:ptCount val="1"/>
              </c:strCache>
            </c:strRef>
          </c:tx>
          <c:spPr>
            <a:solidFill>
              <a:srgbClr val="FFFFCC"/>
            </a:solidFill>
            <a:ln w="12701">
              <a:solidFill>
                <a:srgbClr val="000000"/>
              </a:solidFill>
              <a:prstDash val="solid"/>
            </a:ln>
          </c:spPr>
          <c:explosion val="6"/>
          <c:dPt>
            <c:idx val="0"/>
            <c:spPr>
              <a:solidFill>
                <a:srgbClr val="9999FF"/>
              </a:solidFill>
              <a:ln w="12701">
                <a:solidFill>
                  <a:srgbClr val="000000"/>
                </a:solidFill>
                <a:prstDash val="solid"/>
              </a:ln>
            </c:spPr>
          </c:dPt>
          <c:dPt>
            <c:idx val="1"/>
            <c:spPr>
              <a:solidFill>
                <a:srgbClr val="993366"/>
              </a:solidFill>
              <a:ln w="12701">
                <a:solidFill>
                  <a:srgbClr val="000000"/>
                </a:solidFill>
                <a:prstDash val="solid"/>
              </a:ln>
            </c:spPr>
          </c:dPt>
          <c:dLbls>
            <c:numFmt formatCode="0%" sourceLinked="0"/>
            <c:spPr>
              <a:noFill/>
              <a:ln w="25402">
                <a:noFill/>
              </a:ln>
            </c:spPr>
            <c:txPr>
              <a:bodyPr/>
              <a:lstStyle/>
              <a:p>
                <a:pPr>
                  <a:defRPr sz="800" b="1" i="0" u="none" strike="noStrike" baseline="0">
                    <a:solidFill>
                      <a:srgbClr val="000000"/>
                    </a:solidFill>
                    <a:latin typeface="Arial Cyr"/>
                    <a:ea typeface="Arial Cyr"/>
                    <a:cs typeface="Arial Cyr"/>
                  </a:defRPr>
                </a:pPr>
                <a:endParaRPr lang="ru-RU"/>
              </a:p>
            </c:txPr>
            <c:showPercent val="1"/>
            <c:showLeaderLines val="1"/>
          </c:dLbls>
          <c:cat>
            <c:strRef>
              <c:f>Sheet1!$B$1:$C$1</c:f>
              <c:strCache>
                <c:ptCount val="2"/>
                <c:pt idx="0">
                  <c:v>întreprinderi de stat</c:v>
                </c:pt>
                <c:pt idx="1">
                  <c:v>societăţi pe acţiuni</c:v>
                </c:pt>
              </c:strCache>
            </c:strRef>
          </c:cat>
          <c:val>
            <c:numRef>
              <c:f>Sheet1!$B$4:$C$4</c:f>
              <c:numCache>
                <c:formatCode>General</c:formatCode>
                <c:ptCount val="2"/>
              </c:numCache>
            </c:numRef>
          </c:val>
        </c:ser>
        <c:dLbls>
          <c:showPercent val="1"/>
        </c:dLbls>
      </c:pie3DChart>
      <c:spPr>
        <a:solidFill>
          <a:srgbClr val="FFFFFF"/>
        </a:solidFill>
        <a:ln w="25402">
          <a:noFill/>
        </a:ln>
      </c:spPr>
    </c:plotArea>
    <c:legend>
      <c:legendPos val="b"/>
      <c:layout>
        <c:manualLayout>
          <c:xMode val="edge"/>
          <c:yMode val="edge"/>
          <c:x val="1.2195121951219513E-2"/>
          <c:y val="0.75000000000000044"/>
          <c:w val="0.97560975609756162"/>
          <c:h val="0.24264705882352944"/>
        </c:manualLayout>
      </c:layout>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chart>
  <c:spPr>
    <a:solidFill>
      <a:srgbClr val="FFFFFF"/>
    </a:solidFill>
    <a:ln>
      <a:noFill/>
    </a:ln>
  </c:spPr>
  <c:txPr>
    <a:bodyPr/>
    <a:lstStyle/>
    <a:p>
      <a:pPr>
        <a:defRPr sz="475" b="1" i="0" u="none" strike="noStrike" baseline="0">
          <a:solidFill>
            <a:srgbClr val="000000"/>
          </a:solidFill>
          <a:latin typeface="Arial Cyr"/>
          <a:ea typeface="Arial Cyr"/>
          <a:cs typeface="Arial Cy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1"/>
      <c:depthPercent val="100"/>
      <c:rAngAx val="1"/>
    </c:view3D>
    <c:floor>
      <c:spPr>
        <a:solidFill>
          <a:srgbClr val="C0C0C0"/>
        </a:solidFill>
        <a:ln w="3175">
          <a:solidFill>
            <a:srgbClr val="000000"/>
          </a:solidFill>
          <a:prstDash val="solid"/>
        </a:ln>
      </c:spPr>
    </c:floor>
    <c:sideWall>
      <c:spPr>
        <a:solidFill>
          <a:srgbClr val="FFFFFF"/>
        </a:solidFill>
        <a:ln w="12700">
          <a:solidFill>
            <a:srgbClr val="FFFFFF"/>
          </a:solidFill>
          <a:prstDash val="solid"/>
        </a:ln>
      </c:spPr>
    </c:sideWall>
    <c:backWall>
      <c:spPr>
        <a:solidFill>
          <a:srgbClr val="FFFFFF"/>
        </a:solidFill>
        <a:ln w="12700">
          <a:solidFill>
            <a:srgbClr val="FFFFFF"/>
          </a:solidFill>
          <a:prstDash val="solid"/>
        </a:ln>
      </c:spPr>
    </c:backWall>
    <c:plotArea>
      <c:layout>
        <c:manualLayout>
          <c:layoutTarget val="inner"/>
          <c:xMode val="edge"/>
          <c:yMode val="edge"/>
          <c:x val="1.8604651162790701E-2"/>
          <c:y val="0.125"/>
          <c:w val="0.97674418604651214"/>
          <c:h val="0.57291666666666652"/>
        </c:manualLayout>
      </c:layout>
      <c:bar3DChart>
        <c:barDir val="col"/>
        <c:grouping val="clustered"/>
        <c:ser>
          <c:idx val="1"/>
          <c:order val="0"/>
          <c:tx>
            <c:strRef>
              <c:f>Sheet1!$A$3</c:f>
              <c:strCache>
                <c:ptCount val="1"/>
                <c:pt idx="0">
                  <c:v>creanţe pe termen lung</c:v>
                </c:pt>
              </c:strCache>
            </c:strRef>
          </c:tx>
          <c:spPr>
            <a:solidFill>
              <a:srgbClr val="993366"/>
            </a:solidFill>
            <a:ln w="12659">
              <a:solidFill>
                <a:srgbClr val="000000"/>
              </a:solidFill>
              <a:prstDash val="solid"/>
            </a:ln>
          </c:spPr>
          <c:dLbls>
            <c:spPr>
              <a:noFill/>
              <a:ln w="25317">
                <a:noFill/>
              </a:ln>
            </c:spPr>
            <c:txPr>
              <a:bodyPr/>
              <a:lstStyle/>
              <a:p>
                <a:pPr>
                  <a:defRPr sz="797" b="1" i="0" u="none" strike="noStrike" baseline="0">
                    <a:solidFill>
                      <a:srgbClr val="000000"/>
                    </a:solidFill>
                    <a:latin typeface="Arial Cyr"/>
                    <a:ea typeface="Arial Cyr"/>
                    <a:cs typeface="Arial Cyr"/>
                  </a:defRPr>
                </a:pPr>
                <a:endParaRPr lang="ru-RU"/>
              </a:p>
            </c:txPr>
            <c:showVal val="1"/>
          </c:dLbls>
          <c:cat>
            <c:numRef>
              <c:f>Sheet1!$B$1:$D$1</c:f>
              <c:numCache>
                <c:formatCode>dd/mm/yyyy</c:formatCode>
                <c:ptCount val="2"/>
                <c:pt idx="0">
                  <c:v>42005</c:v>
                </c:pt>
                <c:pt idx="1">
                  <c:v>42369</c:v>
                </c:pt>
              </c:numCache>
            </c:numRef>
          </c:cat>
          <c:val>
            <c:numRef>
              <c:f>Sheet1!$B$3:$D$3</c:f>
              <c:numCache>
                <c:formatCode>General</c:formatCode>
                <c:ptCount val="2"/>
                <c:pt idx="0">
                  <c:v>991.7</c:v>
                </c:pt>
                <c:pt idx="1">
                  <c:v>1254.8</c:v>
                </c:pt>
              </c:numCache>
            </c:numRef>
          </c:val>
        </c:ser>
        <c:ser>
          <c:idx val="2"/>
          <c:order val="1"/>
          <c:tx>
            <c:strRef>
              <c:f>Sheet1!$A$4</c:f>
              <c:strCache>
                <c:ptCount val="1"/>
                <c:pt idx="0">
                  <c:v>creanţe curente</c:v>
                </c:pt>
              </c:strCache>
            </c:strRef>
          </c:tx>
          <c:spPr>
            <a:pattFill prst="openDmnd">
              <a:fgClr>
                <a:srgbClr val="993300"/>
              </a:fgClr>
              <a:bgClr>
                <a:srgbClr val="FFFFFF"/>
              </a:bgClr>
            </a:pattFill>
            <a:ln w="12659">
              <a:solidFill>
                <a:srgbClr val="000000"/>
              </a:solidFill>
              <a:prstDash val="solid"/>
            </a:ln>
          </c:spPr>
          <c:dLbls>
            <c:dLbl>
              <c:idx val="0"/>
              <c:layout>
                <c:manualLayout>
                  <c:x val="1.1619916432222028E-2"/>
                  <c:y val="-9.9667361135492419E-2"/>
                </c:manualLayout>
              </c:layout>
              <c:tx>
                <c:rich>
                  <a:bodyPr/>
                  <a:lstStyle/>
                  <a:p>
                    <a:r>
                      <a:rPr lang="ru-RU"/>
                      <a:t>991,7</a:t>
                    </a:r>
                  </a:p>
                </c:rich>
              </c:tx>
            </c:dLbl>
            <c:dLbl>
              <c:idx val="1"/>
              <c:layout>
                <c:manualLayout>
                  <c:x val="1.0958661879738919E-2"/>
                  <c:y val="-0.1057881024271034"/>
                </c:manualLayout>
              </c:layout>
              <c:tx>
                <c:rich>
                  <a:bodyPr/>
                  <a:lstStyle/>
                  <a:p>
                    <a:r>
                      <a:rPr lang="ru-RU"/>
                      <a:t>1254,8</a:t>
                    </a:r>
                  </a:p>
                </c:rich>
              </c:tx>
            </c:dLbl>
            <c:spPr>
              <a:noFill/>
              <a:ln w="25317">
                <a:noFill/>
              </a:ln>
            </c:spPr>
            <c:txPr>
              <a:bodyPr/>
              <a:lstStyle/>
              <a:p>
                <a:pPr>
                  <a:defRPr sz="822" b="0" i="0" u="none" strike="noStrike" baseline="0">
                    <a:solidFill>
                      <a:srgbClr val="000000"/>
                    </a:solidFill>
                    <a:latin typeface="Times New Roman"/>
                    <a:ea typeface="Times New Roman"/>
                    <a:cs typeface="Times New Roman"/>
                  </a:defRPr>
                </a:pPr>
                <a:endParaRPr lang="ru-RU"/>
              </a:p>
            </c:txPr>
            <c:showVal val="1"/>
          </c:dLbls>
          <c:cat>
            <c:numRef>
              <c:f>Sheet1!$B$1:$D$1</c:f>
              <c:numCache>
                <c:formatCode>dd/mm/yyyy</c:formatCode>
                <c:ptCount val="2"/>
                <c:pt idx="0">
                  <c:v>42005</c:v>
                </c:pt>
                <c:pt idx="1">
                  <c:v>42369</c:v>
                </c:pt>
              </c:numCache>
            </c:numRef>
          </c:cat>
          <c:val>
            <c:numRef>
              <c:f>Sheet1!$B$4:$D$4</c:f>
              <c:numCache>
                <c:formatCode>General</c:formatCode>
                <c:ptCount val="2"/>
                <c:pt idx="0">
                  <c:v>1592.7</c:v>
                </c:pt>
                <c:pt idx="1">
                  <c:v>1927.3</c:v>
                </c:pt>
              </c:numCache>
            </c:numRef>
          </c:val>
        </c:ser>
        <c:gapDepth val="0"/>
        <c:shape val="box"/>
        <c:axId val="306521216"/>
        <c:axId val="306522752"/>
        <c:axId val="0"/>
      </c:bar3DChart>
      <c:catAx>
        <c:axId val="306521216"/>
        <c:scaling>
          <c:orientation val="minMax"/>
        </c:scaling>
        <c:axPos val="b"/>
        <c:numFmt formatCode="dd/mm/yyyy" sourceLinked="1"/>
        <c:tickLblPos val="low"/>
        <c:spPr>
          <a:ln w="3165">
            <a:solidFill>
              <a:srgbClr val="000000"/>
            </a:solidFill>
            <a:prstDash val="solid"/>
          </a:ln>
        </c:spPr>
        <c:txPr>
          <a:bodyPr rot="0" vert="horz"/>
          <a:lstStyle/>
          <a:p>
            <a:pPr>
              <a:defRPr sz="797" b="1" i="0" u="none" strike="noStrike" baseline="0">
                <a:solidFill>
                  <a:srgbClr val="000000"/>
                </a:solidFill>
                <a:latin typeface="Times New Roman"/>
                <a:ea typeface="Times New Roman"/>
                <a:cs typeface="Times New Roman"/>
              </a:defRPr>
            </a:pPr>
            <a:endParaRPr lang="ru-RU"/>
          </a:p>
        </c:txPr>
        <c:crossAx val="306522752"/>
        <c:crosses val="autoZero"/>
        <c:lblAlgn val="ctr"/>
        <c:lblOffset val="100"/>
        <c:tickLblSkip val="1"/>
        <c:tickMarkSkip val="1"/>
      </c:catAx>
      <c:valAx>
        <c:axId val="306522752"/>
        <c:scaling>
          <c:orientation val="minMax"/>
        </c:scaling>
        <c:delete val="1"/>
        <c:axPos val="l"/>
        <c:numFmt formatCode="General" sourceLinked="1"/>
        <c:tickLblPos val="nextTo"/>
        <c:crossAx val="306521216"/>
        <c:crosses val="autoZero"/>
        <c:crossBetween val="between"/>
      </c:valAx>
      <c:spPr>
        <a:noFill/>
        <a:ln w="25317">
          <a:noFill/>
        </a:ln>
      </c:spPr>
    </c:plotArea>
    <c:legend>
      <c:legendPos val="b"/>
      <c:layout>
        <c:manualLayout>
          <c:xMode val="edge"/>
          <c:yMode val="edge"/>
          <c:x val="0.30697674418604687"/>
          <c:y val="0.85937500000000044"/>
          <c:w val="0.38914728682170546"/>
          <c:h val="0.125"/>
        </c:manualLayout>
      </c:layout>
      <c:spPr>
        <a:noFill/>
        <a:ln w="3165">
          <a:solidFill>
            <a:srgbClr val="000000"/>
          </a:solidFill>
          <a:prstDash val="solid"/>
        </a:ln>
      </c:spPr>
      <c:txPr>
        <a:bodyPr/>
        <a:lstStyle/>
        <a:p>
          <a:pPr>
            <a:defRPr sz="733" b="1"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797" b="1" i="0" u="none" strike="noStrike" baseline="0">
          <a:solidFill>
            <a:srgbClr val="000000"/>
          </a:solidFill>
          <a:latin typeface="Arial Cyr"/>
          <a:ea typeface="Arial Cyr"/>
          <a:cs typeface="Arial Cy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7"/>
      <c:depthPercent val="100"/>
      <c:rAngAx val="1"/>
    </c:view3D>
    <c:floor>
      <c:spPr>
        <a:solidFill>
          <a:srgbClr val="C0C0C0"/>
        </a:solidFill>
        <a:ln w="3175">
          <a:solidFill>
            <a:srgbClr val="000000"/>
          </a:solidFill>
          <a:prstDash val="solid"/>
        </a:ln>
      </c:spPr>
    </c:floor>
    <c:sideWall>
      <c:spPr>
        <a:solidFill>
          <a:srgbClr val="FFFFFF"/>
        </a:solidFill>
        <a:ln w="12700">
          <a:solidFill>
            <a:srgbClr val="FFFFFF"/>
          </a:solidFill>
          <a:prstDash val="solid"/>
        </a:ln>
      </c:spPr>
    </c:sideWall>
    <c:backWall>
      <c:spPr>
        <a:solidFill>
          <a:srgbClr val="FFFFFF"/>
        </a:solidFill>
        <a:ln w="12700">
          <a:solidFill>
            <a:srgbClr val="FFFFFF"/>
          </a:solidFill>
          <a:prstDash val="solid"/>
        </a:ln>
      </c:spPr>
    </c:backWall>
    <c:plotArea>
      <c:layout>
        <c:manualLayout>
          <c:layoutTarget val="inner"/>
          <c:xMode val="edge"/>
          <c:yMode val="edge"/>
          <c:x val="1.7460317460317461E-2"/>
          <c:y val="5.2380952380952375E-2"/>
          <c:w val="0.9603174603174599"/>
          <c:h val="0.65238095238095262"/>
        </c:manualLayout>
      </c:layout>
      <c:bar3DChart>
        <c:barDir val="col"/>
        <c:grouping val="clustered"/>
        <c:ser>
          <c:idx val="1"/>
          <c:order val="0"/>
          <c:tx>
            <c:strRef>
              <c:f>Sheet1!$A$3</c:f>
              <c:strCache>
                <c:ptCount val="1"/>
                <c:pt idx="0">
                  <c:v>datorii pe termen lung</c:v>
                </c:pt>
              </c:strCache>
            </c:strRef>
          </c:tx>
          <c:spPr>
            <a:pattFill prst="wdDnDiag">
              <a:fgClr>
                <a:srgbClr val="008000"/>
              </a:fgClr>
              <a:bgClr>
                <a:srgbClr val="FFFFFF"/>
              </a:bgClr>
            </a:pattFill>
            <a:ln w="12676">
              <a:solidFill>
                <a:srgbClr val="000000"/>
              </a:solidFill>
              <a:prstDash val="solid"/>
            </a:ln>
          </c:spPr>
          <c:dLbls>
            <c:spPr>
              <a:noFill/>
              <a:ln w="25352">
                <a:noFill/>
              </a:ln>
            </c:spPr>
            <c:txPr>
              <a:bodyPr/>
              <a:lstStyle/>
              <a:p>
                <a:pPr>
                  <a:defRPr sz="798" b="1" i="0" u="none" strike="noStrike" baseline="0">
                    <a:solidFill>
                      <a:srgbClr val="000000"/>
                    </a:solidFill>
                    <a:latin typeface="Arial Cyr"/>
                    <a:ea typeface="Arial Cyr"/>
                    <a:cs typeface="Arial Cyr"/>
                  </a:defRPr>
                </a:pPr>
                <a:endParaRPr lang="ru-RU"/>
              </a:p>
            </c:txPr>
            <c:showVal val="1"/>
          </c:dLbls>
          <c:cat>
            <c:numRef>
              <c:f>Sheet1!$B$1:$D$1</c:f>
              <c:numCache>
                <c:formatCode>dd/mm/yyyy</c:formatCode>
                <c:ptCount val="2"/>
                <c:pt idx="0">
                  <c:v>42005</c:v>
                </c:pt>
                <c:pt idx="1">
                  <c:v>42369</c:v>
                </c:pt>
              </c:numCache>
            </c:numRef>
          </c:cat>
          <c:val>
            <c:numRef>
              <c:f>Sheet1!$B$3:$D$3</c:f>
              <c:numCache>
                <c:formatCode>General</c:formatCode>
                <c:ptCount val="2"/>
                <c:pt idx="0">
                  <c:v>3341.7</c:v>
                </c:pt>
                <c:pt idx="1">
                  <c:v>4130</c:v>
                </c:pt>
              </c:numCache>
            </c:numRef>
          </c:val>
        </c:ser>
        <c:ser>
          <c:idx val="2"/>
          <c:order val="1"/>
          <c:tx>
            <c:strRef>
              <c:f>Sheet1!$A$4</c:f>
              <c:strCache>
                <c:ptCount val="1"/>
                <c:pt idx="0">
                  <c:v>datorii curente</c:v>
                </c:pt>
              </c:strCache>
            </c:strRef>
          </c:tx>
          <c:spPr>
            <a:pattFill prst="shingle">
              <a:fgClr>
                <a:srgbClr val="FF0000"/>
              </a:fgClr>
              <a:bgClr>
                <a:srgbClr val="FFFFFF"/>
              </a:bgClr>
            </a:pattFill>
            <a:ln w="12676">
              <a:solidFill>
                <a:srgbClr val="000000"/>
              </a:solidFill>
              <a:prstDash val="solid"/>
            </a:ln>
          </c:spPr>
          <c:dLbls>
            <c:dLbl>
              <c:idx val="0"/>
              <c:layout>
                <c:manualLayout>
                  <c:x val="3.413016479949188E-2"/>
                  <c:y val="-6.7477292950321593E-2"/>
                </c:manualLayout>
              </c:layout>
              <c:tx>
                <c:rich>
                  <a:bodyPr/>
                  <a:lstStyle/>
                  <a:p>
                    <a:r>
                      <a:rPr lang="ru-RU"/>
                      <a:t>3341,6</a:t>
                    </a:r>
                  </a:p>
                </c:rich>
              </c:tx>
            </c:dLbl>
            <c:dLbl>
              <c:idx val="1"/>
              <c:layout>
                <c:manualLayout>
                  <c:x val="3.202612613916387E-2"/>
                  <c:y val="-6.0851339478087615E-2"/>
                </c:manualLayout>
              </c:layout>
              <c:tx>
                <c:rich>
                  <a:bodyPr/>
                  <a:lstStyle/>
                  <a:p>
                    <a:r>
                      <a:rPr lang="ru-RU"/>
                      <a:t>4130,0</a:t>
                    </a:r>
                  </a:p>
                </c:rich>
              </c:tx>
            </c:dLbl>
            <c:spPr>
              <a:noFill/>
              <a:ln w="25352">
                <a:noFill/>
              </a:ln>
            </c:spPr>
            <c:txPr>
              <a:bodyPr/>
              <a:lstStyle/>
              <a:p>
                <a:pPr>
                  <a:defRPr sz="998" b="0" i="0" u="none" strike="noStrike" baseline="0">
                    <a:solidFill>
                      <a:srgbClr val="000000"/>
                    </a:solidFill>
                    <a:latin typeface="Times New Roman"/>
                    <a:ea typeface="Times New Roman"/>
                    <a:cs typeface="Times New Roman"/>
                  </a:defRPr>
                </a:pPr>
                <a:endParaRPr lang="ru-RU"/>
              </a:p>
            </c:txPr>
            <c:showVal val="1"/>
          </c:dLbls>
          <c:cat>
            <c:numRef>
              <c:f>Sheet1!$B$1:$D$1</c:f>
              <c:numCache>
                <c:formatCode>dd/mm/yyyy</c:formatCode>
                <c:ptCount val="2"/>
                <c:pt idx="0">
                  <c:v>42005</c:v>
                </c:pt>
                <c:pt idx="1">
                  <c:v>42369</c:v>
                </c:pt>
              </c:numCache>
            </c:numRef>
          </c:cat>
          <c:val>
            <c:numRef>
              <c:f>Sheet1!$B$4:$D$4</c:f>
              <c:numCache>
                <c:formatCode>General</c:formatCode>
                <c:ptCount val="2"/>
                <c:pt idx="0">
                  <c:v>2956</c:v>
                </c:pt>
                <c:pt idx="1">
                  <c:v>3711.1</c:v>
                </c:pt>
              </c:numCache>
            </c:numRef>
          </c:val>
        </c:ser>
        <c:gapDepth val="0"/>
        <c:shape val="box"/>
        <c:axId val="307838976"/>
        <c:axId val="307840512"/>
        <c:axId val="0"/>
      </c:bar3DChart>
      <c:catAx>
        <c:axId val="307838976"/>
        <c:scaling>
          <c:orientation val="minMax"/>
        </c:scaling>
        <c:axPos val="b"/>
        <c:numFmt formatCode="dd/mm/yyyy" sourceLinked="1"/>
        <c:tickLblPos val="low"/>
        <c:spPr>
          <a:ln w="3169">
            <a:solidFill>
              <a:srgbClr val="000000"/>
            </a:solidFill>
            <a:prstDash val="solid"/>
          </a:ln>
        </c:spPr>
        <c:txPr>
          <a:bodyPr rot="0" vert="horz"/>
          <a:lstStyle/>
          <a:p>
            <a:pPr>
              <a:defRPr sz="798" b="1" i="0" u="none" strike="noStrike" baseline="0">
                <a:solidFill>
                  <a:srgbClr val="000000"/>
                </a:solidFill>
                <a:latin typeface="Times New Roman"/>
                <a:ea typeface="Times New Roman"/>
                <a:cs typeface="Times New Roman"/>
              </a:defRPr>
            </a:pPr>
            <a:endParaRPr lang="ru-RU"/>
          </a:p>
        </c:txPr>
        <c:crossAx val="307840512"/>
        <c:crosses val="autoZero"/>
        <c:lblAlgn val="ctr"/>
        <c:lblOffset val="100"/>
        <c:tickLblSkip val="1"/>
        <c:tickMarkSkip val="1"/>
      </c:catAx>
      <c:valAx>
        <c:axId val="307840512"/>
        <c:scaling>
          <c:orientation val="minMax"/>
        </c:scaling>
        <c:delete val="1"/>
        <c:axPos val="l"/>
        <c:numFmt formatCode="General" sourceLinked="1"/>
        <c:tickLblPos val="nextTo"/>
        <c:crossAx val="307838976"/>
        <c:crosses val="autoZero"/>
        <c:crossBetween val="between"/>
      </c:valAx>
      <c:spPr>
        <a:noFill/>
        <a:ln w="25352">
          <a:noFill/>
        </a:ln>
      </c:spPr>
    </c:plotArea>
    <c:legend>
      <c:legendPos val="b"/>
      <c:layout>
        <c:manualLayout>
          <c:xMode val="edge"/>
          <c:yMode val="edge"/>
          <c:x val="0.16507936507936521"/>
          <c:y val="0.84761904761904816"/>
          <c:w val="0.68730158730158764"/>
          <c:h val="0.13809523809523827"/>
        </c:manualLayout>
      </c:layout>
      <c:spPr>
        <a:noFill/>
        <a:ln w="3169">
          <a:solidFill>
            <a:srgbClr val="000000"/>
          </a:solidFill>
          <a:prstDash val="solid"/>
        </a:ln>
      </c:spPr>
      <c:txPr>
        <a:bodyPr/>
        <a:lstStyle/>
        <a:p>
          <a:pPr>
            <a:defRPr sz="823" b="1"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798" b="1" i="0" u="none" strike="noStrike" baseline="0">
          <a:solidFill>
            <a:srgbClr val="000000"/>
          </a:solidFill>
          <a:latin typeface="Arial Cyr"/>
          <a:ea typeface="Arial Cyr"/>
          <a:cs typeface="Arial Cy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0.19893899204244056"/>
          <c:y val="0.13493975903614469"/>
          <c:w val="0.64986737400530503"/>
          <c:h val="0.23373493975903628"/>
        </c:manualLayout>
      </c:layout>
      <c:pie3DChart>
        <c:varyColors val="1"/>
        <c:ser>
          <c:idx val="0"/>
          <c:order val="0"/>
          <c:tx>
            <c:strRef>
              <c:f>Sheet1!$A$2</c:f>
              <c:strCache>
                <c:ptCount val="1"/>
                <c:pt idx="0">
                  <c:v>Восток</c:v>
                </c:pt>
              </c:strCache>
            </c:strRef>
          </c:tx>
          <c:spPr>
            <a:solidFill>
              <a:srgbClr val="9999FF"/>
            </a:solidFill>
            <a:ln w="12670">
              <a:solidFill>
                <a:srgbClr val="000000"/>
              </a:solidFill>
              <a:prstDash val="solid"/>
            </a:ln>
          </c:spPr>
          <c:explosion val="25"/>
          <c:dPt>
            <c:idx val="0"/>
            <c:spPr>
              <a:pattFill prst="wdUpDiag">
                <a:fgClr>
                  <a:srgbClr val="9999FF"/>
                </a:fgClr>
                <a:bgClr>
                  <a:srgbClr val="FFFFFF"/>
                </a:bgClr>
              </a:pattFill>
              <a:ln w="12670">
                <a:solidFill>
                  <a:srgbClr val="000000"/>
                </a:solidFill>
                <a:prstDash val="solid"/>
              </a:ln>
            </c:spPr>
          </c:dPt>
          <c:dPt>
            <c:idx val="1"/>
            <c:spPr>
              <a:solidFill>
                <a:srgbClr val="993366"/>
              </a:solidFill>
              <a:ln w="12670">
                <a:solidFill>
                  <a:srgbClr val="000000"/>
                </a:solidFill>
                <a:prstDash val="solid"/>
              </a:ln>
            </c:spPr>
          </c:dPt>
          <c:dPt>
            <c:idx val="2"/>
            <c:spPr>
              <a:solidFill>
                <a:srgbClr val="FFFFCC"/>
              </a:solidFill>
              <a:ln w="12670">
                <a:solidFill>
                  <a:srgbClr val="000000"/>
                </a:solidFill>
                <a:prstDash val="solid"/>
              </a:ln>
            </c:spPr>
          </c:dPt>
          <c:dPt>
            <c:idx val="3"/>
            <c:spPr>
              <a:solidFill>
                <a:srgbClr val="CCFFFF"/>
              </a:solidFill>
              <a:ln w="12670">
                <a:solidFill>
                  <a:srgbClr val="000000"/>
                </a:solidFill>
                <a:prstDash val="solid"/>
              </a:ln>
            </c:spPr>
          </c:dPt>
          <c:dPt>
            <c:idx val="4"/>
            <c:spPr>
              <a:pattFill prst="lgCheck">
                <a:fgClr>
                  <a:srgbClr val="660066"/>
                </a:fgClr>
                <a:bgClr>
                  <a:srgbClr val="FFFFFF"/>
                </a:bgClr>
              </a:pattFill>
              <a:ln w="12670">
                <a:solidFill>
                  <a:srgbClr val="000000"/>
                </a:solidFill>
                <a:prstDash val="solid"/>
              </a:ln>
            </c:spPr>
          </c:dPt>
          <c:dPt>
            <c:idx val="5"/>
            <c:spPr>
              <a:pattFill prst="solidDmnd">
                <a:fgClr>
                  <a:srgbClr val="FF8080"/>
                </a:fgClr>
                <a:bgClr>
                  <a:srgbClr val="FFFFFF"/>
                </a:bgClr>
              </a:pattFill>
              <a:ln w="12670">
                <a:solidFill>
                  <a:srgbClr val="000000"/>
                </a:solidFill>
                <a:prstDash val="solid"/>
              </a:ln>
            </c:spPr>
          </c:dPt>
          <c:dPt>
            <c:idx val="6"/>
            <c:spPr>
              <a:solidFill>
                <a:srgbClr val="0066CC"/>
              </a:solidFill>
              <a:ln w="12670">
                <a:solidFill>
                  <a:srgbClr val="000000"/>
                </a:solidFill>
                <a:prstDash val="solid"/>
              </a:ln>
            </c:spPr>
          </c:dPt>
          <c:dPt>
            <c:idx val="7"/>
            <c:spPr>
              <a:solidFill>
                <a:srgbClr val="CCCCFF"/>
              </a:solidFill>
              <a:ln w="12670">
                <a:solidFill>
                  <a:srgbClr val="000000"/>
                </a:solidFill>
                <a:prstDash val="solid"/>
              </a:ln>
            </c:spPr>
          </c:dPt>
          <c:dPt>
            <c:idx val="8"/>
            <c:spPr>
              <a:solidFill>
                <a:srgbClr val="000080"/>
              </a:solidFill>
              <a:ln w="12670">
                <a:solidFill>
                  <a:srgbClr val="000000"/>
                </a:solidFill>
                <a:prstDash val="solid"/>
              </a:ln>
            </c:spPr>
          </c:dPt>
          <c:dPt>
            <c:idx val="9"/>
            <c:spPr>
              <a:solidFill>
                <a:srgbClr val="FF00FF"/>
              </a:solidFill>
              <a:ln w="12670">
                <a:solidFill>
                  <a:srgbClr val="000000"/>
                </a:solidFill>
                <a:prstDash val="solid"/>
              </a:ln>
            </c:spPr>
          </c:dPt>
          <c:dPt>
            <c:idx val="10"/>
            <c:spPr>
              <a:solidFill>
                <a:srgbClr val="FFFF00"/>
              </a:solidFill>
              <a:ln w="12670">
                <a:solidFill>
                  <a:srgbClr val="000000"/>
                </a:solidFill>
                <a:prstDash val="solid"/>
              </a:ln>
            </c:spPr>
          </c:dPt>
          <c:dPt>
            <c:idx val="11"/>
            <c:spPr>
              <a:pattFill prst="wdUpDiag">
                <a:fgClr>
                  <a:srgbClr val="00FFFF"/>
                </a:fgClr>
                <a:bgClr>
                  <a:srgbClr val="FFFFFF"/>
                </a:bgClr>
              </a:pattFill>
              <a:ln w="12670">
                <a:solidFill>
                  <a:srgbClr val="000000"/>
                </a:solidFill>
                <a:prstDash val="solid"/>
              </a:ln>
            </c:spPr>
          </c:dPt>
          <c:dLbls>
            <c:dLbl>
              <c:idx val="0"/>
              <c:layout>
                <c:manualLayout>
                  <c:x val="0.11995773124228001"/>
                  <c:y val="-9.4663951969352275E-2"/>
                </c:manualLayout>
              </c:layout>
              <c:tx>
                <c:rich>
                  <a:bodyPr/>
                  <a:lstStyle/>
                  <a:p>
                    <a:pPr>
                      <a:defRPr sz="873" b="0" i="0" u="none" strike="noStrike" baseline="0">
                        <a:solidFill>
                          <a:srgbClr val="000000"/>
                        </a:solidFill>
                        <a:latin typeface="Times New Roman"/>
                        <a:ea typeface="Times New Roman"/>
                        <a:cs typeface="Times New Roman"/>
                      </a:defRPr>
                    </a:pPr>
                    <a:r>
                      <a:rPr lang="ru-RU"/>
                      <a:t>0,4%</a:t>
                    </a:r>
                  </a:p>
                </c:rich>
              </c:tx>
              <c:spPr>
                <a:noFill/>
                <a:ln w="25340">
                  <a:noFill/>
                </a:ln>
              </c:spPr>
              <c:dLblPos val="bestFit"/>
            </c:dLbl>
            <c:dLbl>
              <c:idx val="1"/>
              <c:layout>
                <c:manualLayout>
                  <c:x val="0.11595218832325536"/>
                  <c:y val="-2.9603711005496844E-2"/>
                </c:manualLayout>
              </c:layout>
              <c:tx>
                <c:rich>
                  <a:bodyPr/>
                  <a:lstStyle/>
                  <a:p>
                    <a:pPr>
                      <a:defRPr sz="873" b="0" i="0" u="none" strike="noStrike" baseline="0">
                        <a:solidFill>
                          <a:srgbClr val="000000"/>
                        </a:solidFill>
                        <a:latin typeface="Times New Roman"/>
                        <a:ea typeface="Times New Roman"/>
                        <a:cs typeface="Times New Roman"/>
                      </a:defRPr>
                    </a:pPr>
                    <a:r>
                      <a:rPr lang="ru-RU"/>
                      <a:t>0,7%</a:t>
                    </a:r>
                  </a:p>
                </c:rich>
              </c:tx>
              <c:spPr>
                <a:noFill/>
                <a:ln w="25340">
                  <a:noFill/>
                </a:ln>
              </c:spPr>
              <c:dLblPos val="bestFit"/>
            </c:dLbl>
            <c:dLbl>
              <c:idx val="2"/>
              <c:layout>
                <c:manualLayout>
                  <c:x val="-9.2427385366001674E-2"/>
                  <c:y val="-6.8263729432333678E-2"/>
                </c:manualLayout>
              </c:layout>
              <c:tx>
                <c:rich>
                  <a:bodyPr/>
                  <a:lstStyle/>
                  <a:p>
                    <a:pPr>
                      <a:defRPr sz="873" b="0" i="0" u="none" strike="noStrike" baseline="0">
                        <a:solidFill>
                          <a:srgbClr val="000000"/>
                        </a:solidFill>
                        <a:latin typeface="Times New Roman"/>
                        <a:ea typeface="Times New Roman"/>
                        <a:cs typeface="Times New Roman"/>
                      </a:defRPr>
                    </a:pPr>
                    <a:r>
                      <a:rPr lang="ru-RU"/>
                      <a:t>35,2%</a:t>
                    </a:r>
                  </a:p>
                </c:rich>
              </c:tx>
              <c:spPr>
                <a:noFill/>
                <a:ln w="25340">
                  <a:noFill/>
                </a:ln>
              </c:spPr>
              <c:dLblPos val="bestFit"/>
            </c:dLbl>
            <c:dLbl>
              <c:idx val="3"/>
              <c:layout>
                <c:manualLayout>
                  <c:x val="-5.342600036394949E-2"/>
                  <c:y val="-6.5618184043723959E-4"/>
                </c:manualLayout>
              </c:layout>
              <c:tx>
                <c:rich>
                  <a:bodyPr/>
                  <a:lstStyle/>
                  <a:p>
                    <a:pPr>
                      <a:defRPr sz="873" b="0" i="0" u="none" strike="noStrike" baseline="0">
                        <a:solidFill>
                          <a:srgbClr val="000000"/>
                        </a:solidFill>
                        <a:latin typeface="Times New Roman"/>
                        <a:ea typeface="Times New Roman"/>
                        <a:cs typeface="Times New Roman"/>
                      </a:defRPr>
                    </a:pPr>
                    <a:r>
                      <a:rPr lang="ru-RU"/>
                      <a:t>51,8%</a:t>
                    </a:r>
                  </a:p>
                </c:rich>
              </c:tx>
              <c:spPr>
                <a:noFill/>
                <a:ln w="25340">
                  <a:noFill/>
                </a:ln>
              </c:spPr>
              <c:dLblPos val="bestFit"/>
            </c:dLbl>
            <c:dLbl>
              <c:idx val="4"/>
              <c:layout>
                <c:manualLayout>
                  <c:x val="-0.14705097568359032"/>
                  <c:y val="5.5137305551099941E-2"/>
                </c:manualLayout>
              </c:layout>
              <c:tx>
                <c:rich>
                  <a:bodyPr/>
                  <a:lstStyle/>
                  <a:p>
                    <a:pPr>
                      <a:defRPr sz="873" b="0" i="0" u="none" strike="noStrike" baseline="0">
                        <a:solidFill>
                          <a:srgbClr val="000000"/>
                        </a:solidFill>
                        <a:latin typeface="Times New Roman"/>
                        <a:ea typeface="Times New Roman"/>
                        <a:cs typeface="Times New Roman"/>
                      </a:defRPr>
                    </a:pPr>
                    <a:r>
                      <a:rPr lang="ru-RU"/>
                      <a:t>0,2%</a:t>
                    </a:r>
                  </a:p>
                </c:rich>
              </c:tx>
              <c:spPr>
                <a:noFill/>
                <a:ln w="25340">
                  <a:noFill/>
                </a:ln>
              </c:spPr>
              <c:dLblPos val="bestFit"/>
            </c:dLbl>
            <c:dLbl>
              <c:idx val="5"/>
              <c:layout>
                <c:manualLayout>
                  <c:x val="-0.18704630276095269"/>
                  <c:y val="-6.7053870137540383E-2"/>
                </c:manualLayout>
              </c:layout>
              <c:tx>
                <c:rich>
                  <a:bodyPr/>
                  <a:lstStyle/>
                  <a:p>
                    <a:pPr>
                      <a:defRPr sz="873" b="0" i="0" u="none" strike="noStrike" baseline="0">
                        <a:solidFill>
                          <a:srgbClr val="000000"/>
                        </a:solidFill>
                        <a:latin typeface="Times New Roman"/>
                        <a:ea typeface="Times New Roman"/>
                        <a:cs typeface="Times New Roman"/>
                      </a:defRPr>
                    </a:pPr>
                    <a:r>
                      <a:rPr lang="ru-RU"/>
                      <a:t>4,3%</a:t>
                    </a:r>
                  </a:p>
                </c:rich>
              </c:tx>
              <c:spPr>
                <a:noFill/>
                <a:ln w="25340">
                  <a:noFill/>
                </a:ln>
              </c:spPr>
              <c:dLblPos val="bestFit"/>
            </c:dLbl>
            <c:dLbl>
              <c:idx val="6"/>
              <c:layout>
                <c:manualLayout>
                  <c:x val="-0.24529794148200049"/>
                  <c:y val="-5.4839828071633952E-3"/>
                </c:manualLayout>
              </c:layout>
              <c:tx>
                <c:rich>
                  <a:bodyPr/>
                  <a:lstStyle/>
                  <a:p>
                    <a:pPr>
                      <a:defRPr sz="873" b="0" i="0" u="none" strike="noStrike" baseline="0">
                        <a:solidFill>
                          <a:srgbClr val="000000"/>
                        </a:solidFill>
                        <a:latin typeface="Times New Roman"/>
                        <a:ea typeface="Times New Roman"/>
                        <a:cs typeface="Times New Roman"/>
                      </a:defRPr>
                    </a:pPr>
                    <a:r>
                      <a:rPr lang="ru-RU"/>
                      <a:t>1,2%</a:t>
                    </a:r>
                  </a:p>
                </c:rich>
              </c:tx>
              <c:spPr>
                <a:noFill/>
                <a:ln w="25340">
                  <a:noFill/>
                </a:ln>
              </c:spPr>
              <c:dLblPos val="bestFit"/>
            </c:dLbl>
            <c:dLbl>
              <c:idx val="7"/>
              <c:layout>
                <c:manualLayout>
                  <c:x val="-0.27695561858978185"/>
                  <c:y val="-0.11158061700499008"/>
                </c:manualLayout>
              </c:layout>
              <c:tx>
                <c:rich>
                  <a:bodyPr/>
                  <a:lstStyle/>
                  <a:p>
                    <a:pPr>
                      <a:defRPr sz="873" b="0" i="0" u="none" strike="noStrike" baseline="0">
                        <a:solidFill>
                          <a:srgbClr val="000000"/>
                        </a:solidFill>
                        <a:latin typeface="Times New Roman"/>
                        <a:ea typeface="Times New Roman"/>
                        <a:cs typeface="Times New Roman"/>
                      </a:defRPr>
                    </a:pPr>
                    <a:r>
                      <a:rPr lang="ru-RU"/>
                      <a:t>0,1%</a:t>
                    </a:r>
                  </a:p>
                </c:rich>
              </c:tx>
              <c:spPr>
                <a:noFill/>
                <a:ln w="25340">
                  <a:noFill/>
                </a:ln>
              </c:spPr>
              <c:dLblPos val="bestFit"/>
            </c:dLbl>
            <c:dLbl>
              <c:idx val="8"/>
              <c:layout>
                <c:manualLayout>
                  <c:x val="-0.15506435733804624"/>
                  <c:y val="-0.10211455078610694"/>
                </c:manualLayout>
              </c:layout>
              <c:tx>
                <c:rich>
                  <a:bodyPr/>
                  <a:lstStyle/>
                  <a:p>
                    <a:pPr>
                      <a:defRPr sz="873" b="0" i="0" u="none" strike="noStrike" baseline="0">
                        <a:solidFill>
                          <a:srgbClr val="000000"/>
                        </a:solidFill>
                        <a:latin typeface="Times New Roman"/>
                        <a:ea typeface="Times New Roman"/>
                        <a:cs typeface="Times New Roman"/>
                      </a:defRPr>
                    </a:pPr>
                    <a:r>
                      <a:rPr lang="ru-RU"/>
                      <a:t>1,6%</a:t>
                    </a:r>
                  </a:p>
                </c:rich>
              </c:tx>
              <c:spPr>
                <a:noFill/>
                <a:ln w="25340">
                  <a:noFill/>
                </a:ln>
              </c:spPr>
              <c:dLblPos val="bestFit"/>
            </c:dLbl>
            <c:dLbl>
              <c:idx val="9"/>
              <c:layout>
                <c:manualLayout>
                  <c:x val="-8.5838719749473671E-2"/>
                  <c:y val="-9.7723699207382844E-2"/>
                </c:manualLayout>
              </c:layout>
              <c:dLblPos val="bestFit"/>
              <c:showVal val="1"/>
            </c:dLbl>
            <c:dLbl>
              <c:idx val="10"/>
              <c:layout>
                <c:manualLayout>
                  <c:x val="-3.800739234246165E-2"/>
                  <c:y val="-9.4663951969352275E-2"/>
                </c:manualLayout>
              </c:layout>
              <c:tx>
                <c:rich>
                  <a:bodyPr/>
                  <a:lstStyle/>
                  <a:p>
                    <a:pPr>
                      <a:defRPr sz="873" b="0" i="0" u="none" strike="noStrike" baseline="0">
                        <a:solidFill>
                          <a:srgbClr val="000000"/>
                        </a:solidFill>
                        <a:latin typeface="Times New Roman"/>
                        <a:ea typeface="Times New Roman"/>
                        <a:cs typeface="Times New Roman"/>
                      </a:defRPr>
                    </a:pPr>
                    <a:r>
                      <a:rPr lang="ru-RU"/>
                      <a:t>0,2%</a:t>
                    </a:r>
                  </a:p>
                </c:rich>
              </c:tx>
              <c:spPr>
                <a:noFill/>
                <a:ln w="25340">
                  <a:noFill/>
                </a:ln>
              </c:spPr>
              <c:dLblPos val="bestFit"/>
            </c:dLbl>
            <c:dLbl>
              <c:idx val="11"/>
              <c:layout>
                <c:manualLayout>
                  <c:x val="3.3078038460320737E-2"/>
                  <c:y val="-9.7073590523569134E-2"/>
                </c:manualLayout>
              </c:layout>
              <c:tx>
                <c:rich>
                  <a:bodyPr/>
                  <a:lstStyle/>
                  <a:p>
                    <a:pPr>
                      <a:defRPr sz="873" b="0" i="0" u="none" strike="noStrike" baseline="0">
                        <a:solidFill>
                          <a:srgbClr val="000000"/>
                        </a:solidFill>
                        <a:latin typeface="Times New Roman"/>
                        <a:ea typeface="Times New Roman"/>
                        <a:cs typeface="Times New Roman"/>
                      </a:defRPr>
                    </a:pPr>
                    <a:r>
                      <a:rPr lang="ru-RU"/>
                      <a:t>0,8%</a:t>
                    </a:r>
                  </a:p>
                </c:rich>
              </c:tx>
              <c:spPr>
                <a:noFill/>
                <a:ln w="25340">
                  <a:noFill/>
                </a:ln>
              </c:spPr>
              <c:dLblPos val="bestFit"/>
            </c:dLbl>
            <c:dLbl>
              <c:idx val="12"/>
              <c:tx>
                <c:rich>
                  <a:bodyPr/>
                  <a:lstStyle/>
                  <a:p>
                    <a:pPr>
                      <a:defRPr sz="873" b="0" i="0" u="none" strike="noStrike" baseline="0">
                        <a:solidFill>
                          <a:srgbClr val="000000"/>
                        </a:solidFill>
                        <a:latin typeface="Times New Roman"/>
                        <a:ea typeface="Times New Roman"/>
                        <a:cs typeface="Times New Roman"/>
                      </a:defRPr>
                    </a:pPr>
                    <a:r>
                      <a:t>04,%</a:t>
                    </a:r>
                  </a:p>
                </c:rich>
              </c:tx>
              <c:spPr>
                <a:noFill/>
                <a:ln w="25340">
                  <a:noFill/>
                </a:ln>
              </c:spPr>
              <c:dLblPos val="bestFit"/>
            </c:dLbl>
            <c:dLbl>
              <c:idx val="13"/>
              <c:layout>
                <c:manualLayout>
                  <c:xMode val="edge"/>
                  <c:yMode val="edge"/>
                  <c:x val="0.36074270557029181"/>
                  <c:y val="1.2048192771084338E-2"/>
                </c:manualLayout>
              </c:layout>
              <c:dLblPos val="bestFit"/>
              <c:showVal val="1"/>
            </c:dLbl>
            <c:numFmt formatCode="0.0%" sourceLinked="0"/>
            <c:spPr>
              <a:noFill/>
              <a:ln w="25340">
                <a:noFill/>
              </a:ln>
            </c:spPr>
            <c:txPr>
              <a:bodyPr/>
              <a:lstStyle/>
              <a:p>
                <a:pPr>
                  <a:defRPr sz="873" b="0" i="0" u="none" strike="noStrike" baseline="0">
                    <a:solidFill>
                      <a:srgbClr val="000000"/>
                    </a:solidFill>
                    <a:latin typeface="Times New Roman"/>
                    <a:ea typeface="Times New Roman"/>
                    <a:cs typeface="Times New Roman"/>
                  </a:defRPr>
                </a:pPr>
                <a:endParaRPr lang="ru-RU"/>
              </a:p>
            </c:txPr>
            <c:showVal val="1"/>
            <c:showLeaderLines val="1"/>
          </c:dLbls>
          <c:cat>
            <c:strRef>
              <c:f>Sheet1!$B$1:$M$1</c:f>
              <c:strCache>
                <c:ptCount val="12"/>
                <c:pt idx="0">
                  <c:v>Investiţii financiare pe termen lung în părţi afiliate, neafiliate</c:v>
                </c:pt>
                <c:pt idx="1">
                  <c:v>Investiţii imobiliare</c:v>
                </c:pt>
                <c:pt idx="2">
                  <c:v>Creanţe şi avansuri acordate pe termen lung</c:v>
                </c:pt>
                <c:pt idx="3">
                  <c:v>Creanţe comerciale</c:v>
                </c:pt>
                <c:pt idx="4">
                  <c:v>Creanţe ale părţilor afiliate</c:v>
                </c:pt>
                <c:pt idx="5">
                  <c:v>Avansuri acordate curente</c:v>
                </c:pt>
                <c:pt idx="6">
                  <c:v>Creanţe ale bugetului</c:v>
                </c:pt>
                <c:pt idx="7">
                  <c:v>Creanţe ale personalului</c:v>
                </c:pt>
                <c:pt idx="8">
                  <c:v>Alte creanţe curente</c:v>
                </c:pt>
                <c:pt idx="9">
                  <c:v>Numerar în casierie şi la conturi curente</c:v>
                </c:pt>
                <c:pt idx="10">
                  <c:v>Alte elemente de numerar</c:v>
                </c:pt>
                <c:pt idx="11">
                  <c:v>Investiţii financiare curente în părţi afiliate, neafiliate</c:v>
                </c:pt>
              </c:strCache>
            </c:strRef>
          </c:cat>
          <c:val>
            <c:numRef>
              <c:f>Sheet1!$B$2:$M$2</c:f>
              <c:numCache>
                <c:formatCode>0.00%</c:formatCode>
                <c:ptCount val="12"/>
                <c:pt idx="0">
                  <c:v>4.0000000000000036E-3</c:v>
                </c:pt>
                <c:pt idx="1">
                  <c:v>7.0000000000000036E-3</c:v>
                </c:pt>
                <c:pt idx="2">
                  <c:v>0.3520000000000002</c:v>
                </c:pt>
                <c:pt idx="3">
                  <c:v>0.51800000000000002</c:v>
                </c:pt>
                <c:pt idx="4">
                  <c:v>2.0000000000000018E-3</c:v>
                </c:pt>
                <c:pt idx="5">
                  <c:v>1.2E-2</c:v>
                </c:pt>
                <c:pt idx="6">
                  <c:v>4.3000000000000003E-2</c:v>
                </c:pt>
                <c:pt idx="7">
                  <c:v>1.0000000000000009E-3</c:v>
                </c:pt>
                <c:pt idx="8">
                  <c:v>1.6000000000000014E-2</c:v>
                </c:pt>
                <c:pt idx="9">
                  <c:v>3.500000000000001E-2</c:v>
                </c:pt>
                <c:pt idx="10">
                  <c:v>2.0000000000000018E-3</c:v>
                </c:pt>
                <c:pt idx="11">
                  <c:v>8.0000000000000088E-3</c:v>
                </c:pt>
              </c:numCache>
            </c:numRef>
          </c:val>
        </c:ser>
        <c:dLbls>
          <c:showVal val="1"/>
        </c:dLbls>
      </c:pie3DChart>
      <c:spPr>
        <a:solidFill>
          <a:srgbClr val="FFFFFF"/>
        </a:solidFill>
        <a:ln w="12670">
          <a:solidFill>
            <a:srgbClr val="FFFFFF"/>
          </a:solidFill>
          <a:prstDash val="solid"/>
        </a:ln>
      </c:spPr>
    </c:plotArea>
    <c:legend>
      <c:legendPos val="b"/>
      <c:spPr>
        <a:noFill/>
        <a:ln w="3168">
          <a:solidFill>
            <a:srgbClr val="000000"/>
          </a:solidFill>
          <a:prstDash val="solid"/>
        </a:ln>
      </c:spPr>
      <c:txPr>
        <a:bodyPr/>
        <a:lstStyle/>
        <a:p>
          <a:pPr>
            <a:defRPr sz="733"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873" b="0" i="0" u="none" strike="noStrike" baseline="0">
          <a:solidFill>
            <a:srgbClr val="000000"/>
          </a:solidFill>
          <a:latin typeface="Times New Roman"/>
          <a:ea typeface="Times New Roman"/>
          <a:cs typeface="Times New Roman"/>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0.23607427055702931"/>
          <c:y val="0.1253012048192772"/>
          <c:w val="0.64721485411140622"/>
          <c:h val="0.23373493975903628"/>
        </c:manualLayout>
      </c:layout>
      <c:pie3DChart>
        <c:varyColors val="1"/>
        <c:ser>
          <c:idx val="0"/>
          <c:order val="0"/>
          <c:tx>
            <c:strRef>
              <c:f>Sheet1!$A$2</c:f>
              <c:strCache>
                <c:ptCount val="1"/>
                <c:pt idx="0">
                  <c:v>Восток</c:v>
                </c:pt>
              </c:strCache>
            </c:strRef>
          </c:tx>
          <c:spPr>
            <a:solidFill>
              <a:srgbClr val="9999FF"/>
            </a:solidFill>
            <a:ln w="10727">
              <a:solidFill>
                <a:srgbClr val="000000"/>
              </a:solidFill>
              <a:prstDash val="solid"/>
            </a:ln>
          </c:spPr>
          <c:explosion val="25"/>
          <c:dPt>
            <c:idx val="0"/>
            <c:spPr>
              <a:pattFill prst="wdUpDiag">
                <a:fgClr>
                  <a:srgbClr val="9999FF"/>
                </a:fgClr>
                <a:bgClr>
                  <a:srgbClr val="FFFFFF"/>
                </a:bgClr>
              </a:pattFill>
              <a:ln w="10727">
                <a:solidFill>
                  <a:srgbClr val="000000"/>
                </a:solidFill>
                <a:prstDash val="solid"/>
              </a:ln>
            </c:spPr>
          </c:dPt>
          <c:dPt>
            <c:idx val="1"/>
            <c:spPr>
              <a:solidFill>
                <a:srgbClr val="993366"/>
              </a:solidFill>
              <a:ln w="10727">
                <a:solidFill>
                  <a:srgbClr val="000000"/>
                </a:solidFill>
                <a:prstDash val="solid"/>
              </a:ln>
            </c:spPr>
          </c:dPt>
          <c:dPt>
            <c:idx val="2"/>
            <c:spPr>
              <a:solidFill>
                <a:srgbClr val="FFFFCC"/>
              </a:solidFill>
              <a:ln w="10727">
                <a:solidFill>
                  <a:srgbClr val="000000"/>
                </a:solidFill>
                <a:prstDash val="solid"/>
              </a:ln>
            </c:spPr>
          </c:dPt>
          <c:dPt>
            <c:idx val="3"/>
            <c:spPr>
              <a:solidFill>
                <a:srgbClr val="CCFFFF"/>
              </a:solidFill>
              <a:ln w="10727">
                <a:solidFill>
                  <a:srgbClr val="000000"/>
                </a:solidFill>
                <a:prstDash val="solid"/>
              </a:ln>
            </c:spPr>
          </c:dPt>
          <c:dPt>
            <c:idx val="4"/>
            <c:spPr>
              <a:pattFill prst="lgCheck">
                <a:fgClr>
                  <a:srgbClr val="660066"/>
                </a:fgClr>
                <a:bgClr>
                  <a:srgbClr val="FFFFFF"/>
                </a:bgClr>
              </a:pattFill>
              <a:ln w="10727">
                <a:solidFill>
                  <a:srgbClr val="000000"/>
                </a:solidFill>
                <a:prstDash val="solid"/>
              </a:ln>
            </c:spPr>
          </c:dPt>
          <c:dPt>
            <c:idx val="5"/>
            <c:spPr>
              <a:pattFill prst="solidDmnd">
                <a:fgClr>
                  <a:srgbClr val="FF8080"/>
                </a:fgClr>
                <a:bgClr>
                  <a:srgbClr val="FFFFFF"/>
                </a:bgClr>
              </a:pattFill>
              <a:ln w="10727">
                <a:solidFill>
                  <a:srgbClr val="000000"/>
                </a:solidFill>
                <a:prstDash val="solid"/>
              </a:ln>
            </c:spPr>
          </c:dPt>
          <c:dPt>
            <c:idx val="6"/>
            <c:spPr>
              <a:solidFill>
                <a:srgbClr val="0066CC"/>
              </a:solidFill>
              <a:ln w="10727">
                <a:solidFill>
                  <a:srgbClr val="000000"/>
                </a:solidFill>
                <a:prstDash val="solid"/>
              </a:ln>
            </c:spPr>
          </c:dPt>
          <c:dPt>
            <c:idx val="7"/>
            <c:spPr>
              <a:solidFill>
                <a:srgbClr val="CCCCFF"/>
              </a:solidFill>
              <a:ln w="10727">
                <a:solidFill>
                  <a:srgbClr val="000000"/>
                </a:solidFill>
                <a:prstDash val="solid"/>
              </a:ln>
            </c:spPr>
          </c:dPt>
          <c:dPt>
            <c:idx val="8"/>
            <c:spPr>
              <a:solidFill>
                <a:srgbClr val="000080"/>
              </a:solidFill>
              <a:ln w="10727">
                <a:solidFill>
                  <a:srgbClr val="000000"/>
                </a:solidFill>
                <a:prstDash val="solid"/>
              </a:ln>
            </c:spPr>
          </c:dPt>
          <c:dPt>
            <c:idx val="9"/>
            <c:spPr>
              <a:solidFill>
                <a:srgbClr val="FF00FF"/>
              </a:solidFill>
              <a:ln w="10727">
                <a:solidFill>
                  <a:srgbClr val="000000"/>
                </a:solidFill>
                <a:prstDash val="solid"/>
              </a:ln>
            </c:spPr>
          </c:dPt>
          <c:dPt>
            <c:idx val="10"/>
            <c:spPr>
              <a:solidFill>
                <a:srgbClr val="FFFF00"/>
              </a:solidFill>
              <a:ln w="10727">
                <a:solidFill>
                  <a:srgbClr val="000000"/>
                </a:solidFill>
                <a:prstDash val="solid"/>
              </a:ln>
            </c:spPr>
          </c:dPt>
          <c:dPt>
            <c:idx val="11"/>
            <c:spPr>
              <a:pattFill prst="wdUpDiag">
                <a:fgClr>
                  <a:srgbClr val="00FFFF"/>
                </a:fgClr>
                <a:bgClr>
                  <a:srgbClr val="FFFFFF"/>
                </a:bgClr>
              </a:pattFill>
              <a:ln w="10727">
                <a:solidFill>
                  <a:srgbClr val="000000"/>
                </a:solidFill>
                <a:prstDash val="solid"/>
              </a:ln>
            </c:spPr>
          </c:dPt>
          <c:dLbls>
            <c:dLbl>
              <c:idx val="0"/>
              <c:layout>
                <c:manualLayout>
                  <c:x val="0.12738250799022033"/>
                  <c:y val="-9.1449304121782662E-2"/>
                </c:manualLayout>
              </c:layout>
              <c:tx>
                <c:rich>
                  <a:bodyPr/>
                  <a:lstStyle/>
                  <a:p>
                    <a:pPr>
                      <a:defRPr sz="739" b="0" i="0" u="none" strike="noStrike" baseline="0">
                        <a:solidFill>
                          <a:srgbClr val="000000"/>
                        </a:solidFill>
                        <a:latin typeface="Times New Roman"/>
                        <a:ea typeface="Times New Roman"/>
                        <a:cs typeface="Times New Roman"/>
                      </a:defRPr>
                    </a:pPr>
                    <a:r>
                      <a:rPr lang="ru-RU"/>
                      <a:t>0,5%</a:t>
                    </a:r>
                  </a:p>
                </c:rich>
              </c:tx>
              <c:spPr>
                <a:noFill/>
                <a:ln w="21455">
                  <a:noFill/>
                </a:ln>
              </c:spPr>
              <c:dLblPos val="bestFit"/>
            </c:dLbl>
            <c:dLbl>
              <c:idx val="1"/>
              <c:layout>
                <c:manualLayout>
                  <c:x val="8.4865341515580395E-2"/>
                  <c:y val="-2.6389063157927235E-2"/>
                </c:manualLayout>
              </c:layout>
              <c:tx>
                <c:rich>
                  <a:bodyPr/>
                  <a:lstStyle/>
                  <a:p>
                    <a:pPr>
                      <a:defRPr sz="739" b="0" i="0" u="none" strike="noStrike" baseline="0">
                        <a:solidFill>
                          <a:srgbClr val="000000"/>
                        </a:solidFill>
                        <a:latin typeface="Times New Roman"/>
                        <a:ea typeface="Times New Roman"/>
                        <a:cs typeface="Times New Roman"/>
                      </a:defRPr>
                    </a:pPr>
                    <a:r>
                      <a:rPr lang="ru-RU"/>
                      <a:t>1,2%</a:t>
                    </a:r>
                  </a:p>
                </c:rich>
              </c:tx>
              <c:spPr>
                <a:noFill/>
                <a:ln w="21455">
                  <a:noFill/>
                </a:ln>
              </c:spPr>
              <c:dLblPos val="bestFit"/>
            </c:dLbl>
            <c:dLbl>
              <c:idx val="2"/>
              <c:layout>
                <c:manualLayout>
                  <c:x val="1.0655358719249677E-2"/>
                  <c:y val="-4.1284331793734537E-2"/>
                </c:manualLayout>
              </c:layout>
              <c:tx>
                <c:rich>
                  <a:bodyPr/>
                  <a:lstStyle/>
                  <a:p>
                    <a:pPr>
                      <a:defRPr sz="739" b="0" i="0" u="none" strike="noStrike" baseline="0">
                        <a:solidFill>
                          <a:srgbClr val="000000"/>
                        </a:solidFill>
                        <a:latin typeface="Times New Roman"/>
                        <a:ea typeface="Times New Roman"/>
                        <a:cs typeface="Times New Roman"/>
                      </a:defRPr>
                    </a:pPr>
                    <a:r>
                      <a:rPr lang="ru-RU"/>
                      <a:t>15,7%</a:t>
                    </a:r>
                  </a:p>
                </c:rich>
              </c:tx>
              <c:spPr>
                <a:noFill/>
                <a:ln w="21455">
                  <a:noFill/>
                </a:ln>
              </c:spPr>
              <c:dLblPos val="bestFit"/>
            </c:dLbl>
            <c:dLbl>
              <c:idx val="3"/>
              <c:layout>
                <c:manualLayout>
                  <c:x val="0.21645932014557642"/>
                  <c:y val="-4.4413389902033334E-2"/>
                </c:manualLayout>
              </c:layout>
              <c:tx>
                <c:rich>
                  <a:bodyPr/>
                  <a:lstStyle/>
                  <a:p>
                    <a:pPr>
                      <a:defRPr sz="739" b="0" i="0" u="none" strike="noStrike" baseline="0">
                        <a:solidFill>
                          <a:srgbClr val="000000"/>
                        </a:solidFill>
                        <a:latin typeface="Times New Roman"/>
                        <a:ea typeface="Times New Roman"/>
                        <a:cs typeface="Times New Roman"/>
                      </a:defRPr>
                    </a:pPr>
                    <a:r>
                      <a:rPr lang="ru-RU"/>
                      <a:t>61,8%</a:t>
                    </a:r>
                  </a:p>
                </c:rich>
              </c:tx>
              <c:spPr>
                <a:noFill/>
                <a:ln w="21455">
                  <a:noFill/>
                </a:ln>
              </c:spPr>
              <c:dLblPos val="bestFit"/>
            </c:dLbl>
            <c:dLbl>
              <c:idx val="4"/>
              <c:layout>
                <c:manualLayout>
                  <c:x val="-4.4996999619992262E-2"/>
                  <c:y val="8.2680198236259939E-2"/>
                </c:manualLayout>
              </c:layout>
              <c:tx>
                <c:rich>
                  <a:bodyPr/>
                  <a:lstStyle/>
                  <a:p>
                    <a:pPr>
                      <a:defRPr sz="739" b="0" i="0" u="none" strike="noStrike" baseline="0">
                        <a:solidFill>
                          <a:srgbClr val="000000"/>
                        </a:solidFill>
                        <a:latin typeface="Times New Roman"/>
                        <a:ea typeface="Times New Roman"/>
                        <a:cs typeface="Times New Roman"/>
                      </a:defRPr>
                    </a:pPr>
                    <a:r>
                      <a:rPr lang="ru-RU"/>
                      <a:t>0,6%</a:t>
                    </a:r>
                  </a:p>
                </c:rich>
              </c:tx>
              <c:spPr>
                <a:noFill/>
                <a:ln w="21455">
                  <a:noFill/>
                </a:ln>
              </c:spPr>
              <c:dLblPos val="bestFit"/>
            </c:dLbl>
            <c:dLbl>
              <c:idx val="5"/>
              <c:layout>
                <c:manualLayout>
                  <c:x val="-0.13237727799709392"/>
                  <c:y val="4.3630399959872092E-2"/>
                </c:manualLayout>
              </c:layout>
              <c:tx>
                <c:rich>
                  <a:bodyPr/>
                  <a:lstStyle/>
                  <a:p>
                    <a:pPr>
                      <a:defRPr sz="739" b="0" i="0" u="none" strike="noStrike" baseline="0">
                        <a:solidFill>
                          <a:srgbClr val="000000"/>
                        </a:solidFill>
                        <a:latin typeface="Times New Roman"/>
                        <a:ea typeface="Times New Roman"/>
                        <a:cs typeface="Times New Roman"/>
                      </a:defRPr>
                    </a:pPr>
                    <a:r>
                      <a:rPr lang="ru-RU"/>
                      <a:t>1,8%</a:t>
                    </a:r>
                  </a:p>
                </c:rich>
              </c:tx>
              <c:spPr>
                <a:noFill/>
                <a:ln w="21455">
                  <a:noFill/>
                </a:ln>
              </c:spPr>
              <c:dLblPos val="bestFit"/>
            </c:dLbl>
            <c:dLbl>
              <c:idx val="6"/>
              <c:layout>
                <c:manualLayout>
                  <c:x val="-0.19324162323307273"/>
                  <c:y val="-3.5296757516541277E-3"/>
                </c:manualLayout>
              </c:layout>
              <c:tx>
                <c:rich>
                  <a:bodyPr/>
                  <a:lstStyle/>
                  <a:p>
                    <a:pPr>
                      <a:defRPr sz="739" b="0" i="0" u="none" strike="noStrike" baseline="0">
                        <a:solidFill>
                          <a:srgbClr val="000000"/>
                        </a:solidFill>
                        <a:latin typeface="Times New Roman"/>
                        <a:ea typeface="Times New Roman"/>
                        <a:cs typeface="Times New Roman"/>
                      </a:defRPr>
                    </a:pPr>
                    <a:r>
                      <a:rPr lang="ru-RU"/>
                      <a:t>7,7%</a:t>
                    </a:r>
                  </a:p>
                </c:rich>
              </c:tx>
              <c:spPr>
                <a:noFill/>
                <a:ln w="21455">
                  <a:noFill/>
                </a:ln>
              </c:spPr>
              <c:dLblPos val="bestFit"/>
            </c:dLbl>
            <c:dLbl>
              <c:idx val="7"/>
              <c:layout>
                <c:manualLayout>
                  <c:x val="-0.1639826190102924"/>
                  <c:y val="-3.5936065370378432E-2"/>
                </c:manualLayout>
              </c:layout>
              <c:tx>
                <c:rich>
                  <a:bodyPr/>
                  <a:lstStyle/>
                  <a:p>
                    <a:pPr>
                      <a:defRPr sz="739" b="0" i="0" u="none" strike="noStrike" baseline="0">
                        <a:solidFill>
                          <a:srgbClr val="000000"/>
                        </a:solidFill>
                        <a:latin typeface="Times New Roman"/>
                        <a:ea typeface="Times New Roman"/>
                        <a:cs typeface="Times New Roman"/>
                      </a:defRPr>
                    </a:pPr>
                    <a:r>
                      <a:rPr lang="ru-RU"/>
                      <a:t>0,1%</a:t>
                    </a:r>
                  </a:p>
                </c:rich>
              </c:tx>
              <c:spPr>
                <a:noFill/>
                <a:ln w="21455">
                  <a:noFill/>
                </a:ln>
              </c:spPr>
              <c:dLblPos val="bestFit"/>
            </c:dLbl>
            <c:dLbl>
              <c:idx val="8"/>
              <c:layout>
                <c:manualLayout>
                  <c:x val="-8.6711491173000727E-2"/>
                  <c:y val="-6.1787478588934769E-2"/>
                </c:manualLayout>
              </c:layout>
              <c:tx>
                <c:rich>
                  <a:bodyPr/>
                  <a:lstStyle/>
                  <a:p>
                    <a:pPr>
                      <a:defRPr sz="739" b="0" i="0" u="none" strike="noStrike" baseline="0">
                        <a:solidFill>
                          <a:srgbClr val="000000"/>
                        </a:solidFill>
                        <a:latin typeface="Times New Roman"/>
                        <a:ea typeface="Times New Roman"/>
                        <a:cs typeface="Times New Roman"/>
                      </a:defRPr>
                    </a:pPr>
                    <a:r>
                      <a:rPr lang="ru-RU"/>
                      <a:t>4,0%</a:t>
                    </a:r>
                  </a:p>
                </c:rich>
              </c:tx>
              <c:spPr>
                <a:noFill/>
                <a:ln w="21455">
                  <a:noFill/>
                </a:ln>
              </c:spPr>
              <c:dLblPos val="bestFit"/>
            </c:dLbl>
            <c:dLbl>
              <c:idx val="9"/>
              <c:layout>
                <c:manualLayout>
                  <c:x val="-6.2294719613836702E-2"/>
                  <c:y val="-6.137083712697701E-2"/>
                </c:manualLayout>
              </c:layout>
              <c:dLblPos val="bestFit"/>
              <c:showVal val="1"/>
            </c:dLbl>
            <c:dLbl>
              <c:idx val="10"/>
              <c:tx>
                <c:rich>
                  <a:bodyPr/>
                  <a:lstStyle/>
                  <a:p>
                    <a:pPr>
                      <a:defRPr sz="739" b="0" i="0" u="none" strike="noStrike" baseline="0">
                        <a:solidFill>
                          <a:srgbClr val="000000"/>
                        </a:solidFill>
                        <a:latin typeface="Times New Roman"/>
                        <a:ea typeface="Times New Roman"/>
                        <a:cs typeface="Times New Roman"/>
                      </a:defRPr>
                    </a:pPr>
                    <a:r>
                      <a:rPr lang="ru-RU"/>
                      <a:t>0,3%</a:t>
                    </a:r>
                  </a:p>
                </c:rich>
              </c:tx>
              <c:spPr>
                <a:noFill/>
                <a:ln w="21455">
                  <a:noFill/>
                </a:ln>
              </c:spPr>
              <c:dLblPos val="bestFit"/>
            </c:dLbl>
            <c:dLbl>
              <c:idx val="11"/>
              <c:tx>
                <c:rich>
                  <a:bodyPr/>
                  <a:lstStyle/>
                  <a:p>
                    <a:pPr>
                      <a:defRPr sz="739" b="0" i="0" u="none" strike="noStrike" baseline="0">
                        <a:solidFill>
                          <a:srgbClr val="000000"/>
                        </a:solidFill>
                        <a:latin typeface="Times New Roman"/>
                        <a:ea typeface="Times New Roman"/>
                        <a:cs typeface="Times New Roman"/>
                      </a:defRPr>
                    </a:pPr>
                    <a:r>
                      <a:rPr lang="ru-RU"/>
                      <a:t>0,7%</a:t>
                    </a:r>
                  </a:p>
                </c:rich>
              </c:tx>
              <c:spPr>
                <a:noFill/>
                <a:ln w="21455">
                  <a:noFill/>
                </a:ln>
              </c:spPr>
              <c:dLblPos val="bestFit"/>
            </c:dLbl>
            <c:dLbl>
              <c:idx val="12"/>
              <c:tx>
                <c:rich>
                  <a:bodyPr/>
                  <a:lstStyle/>
                  <a:p>
                    <a:pPr>
                      <a:defRPr sz="739" b="0" i="0" u="none" strike="noStrike" baseline="0">
                        <a:solidFill>
                          <a:srgbClr val="000000"/>
                        </a:solidFill>
                        <a:latin typeface="Times New Roman"/>
                        <a:ea typeface="Times New Roman"/>
                        <a:cs typeface="Times New Roman"/>
                      </a:defRPr>
                    </a:pPr>
                    <a:r>
                      <a:t>04,%</a:t>
                    </a:r>
                  </a:p>
                </c:rich>
              </c:tx>
              <c:spPr>
                <a:noFill/>
                <a:ln w="21455">
                  <a:noFill/>
                </a:ln>
              </c:spPr>
              <c:dLblPos val="bestFit"/>
            </c:dLbl>
            <c:dLbl>
              <c:idx val="13"/>
              <c:layout>
                <c:manualLayout>
                  <c:xMode val="edge"/>
                  <c:yMode val="edge"/>
                  <c:x val="0.36074270557029181"/>
                  <c:y val="1.2048192771084338E-2"/>
                </c:manualLayout>
              </c:layout>
              <c:dLblPos val="bestFit"/>
              <c:showVal val="1"/>
            </c:dLbl>
            <c:numFmt formatCode="0.0%" sourceLinked="0"/>
            <c:spPr>
              <a:noFill/>
              <a:ln w="21455">
                <a:noFill/>
              </a:ln>
            </c:spPr>
            <c:txPr>
              <a:bodyPr/>
              <a:lstStyle/>
              <a:p>
                <a:pPr>
                  <a:defRPr sz="739" b="0" i="0" u="none" strike="noStrike" baseline="0">
                    <a:solidFill>
                      <a:srgbClr val="000000"/>
                    </a:solidFill>
                    <a:latin typeface="Times New Roman"/>
                    <a:ea typeface="Times New Roman"/>
                    <a:cs typeface="Times New Roman"/>
                  </a:defRPr>
                </a:pPr>
                <a:endParaRPr lang="ru-RU"/>
              </a:p>
            </c:txPr>
            <c:showVal val="1"/>
            <c:showLeaderLines val="1"/>
          </c:dLbls>
          <c:cat>
            <c:strRef>
              <c:f>Sheet1!$B$1:$M$1</c:f>
              <c:strCache>
                <c:ptCount val="12"/>
                <c:pt idx="0">
                  <c:v>Investiţii financiare pe termen lung în părţi afiliate, neafiliate</c:v>
                </c:pt>
                <c:pt idx="1">
                  <c:v>Investiţii imobiliare</c:v>
                </c:pt>
                <c:pt idx="2">
                  <c:v>Creanţe şi avansuri acordate pe termen lung</c:v>
                </c:pt>
                <c:pt idx="3">
                  <c:v>Creanţe comerciale</c:v>
                </c:pt>
                <c:pt idx="4">
                  <c:v>Creanţe ale părţilor afiliate</c:v>
                </c:pt>
                <c:pt idx="5">
                  <c:v>Avansuri acordate curente</c:v>
                </c:pt>
                <c:pt idx="6">
                  <c:v>Creanţe ale bugetului</c:v>
                </c:pt>
                <c:pt idx="7">
                  <c:v>Creanţe ale personalului</c:v>
                </c:pt>
                <c:pt idx="8">
                  <c:v>Alte creanţe curente</c:v>
                </c:pt>
                <c:pt idx="9">
                  <c:v>Numerar în casierie şi la conturi curente</c:v>
                </c:pt>
                <c:pt idx="10">
                  <c:v>Alte elemente de numerar</c:v>
                </c:pt>
                <c:pt idx="11">
                  <c:v>Investiţii financiare curente în părţi afiliate, neafiliate</c:v>
                </c:pt>
              </c:strCache>
            </c:strRef>
          </c:cat>
          <c:val>
            <c:numRef>
              <c:f>Sheet1!$B$2:$M$2</c:f>
              <c:numCache>
                <c:formatCode>0.00%</c:formatCode>
                <c:ptCount val="12"/>
                <c:pt idx="0">
                  <c:v>5.0000000000000036E-3</c:v>
                </c:pt>
                <c:pt idx="1">
                  <c:v>1.2E-2</c:v>
                </c:pt>
                <c:pt idx="2">
                  <c:v>0.15700000000000011</c:v>
                </c:pt>
                <c:pt idx="3">
                  <c:v>0.61800000000000044</c:v>
                </c:pt>
                <c:pt idx="4">
                  <c:v>6.0000000000000036E-3</c:v>
                </c:pt>
                <c:pt idx="5">
                  <c:v>1.7999999999999999E-2</c:v>
                </c:pt>
                <c:pt idx="6">
                  <c:v>7.6999999999999999E-2</c:v>
                </c:pt>
                <c:pt idx="7">
                  <c:v>1.0000000000000009E-3</c:v>
                </c:pt>
                <c:pt idx="8">
                  <c:v>4.0000000000000022E-2</c:v>
                </c:pt>
                <c:pt idx="9">
                  <c:v>5.6000000000000001E-2</c:v>
                </c:pt>
                <c:pt idx="10">
                  <c:v>3.0000000000000018E-3</c:v>
                </c:pt>
                <c:pt idx="11">
                  <c:v>7.0000000000000036E-3</c:v>
                </c:pt>
              </c:numCache>
            </c:numRef>
          </c:val>
        </c:ser>
        <c:dLbls>
          <c:showVal val="1"/>
        </c:dLbls>
      </c:pie3DChart>
      <c:spPr>
        <a:solidFill>
          <a:srgbClr val="FFFFFF"/>
        </a:solidFill>
        <a:ln w="10727">
          <a:solidFill>
            <a:srgbClr val="FFFFFF"/>
          </a:solidFill>
          <a:prstDash val="solid"/>
        </a:ln>
      </c:spPr>
    </c:plotArea>
    <c:legend>
      <c:legendPos val="b"/>
      <c:spPr>
        <a:noFill/>
        <a:ln w="2682">
          <a:solidFill>
            <a:srgbClr val="000000"/>
          </a:solidFill>
          <a:prstDash val="solid"/>
        </a:ln>
      </c:spPr>
      <c:txPr>
        <a:bodyPr/>
        <a:lstStyle/>
        <a:p>
          <a:pPr>
            <a:defRPr sz="621"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739" b="0" i="0" u="none" strike="noStrike" baseline="0">
          <a:solidFill>
            <a:srgbClr val="000000"/>
          </a:solidFill>
          <a:latin typeface="Times New Roman"/>
          <a:ea typeface="Times New Roman"/>
          <a:cs typeface="Times New Roman"/>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0.22606382978723416"/>
          <c:y val="0.18285714285714302"/>
          <c:w val="0.6143617021276595"/>
          <c:h val="0.26285714285714284"/>
        </c:manualLayout>
      </c:layout>
      <c:pie3DChart>
        <c:varyColors val="1"/>
        <c:ser>
          <c:idx val="0"/>
          <c:order val="0"/>
          <c:tx>
            <c:strRef>
              <c:f>Sheet1!$A$2</c:f>
              <c:strCache>
                <c:ptCount val="1"/>
                <c:pt idx="0">
                  <c:v>Восток</c:v>
                </c:pt>
              </c:strCache>
            </c:strRef>
          </c:tx>
          <c:spPr>
            <a:solidFill>
              <a:srgbClr val="9999FF"/>
            </a:solidFill>
            <a:ln w="12685">
              <a:solidFill>
                <a:srgbClr val="000000"/>
              </a:solidFill>
              <a:prstDash val="solid"/>
            </a:ln>
          </c:spPr>
          <c:explosion val="25"/>
          <c:dPt>
            <c:idx val="0"/>
            <c:spPr>
              <a:pattFill prst="wdUpDiag">
                <a:fgClr>
                  <a:srgbClr val="9999FF"/>
                </a:fgClr>
                <a:bgClr>
                  <a:srgbClr val="FFFFFF"/>
                </a:bgClr>
              </a:pattFill>
              <a:ln w="12685">
                <a:solidFill>
                  <a:srgbClr val="000000"/>
                </a:solidFill>
                <a:prstDash val="solid"/>
              </a:ln>
            </c:spPr>
          </c:dPt>
          <c:dPt>
            <c:idx val="1"/>
            <c:spPr>
              <a:solidFill>
                <a:srgbClr val="993366"/>
              </a:solidFill>
              <a:ln w="12685">
                <a:solidFill>
                  <a:srgbClr val="000000"/>
                </a:solidFill>
                <a:prstDash val="solid"/>
              </a:ln>
            </c:spPr>
          </c:dPt>
          <c:dPt>
            <c:idx val="2"/>
            <c:spPr>
              <a:solidFill>
                <a:srgbClr val="FFFFCC"/>
              </a:solidFill>
              <a:ln w="12685">
                <a:solidFill>
                  <a:srgbClr val="000000"/>
                </a:solidFill>
                <a:prstDash val="solid"/>
              </a:ln>
            </c:spPr>
          </c:dPt>
          <c:dPt>
            <c:idx val="3"/>
            <c:spPr>
              <a:solidFill>
                <a:srgbClr val="CCFFFF"/>
              </a:solidFill>
              <a:ln w="12685">
                <a:solidFill>
                  <a:srgbClr val="000000"/>
                </a:solidFill>
                <a:prstDash val="solid"/>
              </a:ln>
            </c:spPr>
          </c:dPt>
          <c:dPt>
            <c:idx val="4"/>
            <c:spPr>
              <a:pattFill prst="lgCheck">
                <a:fgClr>
                  <a:srgbClr val="660066"/>
                </a:fgClr>
                <a:bgClr>
                  <a:srgbClr val="FFFFFF"/>
                </a:bgClr>
              </a:pattFill>
              <a:ln w="12685">
                <a:solidFill>
                  <a:srgbClr val="000000"/>
                </a:solidFill>
                <a:prstDash val="solid"/>
              </a:ln>
            </c:spPr>
          </c:dPt>
          <c:dPt>
            <c:idx val="5"/>
            <c:spPr>
              <a:pattFill prst="solidDmnd">
                <a:fgClr>
                  <a:srgbClr val="FF8080"/>
                </a:fgClr>
                <a:bgClr>
                  <a:srgbClr val="FFFFFF"/>
                </a:bgClr>
              </a:pattFill>
              <a:ln w="12685">
                <a:solidFill>
                  <a:srgbClr val="000000"/>
                </a:solidFill>
                <a:prstDash val="solid"/>
              </a:ln>
            </c:spPr>
          </c:dPt>
          <c:dPt>
            <c:idx val="6"/>
            <c:spPr>
              <a:solidFill>
                <a:srgbClr val="0066CC"/>
              </a:solidFill>
              <a:ln w="12685">
                <a:solidFill>
                  <a:srgbClr val="000000"/>
                </a:solidFill>
                <a:prstDash val="solid"/>
              </a:ln>
            </c:spPr>
          </c:dPt>
          <c:dPt>
            <c:idx val="7"/>
            <c:spPr>
              <a:solidFill>
                <a:srgbClr val="CCCCFF"/>
              </a:solidFill>
              <a:ln w="12685">
                <a:solidFill>
                  <a:srgbClr val="000000"/>
                </a:solidFill>
                <a:prstDash val="solid"/>
              </a:ln>
            </c:spPr>
          </c:dPt>
          <c:dPt>
            <c:idx val="8"/>
            <c:spPr>
              <a:solidFill>
                <a:srgbClr val="000080"/>
              </a:solidFill>
              <a:ln w="12685">
                <a:solidFill>
                  <a:srgbClr val="000000"/>
                </a:solidFill>
                <a:prstDash val="solid"/>
              </a:ln>
            </c:spPr>
          </c:dPt>
          <c:dPt>
            <c:idx val="9"/>
            <c:spPr>
              <a:solidFill>
                <a:srgbClr val="FF00FF"/>
              </a:solidFill>
              <a:ln w="12685">
                <a:solidFill>
                  <a:srgbClr val="000000"/>
                </a:solidFill>
                <a:prstDash val="solid"/>
              </a:ln>
            </c:spPr>
          </c:dPt>
          <c:dPt>
            <c:idx val="10"/>
            <c:spPr>
              <a:solidFill>
                <a:srgbClr val="FFFF00"/>
              </a:solidFill>
              <a:ln w="12685">
                <a:solidFill>
                  <a:srgbClr val="000000"/>
                </a:solidFill>
                <a:prstDash val="solid"/>
              </a:ln>
            </c:spPr>
          </c:dPt>
          <c:dLbls>
            <c:dLbl>
              <c:idx val="0"/>
              <c:layout>
                <c:manualLayout>
                  <c:x val="3.9884049869563641E-2"/>
                  <c:y val="-0.10350486579085869"/>
                </c:manualLayout>
              </c:layout>
              <c:tx>
                <c:rich>
                  <a:bodyPr/>
                  <a:lstStyle/>
                  <a:p>
                    <a:pPr>
                      <a:defRPr sz="899" b="0" i="0" u="none" strike="noStrike" baseline="0">
                        <a:solidFill>
                          <a:srgbClr val="000000"/>
                        </a:solidFill>
                        <a:latin typeface="Times New Roman"/>
                        <a:ea typeface="Times New Roman"/>
                        <a:cs typeface="Times New Roman"/>
                      </a:defRPr>
                    </a:pPr>
                    <a:r>
                      <a:rPr lang="ru-RU"/>
                      <a:t>4,3%</a:t>
                    </a:r>
                  </a:p>
                </c:rich>
              </c:tx>
              <c:spPr>
                <a:noFill/>
                <a:ln w="25370">
                  <a:noFill/>
                </a:ln>
              </c:spPr>
              <c:dLblPos val="bestFit"/>
            </c:dLbl>
            <c:dLbl>
              <c:idx val="1"/>
              <c:layout>
                <c:manualLayout>
                  <c:x val="8.4491118738099016E-2"/>
                  <c:y val="-0.1176411492141464"/>
                </c:manualLayout>
              </c:layout>
              <c:tx>
                <c:rich>
                  <a:bodyPr/>
                  <a:lstStyle/>
                  <a:p>
                    <a:pPr>
                      <a:defRPr sz="899" b="0" i="0" u="none" strike="noStrike" baseline="0">
                        <a:solidFill>
                          <a:srgbClr val="000000"/>
                        </a:solidFill>
                        <a:latin typeface="Times New Roman"/>
                        <a:ea typeface="Times New Roman"/>
                        <a:cs typeface="Times New Roman"/>
                      </a:defRPr>
                    </a:pPr>
                    <a:r>
                      <a:rPr lang="ru-RU"/>
                      <a:t>3,6%</a:t>
                    </a:r>
                  </a:p>
                </c:rich>
              </c:tx>
              <c:spPr>
                <a:noFill/>
                <a:ln w="25370">
                  <a:noFill/>
                </a:ln>
              </c:spPr>
              <c:dLblPos val="bestFit"/>
            </c:dLbl>
            <c:dLbl>
              <c:idx val="2"/>
              <c:layout>
                <c:manualLayout>
                  <c:x val="0.1328218015896252"/>
                  <c:y val="-6.5667743366941519E-2"/>
                </c:manualLayout>
              </c:layout>
              <c:tx>
                <c:rich>
                  <a:bodyPr/>
                  <a:lstStyle/>
                  <a:p>
                    <a:pPr>
                      <a:defRPr sz="899" b="0" i="0" u="none" strike="noStrike" baseline="0">
                        <a:solidFill>
                          <a:srgbClr val="000000"/>
                        </a:solidFill>
                        <a:latin typeface="Times New Roman"/>
                        <a:ea typeface="Times New Roman"/>
                        <a:cs typeface="Times New Roman"/>
                      </a:defRPr>
                    </a:pPr>
                    <a:r>
                      <a:rPr lang="ru-RU"/>
                      <a:t>2,2%</a:t>
                    </a:r>
                  </a:p>
                </c:rich>
              </c:tx>
              <c:spPr>
                <a:noFill/>
                <a:ln w="25370">
                  <a:noFill/>
                </a:ln>
              </c:spPr>
              <c:dLblPos val="bestFit"/>
            </c:dLbl>
            <c:dLbl>
              <c:idx val="3"/>
              <c:layout>
                <c:manualLayout>
                  <c:x val="0.33497569229498392"/>
                  <c:y val="-0.17526171040546537"/>
                </c:manualLayout>
              </c:layout>
              <c:tx>
                <c:rich>
                  <a:bodyPr/>
                  <a:lstStyle/>
                  <a:p>
                    <a:pPr>
                      <a:defRPr sz="899" b="0" i="0" u="none" strike="noStrike" baseline="0">
                        <a:solidFill>
                          <a:srgbClr val="000000"/>
                        </a:solidFill>
                        <a:latin typeface="Times New Roman"/>
                        <a:ea typeface="Times New Roman"/>
                        <a:cs typeface="Times New Roman"/>
                      </a:defRPr>
                    </a:pPr>
                    <a:r>
                      <a:rPr lang="ru-RU"/>
                      <a:t>78,7%</a:t>
                    </a:r>
                  </a:p>
                </c:rich>
              </c:tx>
              <c:spPr>
                <a:noFill/>
                <a:ln w="25370">
                  <a:noFill/>
                </a:ln>
              </c:spPr>
              <c:dLblPos val="bestFit"/>
            </c:dLbl>
            <c:dLbl>
              <c:idx val="4"/>
              <c:layout>
                <c:manualLayout>
                  <c:x val="-0.19124644707935387"/>
                  <c:y val="-4.6905243495939206E-2"/>
                </c:manualLayout>
              </c:layout>
              <c:tx>
                <c:rich>
                  <a:bodyPr/>
                  <a:lstStyle/>
                  <a:p>
                    <a:pPr>
                      <a:defRPr sz="899" b="0" i="0" u="none" strike="noStrike" baseline="0">
                        <a:solidFill>
                          <a:srgbClr val="000000"/>
                        </a:solidFill>
                        <a:latin typeface="Times New Roman"/>
                        <a:ea typeface="Times New Roman"/>
                        <a:cs typeface="Times New Roman"/>
                      </a:defRPr>
                    </a:pPr>
                    <a:r>
                      <a:rPr lang="ru-RU"/>
                      <a:t>0,79%</a:t>
                    </a:r>
                  </a:p>
                </c:rich>
              </c:tx>
              <c:spPr>
                <a:noFill/>
                <a:ln w="25370">
                  <a:noFill/>
                </a:ln>
              </c:spPr>
              <c:dLblPos val="bestFit"/>
            </c:dLbl>
            <c:dLbl>
              <c:idx val="5"/>
              <c:layout>
                <c:manualLayout>
                  <c:x val="-0.17211465860065336"/>
                  <c:y val="5.1518044189430526E-2"/>
                </c:manualLayout>
              </c:layout>
              <c:tx>
                <c:rich>
                  <a:bodyPr/>
                  <a:lstStyle/>
                  <a:p>
                    <a:pPr>
                      <a:defRPr sz="899" b="0" i="0" u="none" strike="noStrike" baseline="0">
                        <a:solidFill>
                          <a:srgbClr val="000000"/>
                        </a:solidFill>
                        <a:latin typeface="Times New Roman"/>
                        <a:ea typeface="Times New Roman"/>
                        <a:cs typeface="Times New Roman"/>
                      </a:defRPr>
                    </a:pPr>
                    <a:r>
                      <a:rPr lang="ru-RU"/>
                      <a:t>0,01%</a:t>
                    </a:r>
                  </a:p>
                </c:rich>
              </c:tx>
              <c:spPr>
                <a:noFill/>
                <a:ln w="25370">
                  <a:noFill/>
                </a:ln>
              </c:spPr>
              <c:dLblPos val="bestFit"/>
            </c:dLbl>
            <c:dLbl>
              <c:idx val="6"/>
              <c:layout>
                <c:manualLayout>
                  <c:x val="-0.23435624688777523"/>
                  <c:y val="-0.10583399552120204"/>
                </c:manualLayout>
              </c:layout>
              <c:tx>
                <c:rich>
                  <a:bodyPr/>
                  <a:lstStyle/>
                  <a:p>
                    <a:pPr>
                      <a:defRPr sz="899" b="0" i="0" u="none" strike="noStrike" baseline="0">
                        <a:solidFill>
                          <a:srgbClr val="000000"/>
                        </a:solidFill>
                        <a:latin typeface="Times New Roman"/>
                        <a:ea typeface="Times New Roman"/>
                        <a:cs typeface="Times New Roman"/>
                      </a:defRPr>
                    </a:pPr>
                    <a:r>
                      <a:rPr lang="ru-RU"/>
                      <a:t>4,0%</a:t>
                    </a:r>
                  </a:p>
                </c:rich>
              </c:tx>
              <c:spPr>
                <a:noFill/>
                <a:ln w="25370">
                  <a:noFill/>
                </a:ln>
              </c:spPr>
              <c:dLblPos val="bestFit"/>
            </c:dLbl>
            <c:dLbl>
              <c:idx val="7"/>
              <c:layout>
                <c:manualLayout>
                  <c:x val="-0.22137967912701312"/>
                  <c:y val="-0.14621185539880913"/>
                </c:manualLayout>
              </c:layout>
              <c:tx>
                <c:rich>
                  <a:bodyPr/>
                  <a:lstStyle/>
                  <a:p>
                    <a:pPr>
                      <a:defRPr sz="899" b="0" i="0" u="none" strike="noStrike" baseline="0">
                        <a:solidFill>
                          <a:srgbClr val="000000"/>
                        </a:solidFill>
                        <a:latin typeface="Times New Roman"/>
                        <a:ea typeface="Times New Roman"/>
                        <a:cs typeface="Times New Roman"/>
                      </a:defRPr>
                    </a:pPr>
                    <a:r>
                      <a:rPr lang="ru-RU"/>
                      <a:t>0,1%</a:t>
                    </a:r>
                  </a:p>
                </c:rich>
              </c:tx>
              <c:spPr>
                <a:noFill/>
                <a:ln w="25370">
                  <a:noFill/>
                </a:ln>
              </c:spPr>
              <c:dLblPos val="bestFit"/>
            </c:dLbl>
            <c:dLbl>
              <c:idx val="8"/>
              <c:dLblPos val="bestFit"/>
              <c:showVal val="1"/>
            </c:dLbl>
            <c:dLbl>
              <c:idx val="9"/>
              <c:layout>
                <c:manualLayout>
                  <c:x val="7.0042501000539348E-3"/>
                  <c:y val="-0.12921915150514446"/>
                </c:manualLayout>
              </c:layout>
              <c:tx>
                <c:rich>
                  <a:bodyPr/>
                  <a:lstStyle/>
                  <a:p>
                    <a:pPr>
                      <a:defRPr sz="899" b="0" i="0" u="none" strike="noStrike" baseline="0">
                        <a:solidFill>
                          <a:srgbClr val="000000"/>
                        </a:solidFill>
                        <a:latin typeface="Times New Roman"/>
                        <a:ea typeface="Times New Roman"/>
                        <a:cs typeface="Times New Roman"/>
                      </a:defRPr>
                    </a:pPr>
                    <a:r>
                      <a:rPr lang="ru-RU"/>
                      <a:t>0,9%</a:t>
                    </a:r>
                  </a:p>
                </c:rich>
              </c:tx>
              <c:spPr>
                <a:noFill/>
                <a:ln w="25370">
                  <a:noFill/>
                </a:ln>
              </c:spPr>
              <c:dLblPos val="bestFit"/>
            </c:dLbl>
            <c:dLbl>
              <c:idx val="10"/>
              <c:layout>
                <c:manualLayout>
                  <c:x val="5.4237194215714532E-2"/>
                  <c:y val="-0.1235048657908587"/>
                </c:manualLayout>
              </c:layout>
              <c:tx>
                <c:rich>
                  <a:bodyPr/>
                  <a:lstStyle/>
                  <a:p>
                    <a:pPr>
                      <a:defRPr sz="899" b="0" i="0" u="none" strike="noStrike" baseline="0">
                        <a:solidFill>
                          <a:srgbClr val="000000"/>
                        </a:solidFill>
                        <a:latin typeface="Times New Roman"/>
                        <a:ea typeface="Times New Roman"/>
                        <a:cs typeface="Times New Roman"/>
                      </a:defRPr>
                    </a:pPr>
                    <a:r>
                      <a:rPr lang="ru-RU"/>
                      <a:t>1,5%</a:t>
                    </a:r>
                  </a:p>
                </c:rich>
              </c:tx>
              <c:spPr>
                <a:noFill/>
                <a:ln w="25370">
                  <a:noFill/>
                </a:ln>
              </c:spPr>
              <c:dLblPos val="bestFit"/>
            </c:dLbl>
            <c:dLbl>
              <c:idx val="11"/>
              <c:layout>
                <c:manualLayout>
                  <c:xMode val="edge"/>
                  <c:yMode val="edge"/>
                  <c:x val="0.52393617021276528"/>
                  <c:y val="0"/>
                </c:manualLayout>
              </c:layout>
              <c:tx>
                <c:rich>
                  <a:bodyPr/>
                  <a:lstStyle/>
                  <a:p>
                    <a:pPr>
                      <a:defRPr sz="899" b="0" i="0" u="none" strike="noStrike" baseline="0">
                        <a:solidFill>
                          <a:srgbClr val="000000"/>
                        </a:solidFill>
                        <a:latin typeface="Times New Roman"/>
                        <a:ea typeface="Times New Roman"/>
                        <a:cs typeface="Times New Roman"/>
                      </a:defRPr>
                    </a:pPr>
                    <a:r>
                      <a:t>1,7%</a:t>
                    </a:r>
                  </a:p>
                </c:rich>
              </c:tx>
              <c:spPr>
                <a:noFill/>
                <a:ln w="25370">
                  <a:noFill/>
                </a:ln>
              </c:spPr>
              <c:dLblPos val="bestFit"/>
            </c:dLbl>
            <c:numFmt formatCode="0.0%" sourceLinked="0"/>
            <c:spPr>
              <a:noFill/>
              <a:ln w="25370">
                <a:noFill/>
              </a:ln>
            </c:spPr>
            <c:txPr>
              <a:bodyPr/>
              <a:lstStyle/>
              <a:p>
                <a:pPr>
                  <a:defRPr sz="899" b="0" i="0" u="none" strike="noStrike" baseline="0">
                    <a:solidFill>
                      <a:srgbClr val="000000"/>
                    </a:solidFill>
                    <a:latin typeface="Times New Roman"/>
                    <a:ea typeface="Times New Roman"/>
                    <a:cs typeface="Times New Roman"/>
                  </a:defRPr>
                </a:pPr>
                <a:endParaRPr lang="ru-RU"/>
              </a:p>
            </c:txPr>
            <c:showVal val="1"/>
            <c:showLeaderLines val="1"/>
          </c:dLbls>
          <c:cat>
            <c:strRef>
              <c:f>Sheet1!$B$1:$L$1</c:f>
              <c:strCache>
                <c:ptCount val="11"/>
                <c:pt idx="0">
                  <c:v>Imobilizări necorporale</c:v>
                </c:pt>
                <c:pt idx="1">
                  <c:v>Imobilizări corporale în curs de execuţie</c:v>
                </c:pt>
                <c:pt idx="2">
                  <c:v>Terenuri</c:v>
                </c:pt>
                <c:pt idx="3">
                  <c:v>Mijloace fixe</c:v>
                </c:pt>
                <c:pt idx="4">
                  <c:v>Resurse minerale, active biologice imobilizate şi circulante</c:v>
                </c:pt>
                <c:pt idx="5">
                  <c:v>Alte active imobilizate</c:v>
                </c:pt>
                <c:pt idx="6">
                  <c:v>Materiale</c:v>
                </c:pt>
                <c:pt idx="7">
                  <c:v>Obiecte de mică valoare şi scurtă durată</c:v>
                </c:pt>
                <c:pt idx="8">
                  <c:v>Producţia în curs de execuţie şi produse</c:v>
                </c:pt>
                <c:pt idx="9">
                  <c:v>Mărfuri</c:v>
                </c:pt>
                <c:pt idx="10">
                  <c:v>Alte active circulante</c:v>
                </c:pt>
              </c:strCache>
            </c:strRef>
          </c:cat>
          <c:val>
            <c:numRef>
              <c:f>Sheet1!$B$2:$L$2</c:f>
              <c:numCache>
                <c:formatCode>0.00%</c:formatCode>
                <c:ptCount val="11"/>
                <c:pt idx="0">
                  <c:v>4.3000000000000003E-2</c:v>
                </c:pt>
                <c:pt idx="1">
                  <c:v>3.5999999999999997E-2</c:v>
                </c:pt>
                <c:pt idx="2">
                  <c:v>2.1999999999999999E-2</c:v>
                </c:pt>
                <c:pt idx="3">
                  <c:v>0.78700000000000003</c:v>
                </c:pt>
                <c:pt idx="4">
                  <c:v>1.0000000000000009E-4</c:v>
                </c:pt>
                <c:pt idx="5">
                  <c:v>7.9000000000000077E-3</c:v>
                </c:pt>
                <c:pt idx="6">
                  <c:v>4.0000000000000022E-2</c:v>
                </c:pt>
                <c:pt idx="7">
                  <c:v>1.0000000000000009E-3</c:v>
                </c:pt>
                <c:pt idx="8">
                  <c:v>3.9000000000000014E-2</c:v>
                </c:pt>
                <c:pt idx="9">
                  <c:v>9.0000000000000028E-3</c:v>
                </c:pt>
                <c:pt idx="10">
                  <c:v>1.4999999999999998E-2</c:v>
                </c:pt>
              </c:numCache>
            </c:numRef>
          </c:val>
        </c:ser>
        <c:dLbls>
          <c:showVal val="1"/>
        </c:dLbls>
      </c:pie3DChart>
      <c:spPr>
        <a:solidFill>
          <a:srgbClr val="FFFFFF"/>
        </a:solidFill>
        <a:ln w="12685">
          <a:solidFill>
            <a:srgbClr val="FFFFFF"/>
          </a:solidFill>
          <a:prstDash val="solid"/>
        </a:ln>
      </c:spPr>
    </c:plotArea>
    <c:legend>
      <c:legendPos val="b"/>
      <c:spPr>
        <a:noFill/>
        <a:ln w="3171">
          <a:solidFill>
            <a:srgbClr val="000000"/>
          </a:solidFill>
          <a:prstDash val="solid"/>
        </a:ln>
      </c:spPr>
      <c:txPr>
        <a:bodyPr/>
        <a:lstStyle/>
        <a:p>
          <a:pPr>
            <a:defRPr sz="824"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874" b="0" i="0" u="none" strike="noStrike" baseline="0">
          <a:solidFill>
            <a:srgbClr val="000000"/>
          </a:solidFill>
          <a:latin typeface="Times New Roman"/>
          <a:ea typeface="Times New Roman"/>
          <a:cs typeface="Times New Roman"/>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0.22606382978723416"/>
          <c:y val="0.18285714285714302"/>
          <c:w val="0.6143617021276595"/>
          <c:h val="0.26285714285714284"/>
        </c:manualLayout>
      </c:layout>
      <c:pie3DChart>
        <c:varyColors val="1"/>
        <c:ser>
          <c:idx val="0"/>
          <c:order val="0"/>
          <c:tx>
            <c:strRef>
              <c:f>Sheet1!$A$2</c:f>
              <c:strCache>
                <c:ptCount val="1"/>
                <c:pt idx="0">
                  <c:v>Восток</c:v>
                </c:pt>
              </c:strCache>
            </c:strRef>
          </c:tx>
          <c:spPr>
            <a:solidFill>
              <a:srgbClr val="9999FF"/>
            </a:solidFill>
            <a:ln w="9514">
              <a:solidFill>
                <a:srgbClr val="000000"/>
              </a:solidFill>
              <a:prstDash val="solid"/>
            </a:ln>
          </c:spPr>
          <c:explosion val="25"/>
          <c:dPt>
            <c:idx val="0"/>
            <c:spPr>
              <a:pattFill prst="wdUpDiag">
                <a:fgClr>
                  <a:srgbClr val="9999FF"/>
                </a:fgClr>
                <a:bgClr>
                  <a:srgbClr val="FFFFFF"/>
                </a:bgClr>
              </a:pattFill>
              <a:ln w="9514">
                <a:solidFill>
                  <a:srgbClr val="000000"/>
                </a:solidFill>
                <a:prstDash val="solid"/>
              </a:ln>
            </c:spPr>
          </c:dPt>
          <c:dPt>
            <c:idx val="1"/>
            <c:spPr>
              <a:solidFill>
                <a:srgbClr val="993366"/>
              </a:solidFill>
              <a:ln w="9514">
                <a:solidFill>
                  <a:srgbClr val="000000"/>
                </a:solidFill>
                <a:prstDash val="solid"/>
              </a:ln>
            </c:spPr>
          </c:dPt>
          <c:dPt>
            <c:idx val="2"/>
            <c:spPr>
              <a:solidFill>
                <a:srgbClr val="FFFFCC"/>
              </a:solidFill>
              <a:ln w="9514">
                <a:solidFill>
                  <a:srgbClr val="000000"/>
                </a:solidFill>
                <a:prstDash val="solid"/>
              </a:ln>
            </c:spPr>
          </c:dPt>
          <c:dPt>
            <c:idx val="3"/>
            <c:spPr>
              <a:solidFill>
                <a:srgbClr val="CCFFFF"/>
              </a:solidFill>
              <a:ln w="9514">
                <a:solidFill>
                  <a:srgbClr val="000000"/>
                </a:solidFill>
                <a:prstDash val="solid"/>
              </a:ln>
            </c:spPr>
          </c:dPt>
          <c:dPt>
            <c:idx val="4"/>
            <c:spPr>
              <a:pattFill prst="lgCheck">
                <a:fgClr>
                  <a:srgbClr val="660066"/>
                </a:fgClr>
                <a:bgClr>
                  <a:srgbClr val="FFFFFF"/>
                </a:bgClr>
              </a:pattFill>
              <a:ln w="9514">
                <a:solidFill>
                  <a:srgbClr val="000000"/>
                </a:solidFill>
                <a:prstDash val="solid"/>
              </a:ln>
            </c:spPr>
          </c:dPt>
          <c:dPt>
            <c:idx val="5"/>
            <c:spPr>
              <a:pattFill prst="solidDmnd">
                <a:fgClr>
                  <a:srgbClr val="FF8080"/>
                </a:fgClr>
                <a:bgClr>
                  <a:srgbClr val="FFFFFF"/>
                </a:bgClr>
              </a:pattFill>
              <a:ln w="9514">
                <a:solidFill>
                  <a:srgbClr val="000000"/>
                </a:solidFill>
                <a:prstDash val="solid"/>
              </a:ln>
            </c:spPr>
          </c:dPt>
          <c:dPt>
            <c:idx val="6"/>
            <c:spPr>
              <a:solidFill>
                <a:srgbClr val="0066CC"/>
              </a:solidFill>
              <a:ln w="9514">
                <a:solidFill>
                  <a:srgbClr val="000000"/>
                </a:solidFill>
                <a:prstDash val="solid"/>
              </a:ln>
            </c:spPr>
          </c:dPt>
          <c:dPt>
            <c:idx val="7"/>
            <c:spPr>
              <a:solidFill>
                <a:srgbClr val="CCCCFF"/>
              </a:solidFill>
              <a:ln w="9514">
                <a:solidFill>
                  <a:srgbClr val="000000"/>
                </a:solidFill>
                <a:prstDash val="solid"/>
              </a:ln>
            </c:spPr>
          </c:dPt>
          <c:dPt>
            <c:idx val="8"/>
            <c:spPr>
              <a:solidFill>
                <a:srgbClr val="000080"/>
              </a:solidFill>
              <a:ln w="9514">
                <a:solidFill>
                  <a:srgbClr val="000000"/>
                </a:solidFill>
                <a:prstDash val="solid"/>
              </a:ln>
            </c:spPr>
          </c:dPt>
          <c:dPt>
            <c:idx val="9"/>
            <c:spPr>
              <a:solidFill>
                <a:srgbClr val="FF00FF"/>
              </a:solidFill>
              <a:ln w="9514">
                <a:solidFill>
                  <a:srgbClr val="000000"/>
                </a:solidFill>
                <a:prstDash val="solid"/>
              </a:ln>
            </c:spPr>
          </c:dPt>
          <c:dPt>
            <c:idx val="10"/>
            <c:spPr>
              <a:solidFill>
                <a:srgbClr val="FFFF00"/>
              </a:solidFill>
              <a:ln w="9514">
                <a:solidFill>
                  <a:srgbClr val="000000"/>
                </a:solidFill>
                <a:prstDash val="solid"/>
              </a:ln>
            </c:spPr>
          </c:dPt>
          <c:dLbls>
            <c:dLbl>
              <c:idx val="0"/>
              <c:layout>
                <c:manualLayout>
                  <c:x val="4.5668410482357251E-2"/>
                  <c:y val="-0.11037022321751062"/>
                </c:manualLayout>
              </c:layout>
              <c:tx>
                <c:rich>
                  <a:bodyPr/>
                  <a:lstStyle/>
                  <a:p>
                    <a:pPr>
                      <a:defRPr sz="674" b="0" i="0" u="none" strike="noStrike" baseline="0">
                        <a:solidFill>
                          <a:srgbClr val="000000"/>
                        </a:solidFill>
                        <a:latin typeface="Times New Roman"/>
                        <a:ea typeface="Times New Roman"/>
                        <a:cs typeface="Times New Roman"/>
                      </a:defRPr>
                    </a:pPr>
                    <a:r>
                      <a:rPr lang="ru-RU"/>
                      <a:t>4,8%</a:t>
                    </a:r>
                  </a:p>
                </c:rich>
              </c:tx>
              <c:spPr>
                <a:noFill/>
                <a:ln w="19028">
                  <a:noFill/>
                </a:ln>
              </c:spPr>
              <c:dLblPos val="bestFit"/>
            </c:dLbl>
            <c:dLbl>
              <c:idx val="1"/>
              <c:layout>
                <c:manualLayout>
                  <c:x val="8.7605610377675086E-2"/>
                  <c:y val="-0.124424618940981"/>
                </c:manualLayout>
              </c:layout>
              <c:tx>
                <c:rich>
                  <a:bodyPr/>
                  <a:lstStyle/>
                  <a:p>
                    <a:pPr>
                      <a:defRPr sz="674" b="0" i="0" u="none" strike="noStrike" baseline="0">
                        <a:solidFill>
                          <a:srgbClr val="000000"/>
                        </a:solidFill>
                        <a:latin typeface="Times New Roman"/>
                        <a:ea typeface="Times New Roman"/>
                        <a:cs typeface="Times New Roman"/>
                      </a:defRPr>
                    </a:pPr>
                    <a:r>
                      <a:rPr lang="ru-RU"/>
                      <a:t>2,8%</a:t>
                    </a:r>
                  </a:p>
                </c:rich>
              </c:tx>
              <c:spPr>
                <a:noFill/>
                <a:ln w="19028">
                  <a:noFill/>
                </a:ln>
              </c:spPr>
              <c:dLblPos val="bestFit"/>
            </c:dLbl>
            <c:dLbl>
              <c:idx val="2"/>
              <c:layout>
                <c:manualLayout>
                  <c:x val="0.12755141746098689"/>
                  <c:y val="-8.1204063941548707E-2"/>
                </c:manualLayout>
              </c:layout>
              <c:tx>
                <c:rich>
                  <a:bodyPr/>
                  <a:lstStyle/>
                  <a:p>
                    <a:pPr>
                      <a:defRPr sz="674" b="0" i="0" u="none" strike="noStrike" baseline="0">
                        <a:solidFill>
                          <a:srgbClr val="000000"/>
                        </a:solidFill>
                        <a:latin typeface="Times New Roman"/>
                        <a:ea typeface="Times New Roman"/>
                        <a:cs typeface="Times New Roman"/>
                      </a:defRPr>
                    </a:pPr>
                    <a:r>
                      <a:rPr lang="ru-RU"/>
                      <a:t>2,39%</a:t>
                    </a:r>
                  </a:p>
                </c:rich>
              </c:tx>
              <c:spPr>
                <a:noFill/>
                <a:ln w="19028">
                  <a:noFill/>
                </a:ln>
              </c:spPr>
              <c:dLblPos val="bestFit"/>
            </c:dLbl>
            <c:dLbl>
              <c:idx val="3"/>
              <c:layout>
                <c:manualLayout>
                  <c:x val="0.32843554454603274"/>
                  <c:y val="-0.17526171040546537"/>
                </c:manualLayout>
              </c:layout>
              <c:tx>
                <c:rich>
                  <a:bodyPr/>
                  <a:lstStyle/>
                  <a:p>
                    <a:pPr>
                      <a:defRPr sz="674" b="0" i="0" u="none" strike="noStrike" baseline="0">
                        <a:solidFill>
                          <a:srgbClr val="000000"/>
                        </a:solidFill>
                        <a:latin typeface="Times New Roman"/>
                        <a:ea typeface="Times New Roman"/>
                        <a:cs typeface="Times New Roman"/>
                      </a:defRPr>
                    </a:pPr>
                    <a:r>
                      <a:rPr lang="ru-RU"/>
                      <a:t>78,9%</a:t>
                    </a:r>
                  </a:p>
                </c:rich>
              </c:tx>
              <c:spPr>
                <a:noFill/>
                <a:ln w="19028">
                  <a:noFill/>
                </a:ln>
              </c:spPr>
              <c:dLblPos val="bestFit"/>
            </c:dLbl>
            <c:dLbl>
              <c:idx val="4"/>
              <c:layout>
                <c:manualLayout>
                  <c:x val="-0.21482384107076136"/>
                  <c:y val="-5.1797865863097474E-2"/>
                </c:manualLayout>
              </c:layout>
              <c:tx>
                <c:rich>
                  <a:bodyPr/>
                  <a:lstStyle/>
                  <a:p>
                    <a:pPr>
                      <a:defRPr sz="674" b="0" i="0" u="none" strike="noStrike" baseline="0">
                        <a:solidFill>
                          <a:srgbClr val="000000"/>
                        </a:solidFill>
                        <a:latin typeface="Times New Roman"/>
                        <a:ea typeface="Times New Roman"/>
                        <a:cs typeface="Times New Roman"/>
                      </a:defRPr>
                    </a:pPr>
                    <a:r>
                      <a:rPr lang="ru-RU"/>
                      <a:t>1,5%</a:t>
                    </a:r>
                  </a:p>
                </c:rich>
              </c:tx>
              <c:spPr>
                <a:noFill/>
                <a:ln w="19028">
                  <a:noFill/>
                </a:ln>
              </c:spPr>
              <c:dLblPos val="bestFit"/>
            </c:dLbl>
            <c:dLbl>
              <c:idx val="5"/>
              <c:layout>
                <c:manualLayout>
                  <c:x val="-0.19954580393471957"/>
                  <c:y val="4.5530180287097252E-2"/>
                </c:manualLayout>
              </c:layout>
              <c:tx>
                <c:rich>
                  <a:bodyPr/>
                  <a:lstStyle/>
                  <a:p>
                    <a:pPr>
                      <a:defRPr sz="674" b="0" i="0" u="none" strike="noStrike" baseline="0">
                        <a:solidFill>
                          <a:srgbClr val="000000"/>
                        </a:solidFill>
                        <a:latin typeface="Times New Roman"/>
                        <a:ea typeface="Times New Roman"/>
                        <a:cs typeface="Times New Roman"/>
                      </a:defRPr>
                    </a:pPr>
                    <a:r>
                      <a:rPr lang="ru-RU"/>
                      <a:t>0,01%</a:t>
                    </a:r>
                  </a:p>
                </c:rich>
              </c:tx>
              <c:spPr>
                <a:noFill/>
                <a:ln w="19028">
                  <a:noFill/>
                </a:ln>
              </c:spPr>
              <c:dLblPos val="bestFit"/>
            </c:dLbl>
            <c:dLbl>
              <c:idx val="6"/>
              <c:layout>
                <c:manualLayout>
                  <c:x val="-0.25110658567382582"/>
                  <c:y val="-0.12253960227448638"/>
                </c:manualLayout>
              </c:layout>
              <c:tx>
                <c:rich>
                  <a:bodyPr/>
                  <a:lstStyle/>
                  <a:p>
                    <a:pPr>
                      <a:defRPr sz="674" b="0" i="0" u="none" strike="noStrike" baseline="0">
                        <a:solidFill>
                          <a:srgbClr val="000000"/>
                        </a:solidFill>
                        <a:latin typeface="Times New Roman"/>
                        <a:ea typeface="Times New Roman"/>
                        <a:cs typeface="Times New Roman"/>
                      </a:defRPr>
                    </a:pPr>
                    <a:r>
                      <a:rPr lang="ru-RU"/>
                      <a:t>3,8%</a:t>
                    </a:r>
                  </a:p>
                </c:rich>
              </c:tx>
              <c:spPr>
                <a:noFill/>
                <a:ln w="19028">
                  <a:noFill/>
                </a:ln>
              </c:spPr>
              <c:dLblPos val="bestFit"/>
            </c:dLbl>
            <c:dLbl>
              <c:idx val="7"/>
              <c:layout>
                <c:manualLayout>
                  <c:x val="-0.23813326556838854"/>
                  <c:y val="-0.15392044457745543"/>
                </c:manualLayout>
              </c:layout>
              <c:tx>
                <c:rich>
                  <a:bodyPr/>
                  <a:lstStyle/>
                  <a:p>
                    <a:pPr>
                      <a:defRPr sz="674" b="0" i="0" u="none" strike="noStrike" baseline="0">
                        <a:solidFill>
                          <a:srgbClr val="000000"/>
                        </a:solidFill>
                        <a:latin typeface="Times New Roman"/>
                        <a:ea typeface="Times New Roman"/>
                        <a:cs typeface="Times New Roman"/>
                      </a:defRPr>
                    </a:pPr>
                    <a:r>
                      <a:rPr lang="ru-RU"/>
                      <a:t>0,1%</a:t>
                    </a:r>
                  </a:p>
                </c:rich>
              </c:tx>
              <c:spPr>
                <a:noFill/>
                <a:ln w="19028">
                  <a:noFill/>
                </a:ln>
              </c:spPr>
              <c:dLblPos val="bestFit"/>
            </c:dLbl>
            <c:dLbl>
              <c:idx val="8"/>
              <c:dLblPos val="bestFit"/>
              <c:showVal val="1"/>
            </c:dLbl>
            <c:dLbl>
              <c:idx val="9"/>
              <c:layout>
                <c:manualLayout>
                  <c:x val="4.2533129029426203E-4"/>
                  <c:y val="-0.14679141598125925"/>
                </c:manualLayout>
              </c:layout>
              <c:tx>
                <c:rich>
                  <a:bodyPr/>
                  <a:lstStyle/>
                  <a:p>
                    <a:pPr>
                      <a:defRPr sz="674" b="0" i="0" u="none" strike="noStrike" baseline="0">
                        <a:solidFill>
                          <a:srgbClr val="000000"/>
                        </a:solidFill>
                        <a:latin typeface="Times New Roman"/>
                        <a:ea typeface="Times New Roman"/>
                        <a:cs typeface="Times New Roman"/>
                      </a:defRPr>
                    </a:pPr>
                    <a:r>
                      <a:rPr lang="ru-RU"/>
                      <a:t>0,8%</a:t>
                    </a:r>
                  </a:p>
                </c:rich>
              </c:tx>
              <c:spPr>
                <a:noFill/>
                <a:ln w="19028">
                  <a:noFill/>
                </a:ln>
              </c:spPr>
              <c:dLblPos val="bestFit"/>
            </c:dLbl>
            <c:dLbl>
              <c:idx val="10"/>
              <c:layout>
                <c:manualLayout>
                  <c:x val="5.0680236088746146E-2"/>
                  <c:y val="-0.1325057016955449"/>
                </c:manualLayout>
              </c:layout>
              <c:tx>
                <c:rich>
                  <a:bodyPr/>
                  <a:lstStyle/>
                  <a:p>
                    <a:pPr>
                      <a:defRPr sz="674" b="0" i="0" u="none" strike="noStrike" baseline="0">
                        <a:solidFill>
                          <a:srgbClr val="000000"/>
                        </a:solidFill>
                        <a:latin typeface="Times New Roman"/>
                        <a:ea typeface="Times New Roman"/>
                        <a:cs typeface="Times New Roman"/>
                      </a:defRPr>
                    </a:pPr>
                    <a:r>
                      <a:rPr lang="ru-RU"/>
                      <a:t>1,0%</a:t>
                    </a:r>
                  </a:p>
                </c:rich>
              </c:tx>
              <c:spPr>
                <a:noFill/>
                <a:ln w="19028">
                  <a:noFill/>
                </a:ln>
              </c:spPr>
              <c:dLblPos val="bestFit"/>
            </c:dLbl>
            <c:dLbl>
              <c:idx val="11"/>
              <c:layout>
                <c:manualLayout>
                  <c:xMode val="edge"/>
                  <c:yMode val="edge"/>
                  <c:x val="0.52393617021276528"/>
                  <c:y val="0"/>
                </c:manualLayout>
              </c:layout>
              <c:tx>
                <c:rich>
                  <a:bodyPr/>
                  <a:lstStyle/>
                  <a:p>
                    <a:pPr>
                      <a:defRPr sz="674" b="0" i="0" u="none" strike="noStrike" baseline="0">
                        <a:solidFill>
                          <a:srgbClr val="000000"/>
                        </a:solidFill>
                        <a:latin typeface="Times New Roman"/>
                        <a:ea typeface="Times New Roman"/>
                        <a:cs typeface="Times New Roman"/>
                      </a:defRPr>
                    </a:pPr>
                    <a:r>
                      <a:t>1,7%</a:t>
                    </a:r>
                  </a:p>
                </c:rich>
              </c:tx>
              <c:spPr>
                <a:noFill/>
                <a:ln w="19028">
                  <a:noFill/>
                </a:ln>
              </c:spPr>
              <c:dLblPos val="bestFit"/>
            </c:dLbl>
            <c:numFmt formatCode="0.0%" sourceLinked="0"/>
            <c:spPr>
              <a:noFill/>
              <a:ln w="19028">
                <a:noFill/>
              </a:ln>
            </c:spPr>
            <c:txPr>
              <a:bodyPr/>
              <a:lstStyle/>
              <a:p>
                <a:pPr>
                  <a:defRPr sz="674" b="0" i="0" u="none" strike="noStrike" baseline="0">
                    <a:solidFill>
                      <a:srgbClr val="000000"/>
                    </a:solidFill>
                    <a:latin typeface="Times New Roman"/>
                    <a:ea typeface="Times New Roman"/>
                    <a:cs typeface="Times New Roman"/>
                  </a:defRPr>
                </a:pPr>
                <a:endParaRPr lang="ru-RU"/>
              </a:p>
            </c:txPr>
            <c:showVal val="1"/>
            <c:showLeaderLines val="1"/>
          </c:dLbls>
          <c:cat>
            <c:strRef>
              <c:f>Sheet1!$B$1:$L$1</c:f>
              <c:strCache>
                <c:ptCount val="11"/>
                <c:pt idx="0">
                  <c:v>Imobilizări necorporale</c:v>
                </c:pt>
                <c:pt idx="1">
                  <c:v>Imobilizări corporale în curs de execuţie</c:v>
                </c:pt>
                <c:pt idx="2">
                  <c:v>Terenuri</c:v>
                </c:pt>
                <c:pt idx="3">
                  <c:v>Mijloace fixe</c:v>
                </c:pt>
                <c:pt idx="4">
                  <c:v>Resurse minerale, active biologice imobilizate şi circulante</c:v>
                </c:pt>
                <c:pt idx="5">
                  <c:v>Alte active imobilizate</c:v>
                </c:pt>
                <c:pt idx="6">
                  <c:v>Materiale</c:v>
                </c:pt>
                <c:pt idx="7">
                  <c:v>Obiecte de mică valoare şi scurtă durată</c:v>
                </c:pt>
                <c:pt idx="8">
                  <c:v>Producţia în curs de execuţie şi produse</c:v>
                </c:pt>
                <c:pt idx="9">
                  <c:v>Mărfuri</c:v>
                </c:pt>
                <c:pt idx="10">
                  <c:v>Alte active circulante</c:v>
                </c:pt>
              </c:strCache>
            </c:strRef>
          </c:cat>
          <c:val>
            <c:numRef>
              <c:f>Sheet1!$B$2:$L$2</c:f>
              <c:numCache>
                <c:formatCode>0.00%</c:formatCode>
                <c:ptCount val="11"/>
                <c:pt idx="0">
                  <c:v>4.8000000000000001E-2</c:v>
                </c:pt>
                <c:pt idx="1">
                  <c:v>2.8000000000000001E-2</c:v>
                </c:pt>
                <c:pt idx="2">
                  <c:v>2.3900000000000001E-2</c:v>
                </c:pt>
                <c:pt idx="3">
                  <c:v>0.78800000000000003</c:v>
                </c:pt>
                <c:pt idx="4">
                  <c:v>1.0000000000000009E-4</c:v>
                </c:pt>
                <c:pt idx="5">
                  <c:v>1.4999999999999998E-2</c:v>
                </c:pt>
                <c:pt idx="6">
                  <c:v>3.7999999999999999E-2</c:v>
                </c:pt>
                <c:pt idx="7">
                  <c:v>1.0000000000000009E-3</c:v>
                </c:pt>
                <c:pt idx="8">
                  <c:v>3.9000000000000014E-2</c:v>
                </c:pt>
                <c:pt idx="9">
                  <c:v>8.0000000000000088E-3</c:v>
                </c:pt>
                <c:pt idx="10">
                  <c:v>1.0000000000000005E-2</c:v>
                </c:pt>
              </c:numCache>
            </c:numRef>
          </c:val>
        </c:ser>
        <c:dLbls>
          <c:showVal val="1"/>
        </c:dLbls>
      </c:pie3DChart>
      <c:spPr>
        <a:solidFill>
          <a:srgbClr val="FFFFFF"/>
        </a:solidFill>
        <a:ln w="9514">
          <a:solidFill>
            <a:srgbClr val="FFFFFF"/>
          </a:solidFill>
          <a:prstDash val="solid"/>
        </a:ln>
      </c:spPr>
    </c:plotArea>
    <c:legend>
      <c:legendPos val="b"/>
      <c:spPr>
        <a:noFill/>
        <a:ln w="2378">
          <a:solidFill>
            <a:srgbClr val="000000"/>
          </a:solidFill>
          <a:prstDash val="solid"/>
        </a:ln>
      </c:spPr>
      <c:txPr>
        <a:bodyPr/>
        <a:lstStyle/>
        <a:p>
          <a:pPr>
            <a:defRPr sz="618"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655" b="0" i="0" u="none" strike="noStrike" baseline="0">
          <a:solidFill>
            <a:srgbClr val="000000"/>
          </a:solidFill>
          <a:latin typeface="Times New Roman"/>
          <a:ea typeface="Times New Roman"/>
          <a:cs typeface="Times New Roman"/>
        </a:defRPr>
      </a:pPr>
      <a:endParaRPr lang="ru-RU"/>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8"/>
      <c:depthPercent val="100"/>
      <c:rAngAx val="1"/>
    </c:view3D>
    <c:floor>
      <c:spPr>
        <a:solidFill>
          <a:srgbClr val="C0C0C0"/>
        </a:solidFill>
        <a:ln w="3175">
          <a:solidFill>
            <a:srgbClr val="000000"/>
          </a:solidFill>
          <a:prstDash val="solid"/>
        </a:ln>
      </c:spPr>
    </c:floor>
    <c:sideWall>
      <c:spPr>
        <a:pattFill prst="pct5">
          <a:fgClr>
            <a:srgbClr val="FFFFFF"/>
          </a:fgClr>
          <a:bgClr>
            <a:srgbClr val="FFFFFF"/>
          </a:bgClr>
        </a:pattFill>
        <a:ln w="12700">
          <a:solidFill>
            <a:srgbClr val="FFFFFF"/>
          </a:solidFill>
          <a:prstDash val="solid"/>
        </a:ln>
      </c:spPr>
    </c:sideWall>
    <c:backWall>
      <c:spPr>
        <a:pattFill prst="pct5">
          <a:fgClr>
            <a:srgbClr val="FFFFFF"/>
          </a:fgClr>
          <a:bgClr>
            <a:srgbClr val="FFFFFF"/>
          </a:bgClr>
        </a:pattFill>
        <a:ln w="12700">
          <a:solidFill>
            <a:srgbClr val="FFFFFF"/>
          </a:solidFill>
          <a:prstDash val="solid"/>
        </a:ln>
      </c:spPr>
    </c:backWall>
    <c:plotArea>
      <c:layout/>
      <c:bar3DChart>
        <c:barDir val="col"/>
        <c:grouping val="clustered"/>
        <c:ser>
          <c:idx val="0"/>
          <c:order val="0"/>
          <c:tx>
            <c:strRef>
              <c:f>Sheet1!$A$2</c:f>
              <c:strCache>
                <c:ptCount val="1"/>
                <c:pt idx="0">
                  <c:v>capital social și suplimentar</c:v>
                </c:pt>
              </c:strCache>
            </c:strRef>
          </c:tx>
          <c:spPr>
            <a:solidFill>
              <a:srgbClr val="9999FF"/>
            </a:solidFill>
            <a:ln w="12711">
              <a:solidFill>
                <a:srgbClr val="000000"/>
              </a:solidFill>
              <a:prstDash val="solid"/>
            </a:ln>
          </c:spPr>
          <c:dLbls>
            <c:dLbl>
              <c:idx val="0"/>
              <c:layout>
                <c:manualLayout>
                  <c:x val="-2.2493539940329339E-2"/>
                  <c:y val="-7.7419119663012181E-2"/>
                </c:manualLayout>
              </c:layout>
              <c:showVal val="1"/>
            </c:dLbl>
            <c:dLbl>
              <c:idx val="1"/>
              <c:layout>
                <c:manualLayout>
                  <c:x val="3.6030754472446587E-2"/>
                  <c:y val="-4.6087002811822798E-2"/>
                </c:manualLayout>
              </c:layout>
              <c:showVal val="1"/>
            </c:dLbl>
            <c:spPr>
              <a:noFill/>
              <a:ln w="25422">
                <a:noFill/>
              </a:ln>
            </c:spPr>
            <c:txPr>
              <a:bodyPr/>
              <a:lstStyle/>
              <a:p>
                <a:pPr>
                  <a:defRPr sz="876" b="0" i="0" u="none" strike="noStrike" baseline="0">
                    <a:solidFill>
                      <a:srgbClr val="000000"/>
                    </a:solidFill>
                    <a:latin typeface="Times New Roman"/>
                    <a:ea typeface="Times New Roman"/>
                    <a:cs typeface="Times New Roman"/>
                  </a:defRPr>
                </a:pPr>
                <a:endParaRPr lang="ru-RU"/>
              </a:p>
            </c:txPr>
            <c:showVal val="1"/>
          </c:dLbls>
          <c:cat>
            <c:strRef>
              <c:f>Sheet1!$B$1:$C$1</c:f>
              <c:strCache>
                <c:ptCount val="2"/>
                <c:pt idx="0">
                  <c:v>la 01.01.2015</c:v>
                </c:pt>
                <c:pt idx="1">
                  <c:v>la 31.12.2015</c:v>
                </c:pt>
              </c:strCache>
            </c:strRef>
          </c:cat>
          <c:val>
            <c:numRef>
              <c:f>Sheet1!$B$2:$C$2</c:f>
              <c:numCache>
                <c:formatCode>General</c:formatCode>
                <c:ptCount val="2"/>
                <c:pt idx="0">
                  <c:v>3390.8</c:v>
                </c:pt>
                <c:pt idx="1">
                  <c:v>3413.5</c:v>
                </c:pt>
              </c:numCache>
            </c:numRef>
          </c:val>
        </c:ser>
        <c:ser>
          <c:idx val="1"/>
          <c:order val="1"/>
          <c:tx>
            <c:strRef>
              <c:f>Sheet1!$A$3</c:f>
              <c:strCache>
                <c:ptCount val="1"/>
                <c:pt idx="0">
                  <c:v>capital propriu</c:v>
                </c:pt>
              </c:strCache>
            </c:strRef>
          </c:tx>
          <c:spPr>
            <a:pattFill prst="wdDnDiag">
              <a:fgClr>
                <a:srgbClr val="993366"/>
              </a:fgClr>
              <a:bgClr>
                <a:srgbClr val="FFFFFF"/>
              </a:bgClr>
            </a:pattFill>
            <a:ln w="12711">
              <a:solidFill>
                <a:srgbClr val="000000"/>
              </a:solidFill>
              <a:prstDash val="solid"/>
            </a:ln>
          </c:spPr>
          <c:dLbls>
            <c:dLbl>
              <c:idx val="0"/>
              <c:layout>
                <c:manualLayout>
                  <c:x val="2.6748650913524654E-2"/>
                  <c:y val="-8.7023460679431855E-2"/>
                </c:manualLayout>
              </c:layout>
              <c:showVal val="1"/>
            </c:dLbl>
            <c:dLbl>
              <c:idx val="1"/>
              <c:layout>
                <c:manualLayout>
                  <c:x val="7.3368183421538641E-2"/>
                  <c:y val="-0.11354279364357517"/>
                </c:manualLayout>
              </c:layout>
              <c:showVal val="1"/>
            </c:dLbl>
            <c:numFmt formatCode="0.0" sourceLinked="0"/>
            <c:spPr>
              <a:noFill/>
              <a:ln w="25422">
                <a:noFill/>
              </a:ln>
            </c:spPr>
            <c:txPr>
              <a:bodyPr/>
              <a:lstStyle/>
              <a:p>
                <a:pPr>
                  <a:defRPr sz="876" b="0" i="0" u="none" strike="noStrike" baseline="0">
                    <a:solidFill>
                      <a:srgbClr val="000000"/>
                    </a:solidFill>
                    <a:latin typeface="Times New Roman"/>
                    <a:ea typeface="Times New Roman"/>
                    <a:cs typeface="Times New Roman"/>
                  </a:defRPr>
                </a:pPr>
                <a:endParaRPr lang="ru-RU"/>
              </a:p>
            </c:txPr>
            <c:showVal val="1"/>
          </c:dLbls>
          <c:cat>
            <c:strRef>
              <c:f>Sheet1!$B$1:$C$1</c:f>
              <c:strCache>
                <c:ptCount val="2"/>
                <c:pt idx="0">
                  <c:v>la 01.01.2015</c:v>
                </c:pt>
                <c:pt idx="1">
                  <c:v>la 31.12.2015</c:v>
                </c:pt>
              </c:strCache>
            </c:strRef>
          </c:cat>
          <c:val>
            <c:numRef>
              <c:f>Sheet1!$B$3:$C$3</c:f>
              <c:numCache>
                <c:formatCode>General</c:formatCode>
                <c:ptCount val="2"/>
                <c:pt idx="0">
                  <c:v>10665.6</c:v>
                </c:pt>
                <c:pt idx="1">
                  <c:v>10080.6</c:v>
                </c:pt>
              </c:numCache>
            </c:numRef>
          </c:val>
        </c:ser>
        <c:gapDepth val="0"/>
        <c:shape val="box"/>
        <c:axId val="308419968"/>
        <c:axId val="308679808"/>
        <c:axId val="0"/>
      </c:bar3DChart>
      <c:catAx>
        <c:axId val="308419968"/>
        <c:scaling>
          <c:orientation val="minMax"/>
        </c:scaling>
        <c:axPos val="b"/>
        <c:numFmt formatCode="General" sourceLinked="1"/>
        <c:tickLblPos val="low"/>
        <c:spPr>
          <a:ln w="3178">
            <a:solidFill>
              <a:srgbClr val="000000"/>
            </a:solidFill>
            <a:prstDash val="solid"/>
          </a:ln>
        </c:spPr>
        <c:txPr>
          <a:bodyPr rot="0" vert="horz"/>
          <a:lstStyle/>
          <a:p>
            <a:pPr>
              <a:defRPr sz="801" b="0" i="0" u="none" strike="noStrike" baseline="0">
                <a:solidFill>
                  <a:srgbClr val="000000"/>
                </a:solidFill>
                <a:latin typeface="Times New Roman"/>
                <a:ea typeface="Times New Roman"/>
                <a:cs typeface="Times New Roman"/>
              </a:defRPr>
            </a:pPr>
            <a:endParaRPr lang="ru-RU"/>
          </a:p>
        </c:txPr>
        <c:crossAx val="308679808"/>
        <c:crosses val="autoZero"/>
        <c:auto val="1"/>
        <c:lblAlgn val="ctr"/>
        <c:lblOffset val="100"/>
        <c:tickLblSkip val="1"/>
        <c:tickMarkSkip val="1"/>
      </c:catAx>
      <c:valAx>
        <c:axId val="308679808"/>
        <c:scaling>
          <c:orientation val="minMax"/>
        </c:scaling>
        <c:delete val="1"/>
        <c:axPos val="l"/>
        <c:majorGridlines>
          <c:spPr>
            <a:ln w="12711">
              <a:solidFill>
                <a:srgbClr val="FFFFFF"/>
              </a:solidFill>
              <a:prstDash val="solid"/>
            </a:ln>
          </c:spPr>
        </c:majorGridlines>
        <c:numFmt formatCode="General" sourceLinked="1"/>
        <c:tickLblPos val="nextTo"/>
        <c:crossAx val="308419968"/>
        <c:crosses val="autoZero"/>
        <c:crossBetween val="between"/>
      </c:valAx>
      <c:spPr>
        <a:noFill/>
        <a:ln w="25422">
          <a:noFill/>
        </a:ln>
      </c:spPr>
    </c:plotArea>
    <c:legend>
      <c:legendPos val="r"/>
      <c:layout>
        <c:manualLayout>
          <c:xMode val="edge"/>
          <c:yMode val="edge"/>
          <c:x val="0.60544217687074831"/>
          <c:y val="0.38181818181818228"/>
          <c:w val="0.39115646258503423"/>
          <c:h val="0.26060606060606062"/>
        </c:manualLayout>
      </c:layout>
      <c:spPr>
        <a:noFill/>
        <a:ln w="3178">
          <a:solidFill>
            <a:srgbClr val="000000"/>
          </a:solidFill>
          <a:prstDash val="solid"/>
        </a:ln>
      </c:spPr>
      <c:txPr>
        <a:bodyPr/>
        <a:lstStyle/>
        <a:p>
          <a:pPr>
            <a:defRPr sz="921" b="0"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576" b="1" i="0" u="none" strike="noStrike" baseline="0">
          <a:solidFill>
            <a:srgbClr val="000000"/>
          </a:solidFill>
          <a:latin typeface="Calibri"/>
          <a:ea typeface="Calibri"/>
          <a:cs typeface="Calibri"/>
        </a:defRPr>
      </a:pPr>
      <a:endParaRPr lang="ru-RU"/>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1.7667844522968206E-3"/>
          <c:y val="5.4878048780487763E-2"/>
          <c:w val="0.70848056537102433"/>
          <c:h val="0.75609756097560976"/>
        </c:manualLayout>
      </c:layout>
      <c:barChart>
        <c:barDir val="col"/>
        <c:grouping val="clustered"/>
        <c:ser>
          <c:idx val="1"/>
          <c:order val="0"/>
          <c:tx>
            <c:strRef>
              <c:f>Sheet1!$A$2</c:f>
              <c:strCache>
                <c:ptCount val="1"/>
                <c:pt idx="0">
                  <c:v>venituri din vânzări</c:v>
                </c:pt>
              </c:strCache>
            </c:strRef>
          </c:tx>
          <c:spPr>
            <a:pattFill prst="wdDnDiag">
              <a:fgClr>
                <a:srgbClr val="993366"/>
              </a:fgClr>
              <a:bgClr>
                <a:srgbClr val="FFFFFF"/>
              </a:bgClr>
            </a:pattFill>
            <a:ln w="12700">
              <a:solidFill>
                <a:srgbClr val="000000"/>
              </a:solidFill>
              <a:prstDash val="solid"/>
            </a:ln>
          </c:spPr>
          <c:dLbls>
            <c:dLbl>
              <c:idx val="0"/>
              <c:layout>
                <c:manualLayout>
                  <c:x val="1.5255068411927976E-2"/>
                  <c:y val="-0.11060567426498878"/>
                </c:manualLayout>
              </c:layout>
              <c:dLblPos val="outEnd"/>
              <c:showVal val="1"/>
            </c:dLbl>
            <c:dLbl>
              <c:idx val="1"/>
              <c:layout>
                <c:manualLayout>
                  <c:x val="1.2604745420895876E-2"/>
                  <c:y val="-2.5682038960750413E-18"/>
                </c:manualLayout>
              </c:layout>
              <c:dLblPos val="outEnd"/>
              <c:showVal val="1"/>
            </c:dLbl>
            <c:spPr>
              <a:noFill/>
              <a:ln w="25400">
                <a:noFill/>
              </a:ln>
            </c:spPr>
            <c:txPr>
              <a:bodyPr/>
              <a:lstStyle/>
              <a:p>
                <a:pPr>
                  <a:defRPr sz="925" b="0" i="0" u="none" strike="noStrike" baseline="0">
                    <a:solidFill>
                      <a:srgbClr val="000000"/>
                    </a:solidFill>
                    <a:latin typeface="Times New Roman"/>
                    <a:ea typeface="Times New Roman"/>
                    <a:cs typeface="Times New Roman"/>
                  </a:defRPr>
                </a:pPr>
                <a:endParaRPr lang="ru-RU"/>
              </a:p>
            </c:txPr>
            <c:showVal val="1"/>
          </c:dLbls>
          <c:cat>
            <c:numRef>
              <c:f>Sheet1!$B$1:$C$1</c:f>
              <c:numCache>
                <c:formatCode>General</c:formatCode>
                <c:ptCount val="2"/>
                <c:pt idx="0">
                  <c:v>2014</c:v>
                </c:pt>
                <c:pt idx="1">
                  <c:v>2015</c:v>
                </c:pt>
              </c:numCache>
            </c:numRef>
          </c:cat>
          <c:val>
            <c:numRef>
              <c:f>Sheet1!$B$2:$C$2</c:f>
              <c:numCache>
                <c:formatCode>General</c:formatCode>
                <c:ptCount val="2"/>
                <c:pt idx="0">
                  <c:v>10099.700000000004</c:v>
                </c:pt>
                <c:pt idx="1">
                  <c:v>14029.6</c:v>
                </c:pt>
              </c:numCache>
            </c:numRef>
          </c:val>
        </c:ser>
        <c:ser>
          <c:idx val="2"/>
          <c:order val="1"/>
          <c:tx>
            <c:strRef>
              <c:f>Sheet1!$A$3</c:f>
              <c:strCache>
                <c:ptCount val="1"/>
                <c:pt idx="0">
                  <c:v>costul vînzărilor</c:v>
                </c:pt>
              </c:strCache>
            </c:strRef>
          </c:tx>
          <c:spPr>
            <a:solidFill>
              <a:srgbClr val="FFFFCC"/>
            </a:solidFill>
            <a:ln w="12700">
              <a:solidFill>
                <a:srgbClr val="000000"/>
              </a:solidFill>
              <a:prstDash val="solid"/>
            </a:ln>
          </c:spPr>
          <c:dLbls>
            <c:dLbl>
              <c:idx val="1"/>
              <c:layout>
                <c:manualLayout>
                  <c:x val="2.9291085933620026E-2"/>
                  <c:y val="-2.0632652985887318E-2"/>
                </c:manualLayout>
              </c:layout>
              <c:dLblPos val="outEnd"/>
              <c:showVal val="1"/>
            </c:dLbl>
            <c:numFmt formatCode="0.0" sourceLinked="0"/>
            <c:spPr>
              <a:noFill/>
              <a:ln w="25400">
                <a:noFill/>
              </a:ln>
            </c:spPr>
            <c:txPr>
              <a:bodyPr/>
              <a:lstStyle/>
              <a:p>
                <a:pPr>
                  <a:defRPr sz="925" b="0" i="0" u="none" strike="noStrike" baseline="0">
                    <a:solidFill>
                      <a:srgbClr val="000000"/>
                    </a:solidFill>
                    <a:latin typeface="Times New Roman"/>
                    <a:ea typeface="Times New Roman"/>
                    <a:cs typeface="Times New Roman"/>
                  </a:defRPr>
                </a:pPr>
                <a:endParaRPr lang="ru-RU"/>
              </a:p>
            </c:txPr>
            <c:showVal val="1"/>
          </c:dLbls>
          <c:cat>
            <c:numRef>
              <c:f>Sheet1!$B$1:$C$1</c:f>
              <c:numCache>
                <c:formatCode>General</c:formatCode>
                <c:ptCount val="2"/>
                <c:pt idx="0">
                  <c:v>2014</c:v>
                </c:pt>
                <c:pt idx="1">
                  <c:v>2015</c:v>
                </c:pt>
              </c:numCache>
            </c:numRef>
          </c:cat>
          <c:val>
            <c:numRef>
              <c:f>Sheet1!$B$3:$C$3</c:f>
              <c:numCache>
                <c:formatCode>General</c:formatCode>
                <c:ptCount val="2"/>
                <c:pt idx="0">
                  <c:v>9174.2000000000007</c:v>
                </c:pt>
                <c:pt idx="1">
                  <c:v>13423</c:v>
                </c:pt>
              </c:numCache>
            </c:numRef>
          </c:val>
        </c:ser>
        <c:ser>
          <c:idx val="3"/>
          <c:order val="2"/>
          <c:tx>
            <c:strRef>
              <c:f>Sheet1!$A$4</c:f>
              <c:strCache>
                <c:ptCount val="1"/>
                <c:pt idx="0">
                  <c:v>profit brut</c:v>
                </c:pt>
              </c:strCache>
            </c:strRef>
          </c:tx>
          <c:spPr>
            <a:solidFill>
              <a:srgbClr val="3366FF"/>
            </a:solidFill>
            <a:ln w="12700">
              <a:solidFill>
                <a:srgbClr val="000000"/>
              </a:solidFill>
              <a:prstDash val="solid"/>
            </a:ln>
          </c:spPr>
          <c:dLbls>
            <c:numFmt formatCode="0.0" sourceLinked="0"/>
            <c:spPr>
              <a:noFill/>
              <a:ln w="25400">
                <a:noFill/>
              </a:ln>
            </c:spPr>
            <c:txPr>
              <a:bodyPr/>
              <a:lstStyle/>
              <a:p>
                <a:pPr>
                  <a:defRPr sz="925" b="0" i="0" u="none" strike="noStrike" baseline="0">
                    <a:solidFill>
                      <a:srgbClr val="000000"/>
                    </a:solidFill>
                    <a:latin typeface="Times New Roman"/>
                    <a:ea typeface="Times New Roman"/>
                    <a:cs typeface="Times New Roman"/>
                  </a:defRPr>
                </a:pPr>
                <a:endParaRPr lang="ru-RU"/>
              </a:p>
            </c:txPr>
            <c:showVal val="1"/>
          </c:dLbls>
          <c:cat>
            <c:numRef>
              <c:f>Sheet1!$B$1:$C$1</c:f>
              <c:numCache>
                <c:formatCode>General</c:formatCode>
                <c:ptCount val="2"/>
                <c:pt idx="0">
                  <c:v>2014</c:v>
                </c:pt>
                <c:pt idx="1">
                  <c:v>2015</c:v>
                </c:pt>
              </c:numCache>
            </c:numRef>
          </c:cat>
          <c:val>
            <c:numRef>
              <c:f>Sheet1!$B$4:$C$4</c:f>
              <c:numCache>
                <c:formatCode>General</c:formatCode>
                <c:ptCount val="2"/>
                <c:pt idx="0">
                  <c:v>925.5</c:v>
                </c:pt>
                <c:pt idx="1">
                  <c:v>606.6</c:v>
                </c:pt>
              </c:numCache>
            </c:numRef>
          </c:val>
        </c:ser>
        <c:axId val="308730880"/>
        <c:axId val="308478720"/>
      </c:barChart>
      <c:catAx>
        <c:axId val="308730880"/>
        <c:scaling>
          <c:orientation val="minMax"/>
        </c:scaling>
        <c:axPos val="b"/>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308478720"/>
        <c:crosses val="autoZero"/>
        <c:auto val="1"/>
        <c:lblAlgn val="ctr"/>
        <c:lblOffset val="100"/>
        <c:tickLblSkip val="1"/>
        <c:tickMarkSkip val="1"/>
      </c:catAx>
      <c:valAx>
        <c:axId val="308478720"/>
        <c:scaling>
          <c:orientation val="minMax"/>
        </c:scaling>
        <c:delete val="1"/>
        <c:axPos val="l"/>
        <c:numFmt formatCode="General" sourceLinked="1"/>
        <c:tickLblPos val="nextTo"/>
        <c:crossAx val="308730880"/>
        <c:crosses val="autoZero"/>
        <c:crossBetween val="between"/>
      </c:valAx>
      <c:spPr>
        <a:pattFill prst="pct5">
          <a:fgClr>
            <a:srgbClr val="FFFFFF"/>
          </a:fgClr>
          <a:bgClr>
            <a:srgbClr val="FFFFFF"/>
          </a:bgClr>
        </a:pattFill>
        <a:ln w="12700">
          <a:solidFill>
            <a:srgbClr val="FFFFFF"/>
          </a:solidFill>
          <a:prstDash val="solid"/>
        </a:ln>
      </c:spPr>
    </c:plotArea>
    <c:legend>
      <c:legendPos val="r"/>
      <c:layout>
        <c:manualLayout>
          <c:xMode val="edge"/>
          <c:yMode val="edge"/>
          <c:x val="0.72614840989399332"/>
          <c:y val="0.18292682926829271"/>
          <c:w val="0.27385159010600707"/>
          <c:h val="0.41463414634146334"/>
        </c:manualLayout>
      </c:layout>
      <c:spPr>
        <a:noFill/>
        <a:ln w="3175">
          <a:solidFill>
            <a:srgbClr val="000000"/>
          </a:solidFill>
          <a:prstDash val="solid"/>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575" b="1" i="0" u="none" strike="noStrike" baseline="0">
          <a:solidFill>
            <a:srgbClr val="000000"/>
          </a:solidFill>
          <a:latin typeface="Calibri"/>
          <a:ea typeface="Calibri"/>
          <a:cs typeface="Calibri"/>
        </a:defRPr>
      </a:pPr>
      <a:endParaRPr lang="ru-RU"/>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0.22751322751322764"/>
          <c:y val="0.16216216216216231"/>
          <c:w val="0.51322751322751325"/>
          <c:h val="0.41621621621621635"/>
        </c:manualLayout>
      </c:layout>
      <c:pie3DChart>
        <c:varyColors val="1"/>
        <c:ser>
          <c:idx val="0"/>
          <c:order val="0"/>
          <c:tx>
            <c:strRef>
              <c:f>Sheet1!$A$2</c:f>
              <c:strCache>
                <c:ptCount val="1"/>
                <c:pt idx="0">
                  <c:v>Восток</c:v>
                </c:pt>
              </c:strCache>
            </c:strRef>
          </c:tx>
          <c:spPr>
            <a:solidFill>
              <a:srgbClr val="9999FF"/>
            </a:solidFill>
            <a:ln w="12710">
              <a:solidFill>
                <a:srgbClr val="000000"/>
              </a:solidFill>
              <a:prstDash val="solid"/>
            </a:ln>
          </c:spPr>
          <c:explosion val="6"/>
          <c:dPt>
            <c:idx val="1"/>
            <c:spPr>
              <a:pattFill prst="sphere">
                <a:fgClr>
                  <a:srgbClr val="993366"/>
                </a:fgClr>
                <a:bgClr>
                  <a:srgbClr val="FFFFFF"/>
                </a:bgClr>
              </a:pattFill>
              <a:ln w="12710">
                <a:solidFill>
                  <a:srgbClr val="000000"/>
                </a:solidFill>
                <a:prstDash val="solid"/>
              </a:ln>
            </c:spPr>
          </c:dPt>
          <c:dPt>
            <c:idx val="2"/>
            <c:spPr>
              <a:pattFill prst="wdUpDiag">
                <a:fgClr>
                  <a:srgbClr val="FF9900"/>
                </a:fgClr>
                <a:bgClr>
                  <a:srgbClr val="FFFFFF"/>
                </a:bgClr>
              </a:pattFill>
              <a:ln w="12710">
                <a:solidFill>
                  <a:srgbClr val="000000"/>
                </a:solidFill>
                <a:prstDash val="solid"/>
              </a:ln>
            </c:spPr>
          </c:dPt>
          <c:dLbls>
            <c:dLbl>
              <c:idx val="0"/>
              <c:layout>
                <c:manualLayout>
                  <c:x val="1.1509458210379148E-2"/>
                  <c:y val="-9.3929833630113049E-2"/>
                </c:manualLayout>
              </c:layout>
              <c:tx>
                <c:rich>
                  <a:bodyPr/>
                  <a:lstStyle/>
                  <a:p>
                    <a:pPr>
                      <a:defRPr sz="1001" b="0" i="0" u="none" strike="noStrike" baseline="0">
                        <a:solidFill>
                          <a:srgbClr val="000000"/>
                        </a:solidFill>
                        <a:latin typeface="Times New Roman"/>
                        <a:ea typeface="Times New Roman"/>
                        <a:cs typeface="Times New Roman"/>
                      </a:defRPr>
                    </a:pPr>
                    <a:r>
                      <a:rPr lang="ru-RU"/>
                      <a:t>38,3%</a:t>
                    </a:r>
                  </a:p>
                </c:rich>
              </c:tx>
              <c:spPr>
                <a:noFill/>
                <a:ln w="25420">
                  <a:noFill/>
                </a:ln>
              </c:spPr>
              <c:dLblPos val="bestFit"/>
            </c:dLbl>
            <c:dLbl>
              <c:idx val="1"/>
              <c:layout>
                <c:manualLayout>
                  <c:x val="-2.9738145373071231E-2"/>
                  <c:y val="3.925328664978147E-2"/>
                </c:manualLayout>
              </c:layout>
              <c:dLblPos val="bestFit"/>
              <c:showPercent val="1"/>
            </c:dLbl>
            <c:dLbl>
              <c:idx val="2"/>
              <c:layout>
                <c:manualLayout>
                  <c:x val="-3.8390852626472467E-2"/>
                  <c:y val="-0.10241667798182913"/>
                </c:manualLayout>
              </c:layout>
              <c:dLblPos val="bestFit"/>
              <c:showPercent val="1"/>
            </c:dLbl>
            <c:numFmt formatCode="0.0%" sourceLinked="0"/>
            <c:spPr>
              <a:noFill/>
              <a:ln w="25420">
                <a:noFill/>
              </a:ln>
            </c:spPr>
            <c:txPr>
              <a:bodyPr/>
              <a:lstStyle/>
              <a:p>
                <a:pPr>
                  <a:defRPr sz="1001" b="0" i="0" u="none" strike="noStrike" baseline="0">
                    <a:solidFill>
                      <a:srgbClr val="000000"/>
                    </a:solidFill>
                    <a:latin typeface="Times New Roman"/>
                    <a:ea typeface="Times New Roman"/>
                    <a:cs typeface="Times New Roman"/>
                  </a:defRPr>
                </a:pPr>
                <a:endParaRPr lang="ru-RU"/>
              </a:p>
            </c:txPr>
            <c:showPercent val="1"/>
            <c:showLeaderLines val="1"/>
          </c:dLbls>
          <c:cat>
            <c:strRef>
              <c:f>Sheet1!$B$1:$D$1</c:f>
              <c:strCache>
                <c:ptCount val="3"/>
                <c:pt idx="0">
                  <c:v>Cheltuieli de distribuire</c:v>
                </c:pt>
                <c:pt idx="1">
                  <c:v>Cheltuieli administrative</c:v>
                </c:pt>
                <c:pt idx="2">
                  <c:v>Alte cheltuieli din activitatea operaţională</c:v>
                </c:pt>
              </c:strCache>
            </c:strRef>
          </c:cat>
          <c:val>
            <c:numRef>
              <c:f>Sheet1!$B$2:$D$2</c:f>
              <c:numCache>
                <c:formatCode>0.00</c:formatCode>
                <c:ptCount val="3"/>
                <c:pt idx="0">
                  <c:v>362.6</c:v>
                </c:pt>
                <c:pt idx="1">
                  <c:v>427.8</c:v>
                </c:pt>
                <c:pt idx="2">
                  <c:v>156.1</c:v>
                </c:pt>
              </c:numCache>
            </c:numRef>
          </c:val>
        </c:ser>
        <c:dLbls>
          <c:showVal val="1"/>
        </c:dLbls>
      </c:pie3DChart>
      <c:spPr>
        <a:solidFill>
          <a:srgbClr val="FFFFFF"/>
        </a:solidFill>
        <a:ln w="12710">
          <a:solidFill>
            <a:srgbClr val="FFFFFF"/>
          </a:solidFill>
          <a:prstDash val="solid"/>
        </a:ln>
      </c:spPr>
    </c:plotArea>
    <c:legend>
      <c:legendPos val="b"/>
      <c:layout>
        <c:manualLayout>
          <c:xMode val="edge"/>
          <c:yMode val="edge"/>
          <c:x val="0.10846560846560858"/>
          <c:y val="0.64864864864864957"/>
          <c:w val="0.8518518518518523"/>
          <c:h val="0.34054054054054056"/>
        </c:manualLayout>
      </c:layout>
      <c:spPr>
        <a:noFill/>
        <a:ln w="12710">
          <a:solidFill>
            <a:srgbClr val="FFFFFF"/>
          </a:solidFill>
          <a:prstDash val="solid"/>
        </a:ln>
      </c:spPr>
      <c:txPr>
        <a:bodyPr/>
        <a:lstStyle/>
        <a:p>
          <a:pPr>
            <a:defRPr sz="921"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801" b="1" i="0" u="none" strike="noStrike" baseline="0">
          <a:solidFill>
            <a:srgbClr val="000000"/>
          </a:solidFill>
          <a:latin typeface="Calibri"/>
          <a:ea typeface="Calibri"/>
          <a:cs typeface="Calibri"/>
        </a:defRPr>
      </a:pPr>
      <a:endParaRPr lang="ru-RU"/>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0.20754716981132099"/>
          <c:y val="0.14207650273224046"/>
          <c:w val="0.55256064690026907"/>
          <c:h val="0.44808743169398912"/>
        </c:manualLayout>
      </c:layout>
      <c:pie3DChart>
        <c:varyColors val="1"/>
        <c:ser>
          <c:idx val="0"/>
          <c:order val="0"/>
          <c:tx>
            <c:strRef>
              <c:f>Sheet1!$A$2</c:f>
              <c:strCache>
                <c:ptCount val="1"/>
                <c:pt idx="0">
                  <c:v>Восток</c:v>
                </c:pt>
              </c:strCache>
            </c:strRef>
          </c:tx>
          <c:spPr>
            <a:solidFill>
              <a:srgbClr val="9999FF"/>
            </a:solidFill>
            <a:ln w="10769">
              <a:solidFill>
                <a:srgbClr val="000000"/>
              </a:solidFill>
              <a:prstDash val="solid"/>
            </a:ln>
          </c:spPr>
          <c:explosion val="6"/>
          <c:dPt>
            <c:idx val="1"/>
            <c:spPr>
              <a:pattFill prst="sphere">
                <a:fgClr>
                  <a:srgbClr val="993366"/>
                </a:fgClr>
                <a:bgClr>
                  <a:srgbClr val="FFFFFF"/>
                </a:bgClr>
              </a:pattFill>
              <a:ln w="10769">
                <a:solidFill>
                  <a:srgbClr val="000000"/>
                </a:solidFill>
                <a:prstDash val="solid"/>
              </a:ln>
            </c:spPr>
          </c:dPt>
          <c:dPt>
            <c:idx val="2"/>
            <c:spPr>
              <a:pattFill prst="wdUpDiag">
                <a:fgClr>
                  <a:srgbClr val="FF9900"/>
                </a:fgClr>
                <a:bgClr>
                  <a:srgbClr val="FFFFFF"/>
                </a:bgClr>
              </a:pattFill>
              <a:ln w="10769">
                <a:solidFill>
                  <a:srgbClr val="000000"/>
                </a:solidFill>
                <a:prstDash val="solid"/>
              </a:ln>
            </c:spPr>
          </c:dPt>
          <c:dLbls>
            <c:dLbl>
              <c:idx val="0"/>
              <c:layout>
                <c:manualLayout>
                  <c:x val="2.6108200665822937E-2"/>
                  <c:y val="-9.2777597889177443E-2"/>
                </c:manualLayout>
              </c:layout>
              <c:dLblPos val="bestFit"/>
              <c:showPercent val="1"/>
            </c:dLbl>
            <c:dLbl>
              <c:idx val="1"/>
              <c:layout>
                <c:manualLayout>
                  <c:x val="-8.7740027986468253E-2"/>
                  <c:y val="1.5705777122400445E-2"/>
                </c:manualLayout>
              </c:layout>
              <c:dLblPos val="bestFit"/>
              <c:showPercent val="1"/>
            </c:dLbl>
            <c:dLbl>
              <c:idx val="2"/>
              <c:dLblPos val="bestFit"/>
              <c:showPercent val="1"/>
            </c:dLbl>
            <c:numFmt formatCode="0.0%" sourceLinked="0"/>
            <c:spPr>
              <a:noFill/>
              <a:ln w="21538">
                <a:noFill/>
              </a:ln>
            </c:spPr>
            <c:txPr>
              <a:bodyPr/>
              <a:lstStyle/>
              <a:p>
                <a:pPr>
                  <a:defRPr sz="848" b="0" i="0" u="none" strike="noStrike" baseline="0">
                    <a:solidFill>
                      <a:srgbClr val="000000"/>
                    </a:solidFill>
                    <a:latin typeface="Times New Roman"/>
                    <a:ea typeface="Times New Roman"/>
                    <a:cs typeface="Times New Roman"/>
                  </a:defRPr>
                </a:pPr>
                <a:endParaRPr lang="ru-RU"/>
              </a:p>
            </c:txPr>
            <c:showPercent val="1"/>
            <c:showLeaderLines val="1"/>
          </c:dLbls>
          <c:cat>
            <c:strRef>
              <c:f>Sheet1!$B$1:$D$1</c:f>
              <c:strCache>
                <c:ptCount val="3"/>
                <c:pt idx="0">
                  <c:v>Cheltuieli de distribuire</c:v>
                </c:pt>
                <c:pt idx="1">
                  <c:v>Cheltuieli administrative</c:v>
                </c:pt>
                <c:pt idx="2">
                  <c:v>Alte cheltuieli din activitatea operaţională</c:v>
                </c:pt>
              </c:strCache>
            </c:strRef>
          </c:cat>
          <c:val>
            <c:numRef>
              <c:f>Sheet1!$B$2:$D$2</c:f>
              <c:numCache>
                <c:formatCode>0.00%</c:formatCode>
                <c:ptCount val="3"/>
                <c:pt idx="0" formatCode="0%">
                  <c:v>447.1</c:v>
                </c:pt>
                <c:pt idx="1">
                  <c:v>460.7</c:v>
                </c:pt>
                <c:pt idx="2">
                  <c:v>210.5</c:v>
                </c:pt>
              </c:numCache>
            </c:numRef>
          </c:val>
        </c:ser>
        <c:dLbls>
          <c:showVal val="1"/>
        </c:dLbls>
      </c:pie3DChart>
      <c:spPr>
        <a:solidFill>
          <a:srgbClr val="FFFFFF"/>
        </a:solidFill>
        <a:ln w="10769">
          <a:solidFill>
            <a:srgbClr val="FFFFFF"/>
          </a:solidFill>
          <a:prstDash val="solid"/>
        </a:ln>
      </c:spPr>
    </c:plotArea>
    <c:legend>
      <c:legendPos val="b"/>
      <c:layout>
        <c:manualLayout>
          <c:xMode val="edge"/>
          <c:yMode val="edge"/>
          <c:x val="3.5040431266846361E-2"/>
          <c:y val="0.66120218579234891"/>
          <c:w val="0.95148247978436606"/>
          <c:h val="0.33333333333333331"/>
        </c:manualLayout>
      </c:layout>
      <c:spPr>
        <a:noFill/>
        <a:ln w="10769">
          <a:solidFill>
            <a:srgbClr val="FFFFFF"/>
          </a:solidFill>
          <a:prstDash val="solid"/>
        </a:ln>
      </c:spPr>
      <c:txPr>
        <a:bodyPr/>
        <a:lstStyle/>
        <a:p>
          <a:pPr>
            <a:defRPr sz="780"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678"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0.18208092485549149"/>
          <c:y val="8.8942307692307696E-2"/>
          <c:w val="0.70520231213872864"/>
          <c:h val="0.23317307692307668"/>
        </c:manualLayout>
      </c:layout>
      <c:pie3DChart>
        <c:varyColors val="1"/>
        <c:ser>
          <c:idx val="0"/>
          <c:order val="0"/>
          <c:tx>
            <c:strRef>
              <c:f>Sheet1!$A$2</c:f>
              <c:strCache>
                <c:ptCount val="1"/>
                <c:pt idx="0">
                  <c:v>Восток</c:v>
                </c:pt>
              </c:strCache>
            </c:strRef>
          </c:tx>
          <c:spPr>
            <a:solidFill>
              <a:srgbClr val="9999FF"/>
            </a:solidFill>
            <a:ln w="10726">
              <a:solidFill>
                <a:srgbClr val="000000"/>
              </a:solidFill>
              <a:prstDash val="solid"/>
            </a:ln>
          </c:spPr>
          <c:explosion val="25"/>
          <c:dPt>
            <c:idx val="0"/>
            <c:spPr>
              <a:pattFill prst="wdUpDiag">
                <a:fgClr>
                  <a:srgbClr val="9999FF"/>
                </a:fgClr>
                <a:bgClr>
                  <a:srgbClr val="FFFFFF"/>
                </a:bgClr>
              </a:pattFill>
              <a:ln w="10726">
                <a:solidFill>
                  <a:srgbClr val="000000"/>
                </a:solidFill>
                <a:prstDash val="solid"/>
              </a:ln>
            </c:spPr>
          </c:dPt>
          <c:dPt>
            <c:idx val="1"/>
            <c:spPr>
              <a:solidFill>
                <a:srgbClr val="993366"/>
              </a:solidFill>
              <a:ln w="10726">
                <a:solidFill>
                  <a:srgbClr val="000000"/>
                </a:solidFill>
                <a:prstDash val="solid"/>
              </a:ln>
            </c:spPr>
          </c:dPt>
          <c:dPt>
            <c:idx val="2"/>
            <c:spPr>
              <a:solidFill>
                <a:srgbClr val="FFFFCC"/>
              </a:solidFill>
              <a:ln w="10726">
                <a:solidFill>
                  <a:srgbClr val="000000"/>
                </a:solidFill>
                <a:prstDash val="solid"/>
              </a:ln>
            </c:spPr>
          </c:dPt>
          <c:dPt>
            <c:idx val="3"/>
            <c:spPr>
              <a:solidFill>
                <a:srgbClr val="CCFFFF"/>
              </a:solidFill>
              <a:ln w="10726">
                <a:solidFill>
                  <a:srgbClr val="000000"/>
                </a:solidFill>
                <a:prstDash val="solid"/>
              </a:ln>
            </c:spPr>
          </c:dPt>
          <c:dPt>
            <c:idx val="4"/>
            <c:spPr>
              <a:pattFill prst="lgCheck">
                <a:fgClr>
                  <a:srgbClr val="660066"/>
                </a:fgClr>
                <a:bgClr>
                  <a:srgbClr val="FFFFFF"/>
                </a:bgClr>
              </a:pattFill>
              <a:ln w="10726">
                <a:solidFill>
                  <a:srgbClr val="000000"/>
                </a:solidFill>
                <a:prstDash val="solid"/>
              </a:ln>
            </c:spPr>
          </c:dPt>
          <c:dPt>
            <c:idx val="5"/>
            <c:spPr>
              <a:pattFill prst="solidDmnd">
                <a:fgClr>
                  <a:srgbClr val="FF8080"/>
                </a:fgClr>
                <a:bgClr>
                  <a:srgbClr val="FFFFFF"/>
                </a:bgClr>
              </a:pattFill>
              <a:ln w="10726">
                <a:solidFill>
                  <a:srgbClr val="000000"/>
                </a:solidFill>
                <a:prstDash val="solid"/>
              </a:ln>
            </c:spPr>
          </c:dPt>
          <c:dPt>
            <c:idx val="6"/>
            <c:spPr>
              <a:solidFill>
                <a:srgbClr val="0066CC"/>
              </a:solidFill>
              <a:ln w="10726">
                <a:solidFill>
                  <a:srgbClr val="000000"/>
                </a:solidFill>
                <a:prstDash val="solid"/>
              </a:ln>
            </c:spPr>
          </c:dPt>
          <c:dPt>
            <c:idx val="7"/>
            <c:spPr>
              <a:solidFill>
                <a:srgbClr val="CCCCFF"/>
              </a:solidFill>
              <a:ln w="10726">
                <a:solidFill>
                  <a:srgbClr val="000000"/>
                </a:solidFill>
                <a:prstDash val="solid"/>
              </a:ln>
            </c:spPr>
          </c:dPt>
          <c:dPt>
            <c:idx val="8"/>
            <c:spPr>
              <a:solidFill>
                <a:srgbClr val="000080"/>
              </a:solidFill>
              <a:ln w="10726">
                <a:solidFill>
                  <a:srgbClr val="000000"/>
                </a:solidFill>
                <a:prstDash val="solid"/>
              </a:ln>
            </c:spPr>
          </c:dPt>
          <c:dPt>
            <c:idx val="9"/>
            <c:spPr>
              <a:solidFill>
                <a:srgbClr val="FF00FF"/>
              </a:solidFill>
              <a:ln w="10726">
                <a:solidFill>
                  <a:srgbClr val="000000"/>
                </a:solidFill>
                <a:prstDash val="solid"/>
              </a:ln>
            </c:spPr>
          </c:dPt>
          <c:dPt>
            <c:idx val="10"/>
            <c:spPr>
              <a:solidFill>
                <a:srgbClr val="FFFF00"/>
              </a:solidFill>
              <a:ln w="10726">
                <a:solidFill>
                  <a:srgbClr val="000000"/>
                </a:solidFill>
                <a:prstDash val="solid"/>
              </a:ln>
            </c:spPr>
          </c:dPt>
          <c:dPt>
            <c:idx val="11"/>
            <c:spPr>
              <a:pattFill prst="wdUpDiag">
                <a:fgClr>
                  <a:srgbClr val="00FFFF"/>
                </a:fgClr>
                <a:bgClr>
                  <a:srgbClr val="FFFFFF"/>
                </a:bgClr>
              </a:pattFill>
              <a:ln w="10726">
                <a:solidFill>
                  <a:srgbClr val="000000"/>
                </a:solidFill>
                <a:prstDash val="solid"/>
              </a:ln>
            </c:spPr>
          </c:dPt>
          <c:dPt>
            <c:idx val="12"/>
            <c:spPr>
              <a:solidFill>
                <a:srgbClr val="800080"/>
              </a:solidFill>
              <a:ln w="10726">
                <a:solidFill>
                  <a:srgbClr val="000000"/>
                </a:solidFill>
                <a:prstDash val="solid"/>
              </a:ln>
            </c:spPr>
          </c:dPt>
          <c:dPt>
            <c:idx val="13"/>
            <c:spPr>
              <a:solidFill>
                <a:srgbClr val="800000"/>
              </a:solidFill>
              <a:ln w="10726">
                <a:solidFill>
                  <a:srgbClr val="000000"/>
                </a:solidFill>
                <a:prstDash val="solid"/>
              </a:ln>
            </c:spPr>
          </c:dPt>
          <c:dLbls>
            <c:dLbl>
              <c:idx val="0"/>
              <c:tx>
                <c:rich>
                  <a:bodyPr/>
                  <a:lstStyle/>
                  <a:p>
                    <a:pPr>
                      <a:defRPr sz="676" b="0" i="0" u="none" strike="noStrike" baseline="0">
                        <a:solidFill>
                          <a:srgbClr val="000000"/>
                        </a:solidFill>
                        <a:latin typeface="Times New Roman"/>
                        <a:ea typeface="Times New Roman"/>
                        <a:cs typeface="Times New Roman"/>
                      </a:defRPr>
                    </a:pPr>
                    <a:r>
                      <a:rPr lang="ru-RU"/>
                      <a:t>2,5%</a:t>
                    </a:r>
                  </a:p>
                </c:rich>
              </c:tx>
              <c:spPr>
                <a:noFill/>
                <a:ln w="21451">
                  <a:noFill/>
                </a:ln>
              </c:spPr>
              <c:dLblPos val="bestFit"/>
            </c:dLbl>
            <c:dLbl>
              <c:idx val="1"/>
              <c:layout>
                <c:manualLayout>
                  <c:x val="-4.9446446847361415E-2"/>
                  <c:y val="-4.7618660679475844E-2"/>
                </c:manualLayout>
              </c:layout>
              <c:tx>
                <c:rich>
                  <a:bodyPr/>
                  <a:lstStyle/>
                  <a:p>
                    <a:pPr>
                      <a:defRPr sz="676" b="0" i="0" u="none" strike="noStrike" baseline="0">
                        <a:solidFill>
                          <a:srgbClr val="000000"/>
                        </a:solidFill>
                        <a:latin typeface="Times New Roman"/>
                        <a:ea typeface="Times New Roman"/>
                        <a:cs typeface="Times New Roman"/>
                      </a:defRPr>
                    </a:pPr>
                    <a:r>
                      <a:rPr lang="ru-RU"/>
                      <a:t>4,9%</a:t>
                    </a:r>
                  </a:p>
                </c:rich>
              </c:tx>
              <c:spPr>
                <a:noFill/>
                <a:ln w="21451">
                  <a:noFill/>
                </a:ln>
              </c:spPr>
              <c:dLblPos val="bestFit"/>
            </c:dLbl>
            <c:dLbl>
              <c:idx val="2"/>
              <c:layout>
                <c:manualLayout>
                  <c:x val="-1.4320167943092181E-2"/>
                  <c:y val="-3.6568486585247736E-2"/>
                </c:manualLayout>
              </c:layout>
              <c:tx>
                <c:rich>
                  <a:bodyPr/>
                  <a:lstStyle/>
                  <a:p>
                    <a:pPr>
                      <a:defRPr sz="676" b="0" i="0" u="none" strike="noStrike" baseline="0">
                        <a:solidFill>
                          <a:srgbClr val="000000"/>
                        </a:solidFill>
                        <a:latin typeface="Times New Roman"/>
                        <a:ea typeface="Times New Roman"/>
                        <a:cs typeface="Times New Roman"/>
                      </a:defRPr>
                    </a:pPr>
                    <a:r>
                      <a:rPr lang="ru-RU"/>
                      <a:t>4,8%</a:t>
                    </a:r>
                  </a:p>
                </c:rich>
              </c:tx>
              <c:spPr>
                <a:noFill/>
                <a:ln w="21451">
                  <a:noFill/>
                </a:ln>
              </c:spPr>
              <c:dLblPos val="bestFit"/>
            </c:dLbl>
            <c:dLbl>
              <c:idx val="3"/>
              <c:layout>
                <c:manualLayout>
                  <c:x val="-3.4268221071430315E-2"/>
                  <c:y val="-5.0883995393104703E-2"/>
                </c:manualLayout>
              </c:layout>
              <c:tx>
                <c:rich>
                  <a:bodyPr/>
                  <a:lstStyle/>
                  <a:p>
                    <a:pPr>
                      <a:defRPr sz="676" b="0" i="0" u="none" strike="noStrike" baseline="0">
                        <a:solidFill>
                          <a:srgbClr val="000000"/>
                        </a:solidFill>
                        <a:latin typeface="Times New Roman"/>
                        <a:ea typeface="Times New Roman"/>
                        <a:cs typeface="Times New Roman"/>
                      </a:defRPr>
                    </a:pPr>
                    <a:r>
                      <a:rPr lang="ru-RU"/>
                      <a:t>17,8%</a:t>
                    </a:r>
                  </a:p>
                </c:rich>
              </c:tx>
              <c:spPr>
                <a:noFill/>
                <a:ln w="21451">
                  <a:noFill/>
                </a:ln>
              </c:spPr>
              <c:dLblPos val="bestFit"/>
            </c:dLbl>
            <c:dLbl>
              <c:idx val="4"/>
              <c:layout>
                <c:manualLayout>
                  <c:x val="8.7047448978209725E-3"/>
                  <c:y val="1.1294658717532484E-2"/>
                </c:manualLayout>
              </c:layout>
              <c:dLblPos val="bestFit"/>
              <c:showVal val="1"/>
            </c:dLbl>
            <c:dLbl>
              <c:idx val="5"/>
              <c:layout>
                <c:manualLayout>
                  <c:x val="-9.7235616052344046E-3"/>
                  <c:y val="2.3298888363517969E-2"/>
                </c:manualLayout>
              </c:layout>
              <c:tx>
                <c:rich>
                  <a:bodyPr/>
                  <a:lstStyle/>
                  <a:p>
                    <a:pPr>
                      <a:defRPr sz="676" b="0" i="0" u="none" strike="noStrike" baseline="0">
                        <a:solidFill>
                          <a:srgbClr val="000000"/>
                        </a:solidFill>
                        <a:latin typeface="Times New Roman"/>
                        <a:ea typeface="Times New Roman"/>
                        <a:cs typeface="Times New Roman"/>
                      </a:defRPr>
                    </a:pPr>
                    <a:r>
                      <a:rPr lang="ru-RU"/>
                      <a:t>15,9%</a:t>
                    </a:r>
                  </a:p>
                </c:rich>
              </c:tx>
              <c:spPr>
                <a:noFill/>
                <a:ln w="21451">
                  <a:noFill/>
                </a:ln>
              </c:spPr>
              <c:dLblPos val="bestFit"/>
            </c:dLbl>
            <c:dLbl>
              <c:idx val="6"/>
              <c:layout>
                <c:manualLayout>
                  <c:x val="5.5839494191738726E-2"/>
                  <c:y val="2.6385280476581265E-2"/>
                </c:manualLayout>
              </c:layout>
              <c:tx>
                <c:rich>
                  <a:bodyPr/>
                  <a:lstStyle/>
                  <a:p>
                    <a:pPr>
                      <a:defRPr sz="676" b="0" i="0" u="none" strike="noStrike" baseline="0">
                        <a:solidFill>
                          <a:srgbClr val="000000"/>
                        </a:solidFill>
                        <a:latin typeface="Times New Roman"/>
                        <a:ea typeface="Times New Roman"/>
                        <a:cs typeface="Times New Roman"/>
                      </a:defRPr>
                    </a:pPr>
                    <a:r>
                      <a:rPr lang="ru-RU"/>
                      <a:t>2,0%</a:t>
                    </a:r>
                  </a:p>
                </c:rich>
              </c:tx>
              <c:spPr>
                <a:noFill/>
                <a:ln w="21451">
                  <a:noFill/>
                </a:ln>
              </c:spPr>
              <c:dLblPos val="bestFit"/>
            </c:dLbl>
            <c:dLbl>
              <c:idx val="7"/>
              <c:layout>
                <c:manualLayout>
                  <c:x val="3.6633933136147497E-3"/>
                  <c:y val="5.8265510790747398E-2"/>
                </c:manualLayout>
              </c:layout>
              <c:tx>
                <c:rich>
                  <a:bodyPr/>
                  <a:lstStyle/>
                  <a:p>
                    <a:pPr>
                      <a:defRPr sz="676" b="0" i="0" u="none" strike="noStrike" baseline="0">
                        <a:solidFill>
                          <a:srgbClr val="000000"/>
                        </a:solidFill>
                        <a:latin typeface="Times New Roman"/>
                        <a:ea typeface="Times New Roman"/>
                        <a:cs typeface="Times New Roman"/>
                      </a:defRPr>
                    </a:pPr>
                    <a:r>
                      <a:rPr lang="ru-RU"/>
                      <a:t>5,7%</a:t>
                    </a:r>
                  </a:p>
                </c:rich>
              </c:tx>
              <c:spPr>
                <a:noFill/>
                <a:ln w="21451">
                  <a:noFill/>
                </a:ln>
              </c:spPr>
              <c:dLblPos val="bestFit"/>
            </c:dLbl>
            <c:dLbl>
              <c:idx val="8"/>
              <c:layout>
                <c:manualLayout>
                  <c:x val="-3.1359270417754652E-2"/>
                  <c:y val="4.6537194871739782E-2"/>
                </c:manualLayout>
              </c:layout>
              <c:dLblPos val="bestFit"/>
              <c:showVal val="1"/>
            </c:dLbl>
            <c:dLbl>
              <c:idx val="9"/>
              <c:layout>
                <c:manualLayout>
                  <c:x val="-8.3510985879536107E-2"/>
                  <c:y val="1.0683031973251237E-2"/>
                </c:manualLayout>
              </c:layout>
              <c:dLblPos val="bestFit"/>
              <c:showVal val="1"/>
            </c:dLbl>
            <c:dLbl>
              <c:idx val="10"/>
              <c:layout>
                <c:manualLayout>
                  <c:x val="-4.4869514808365735E-2"/>
                  <c:y val="-2.3181251343746257E-2"/>
                </c:manualLayout>
              </c:layout>
              <c:tx>
                <c:rich>
                  <a:bodyPr/>
                  <a:lstStyle/>
                  <a:p>
                    <a:pPr>
                      <a:defRPr sz="676" b="0" i="0" u="none" strike="noStrike" baseline="0">
                        <a:solidFill>
                          <a:srgbClr val="000000"/>
                        </a:solidFill>
                        <a:latin typeface="Times New Roman"/>
                        <a:ea typeface="Times New Roman"/>
                        <a:cs typeface="Times New Roman"/>
                      </a:defRPr>
                    </a:pPr>
                    <a:r>
                      <a:rPr lang="ru-RU"/>
                      <a:t>12,5%</a:t>
                    </a:r>
                  </a:p>
                </c:rich>
              </c:tx>
              <c:spPr>
                <a:noFill/>
                <a:ln w="21451">
                  <a:noFill/>
                </a:ln>
              </c:spPr>
              <c:dLblPos val="bestFit"/>
            </c:dLbl>
            <c:dLbl>
              <c:idx val="11"/>
              <c:layout>
                <c:manualLayout>
                  <c:x val="6.620171526062763E-3"/>
                  <c:y val="-2.6247427685407016E-2"/>
                </c:manualLayout>
              </c:layout>
              <c:tx>
                <c:rich>
                  <a:bodyPr/>
                  <a:lstStyle/>
                  <a:p>
                    <a:pPr>
                      <a:defRPr sz="676" b="0" i="0" u="none" strike="noStrike" baseline="0">
                        <a:solidFill>
                          <a:srgbClr val="000000"/>
                        </a:solidFill>
                        <a:latin typeface="Times New Roman"/>
                        <a:ea typeface="Times New Roman"/>
                        <a:cs typeface="Times New Roman"/>
                      </a:defRPr>
                    </a:pPr>
                    <a:r>
                      <a:rPr lang="ru-RU"/>
                      <a:t>16,7%</a:t>
                    </a:r>
                  </a:p>
                </c:rich>
              </c:tx>
              <c:spPr>
                <a:noFill/>
                <a:ln w="21451">
                  <a:noFill/>
                </a:ln>
              </c:spPr>
              <c:dLblPos val="bestFit"/>
            </c:dLbl>
            <c:dLbl>
              <c:idx val="12"/>
              <c:layout>
                <c:manualLayout>
                  <c:x val="-2.8416129761212987E-2"/>
                  <c:y val="-5.6788928370827996E-2"/>
                </c:manualLayout>
              </c:layout>
              <c:tx>
                <c:rich>
                  <a:bodyPr/>
                  <a:lstStyle/>
                  <a:p>
                    <a:pPr>
                      <a:defRPr sz="676" b="0" i="0" u="none" strike="noStrike" baseline="0">
                        <a:solidFill>
                          <a:srgbClr val="000000"/>
                        </a:solidFill>
                        <a:latin typeface="Times New Roman"/>
                        <a:ea typeface="Times New Roman"/>
                        <a:cs typeface="Times New Roman"/>
                      </a:defRPr>
                    </a:pPr>
                    <a:r>
                      <a:rPr lang="ru-RU"/>
                      <a:t>04,%</a:t>
                    </a:r>
                  </a:p>
                </c:rich>
              </c:tx>
              <c:spPr>
                <a:noFill/>
                <a:ln w="21451">
                  <a:noFill/>
                </a:ln>
              </c:spPr>
              <c:dLblPos val="bestFit"/>
            </c:dLbl>
            <c:dLbl>
              <c:idx val="13"/>
              <c:layout>
                <c:manualLayout>
                  <c:x val="2.4048049910912847E-2"/>
                  <c:y val="-3.6756833939830993E-2"/>
                </c:manualLayout>
              </c:layout>
              <c:dLblPos val="bestFit"/>
              <c:showVal val="1"/>
            </c:dLbl>
            <c:numFmt formatCode="0.0%" sourceLinked="0"/>
            <c:spPr>
              <a:noFill/>
              <a:ln w="21451">
                <a:noFill/>
              </a:ln>
            </c:spPr>
            <c:txPr>
              <a:bodyPr/>
              <a:lstStyle/>
              <a:p>
                <a:pPr>
                  <a:defRPr sz="676" b="0" i="0" u="none" strike="noStrike" baseline="0">
                    <a:solidFill>
                      <a:srgbClr val="000000"/>
                    </a:solidFill>
                    <a:latin typeface="Times New Roman"/>
                    <a:ea typeface="Times New Roman"/>
                    <a:cs typeface="Times New Roman"/>
                  </a:defRPr>
                </a:pPr>
                <a:endParaRPr lang="ru-RU"/>
              </a:p>
            </c:txPr>
            <c:showVal val="1"/>
            <c:showLeaderLines val="1"/>
          </c:dLbls>
          <c:cat>
            <c:strRef>
              <c:f>Sheet1!$B$1:$O$1</c:f>
              <c:strCache>
                <c:ptCount val="14"/>
                <c:pt idx="0">
                  <c:v>Investiţii financiare pe termen lung în părţi neafiliate</c:v>
                </c:pt>
                <c:pt idx="1">
                  <c:v>Investiţii financiare pe termen lung în părţi afiliate</c:v>
                </c:pt>
                <c:pt idx="2">
                  <c:v>Investiţii imobiliare</c:v>
                </c:pt>
                <c:pt idx="3">
                  <c:v>Creanţe pe termen lung</c:v>
                </c:pt>
                <c:pt idx="4">
                  <c:v>Avansuri acordate pe termen lung</c:v>
                </c:pt>
                <c:pt idx="5">
                  <c:v>Creanţe comerciale</c:v>
                </c:pt>
                <c:pt idx="6">
                  <c:v>Creanţe ale părţilor afiliate</c:v>
                </c:pt>
                <c:pt idx="7">
                  <c:v>Avansuri acordate curente</c:v>
                </c:pt>
                <c:pt idx="8">
                  <c:v>Creanţe ale bugetului</c:v>
                </c:pt>
                <c:pt idx="9">
                  <c:v>Creanţe ale personalului</c:v>
                </c:pt>
                <c:pt idx="10">
                  <c:v>Alte creanţe curente</c:v>
                </c:pt>
                <c:pt idx="11">
                  <c:v>Numerar în casierie şi la conturi curente</c:v>
                </c:pt>
                <c:pt idx="12">
                  <c:v>Alte elemente de numerar</c:v>
                </c:pt>
                <c:pt idx="13">
                  <c:v>Investiţii financiare curente în părţi afiliate, neafiliate</c:v>
                </c:pt>
              </c:strCache>
            </c:strRef>
          </c:cat>
          <c:val>
            <c:numRef>
              <c:f>Sheet1!$B$2:$O$2</c:f>
              <c:numCache>
                <c:formatCode>0.00%</c:formatCode>
                <c:ptCount val="14"/>
                <c:pt idx="0">
                  <c:v>2.5000000000000001E-2</c:v>
                </c:pt>
                <c:pt idx="1">
                  <c:v>4.9000000000000037E-2</c:v>
                </c:pt>
                <c:pt idx="2">
                  <c:v>4.8000000000000001E-2</c:v>
                </c:pt>
                <c:pt idx="3">
                  <c:v>0.1780000000000001</c:v>
                </c:pt>
                <c:pt idx="4">
                  <c:v>7.0000000000000021E-2</c:v>
                </c:pt>
                <c:pt idx="5">
                  <c:v>0.15900000000000011</c:v>
                </c:pt>
                <c:pt idx="6">
                  <c:v>2.0000000000000011E-2</c:v>
                </c:pt>
                <c:pt idx="7">
                  <c:v>5.7000000000000023E-2</c:v>
                </c:pt>
                <c:pt idx="8">
                  <c:v>3.0000000000000002E-2</c:v>
                </c:pt>
                <c:pt idx="9">
                  <c:v>6.0000000000000036E-3</c:v>
                </c:pt>
                <c:pt idx="10">
                  <c:v>0.125</c:v>
                </c:pt>
                <c:pt idx="11">
                  <c:v>0.16700000000000001</c:v>
                </c:pt>
                <c:pt idx="12">
                  <c:v>4.0000000000000036E-3</c:v>
                </c:pt>
                <c:pt idx="13">
                  <c:v>6.2000000000000034E-2</c:v>
                </c:pt>
              </c:numCache>
            </c:numRef>
          </c:val>
        </c:ser>
        <c:dLbls>
          <c:showVal val="1"/>
        </c:dLbls>
      </c:pie3DChart>
      <c:spPr>
        <a:solidFill>
          <a:srgbClr val="FFFFFF"/>
        </a:solidFill>
        <a:ln w="10726">
          <a:solidFill>
            <a:srgbClr val="FFFFFF"/>
          </a:solidFill>
          <a:prstDash val="solid"/>
        </a:ln>
      </c:spPr>
    </c:plotArea>
    <c:legend>
      <c:legendPos val="b"/>
      <c:spPr>
        <a:noFill/>
        <a:ln w="2681">
          <a:solidFill>
            <a:srgbClr val="000000"/>
          </a:solidFill>
          <a:prstDash val="solid"/>
        </a:ln>
      </c:spPr>
      <c:txPr>
        <a:bodyPr/>
        <a:lstStyle/>
        <a:p>
          <a:pPr>
            <a:defRPr sz="697"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676" b="0" i="0" u="none" strike="noStrike" baseline="0">
          <a:solidFill>
            <a:srgbClr val="000000"/>
          </a:solidFill>
          <a:latin typeface="Times New Roman"/>
          <a:ea typeface="Times New Roman"/>
          <a:cs typeface="Times New Roman"/>
        </a:defRPr>
      </a:pPr>
      <a:endParaRPr lang="ru-RU"/>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18"/>
      <c:depthPercent val="100"/>
      <c:rAngAx val="1"/>
    </c:view3D>
    <c:floor>
      <c:spPr>
        <a:solidFill>
          <a:srgbClr val="C0C0C0"/>
        </a:solidFill>
        <a:ln w="3175">
          <a:solidFill>
            <a:srgbClr val="000000"/>
          </a:solidFill>
          <a:prstDash val="solid"/>
        </a:ln>
      </c:spPr>
    </c:floor>
    <c:sideWall>
      <c:spPr>
        <a:solidFill>
          <a:srgbClr val="FFFFFF"/>
        </a:solidFill>
        <a:ln w="12700">
          <a:solidFill>
            <a:srgbClr val="FFFFFF"/>
          </a:solidFill>
          <a:prstDash val="solid"/>
        </a:ln>
      </c:spPr>
    </c:sideWall>
    <c:backWall>
      <c:spPr>
        <a:solidFill>
          <a:srgbClr val="FFFFFF"/>
        </a:solidFill>
        <a:ln w="12700">
          <a:solidFill>
            <a:srgbClr val="FFFFFF"/>
          </a:solidFill>
          <a:prstDash val="solid"/>
        </a:ln>
      </c:spPr>
    </c:backWall>
    <c:plotArea>
      <c:layout>
        <c:manualLayout>
          <c:layoutTarget val="inner"/>
          <c:xMode val="edge"/>
          <c:yMode val="edge"/>
          <c:x val="2.2388059701492533E-2"/>
          <c:y val="9.3167701863354033E-2"/>
          <c:w val="0.96417910447761201"/>
          <c:h val="0.54658385093167661"/>
        </c:manualLayout>
      </c:layout>
      <c:bar3DChart>
        <c:barDir val="col"/>
        <c:grouping val="clustered"/>
        <c:ser>
          <c:idx val="1"/>
          <c:order val="0"/>
          <c:tx>
            <c:strRef>
              <c:f>Sheet1!$A$3</c:f>
              <c:strCache>
                <c:ptCount val="1"/>
                <c:pt idx="0">
                  <c:v>creanţe pe termen lung</c:v>
                </c:pt>
              </c:strCache>
            </c:strRef>
          </c:tx>
          <c:spPr>
            <a:solidFill>
              <a:srgbClr val="CCFFFF"/>
            </a:solidFill>
            <a:ln w="12658">
              <a:solidFill>
                <a:srgbClr val="000000"/>
              </a:solidFill>
              <a:prstDash val="solid"/>
            </a:ln>
          </c:spPr>
          <c:dLbls>
            <c:spPr>
              <a:noFill/>
              <a:ln w="25315">
                <a:noFill/>
              </a:ln>
            </c:spPr>
            <c:txPr>
              <a:bodyPr/>
              <a:lstStyle/>
              <a:p>
                <a:pPr>
                  <a:defRPr sz="797" b="1" i="0" u="none" strike="noStrike" baseline="0">
                    <a:solidFill>
                      <a:srgbClr val="000000"/>
                    </a:solidFill>
                    <a:latin typeface="Arial Cyr"/>
                    <a:ea typeface="Arial Cyr"/>
                    <a:cs typeface="Arial Cyr"/>
                  </a:defRPr>
                </a:pPr>
                <a:endParaRPr lang="ru-RU"/>
              </a:p>
            </c:txPr>
            <c:showVal val="1"/>
          </c:dLbls>
          <c:cat>
            <c:numRef>
              <c:f>Sheet1!$B$1:$D$1</c:f>
              <c:numCache>
                <c:formatCode>dd/mm/yyyy</c:formatCode>
                <c:ptCount val="2"/>
                <c:pt idx="0">
                  <c:v>42005</c:v>
                </c:pt>
                <c:pt idx="1">
                  <c:v>42369</c:v>
                </c:pt>
              </c:numCache>
            </c:numRef>
          </c:cat>
          <c:val>
            <c:numRef>
              <c:f>Sheet1!$B$3:$D$3</c:f>
              <c:numCache>
                <c:formatCode>General</c:formatCode>
                <c:ptCount val="2"/>
                <c:pt idx="0">
                  <c:v>1829.3</c:v>
                </c:pt>
                <c:pt idx="1">
                  <c:v>573.79999999999995</c:v>
                </c:pt>
              </c:numCache>
            </c:numRef>
          </c:val>
        </c:ser>
        <c:ser>
          <c:idx val="2"/>
          <c:order val="1"/>
          <c:tx>
            <c:strRef>
              <c:f>Sheet1!$A$4</c:f>
              <c:strCache>
                <c:ptCount val="1"/>
                <c:pt idx="0">
                  <c:v>creanţe curente</c:v>
                </c:pt>
              </c:strCache>
            </c:strRef>
          </c:tx>
          <c:spPr>
            <a:pattFill prst="plaid">
              <a:fgClr>
                <a:srgbClr val="FF6600"/>
              </a:fgClr>
              <a:bgClr>
                <a:srgbClr val="FFFFFF"/>
              </a:bgClr>
            </a:pattFill>
            <a:ln w="12658">
              <a:solidFill>
                <a:srgbClr val="000000"/>
              </a:solidFill>
              <a:prstDash val="solid"/>
            </a:ln>
          </c:spPr>
          <c:dLbls>
            <c:dLbl>
              <c:idx val="0"/>
              <c:layout>
                <c:manualLayout>
                  <c:x val="2.0917531274096037E-2"/>
                  <c:y val="-6.2551963613243999E-2"/>
                </c:manualLayout>
              </c:layout>
              <c:showVal val="1"/>
            </c:dLbl>
            <c:dLbl>
              <c:idx val="1"/>
              <c:layout>
                <c:manualLayout>
                  <c:x val="1.6117709927911037E-2"/>
                  <c:y val="-0.13980158834660716"/>
                </c:manualLayout>
              </c:layout>
              <c:showVal val="1"/>
            </c:dLbl>
            <c:spPr>
              <a:noFill/>
              <a:ln w="25315">
                <a:noFill/>
              </a:ln>
            </c:spPr>
            <c:txPr>
              <a:bodyPr/>
              <a:lstStyle/>
              <a:p>
                <a:pPr>
                  <a:defRPr sz="947" b="0" i="0" u="none" strike="noStrike" baseline="0">
                    <a:solidFill>
                      <a:srgbClr val="000000"/>
                    </a:solidFill>
                    <a:latin typeface="Times New Roman"/>
                    <a:ea typeface="Times New Roman"/>
                    <a:cs typeface="Times New Roman"/>
                  </a:defRPr>
                </a:pPr>
                <a:endParaRPr lang="ru-RU"/>
              </a:p>
            </c:txPr>
            <c:showVal val="1"/>
          </c:dLbls>
          <c:cat>
            <c:numRef>
              <c:f>Sheet1!$B$1:$D$1</c:f>
              <c:numCache>
                <c:formatCode>dd/mm/yyyy</c:formatCode>
                <c:ptCount val="2"/>
                <c:pt idx="0">
                  <c:v>42005</c:v>
                </c:pt>
                <c:pt idx="1">
                  <c:v>42369</c:v>
                </c:pt>
              </c:numCache>
            </c:numRef>
          </c:cat>
          <c:val>
            <c:numRef>
              <c:f>Sheet1!$B$4:$D$4</c:f>
              <c:numCache>
                <c:formatCode>General</c:formatCode>
                <c:ptCount val="2"/>
                <c:pt idx="0">
                  <c:v>3081.1</c:v>
                </c:pt>
                <c:pt idx="1">
                  <c:v>2764.8</c:v>
                </c:pt>
              </c:numCache>
            </c:numRef>
          </c:val>
        </c:ser>
        <c:gapDepth val="0"/>
        <c:shape val="box"/>
        <c:axId val="308551680"/>
        <c:axId val="308553216"/>
        <c:axId val="0"/>
      </c:bar3DChart>
      <c:catAx>
        <c:axId val="308551680"/>
        <c:scaling>
          <c:orientation val="minMax"/>
        </c:scaling>
        <c:axPos val="b"/>
        <c:numFmt formatCode="dd/mm/yyyy" sourceLinked="1"/>
        <c:tickLblPos val="low"/>
        <c:spPr>
          <a:ln w="3164">
            <a:solidFill>
              <a:srgbClr val="000000"/>
            </a:solidFill>
            <a:prstDash val="solid"/>
          </a:ln>
        </c:spPr>
        <c:txPr>
          <a:bodyPr rot="0" vert="horz"/>
          <a:lstStyle/>
          <a:p>
            <a:pPr>
              <a:defRPr sz="797" b="1" i="0" u="none" strike="noStrike" baseline="0">
                <a:solidFill>
                  <a:srgbClr val="000000"/>
                </a:solidFill>
                <a:latin typeface="Times New Roman"/>
                <a:ea typeface="Times New Roman"/>
                <a:cs typeface="Times New Roman"/>
              </a:defRPr>
            </a:pPr>
            <a:endParaRPr lang="ru-RU"/>
          </a:p>
        </c:txPr>
        <c:crossAx val="308553216"/>
        <c:crosses val="autoZero"/>
        <c:lblAlgn val="ctr"/>
        <c:lblOffset val="100"/>
        <c:tickLblSkip val="1"/>
        <c:tickMarkSkip val="1"/>
      </c:catAx>
      <c:valAx>
        <c:axId val="308553216"/>
        <c:scaling>
          <c:orientation val="minMax"/>
        </c:scaling>
        <c:delete val="1"/>
        <c:axPos val="l"/>
        <c:majorGridlines>
          <c:spPr>
            <a:ln w="12658">
              <a:solidFill>
                <a:srgbClr val="FFFFFF"/>
              </a:solidFill>
              <a:prstDash val="solid"/>
            </a:ln>
          </c:spPr>
        </c:majorGridlines>
        <c:numFmt formatCode="General" sourceLinked="1"/>
        <c:tickLblPos val="nextTo"/>
        <c:crossAx val="308551680"/>
        <c:crosses val="autoZero"/>
        <c:crossBetween val="between"/>
      </c:valAx>
      <c:spPr>
        <a:solidFill>
          <a:srgbClr val="FFFFFF"/>
        </a:solidFill>
        <a:ln w="25315">
          <a:noFill/>
        </a:ln>
      </c:spPr>
    </c:plotArea>
    <c:legend>
      <c:legendPos val="b"/>
      <c:layout>
        <c:manualLayout>
          <c:xMode val="edge"/>
          <c:yMode val="edge"/>
          <c:x val="0.24477611940298519"/>
          <c:y val="0.8322981366459633"/>
          <c:w val="0.58656716417910393"/>
          <c:h val="0.17391304347826111"/>
        </c:manualLayout>
      </c:layout>
      <c:spPr>
        <a:noFill/>
        <a:ln w="3164">
          <a:solidFill>
            <a:srgbClr val="000000"/>
          </a:solidFill>
          <a:prstDash val="solid"/>
        </a:ln>
      </c:spPr>
      <c:txPr>
        <a:bodyPr/>
        <a:lstStyle/>
        <a:p>
          <a:pPr>
            <a:defRPr sz="822" b="1"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573" b="1" i="0" u="none" strike="noStrike" baseline="0">
          <a:solidFill>
            <a:srgbClr val="000000"/>
          </a:solidFill>
          <a:latin typeface="Arial Cyr"/>
          <a:ea typeface="Arial Cyr"/>
          <a:cs typeface="Arial Cyr"/>
        </a:defRPr>
      </a:pPr>
      <a:endParaRPr lang="ru-RU"/>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2"/>
      <c:depthPercent val="100"/>
      <c:rAngAx val="1"/>
    </c:view3D>
    <c:floor>
      <c:spPr>
        <a:solidFill>
          <a:srgbClr val="C0C0C0"/>
        </a:solidFill>
        <a:ln w="3175">
          <a:solidFill>
            <a:srgbClr val="000000"/>
          </a:solidFill>
          <a:prstDash val="solid"/>
        </a:ln>
      </c:spPr>
    </c:floor>
    <c:sideWall>
      <c:spPr>
        <a:solidFill>
          <a:srgbClr val="FFFFFF"/>
        </a:solidFill>
        <a:ln w="12700">
          <a:solidFill>
            <a:srgbClr val="FFFFFF"/>
          </a:solidFill>
          <a:prstDash val="solid"/>
        </a:ln>
      </c:spPr>
    </c:sideWall>
    <c:backWall>
      <c:spPr>
        <a:solidFill>
          <a:srgbClr val="FFFFFF"/>
        </a:solidFill>
        <a:ln w="12700">
          <a:solidFill>
            <a:srgbClr val="FFFFFF"/>
          </a:solidFill>
          <a:prstDash val="solid"/>
        </a:ln>
      </c:spPr>
    </c:backWall>
    <c:plotArea>
      <c:layout>
        <c:manualLayout>
          <c:layoutTarget val="inner"/>
          <c:xMode val="edge"/>
          <c:yMode val="edge"/>
          <c:x val="2.0926756352765304E-2"/>
          <c:y val="7.567567567567568E-2"/>
          <c:w val="0.9656203288490286"/>
          <c:h val="0.63243243243243263"/>
        </c:manualLayout>
      </c:layout>
      <c:bar3DChart>
        <c:barDir val="col"/>
        <c:grouping val="clustered"/>
        <c:ser>
          <c:idx val="1"/>
          <c:order val="0"/>
          <c:tx>
            <c:strRef>
              <c:f>Sheet1!$A$3</c:f>
              <c:strCache>
                <c:ptCount val="1"/>
                <c:pt idx="0">
                  <c:v>datorii pe termen lung</c:v>
                </c:pt>
              </c:strCache>
            </c:strRef>
          </c:tx>
          <c:spPr>
            <a:pattFill prst="solidDmnd">
              <a:fgClr>
                <a:srgbClr val="339966"/>
              </a:fgClr>
              <a:bgClr>
                <a:srgbClr val="FFFFFF"/>
              </a:bgClr>
            </a:pattFill>
            <a:ln w="12710">
              <a:solidFill>
                <a:srgbClr val="000000"/>
              </a:solidFill>
              <a:prstDash val="solid"/>
            </a:ln>
          </c:spPr>
          <c:dLbls>
            <c:spPr>
              <a:noFill/>
              <a:ln w="25420">
                <a:noFill/>
              </a:ln>
            </c:spPr>
            <c:txPr>
              <a:bodyPr/>
              <a:lstStyle/>
              <a:p>
                <a:pPr>
                  <a:defRPr sz="801" b="1" i="0" u="none" strike="noStrike" baseline="0">
                    <a:solidFill>
                      <a:srgbClr val="000000"/>
                    </a:solidFill>
                    <a:latin typeface="Arial Cyr"/>
                    <a:ea typeface="Arial Cyr"/>
                    <a:cs typeface="Arial Cyr"/>
                  </a:defRPr>
                </a:pPr>
                <a:endParaRPr lang="ru-RU"/>
              </a:p>
            </c:txPr>
            <c:showVal val="1"/>
          </c:dLbls>
          <c:cat>
            <c:numRef>
              <c:f>Sheet1!$B$1:$D$1</c:f>
              <c:numCache>
                <c:formatCode>dd/mm/yyyy</c:formatCode>
                <c:ptCount val="2"/>
                <c:pt idx="0">
                  <c:v>42005</c:v>
                </c:pt>
                <c:pt idx="1">
                  <c:v>42369</c:v>
                </c:pt>
              </c:numCache>
            </c:numRef>
          </c:cat>
          <c:val>
            <c:numRef>
              <c:f>Sheet1!$B$3:$D$3</c:f>
              <c:numCache>
                <c:formatCode>General</c:formatCode>
                <c:ptCount val="2"/>
                <c:pt idx="0">
                  <c:v>2352.8000000000002</c:v>
                </c:pt>
                <c:pt idx="1">
                  <c:v>2897.6</c:v>
                </c:pt>
              </c:numCache>
            </c:numRef>
          </c:val>
        </c:ser>
        <c:ser>
          <c:idx val="2"/>
          <c:order val="1"/>
          <c:tx>
            <c:strRef>
              <c:f>Sheet1!$A$4</c:f>
              <c:strCache>
                <c:ptCount val="1"/>
                <c:pt idx="0">
                  <c:v>datorii curente</c:v>
                </c:pt>
              </c:strCache>
            </c:strRef>
          </c:tx>
          <c:spPr>
            <a:solidFill>
              <a:srgbClr val="FFCC99"/>
            </a:solidFill>
            <a:ln w="12710">
              <a:solidFill>
                <a:srgbClr val="000000"/>
              </a:solidFill>
              <a:prstDash val="solid"/>
            </a:ln>
          </c:spPr>
          <c:dLbls>
            <c:dLbl>
              <c:idx val="0"/>
              <c:layout>
                <c:manualLayout>
                  <c:x val="9.8062958251002533E-3"/>
                  <c:y val="-6.3858366677772296E-2"/>
                </c:manualLayout>
              </c:layout>
              <c:showVal val="1"/>
            </c:dLbl>
            <c:dLbl>
              <c:idx val="1"/>
              <c:layout>
                <c:manualLayout>
                  <c:x val="-4.2583388290610589E-3"/>
                  <c:y val="-8.1148945309473641E-2"/>
                </c:manualLayout>
              </c:layout>
              <c:tx>
                <c:rich>
                  <a:bodyPr/>
                  <a:lstStyle/>
                  <a:p>
                    <a:r>
                      <a:rPr lang="ru-RU"/>
                      <a:t>2897,6</a:t>
                    </a:r>
                  </a:p>
                </c:rich>
              </c:tx>
            </c:dLbl>
            <c:spPr>
              <a:noFill/>
              <a:ln w="25420">
                <a:noFill/>
              </a:ln>
            </c:spPr>
            <c:txPr>
              <a:bodyPr/>
              <a:lstStyle/>
              <a:p>
                <a:pPr>
                  <a:defRPr sz="1001" b="0" i="0" u="none" strike="noStrike" baseline="0">
                    <a:solidFill>
                      <a:srgbClr val="000000"/>
                    </a:solidFill>
                    <a:latin typeface="Times New Roman"/>
                    <a:ea typeface="Times New Roman"/>
                    <a:cs typeface="Times New Roman"/>
                  </a:defRPr>
                </a:pPr>
                <a:endParaRPr lang="ru-RU"/>
              </a:p>
            </c:txPr>
            <c:showVal val="1"/>
          </c:dLbls>
          <c:cat>
            <c:numRef>
              <c:f>Sheet1!$B$1:$D$1</c:f>
              <c:numCache>
                <c:formatCode>dd/mm/yyyy</c:formatCode>
                <c:ptCount val="2"/>
                <c:pt idx="0">
                  <c:v>42005</c:v>
                </c:pt>
                <c:pt idx="1">
                  <c:v>42369</c:v>
                </c:pt>
              </c:numCache>
            </c:numRef>
          </c:cat>
          <c:val>
            <c:numRef>
              <c:f>Sheet1!$B$4:$D$4</c:f>
              <c:numCache>
                <c:formatCode>General</c:formatCode>
                <c:ptCount val="2"/>
                <c:pt idx="0">
                  <c:v>5659.5</c:v>
                </c:pt>
                <c:pt idx="1">
                  <c:v>4323.5</c:v>
                </c:pt>
              </c:numCache>
            </c:numRef>
          </c:val>
        </c:ser>
        <c:gapDepth val="0"/>
        <c:shape val="box"/>
        <c:axId val="308542080"/>
        <c:axId val="308605312"/>
        <c:axId val="0"/>
      </c:bar3DChart>
      <c:catAx>
        <c:axId val="308542080"/>
        <c:scaling>
          <c:orientation val="minMax"/>
        </c:scaling>
        <c:axPos val="b"/>
        <c:numFmt formatCode="dd/mm/yyyy" sourceLinked="1"/>
        <c:tickLblPos val="low"/>
        <c:spPr>
          <a:ln w="3178">
            <a:solidFill>
              <a:srgbClr val="000000"/>
            </a:solidFill>
            <a:prstDash val="solid"/>
          </a:ln>
        </c:spPr>
        <c:txPr>
          <a:bodyPr rot="0" vert="horz"/>
          <a:lstStyle/>
          <a:p>
            <a:pPr>
              <a:defRPr sz="901" b="1" i="0" u="none" strike="noStrike" baseline="0">
                <a:solidFill>
                  <a:srgbClr val="000000"/>
                </a:solidFill>
                <a:latin typeface="Times New Roman"/>
                <a:ea typeface="Times New Roman"/>
                <a:cs typeface="Times New Roman"/>
              </a:defRPr>
            </a:pPr>
            <a:endParaRPr lang="ru-RU"/>
          </a:p>
        </c:txPr>
        <c:crossAx val="308605312"/>
        <c:crosses val="autoZero"/>
        <c:lblAlgn val="ctr"/>
        <c:lblOffset val="100"/>
        <c:tickLblSkip val="1"/>
        <c:tickMarkSkip val="1"/>
      </c:catAx>
      <c:valAx>
        <c:axId val="308605312"/>
        <c:scaling>
          <c:orientation val="minMax"/>
        </c:scaling>
        <c:delete val="1"/>
        <c:axPos val="l"/>
        <c:majorGridlines>
          <c:spPr>
            <a:ln w="12710">
              <a:solidFill>
                <a:srgbClr val="FFFFFF"/>
              </a:solidFill>
              <a:prstDash val="solid"/>
            </a:ln>
          </c:spPr>
        </c:majorGridlines>
        <c:numFmt formatCode="General" sourceLinked="1"/>
        <c:tickLblPos val="nextTo"/>
        <c:crossAx val="308542080"/>
        <c:crosses val="autoZero"/>
        <c:crossBetween val="between"/>
      </c:valAx>
      <c:spPr>
        <a:noFill/>
        <a:ln w="12710">
          <a:solidFill>
            <a:srgbClr val="FFFFFF"/>
          </a:solidFill>
          <a:prstDash val="solid"/>
        </a:ln>
      </c:spPr>
    </c:plotArea>
    <c:legend>
      <c:legendPos val="r"/>
      <c:layout>
        <c:manualLayout>
          <c:xMode val="edge"/>
          <c:yMode val="edge"/>
          <c:x val="0.24663677130044842"/>
          <c:y val="0.84864864864864931"/>
          <c:w val="0.5874439461883405"/>
          <c:h val="0.15135135135135144"/>
        </c:manualLayout>
      </c:layout>
      <c:spPr>
        <a:noFill/>
        <a:ln w="3178">
          <a:solidFill>
            <a:srgbClr val="000000"/>
          </a:solidFill>
          <a:prstDash val="solid"/>
        </a:ln>
      </c:spPr>
      <c:txPr>
        <a:bodyPr/>
        <a:lstStyle/>
        <a:p>
          <a:pPr>
            <a:defRPr sz="826" b="1"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801" b="1" i="0" u="none" strike="noStrike" baseline="0">
          <a:solidFill>
            <a:srgbClr val="000000"/>
          </a:solidFill>
          <a:latin typeface="Arial Cyr"/>
          <a:ea typeface="Arial Cyr"/>
          <a:cs typeface="Arial Cyr"/>
        </a:defRPr>
      </a:pPr>
      <a:endParaRPr lang="ru-RU"/>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1"/>
      <c:depthPercent val="100"/>
      <c:rAngAx val="1"/>
    </c:view3D>
    <c:floor>
      <c:spPr>
        <a:solidFill>
          <a:srgbClr val="C0C0C0"/>
        </a:solidFill>
        <a:ln w="3175">
          <a:solidFill>
            <a:srgbClr val="000000"/>
          </a:solidFill>
          <a:prstDash val="solid"/>
        </a:ln>
      </c:spPr>
    </c:floor>
    <c:sideWall>
      <c:spPr>
        <a:solidFill>
          <a:srgbClr val="FFFFFF"/>
        </a:solidFill>
        <a:ln w="12700">
          <a:solidFill>
            <a:srgbClr val="FFFFFF"/>
          </a:solidFill>
          <a:prstDash val="solid"/>
        </a:ln>
      </c:spPr>
    </c:sideWall>
    <c:backWall>
      <c:spPr>
        <a:solidFill>
          <a:srgbClr val="FFFFFF"/>
        </a:solidFill>
        <a:ln w="12700">
          <a:solidFill>
            <a:srgbClr val="FFFFFF"/>
          </a:solidFill>
          <a:prstDash val="solid"/>
        </a:ln>
      </c:spPr>
    </c:backWall>
    <c:plotArea>
      <c:layout>
        <c:manualLayout>
          <c:layoutTarget val="inner"/>
          <c:xMode val="edge"/>
          <c:yMode val="edge"/>
          <c:x val="0"/>
          <c:y val="0.11640211640211642"/>
          <c:w val="0.99491740787801752"/>
          <c:h val="0.65608465608465683"/>
        </c:manualLayout>
      </c:layout>
      <c:bar3DChart>
        <c:barDir val="col"/>
        <c:grouping val="clustered"/>
        <c:ser>
          <c:idx val="0"/>
          <c:order val="0"/>
          <c:tx>
            <c:strRef>
              <c:f>Sheet1!$A$2</c:f>
              <c:strCache>
                <c:ptCount val="1"/>
                <c:pt idx="0">
                  <c:v>Întreprinderi de stat</c:v>
                </c:pt>
              </c:strCache>
            </c:strRef>
          </c:tx>
          <c:spPr>
            <a:solidFill>
              <a:srgbClr val="9999FF"/>
            </a:solidFill>
            <a:ln w="12675">
              <a:solidFill>
                <a:srgbClr val="000000"/>
              </a:solidFill>
              <a:prstDash val="solid"/>
            </a:ln>
          </c:spPr>
          <c:dLbls>
            <c:dLbl>
              <c:idx val="0"/>
              <c:layout>
                <c:manualLayout>
                  <c:xMode val="edge"/>
                  <c:yMode val="edge"/>
                  <c:x val="0.2325285895806862"/>
                  <c:y val="0.59259259259259267"/>
                </c:manualLayout>
              </c:layout>
              <c:showVal val="1"/>
            </c:dLbl>
            <c:dLbl>
              <c:idx val="1"/>
              <c:layout>
                <c:manualLayout>
                  <c:xMode val="edge"/>
                  <c:yMode val="edge"/>
                  <c:x val="0.44091486658195694"/>
                  <c:y val="0.49735449735449799"/>
                </c:manualLayout>
              </c:layout>
              <c:showVal val="1"/>
            </c:dLbl>
            <c:dLbl>
              <c:idx val="2"/>
              <c:layout>
                <c:manualLayout>
                  <c:xMode val="edge"/>
                  <c:yMode val="edge"/>
                  <c:x val="0.67344345616264334"/>
                  <c:y val="0.14285714285714299"/>
                </c:manualLayout>
              </c:layout>
              <c:showVal val="1"/>
            </c:dLbl>
            <c:numFmt formatCode="0.0" sourceLinked="0"/>
            <c:spPr>
              <a:noFill/>
              <a:ln w="25349">
                <a:noFill/>
              </a:ln>
            </c:spPr>
            <c:txPr>
              <a:bodyPr/>
              <a:lstStyle/>
              <a:p>
                <a:pPr>
                  <a:defRPr sz="798" b="0" i="0" u="none" strike="noStrike" baseline="0">
                    <a:solidFill>
                      <a:srgbClr val="000000"/>
                    </a:solidFill>
                    <a:latin typeface="Times New Roman"/>
                    <a:ea typeface="Times New Roman"/>
                    <a:cs typeface="Times New Roman"/>
                  </a:defRPr>
                </a:pPr>
                <a:endParaRPr lang="ru-RU"/>
              </a:p>
            </c:txPr>
            <c:showVal val="1"/>
          </c:dLbls>
          <c:cat>
            <c:strRef>
              <c:f>Sheet1!$B$1:$D$1</c:f>
              <c:strCache>
                <c:ptCount val="3"/>
                <c:pt idx="0">
                  <c:v>Livrări de mărfuri şi servicii la cota redusă</c:v>
                </c:pt>
                <c:pt idx="1">
                  <c:v>Livrări scutite</c:v>
                </c:pt>
                <c:pt idx="2">
                  <c:v>Livrări la cota ,,0"</c:v>
                </c:pt>
              </c:strCache>
            </c:strRef>
          </c:cat>
          <c:val>
            <c:numRef>
              <c:f>Sheet1!$B$2:$D$2</c:f>
              <c:numCache>
                <c:formatCode>General</c:formatCode>
                <c:ptCount val="3"/>
                <c:pt idx="0">
                  <c:v>45.6</c:v>
                </c:pt>
                <c:pt idx="1">
                  <c:v>749.1</c:v>
                </c:pt>
                <c:pt idx="2">
                  <c:v>3806</c:v>
                </c:pt>
              </c:numCache>
            </c:numRef>
          </c:val>
        </c:ser>
        <c:ser>
          <c:idx val="2"/>
          <c:order val="1"/>
          <c:tx>
            <c:strRef>
              <c:f>Sheet1!$A$3</c:f>
              <c:strCache>
                <c:ptCount val="1"/>
                <c:pt idx="0">
                  <c:v>Societăţi pe acţiuni</c:v>
                </c:pt>
              </c:strCache>
            </c:strRef>
          </c:tx>
          <c:spPr>
            <a:solidFill>
              <a:srgbClr val="FFFFCC"/>
            </a:solidFill>
            <a:ln w="12675">
              <a:solidFill>
                <a:srgbClr val="000000"/>
              </a:solidFill>
              <a:prstDash val="solid"/>
            </a:ln>
          </c:spPr>
          <c:dLbls>
            <c:dLbl>
              <c:idx val="0"/>
              <c:layout>
                <c:manualLayout>
                  <c:xMode val="edge"/>
                  <c:yMode val="edge"/>
                  <c:x val="0.3062261753494287"/>
                  <c:y val="0.52910052910052918"/>
                </c:manualLayout>
              </c:layout>
              <c:showVal val="1"/>
            </c:dLbl>
            <c:dLbl>
              <c:idx val="1"/>
              <c:layout>
                <c:manualLayout>
                  <c:xMode val="edge"/>
                  <c:yMode val="edge"/>
                  <c:x val="0.51080050825921219"/>
                  <c:y val="1.5873015873015879E-2"/>
                </c:manualLayout>
              </c:layout>
              <c:showVal val="1"/>
            </c:dLbl>
            <c:dLbl>
              <c:idx val="2"/>
              <c:layout>
                <c:manualLayout>
                  <c:xMode val="edge"/>
                  <c:yMode val="edge"/>
                  <c:x val="0.7445997458703939"/>
                  <c:y val="0.28042328042328041"/>
                </c:manualLayout>
              </c:layout>
              <c:showVal val="1"/>
            </c:dLbl>
            <c:numFmt formatCode="0.0" sourceLinked="0"/>
            <c:spPr>
              <a:noFill/>
              <a:ln w="25349">
                <a:noFill/>
              </a:ln>
            </c:spPr>
            <c:txPr>
              <a:bodyPr/>
              <a:lstStyle/>
              <a:p>
                <a:pPr>
                  <a:defRPr sz="798" b="0" i="0" u="none" strike="noStrike" baseline="0">
                    <a:solidFill>
                      <a:srgbClr val="000000"/>
                    </a:solidFill>
                    <a:latin typeface="Times New Roman"/>
                    <a:ea typeface="Times New Roman"/>
                    <a:cs typeface="Times New Roman"/>
                  </a:defRPr>
                </a:pPr>
                <a:endParaRPr lang="ru-RU"/>
              </a:p>
            </c:txPr>
            <c:showVal val="1"/>
          </c:dLbls>
          <c:cat>
            <c:strRef>
              <c:f>Sheet1!$B$1:$D$1</c:f>
              <c:strCache>
                <c:ptCount val="3"/>
                <c:pt idx="0">
                  <c:v>Livrări de mărfuri şi servicii la cota redusă</c:v>
                </c:pt>
                <c:pt idx="1">
                  <c:v>Livrări scutite</c:v>
                </c:pt>
                <c:pt idx="2">
                  <c:v>Livrări la cota ,,0"</c:v>
                </c:pt>
              </c:strCache>
            </c:strRef>
          </c:cat>
          <c:val>
            <c:numRef>
              <c:f>Sheet1!$B$3:$D$3</c:f>
              <c:numCache>
                <c:formatCode>General</c:formatCode>
                <c:ptCount val="3"/>
                <c:pt idx="0">
                  <c:v>546.6</c:v>
                </c:pt>
                <c:pt idx="1">
                  <c:v>4926</c:v>
                </c:pt>
                <c:pt idx="2">
                  <c:v>2830.3</c:v>
                </c:pt>
              </c:numCache>
            </c:numRef>
          </c:val>
        </c:ser>
        <c:dLbls>
          <c:showVal val="1"/>
        </c:dLbls>
        <c:gapDepth val="0"/>
        <c:shape val="box"/>
        <c:axId val="308659712"/>
        <c:axId val="308661248"/>
        <c:axId val="0"/>
      </c:bar3DChart>
      <c:catAx>
        <c:axId val="308659712"/>
        <c:scaling>
          <c:orientation val="minMax"/>
        </c:scaling>
        <c:axPos val="b"/>
        <c:numFmt formatCode="General" sourceLinked="1"/>
        <c:tickLblPos val="low"/>
        <c:spPr>
          <a:ln w="3169">
            <a:solidFill>
              <a:srgbClr val="000000"/>
            </a:solidFill>
            <a:prstDash val="solid"/>
          </a:ln>
        </c:spPr>
        <c:txPr>
          <a:bodyPr rot="0" vert="horz"/>
          <a:lstStyle/>
          <a:p>
            <a:pPr>
              <a:defRPr sz="798" b="0" i="0" u="none" strike="noStrike" baseline="0">
                <a:solidFill>
                  <a:srgbClr val="000000"/>
                </a:solidFill>
                <a:latin typeface="Times New Roman"/>
                <a:ea typeface="Times New Roman"/>
                <a:cs typeface="Times New Roman"/>
              </a:defRPr>
            </a:pPr>
            <a:endParaRPr lang="ru-RU"/>
          </a:p>
        </c:txPr>
        <c:crossAx val="308661248"/>
        <c:crosses val="autoZero"/>
        <c:auto val="1"/>
        <c:lblAlgn val="ctr"/>
        <c:lblOffset val="100"/>
        <c:tickLblSkip val="1"/>
        <c:tickMarkSkip val="1"/>
      </c:catAx>
      <c:valAx>
        <c:axId val="308661248"/>
        <c:scaling>
          <c:orientation val="minMax"/>
        </c:scaling>
        <c:delete val="1"/>
        <c:axPos val="l"/>
        <c:numFmt formatCode="General" sourceLinked="1"/>
        <c:tickLblPos val="nextTo"/>
        <c:crossAx val="308659712"/>
        <c:crosses val="autoZero"/>
        <c:crossBetween val="between"/>
      </c:valAx>
      <c:spPr>
        <a:noFill/>
        <a:ln w="25349">
          <a:noFill/>
        </a:ln>
      </c:spPr>
    </c:plotArea>
    <c:legend>
      <c:legendPos val="r"/>
      <c:layout>
        <c:manualLayout>
          <c:xMode val="edge"/>
          <c:yMode val="edge"/>
          <c:x val="1.2706480304955534E-2"/>
          <c:y val="3.7037037037037056E-2"/>
          <c:w val="0.15883100381194426"/>
          <c:h val="0.22751322751322764"/>
        </c:manualLayout>
      </c:layout>
      <c:spPr>
        <a:noFill/>
        <a:ln w="3169">
          <a:solidFill>
            <a:srgbClr val="000000"/>
          </a:solidFill>
          <a:prstDash val="solid"/>
        </a:ln>
      </c:spPr>
      <c:txPr>
        <a:bodyPr/>
        <a:lstStyle/>
        <a:p>
          <a:pPr>
            <a:defRPr sz="734" b="0"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798" b="1" i="0" u="none" strike="noStrike" baseline="0">
          <a:solidFill>
            <a:srgbClr val="000000"/>
          </a:solidFill>
          <a:latin typeface="Calibri"/>
          <a:ea typeface="Calibri"/>
          <a:cs typeface="Calibri"/>
        </a:defRPr>
      </a:pPr>
      <a:endParaRPr lang="ru-RU"/>
    </a:p>
  </c:tx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perspective val="0"/>
    </c:view3D>
    <c:plotArea>
      <c:layout>
        <c:manualLayout>
          <c:layoutTarget val="inner"/>
          <c:xMode val="edge"/>
          <c:yMode val="edge"/>
          <c:x val="0.17906336088154429"/>
          <c:y val="0.10497237569060765"/>
          <c:w val="0.66391184573002771"/>
          <c:h val="0.52486187845304355"/>
        </c:manualLayout>
      </c:layout>
      <c:pie3DChart>
        <c:varyColors val="1"/>
        <c:ser>
          <c:idx val="0"/>
          <c:order val="0"/>
          <c:tx>
            <c:strRef>
              <c:f>Sheet1!$A$2</c:f>
              <c:strCache>
                <c:ptCount val="1"/>
                <c:pt idx="0">
                  <c:v>Восток</c:v>
                </c:pt>
              </c:strCache>
            </c:strRef>
          </c:tx>
          <c:spPr>
            <a:solidFill>
              <a:srgbClr val="9999FF"/>
            </a:solidFill>
            <a:ln w="12660">
              <a:solidFill>
                <a:srgbClr val="000000"/>
              </a:solidFill>
              <a:prstDash val="solid"/>
            </a:ln>
          </c:spPr>
          <c:explosion val="16"/>
          <c:dPt>
            <c:idx val="1"/>
            <c:spPr>
              <a:pattFill prst="horzBrick">
                <a:fgClr>
                  <a:srgbClr val="993366"/>
                </a:fgClr>
                <a:bgClr>
                  <a:srgbClr val="FFFFFF"/>
                </a:bgClr>
              </a:pattFill>
              <a:ln w="12660">
                <a:solidFill>
                  <a:srgbClr val="000000"/>
                </a:solidFill>
                <a:prstDash val="solid"/>
              </a:ln>
            </c:spPr>
          </c:dPt>
          <c:dLbls>
            <c:dLbl>
              <c:idx val="0"/>
              <c:layout>
                <c:manualLayout>
                  <c:x val="3.2281696403885077E-2"/>
                  <c:y val="8.4047210871421599E-2"/>
                </c:manualLayout>
              </c:layout>
              <c:tx>
                <c:rich>
                  <a:bodyPr/>
                  <a:lstStyle/>
                  <a:p>
                    <a:pPr>
                      <a:defRPr sz="798" b="0" i="0" u="none" strike="noStrike" baseline="0">
                        <a:solidFill>
                          <a:srgbClr val="000000"/>
                        </a:solidFill>
                        <a:latin typeface="Times New Roman"/>
                        <a:ea typeface="Times New Roman"/>
                        <a:cs typeface="Times New Roman"/>
                      </a:defRPr>
                    </a:pPr>
                    <a:r>
                      <a:rPr lang="en-US"/>
                      <a:t>67.4%</a:t>
                    </a:r>
                  </a:p>
                </c:rich>
              </c:tx>
              <c:numFmt formatCode="0.0%" sourceLinked="0"/>
              <c:spPr>
                <a:noFill/>
                <a:ln w="25321">
                  <a:noFill/>
                </a:ln>
              </c:spPr>
              <c:dLblPos val="bestFit"/>
            </c:dLbl>
            <c:dLbl>
              <c:idx val="1"/>
              <c:layout>
                <c:manualLayout>
                  <c:x val="-3.9584641315714958E-2"/>
                  <c:y val="4.3135805318193457E-2"/>
                </c:manualLayout>
              </c:layout>
              <c:tx>
                <c:rich>
                  <a:bodyPr/>
                  <a:lstStyle/>
                  <a:p>
                    <a:pPr>
                      <a:defRPr sz="798" b="0" i="0" u="none" strike="noStrike" baseline="0">
                        <a:solidFill>
                          <a:srgbClr val="000000"/>
                        </a:solidFill>
                        <a:latin typeface="Times New Roman"/>
                        <a:ea typeface="Times New Roman"/>
                        <a:cs typeface="Times New Roman"/>
                      </a:defRPr>
                    </a:pPr>
                    <a:r>
                      <a:rPr lang="en-US"/>
                      <a:t>32.6%</a:t>
                    </a:r>
                  </a:p>
                </c:rich>
              </c:tx>
              <c:numFmt formatCode="0.0%" sourceLinked="0"/>
              <c:spPr>
                <a:noFill/>
                <a:ln w="25321">
                  <a:noFill/>
                </a:ln>
              </c:spPr>
              <c:dLblPos val="bestFit"/>
            </c:dLbl>
            <c:numFmt formatCode="0.0%" sourceLinked="0"/>
            <c:spPr>
              <a:noFill/>
              <a:ln w="25321">
                <a:noFill/>
              </a:ln>
            </c:spPr>
            <c:txPr>
              <a:bodyPr/>
              <a:lstStyle/>
              <a:p>
                <a:pPr>
                  <a:defRPr sz="799" b="0" i="0" u="none" strike="noStrike" baseline="0">
                    <a:solidFill>
                      <a:srgbClr val="000000"/>
                    </a:solidFill>
                    <a:latin typeface="Times New Roman"/>
                    <a:ea typeface="Times New Roman"/>
                    <a:cs typeface="Times New Roman"/>
                  </a:defRPr>
                </a:pPr>
                <a:endParaRPr lang="ru-RU"/>
              </a:p>
            </c:txPr>
            <c:showPercent val="1"/>
            <c:showLeaderLines val="1"/>
          </c:dLbls>
          <c:cat>
            <c:strRef>
              <c:f>Sheet1!$B$1:$C$1</c:f>
              <c:strCache>
                <c:ptCount val="2"/>
                <c:pt idx="0">
                  <c:v>întreprinderi de stat</c:v>
                </c:pt>
                <c:pt idx="1">
                  <c:v>societăţi pe acţiuni</c:v>
                </c:pt>
              </c:strCache>
            </c:strRef>
          </c:cat>
          <c:val>
            <c:numRef>
              <c:f>Sheet1!$B$2:$C$2</c:f>
              <c:numCache>
                <c:formatCode>0.00%</c:formatCode>
                <c:ptCount val="2"/>
                <c:pt idx="0">
                  <c:v>0.67600000000000071</c:v>
                </c:pt>
                <c:pt idx="1">
                  <c:v>0.32400000000000023</c:v>
                </c:pt>
              </c:numCache>
            </c:numRef>
          </c:val>
        </c:ser>
        <c:ser>
          <c:idx val="1"/>
          <c:order val="1"/>
          <c:tx>
            <c:strRef>
              <c:f>Sheet1!$A$3</c:f>
              <c:strCache>
                <c:ptCount val="1"/>
              </c:strCache>
            </c:strRef>
          </c:tx>
          <c:spPr>
            <a:solidFill>
              <a:srgbClr val="993366"/>
            </a:solidFill>
            <a:ln w="12660">
              <a:solidFill>
                <a:srgbClr val="000000"/>
              </a:solidFill>
              <a:prstDash val="solid"/>
            </a:ln>
          </c:spPr>
          <c:explosion val="16"/>
          <c:dPt>
            <c:idx val="0"/>
            <c:spPr>
              <a:solidFill>
                <a:srgbClr val="9999FF"/>
              </a:solidFill>
              <a:ln w="12660">
                <a:solidFill>
                  <a:srgbClr val="000000"/>
                </a:solidFill>
                <a:prstDash val="solid"/>
              </a:ln>
            </c:spPr>
          </c:dPt>
          <c:dLbls>
            <c:numFmt formatCode="0%" sourceLinked="0"/>
            <c:spPr>
              <a:noFill/>
              <a:ln w="25321">
                <a:noFill/>
              </a:ln>
            </c:spPr>
            <c:txPr>
              <a:bodyPr/>
              <a:lstStyle/>
              <a:p>
                <a:pPr>
                  <a:defRPr sz="899" b="1" i="0" u="none" strike="noStrike" baseline="0">
                    <a:solidFill>
                      <a:srgbClr val="000000"/>
                    </a:solidFill>
                    <a:latin typeface="Arial Cyr"/>
                    <a:ea typeface="Arial Cyr"/>
                    <a:cs typeface="Arial Cyr"/>
                  </a:defRPr>
                </a:pPr>
                <a:endParaRPr lang="ru-RU"/>
              </a:p>
            </c:txPr>
            <c:showPercent val="1"/>
            <c:showLeaderLines val="1"/>
          </c:dLbls>
          <c:cat>
            <c:strRef>
              <c:f>Sheet1!$B$1:$C$1</c:f>
              <c:strCache>
                <c:ptCount val="2"/>
                <c:pt idx="0">
                  <c:v>întreprinderi de stat</c:v>
                </c:pt>
                <c:pt idx="1">
                  <c:v>societăţi pe acţiuni</c:v>
                </c:pt>
              </c:strCache>
            </c:strRef>
          </c:cat>
          <c:val>
            <c:numRef>
              <c:f>Sheet1!$B$3:$C$3</c:f>
              <c:numCache>
                <c:formatCode>General</c:formatCode>
                <c:ptCount val="2"/>
              </c:numCache>
            </c:numRef>
          </c:val>
        </c:ser>
        <c:ser>
          <c:idx val="2"/>
          <c:order val="2"/>
          <c:tx>
            <c:strRef>
              <c:f>Sheet1!$A$4</c:f>
              <c:strCache>
                <c:ptCount val="1"/>
              </c:strCache>
            </c:strRef>
          </c:tx>
          <c:spPr>
            <a:solidFill>
              <a:srgbClr val="FFFFCC"/>
            </a:solidFill>
            <a:ln w="12660">
              <a:solidFill>
                <a:srgbClr val="000000"/>
              </a:solidFill>
              <a:prstDash val="solid"/>
            </a:ln>
          </c:spPr>
          <c:explosion val="16"/>
          <c:dPt>
            <c:idx val="0"/>
            <c:spPr>
              <a:solidFill>
                <a:srgbClr val="9999FF"/>
              </a:solidFill>
              <a:ln w="12660">
                <a:solidFill>
                  <a:srgbClr val="000000"/>
                </a:solidFill>
                <a:prstDash val="solid"/>
              </a:ln>
            </c:spPr>
          </c:dPt>
          <c:dPt>
            <c:idx val="1"/>
            <c:spPr>
              <a:solidFill>
                <a:srgbClr val="993366"/>
              </a:solidFill>
              <a:ln w="12660">
                <a:solidFill>
                  <a:srgbClr val="000000"/>
                </a:solidFill>
                <a:prstDash val="solid"/>
              </a:ln>
            </c:spPr>
          </c:dPt>
          <c:dLbls>
            <c:numFmt formatCode="0%" sourceLinked="0"/>
            <c:spPr>
              <a:noFill/>
              <a:ln w="25321">
                <a:noFill/>
              </a:ln>
            </c:spPr>
            <c:txPr>
              <a:bodyPr/>
              <a:lstStyle/>
              <a:p>
                <a:pPr>
                  <a:defRPr sz="899" b="1" i="0" u="none" strike="noStrike" baseline="0">
                    <a:solidFill>
                      <a:srgbClr val="000000"/>
                    </a:solidFill>
                    <a:latin typeface="Arial Cyr"/>
                    <a:ea typeface="Arial Cyr"/>
                    <a:cs typeface="Arial Cyr"/>
                  </a:defRPr>
                </a:pPr>
                <a:endParaRPr lang="ru-RU"/>
              </a:p>
            </c:txPr>
            <c:showPercent val="1"/>
            <c:showLeaderLines val="1"/>
          </c:dLbls>
          <c:cat>
            <c:strRef>
              <c:f>Sheet1!$B$1:$C$1</c:f>
              <c:strCache>
                <c:ptCount val="2"/>
                <c:pt idx="0">
                  <c:v>întreprinderi de stat</c:v>
                </c:pt>
                <c:pt idx="1">
                  <c:v>societăţi pe acţiuni</c:v>
                </c:pt>
              </c:strCache>
            </c:strRef>
          </c:cat>
          <c:val>
            <c:numRef>
              <c:f>Sheet1!$B$4:$C$4</c:f>
              <c:numCache>
                <c:formatCode>General</c:formatCode>
                <c:ptCount val="2"/>
              </c:numCache>
            </c:numRef>
          </c:val>
        </c:ser>
        <c:dLbls>
          <c:showPercent val="1"/>
        </c:dLbls>
      </c:pie3DChart>
      <c:spPr>
        <a:solidFill>
          <a:srgbClr val="FFFFFF"/>
        </a:solidFill>
        <a:ln w="25321">
          <a:noFill/>
        </a:ln>
      </c:spPr>
    </c:plotArea>
    <c:legend>
      <c:legendPos val="r"/>
      <c:layout>
        <c:manualLayout>
          <c:xMode val="edge"/>
          <c:yMode val="edge"/>
          <c:x val="5.4495912806539551E-2"/>
          <c:y val="0.80487804878048774"/>
          <c:w val="0.88010899182561275"/>
          <c:h val="0.20121951219512207"/>
        </c:manualLayout>
      </c:layout>
      <c:spPr>
        <a:noFill/>
        <a:ln w="3165">
          <a:solidFill>
            <a:srgbClr val="000000"/>
          </a:solidFill>
          <a:prstDash val="solid"/>
        </a:ln>
      </c:spPr>
      <c:txPr>
        <a:bodyPr/>
        <a:lstStyle/>
        <a:p>
          <a:pPr>
            <a:defRPr sz="823" b="0" i="0" u="none" strike="noStrike" baseline="0">
              <a:solidFill>
                <a:srgbClr val="000000"/>
              </a:solidFill>
              <a:latin typeface="Times New Roman"/>
              <a:ea typeface="Times New Roman"/>
              <a:cs typeface="Times New Roman"/>
            </a:defRPr>
          </a:pPr>
          <a:endParaRPr lang="ru-RU"/>
        </a:p>
      </c:txPr>
    </c:legend>
    <c:plotVisOnly val="1"/>
    <c:dispBlanksAs val="zero"/>
  </c:chart>
  <c:spPr>
    <a:solidFill>
      <a:srgbClr val="FFFFFF"/>
    </a:solidFill>
    <a:ln>
      <a:noFill/>
    </a:ln>
  </c:spPr>
  <c:txPr>
    <a:bodyPr/>
    <a:lstStyle/>
    <a:p>
      <a:pPr>
        <a:defRPr sz="799" b="1" i="0" u="none" strike="noStrike" baseline="0">
          <a:solidFill>
            <a:srgbClr val="000000"/>
          </a:solidFill>
          <a:latin typeface="Arial Cyr"/>
          <a:ea typeface="Arial Cyr"/>
          <a:cs typeface="Arial Cyr"/>
        </a:defRPr>
      </a:pPr>
      <a:endParaRPr lang="ru-RU"/>
    </a:p>
  </c:txPr>
  <c:externalData r:id="rId2"/>
</c:chartSpace>
</file>

<file path=word/charts/chart24.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autoTitleDeleted val="1"/>
    <c:view3D>
      <c:perspective val="0"/>
    </c:view3D>
    <c:plotArea>
      <c:layout>
        <c:manualLayout>
          <c:layoutTarget val="inner"/>
          <c:xMode val="edge"/>
          <c:yMode val="edge"/>
          <c:x val="7.305194805194809E-2"/>
          <c:y val="0.21527777777777779"/>
          <c:w val="0.31980519480519481"/>
          <c:h val="0.54166666666666652"/>
        </c:manualLayout>
      </c:layout>
      <c:pie3DChart>
        <c:varyColors val="1"/>
        <c:ser>
          <c:idx val="0"/>
          <c:order val="0"/>
          <c:tx>
            <c:strRef>
              <c:f>Sheet1!$A$2</c:f>
              <c:strCache>
                <c:ptCount val="1"/>
                <c:pt idx="0">
                  <c:v>Восток</c:v>
                </c:pt>
              </c:strCache>
            </c:strRef>
          </c:tx>
          <c:spPr>
            <a:solidFill>
              <a:srgbClr val="9999FF"/>
            </a:solidFill>
            <a:ln w="12606">
              <a:solidFill>
                <a:srgbClr val="000000"/>
              </a:solidFill>
              <a:prstDash val="solid"/>
            </a:ln>
          </c:spPr>
          <c:explosion val="25"/>
          <c:dPt>
            <c:idx val="0"/>
            <c:spPr>
              <a:pattFill prst="dashVert">
                <a:fgClr>
                  <a:srgbClr val="9999FF"/>
                </a:fgClr>
                <a:bgClr>
                  <a:srgbClr val="FFFFFF"/>
                </a:bgClr>
              </a:pattFill>
              <a:ln w="12606">
                <a:solidFill>
                  <a:srgbClr val="000000"/>
                </a:solidFill>
                <a:prstDash val="solid"/>
              </a:ln>
            </c:spPr>
          </c:dPt>
          <c:dPt>
            <c:idx val="1"/>
            <c:spPr>
              <a:pattFill prst="wdUpDiag">
                <a:fgClr>
                  <a:srgbClr val="993366"/>
                </a:fgClr>
                <a:bgClr>
                  <a:srgbClr val="FFFFFF"/>
                </a:bgClr>
              </a:pattFill>
              <a:ln w="12606">
                <a:solidFill>
                  <a:srgbClr val="000000"/>
                </a:solidFill>
                <a:prstDash val="solid"/>
              </a:ln>
            </c:spPr>
          </c:dPt>
          <c:dPt>
            <c:idx val="2"/>
            <c:spPr>
              <a:solidFill>
                <a:srgbClr val="FFFFCC"/>
              </a:solidFill>
              <a:ln w="12606">
                <a:solidFill>
                  <a:srgbClr val="000000"/>
                </a:solidFill>
                <a:prstDash val="solid"/>
              </a:ln>
            </c:spPr>
          </c:dPt>
          <c:dPt>
            <c:idx val="3"/>
            <c:spPr>
              <a:pattFill prst="horzBrick">
                <a:fgClr>
                  <a:srgbClr val="0000FF"/>
                </a:fgClr>
                <a:bgClr>
                  <a:srgbClr val="FFFFFF"/>
                </a:bgClr>
              </a:pattFill>
              <a:ln w="12606">
                <a:solidFill>
                  <a:srgbClr val="000000"/>
                </a:solidFill>
                <a:prstDash val="solid"/>
              </a:ln>
            </c:spPr>
          </c:dPt>
          <c:dPt>
            <c:idx val="4"/>
            <c:spPr>
              <a:pattFill prst="solidDmnd">
                <a:fgClr>
                  <a:srgbClr val="660066"/>
                </a:fgClr>
                <a:bgClr>
                  <a:srgbClr val="FFFFFF"/>
                </a:bgClr>
              </a:pattFill>
              <a:ln w="12606">
                <a:solidFill>
                  <a:srgbClr val="000000"/>
                </a:solidFill>
                <a:prstDash val="solid"/>
              </a:ln>
            </c:spPr>
          </c:dPt>
          <c:dLbls>
            <c:dLbl>
              <c:idx val="0"/>
              <c:layout>
                <c:manualLayout>
                  <c:x val="1.3596446143793068E-2"/>
                  <c:y val="-0.19355227871320263"/>
                </c:manualLayout>
              </c:layout>
              <c:tx>
                <c:rich>
                  <a:bodyPr/>
                  <a:lstStyle/>
                  <a:p>
                    <a:r>
                      <a:rPr lang="en-US"/>
                      <a:t>23</a:t>
                    </a:r>
                    <a:r>
                      <a:rPr lang="ro-RO"/>
                      <a:t>,</a:t>
                    </a:r>
                    <a:r>
                      <a:rPr lang="en-US"/>
                      <a:t>0%</a:t>
                    </a:r>
                  </a:p>
                </c:rich>
              </c:tx>
              <c:dLblPos val="bestFit"/>
            </c:dLbl>
            <c:dLbl>
              <c:idx val="1"/>
              <c:layout>
                <c:manualLayout>
                  <c:x val="1.4291199828477369E-2"/>
                  <c:y val="0.10632105631052002"/>
                </c:manualLayout>
              </c:layout>
              <c:tx>
                <c:rich>
                  <a:bodyPr/>
                  <a:lstStyle/>
                  <a:p>
                    <a:r>
                      <a:rPr lang="en-US"/>
                      <a:t>27</a:t>
                    </a:r>
                    <a:r>
                      <a:rPr lang="ro-RO"/>
                      <a:t>,</a:t>
                    </a:r>
                    <a:r>
                      <a:rPr lang="en-US"/>
                      <a:t>3%</a:t>
                    </a:r>
                  </a:p>
                </c:rich>
              </c:tx>
              <c:dLblPos val="bestFit"/>
            </c:dLbl>
            <c:dLbl>
              <c:idx val="2"/>
              <c:layout>
                <c:manualLayout>
                  <c:x val="8.8788793678586508E-3"/>
                  <c:y val="0.13010971539784716"/>
                </c:manualLayout>
              </c:layout>
              <c:tx>
                <c:rich>
                  <a:bodyPr/>
                  <a:lstStyle/>
                  <a:p>
                    <a:r>
                      <a:rPr lang="en-US"/>
                      <a:t>7</a:t>
                    </a:r>
                    <a:r>
                      <a:rPr lang="ro-RO"/>
                      <a:t>,</a:t>
                    </a:r>
                    <a:r>
                      <a:rPr lang="en-US"/>
                      <a:t>2%</a:t>
                    </a:r>
                  </a:p>
                </c:rich>
              </c:tx>
              <c:dLblPos val="bestFit"/>
            </c:dLbl>
            <c:dLbl>
              <c:idx val="3"/>
              <c:layout>
                <c:manualLayout>
                  <c:x val="1.9375514863616283E-2"/>
                  <c:y val="-0.1852305668057812"/>
                </c:manualLayout>
              </c:layout>
              <c:tx>
                <c:rich>
                  <a:bodyPr/>
                  <a:lstStyle/>
                  <a:p>
                    <a:r>
                      <a:rPr lang="en-US"/>
                      <a:t>34</a:t>
                    </a:r>
                    <a:r>
                      <a:rPr lang="ro-RO"/>
                      <a:t>,</a:t>
                    </a:r>
                    <a:r>
                      <a:rPr lang="en-US"/>
                      <a:t>1%</a:t>
                    </a:r>
                  </a:p>
                </c:rich>
              </c:tx>
              <c:dLblPos val="bestFit"/>
            </c:dLbl>
            <c:dLbl>
              <c:idx val="4"/>
              <c:layout>
                <c:manualLayout>
                  <c:x val="-1.8022834379565644E-2"/>
                  <c:y val="-0.1361855225015933"/>
                </c:manualLayout>
              </c:layout>
              <c:tx>
                <c:rich>
                  <a:bodyPr/>
                  <a:lstStyle/>
                  <a:p>
                    <a:r>
                      <a:rPr lang="en-US"/>
                      <a:t>8</a:t>
                    </a:r>
                    <a:r>
                      <a:rPr lang="ro-RO"/>
                      <a:t>,</a:t>
                    </a:r>
                    <a:r>
                      <a:rPr lang="en-US"/>
                      <a:t>4%</a:t>
                    </a:r>
                  </a:p>
                </c:rich>
              </c:tx>
              <c:dLblPos val="bestFit"/>
            </c:dLbl>
            <c:numFmt formatCode="0.0%" sourceLinked="0"/>
            <c:spPr>
              <a:noFill/>
              <a:ln w="25212">
                <a:noFill/>
              </a:ln>
            </c:spPr>
            <c:txPr>
              <a:bodyPr/>
              <a:lstStyle/>
              <a:p>
                <a:pPr>
                  <a:defRPr sz="993" b="0" i="0" u="none" strike="noStrike" baseline="0">
                    <a:solidFill>
                      <a:srgbClr val="000000"/>
                    </a:solidFill>
                    <a:latin typeface="Times New Roman"/>
                    <a:ea typeface="Times New Roman"/>
                    <a:cs typeface="Times New Roman"/>
                  </a:defRPr>
                </a:pPr>
                <a:endParaRPr lang="ru-RU"/>
              </a:p>
            </c:txPr>
            <c:showPercent val="1"/>
            <c:showLeaderLines val="1"/>
          </c:dLbls>
          <c:cat>
            <c:strRef>
              <c:f>Sheet1!$B$1:$F$1</c:f>
              <c:strCache>
                <c:ptCount val="5"/>
                <c:pt idx="0">
                  <c:v>Costuri şi cheltuieli materiale</c:v>
                </c:pt>
                <c:pt idx="1">
                  <c:v>Costuri şi cheltuieli aferente serviciilor prestate de terţi</c:v>
                </c:pt>
                <c:pt idx="2">
                  <c:v>Amortizarea activelor imobilizate</c:v>
                </c:pt>
                <c:pt idx="3">
                  <c:v>Cheltuieli cu personalul</c:v>
                </c:pt>
                <c:pt idx="4">
                  <c:v>Alte costuri şi cheltuieli din activitatea operaţională</c:v>
                </c:pt>
              </c:strCache>
            </c:strRef>
          </c:cat>
          <c:val>
            <c:numRef>
              <c:f>Sheet1!$B$2:$F$2</c:f>
              <c:numCache>
                <c:formatCode>0.0%</c:formatCode>
                <c:ptCount val="5"/>
                <c:pt idx="0">
                  <c:v>0.23</c:v>
                </c:pt>
                <c:pt idx="1">
                  <c:v>0.27300000000000002</c:v>
                </c:pt>
                <c:pt idx="2">
                  <c:v>7.1999999999999995E-2</c:v>
                </c:pt>
                <c:pt idx="3">
                  <c:v>0.34100000000000008</c:v>
                </c:pt>
                <c:pt idx="4">
                  <c:v>8.4000000000000047E-2</c:v>
                </c:pt>
              </c:numCache>
            </c:numRef>
          </c:val>
        </c:ser>
        <c:dLbls>
          <c:showVal val="1"/>
        </c:dLbls>
      </c:pie3DChart>
      <c:spPr>
        <a:solidFill>
          <a:srgbClr val="FFFFFF"/>
        </a:solidFill>
        <a:ln w="12606">
          <a:solidFill>
            <a:srgbClr val="FFFFFF"/>
          </a:solidFill>
          <a:prstDash val="solid"/>
        </a:ln>
      </c:spPr>
    </c:plotArea>
    <c:legend>
      <c:legendPos val="r"/>
      <c:layout>
        <c:manualLayout>
          <c:xMode val="edge"/>
          <c:yMode val="edge"/>
          <c:x val="0.42432082794307946"/>
          <c:y val="0.16875000000000001"/>
          <c:w val="0.57567917205692154"/>
          <c:h val="0.77500000000000058"/>
        </c:manualLayout>
      </c:layout>
      <c:spPr>
        <a:noFill/>
        <a:ln w="25212">
          <a:noFill/>
        </a:ln>
      </c:spPr>
      <c:txPr>
        <a:bodyPr/>
        <a:lstStyle/>
        <a:p>
          <a:pPr>
            <a:defRPr sz="913"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793" b="1" i="0" u="none" strike="noStrike" baseline="0">
          <a:solidFill>
            <a:srgbClr val="000000"/>
          </a:solidFill>
          <a:latin typeface="Arial Cyr"/>
          <a:ea typeface="Arial Cyr"/>
          <a:cs typeface="Arial Cyr"/>
        </a:defRPr>
      </a:pPr>
      <a:endParaRPr lang="ru-RU"/>
    </a:p>
  </c:txPr>
  <c:externalData r:id="rId2"/>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view3D>
      <c:rotX val="44"/>
      <c:hPercent val="349"/>
      <c:rotY val="44"/>
      <c:depthPercent val="3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0.28408821523926336"/>
          <c:y val="0"/>
          <c:w val="0.69031894504006319"/>
          <c:h val="0.92671864929021708"/>
        </c:manualLayout>
      </c:layout>
      <c:bar3DChart>
        <c:barDir val="bar"/>
        <c:grouping val="clustered"/>
        <c:ser>
          <c:idx val="0"/>
          <c:order val="0"/>
          <c:tx>
            <c:strRef>
              <c:f>Sheet1!$A$2</c:f>
              <c:strCache>
                <c:ptCount val="1"/>
              </c:strCache>
            </c:strRef>
          </c:tx>
          <c:spPr>
            <a:solidFill>
              <a:srgbClr val="9999FF"/>
            </a:solidFill>
            <a:ln w="8555">
              <a:solidFill>
                <a:srgbClr val="000000"/>
              </a:solidFill>
              <a:prstDash val="solid"/>
            </a:ln>
          </c:spPr>
          <c:dPt>
            <c:idx val="0"/>
            <c:spPr>
              <a:pattFill prst="horzBrick">
                <a:fgClr>
                  <a:srgbClr val="9999FF"/>
                </a:fgClr>
                <a:bgClr>
                  <a:srgbClr val="FFFFFF"/>
                </a:bgClr>
              </a:pattFill>
              <a:ln w="8555">
                <a:solidFill>
                  <a:srgbClr val="000000"/>
                </a:solidFill>
                <a:prstDash val="solid"/>
              </a:ln>
            </c:spPr>
          </c:dPt>
          <c:dPt>
            <c:idx val="1"/>
            <c:spPr>
              <a:pattFill prst="solidDmnd">
                <a:fgClr>
                  <a:srgbClr val="9999FF"/>
                </a:fgClr>
                <a:bgClr>
                  <a:srgbClr val="FFFFFF"/>
                </a:bgClr>
              </a:pattFill>
              <a:ln w="8555">
                <a:solidFill>
                  <a:srgbClr val="000000"/>
                </a:solidFill>
                <a:prstDash val="solid"/>
              </a:ln>
            </c:spPr>
          </c:dPt>
          <c:dPt>
            <c:idx val="2"/>
            <c:spPr>
              <a:pattFill prst="wdDnDiag">
                <a:fgClr>
                  <a:srgbClr val="9999FF"/>
                </a:fgClr>
                <a:bgClr>
                  <a:srgbClr val="FFFFFF"/>
                </a:bgClr>
              </a:pattFill>
              <a:ln w="8555">
                <a:solidFill>
                  <a:srgbClr val="000000"/>
                </a:solidFill>
                <a:prstDash val="solid"/>
              </a:ln>
            </c:spPr>
          </c:dPt>
          <c:dLbls>
            <c:dLbl>
              <c:idx val="0"/>
              <c:layout>
                <c:manualLayout>
                  <c:x val="1.9838669355133887E-2"/>
                  <c:y val="-1.1123759860779583E-2"/>
                </c:manualLayout>
              </c:layout>
              <c:tx>
                <c:rich>
                  <a:bodyPr/>
                  <a:lstStyle/>
                  <a:p>
                    <a:pPr>
                      <a:defRPr sz="673" b="0" i="0" u="none" strike="noStrike" baseline="0">
                        <a:solidFill>
                          <a:srgbClr val="000000"/>
                        </a:solidFill>
                        <a:latin typeface="Times New Roman"/>
                        <a:ea typeface="Times New Roman"/>
                        <a:cs typeface="Times New Roman"/>
                      </a:defRPr>
                    </a:pPr>
                    <a:r>
                      <a:rPr lang="ro-RO"/>
                      <a:t>33</a:t>
                    </a:r>
                    <a:r>
                      <a:rPr lang="ru-RU"/>
                      <a:t>,5%</a:t>
                    </a:r>
                  </a:p>
                </c:rich>
              </c:tx>
              <c:spPr>
                <a:noFill/>
                <a:ln w="17111">
                  <a:noFill/>
                </a:ln>
              </c:spPr>
            </c:dLbl>
            <c:dLbl>
              <c:idx val="1"/>
              <c:layout>
                <c:manualLayout>
                  <c:x val="1.057265097915347E-2"/>
                  <c:y val="-3.9023047449129267E-2"/>
                </c:manualLayout>
              </c:layout>
              <c:tx>
                <c:rich>
                  <a:bodyPr/>
                  <a:lstStyle/>
                  <a:p>
                    <a:pPr>
                      <a:defRPr sz="673" b="0" i="0" u="none" strike="noStrike" baseline="0">
                        <a:solidFill>
                          <a:srgbClr val="000000"/>
                        </a:solidFill>
                        <a:latin typeface="Times New Roman"/>
                        <a:ea typeface="Times New Roman"/>
                        <a:cs typeface="Times New Roman"/>
                      </a:defRPr>
                    </a:pPr>
                    <a:r>
                      <a:rPr lang="ro-RO"/>
                      <a:t>51</a:t>
                    </a:r>
                    <a:r>
                      <a:rPr lang="ru-RU"/>
                      <a:t>,</a:t>
                    </a:r>
                    <a:r>
                      <a:rPr lang="ro-RO"/>
                      <a:t>2</a:t>
                    </a:r>
                    <a:r>
                      <a:rPr lang="ru-RU"/>
                      <a:t>%</a:t>
                    </a:r>
                  </a:p>
                </c:rich>
              </c:tx>
              <c:spPr>
                <a:noFill/>
                <a:ln w="17111">
                  <a:noFill/>
                </a:ln>
              </c:spPr>
            </c:dLbl>
            <c:dLbl>
              <c:idx val="2"/>
              <c:layout>
                <c:manualLayout>
                  <c:x val="1.6247153361391722E-2"/>
                  <c:y val="-7.7530771580944013E-2"/>
                </c:manualLayout>
              </c:layout>
              <c:tx>
                <c:rich>
                  <a:bodyPr/>
                  <a:lstStyle/>
                  <a:p>
                    <a:pPr>
                      <a:defRPr sz="673" b="0" i="0" u="none" strike="noStrike" baseline="0">
                        <a:solidFill>
                          <a:srgbClr val="000000"/>
                        </a:solidFill>
                        <a:latin typeface="Times New Roman"/>
                        <a:ea typeface="Times New Roman"/>
                        <a:cs typeface="Times New Roman"/>
                      </a:defRPr>
                    </a:pPr>
                    <a:r>
                      <a:rPr lang="ro-RO"/>
                      <a:t>15</a:t>
                    </a:r>
                    <a:r>
                      <a:rPr lang="ru-RU"/>
                      <a:t>,</a:t>
                    </a:r>
                    <a:r>
                      <a:rPr lang="ro-RO"/>
                      <a:t>3</a:t>
                    </a:r>
                    <a:r>
                      <a:rPr lang="ru-RU"/>
                      <a:t>%</a:t>
                    </a:r>
                  </a:p>
                </c:rich>
              </c:tx>
              <c:spPr>
                <a:noFill/>
                <a:ln w="17111">
                  <a:noFill/>
                </a:ln>
              </c:spPr>
            </c:dLbl>
            <c:numFmt formatCode="0.00" sourceLinked="0"/>
            <c:spPr>
              <a:noFill/>
              <a:ln w="17111">
                <a:noFill/>
              </a:ln>
            </c:spPr>
            <c:txPr>
              <a:bodyPr/>
              <a:lstStyle/>
              <a:p>
                <a:pPr>
                  <a:defRPr sz="672" b="0" i="0" u="none" strike="noStrike" baseline="0">
                    <a:solidFill>
                      <a:srgbClr val="000000"/>
                    </a:solidFill>
                    <a:latin typeface="Times New Roman"/>
                    <a:ea typeface="Times New Roman"/>
                    <a:cs typeface="Times New Roman"/>
                  </a:defRPr>
                </a:pPr>
                <a:endParaRPr lang="ru-RU"/>
              </a:p>
            </c:txPr>
            <c:showVal val="1"/>
          </c:dLbls>
          <c:cat>
            <c:strRef>
              <c:f>Sheet1!$B$1:$D$1</c:f>
              <c:strCache>
                <c:ptCount val="3"/>
                <c:pt idx="0">
                  <c:v>prestarea serviciilor agricole</c:v>
                </c:pt>
                <c:pt idx="1">
                  <c:v>producţia vegetală</c:v>
                </c:pt>
                <c:pt idx="2">
                  <c:v>producţia animalieră</c:v>
                </c:pt>
              </c:strCache>
            </c:strRef>
          </c:cat>
          <c:val>
            <c:numRef>
              <c:f>Sheet1!$B$2:$D$2</c:f>
              <c:numCache>
                <c:formatCode>0.00%</c:formatCode>
                <c:ptCount val="3"/>
                <c:pt idx="0">
                  <c:v>33.5</c:v>
                </c:pt>
                <c:pt idx="1">
                  <c:v>51.2</c:v>
                </c:pt>
                <c:pt idx="2">
                  <c:v>15.3</c:v>
                </c:pt>
              </c:numCache>
            </c:numRef>
          </c:val>
        </c:ser>
        <c:dLbls>
          <c:showVal val="1"/>
        </c:dLbls>
        <c:gapWidth val="0"/>
        <c:gapDepth val="0"/>
        <c:shape val="cylinder"/>
        <c:axId val="309422720"/>
        <c:axId val="309432704"/>
        <c:axId val="0"/>
      </c:bar3DChart>
      <c:catAx>
        <c:axId val="309422720"/>
        <c:scaling>
          <c:orientation val="minMax"/>
        </c:scaling>
        <c:axPos val="l"/>
        <c:numFmt formatCode="General" sourceLinked="1"/>
        <c:tickLblPos val="low"/>
        <c:spPr>
          <a:ln w="2139">
            <a:solidFill>
              <a:srgbClr val="000000"/>
            </a:solidFill>
            <a:prstDash val="solid"/>
          </a:ln>
        </c:spPr>
        <c:txPr>
          <a:bodyPr rot="0" vert="horz"/>
          <a:lstStyle/>
          <a:p>
            <a:pPr>
              <a:defRPr sz="608" b="0" i="0" u="none" strike="noStrike" baseline="0">
                <a:solidFill>
                  <a:srgbClr val="000000"/>
                </a:solidFill>
                <a:latin typeface="Times New Roman"/>
                <a:ea typeface="Times New Roman"/>
                <a:cs typeface="Times New Roman"/>
              </a:defRPr>
            </a:pPr>
            <a:endParaRPr lang="ru-RU"/>
          </a:p>
        </c:txPr>
        <c:crossAx val="309432704"/>
        <c:crosses val="autoZero"/>
        <c:auto val="1"/>
        <c:lblAlgn val="ctr"/>
        <c:lblOffset val="100"/>
        <c:tickLblSkip val="1"/>
        <c:tickMarkSkip val="1"/>
      </c:catAx>
      <c:valAx>
        <c:axId val="309432704"/>
        <c:scaling>
          <c:orientation val="minMax"/>
          <c:max val="100"/>
          <c:min val="0"/>
        </c:scaling>
        <c:delete val="1"/>
        <c:axPos val="b"/>
        <c:numFmt formatCode="0.00%" sourceLinked="1"/>
        <c:tickLblPos val="nextTo"/>
        <c:crossAx val="309422720"/>
        <c:crosses val="autoZero"/>
        <c:crossBetween val="between"/>
      </c:valAx>
      <c:spPr>
        <a:noFill/>
        <a:ln w="17158">
          <a:noFill/>
        </a:ln>
      </c:spPr>
    </c:plotArea>
    <c:plotVisOnly val="1"/>
    <c:dispBlanksAs val="gap"/>
  </c:chart>
  <c:spPr>
    <a:noFill/>
    <a:ln>
      <a:noFill/>
    </a:ln>
  </c:spPr>
  <c:txPr>
    <a:bodyPr/>
    <a:lstStyle/>
    <a:p>
      <a:pPr>
        <a:defRPr sz="591" b="0" i="0" u="none" strike="noStrike" baseline="0">
          <a:solidFill>
            <a:srgbClr val="000000"/>
          </a:solidFill>
          <a:latin typeface="Arial"/>
          <a:ea typeface="Arial"/>
          <a:cs typeface="Arial"/>
        </a:defRPr>
      </a:pPr>
      <a:endParaRPr lang="ru-RU"/>
    </a:p>
  </c:txPr>
  <c:externalData r:id="rId2"/>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perspective val="0"/>
    </c:view3D>
    <c:plotArea>
      <c:layout>
        <c:manualLayout>
          <c:layoutTarget val="inner"/>
          <c:xMode val="edge"/>
          <c:yMode val="edge"/>
          <c:x val="0.18027210884353742"/>
          <c:y val="0.12037037037037036"/>
          <c:w val="0.62925170068028236"/>
          <c:h val="0.33796296296297534"/>
        </c:manualLayout>
      </c:layout>
      <c:pie3DChart>
        <c:varyColors val="1"/>
        <c:ser>
          <c:idx val="0"/>
          <c:order val="0"/>
          <c:tx>
            <c:strRef>
              <c:f>Sheet1!$A$2</c:f>
              <c:strCache>
                <c:ptCount val="1"/>
                <c:pt idx="0">
                  <c:v>Восток</c:v>
                </c:pt>
              </c:strCache>
            </c:strRef>
          </c:tx>
          <c:spPr>
            <a:solidFill>
              <a:srgbClr val="9999FF"/>
            </a:solidFill>
            <a:ln w="11210">
              <a:solidFill>
                <a:srgbClr val="000000"/>
              </a:solidFill>
              <a:prstDash val="solid"/>
            </a:ln>
          </c:spPr>
          <c:explosion val="25"/>
          <c:dPt>
            <c:idx val="0"/>
            <c:spPr>
              <a:pattFill prst="dashVert">
                <a:fgClr>
                  <a:srgbClr val="9999FF"/>
                </a:fgClr>
                <a:bgClr>
                  <a:srgbClr val="FFFFFF"/>
                </a:bgClr>
              </a:pattFill>
              <a:ln w="11210">
                <a:solidFill>
                  <a:srgbClr val="000000"/>
                </a:solidFill>
                <a:prstDash val="solid"/>
              </a:ln>
            </c:spPr>
          </c:dPt>
          <c:dPt>
            <c:idx val="1"/>
            <c:spPr>
              <a:pattFill prst="wdUpDiag">
                <a:fgClr>
                  <a:srgbClr val="993366"/>
                </a:fgClr>
                <a:bgClr>
                  <a:srgbClr val="FFFFFF"/>
                </a:bgClr>
              </a:pattFill>
              <a:ln w="11210">
                <a:solidFill>
                  <a:srgbClr val="000000"/>
                </a:solidFill>
                <a:prstDash val="solid"/>
              </a:ln>
            </c:spPr>
          </c:dPt>
          <c:dPt>
            <c:idx val="2"/>
            <c:spPr>
              <a:solidFill>
                <a:srgbClr val="FFFFCC"/>
              </a:solidFill>
              <a:ln w="11210">
                <a:solidFill>
                  <a:srgbClr val="000000"/>
                </a:solidFill>
                <a:prstDash val="solid"/>
              </a:ln>
            </c:spPr>
          </c:dPt>
          <c:dPt>
            <c:idx val="3"/>
            <c:spPr>
              <a:pattFill prst="horzBrick">
                <a:fgClr>
                  <a:srgbClr val="0000FF"/>
                </a:fgClr>
                <a:bgClr>
                  <a:srgbClr val="FFFFFF"/>
                </a:bgClr>
              </a:pattFill>
              <a:ln w="11210">
                <a:solidFill>
                  <a:srgbClr val="000000"/>
                </a:solidFill>
                <a:prstDash val="solid"/>
              </a:ln>
            </c:spPr>
          </c:dPt>
          <c:dPt>
            <c:idx val="4"/>
            <c:spPr>
              <a:pattFill prst="solidDmnd">
                <a:fgClr>
                  <a:srgbClr val="660066"/>
                </a:fgClr>
                <a:bgClr>
                  <a:srgbClr val="FFFFFF"/>
                </a:bgClr>
              </a:pattFill>
              <a:ln w="11210">
                <a:solidFill>
                  <a:srgbClr val="000000"/>
                </a:solidFill>
                <a:prstDash val="solid"/>
              </a:ln>
            </c:spPr>
          </c:dPt>
          <c:dPt>
            <c:idx val="5"/>
            <c:spPr>
              <a:solidFill>
                <a:srgbClr val="FF8080"/>
              </a:solidFill>
              <a:ln w="11210">
                <a:solidFill>
                  <a:srgbClr val="000000"/>
                </a:solidFill>
                <a:prstDash val="solid"/>
              </a:ln>
            </c:spPr>
          </c:dPt>
          <c:dLbls>
            <c:dLbl>
              <c:idx val="0"/>
              <c:layout>
                <c:manualLayout>
                  <c:x val="4.4854291440754104E-2"/>
                  <c:y val="-4.6169465643319085E-2"/>
                </c:manualLayout>
              </c:layout>
              <c:tx>
                <c:rich>
                  <a:bodyPr/>
                  <a:lstStyle/>
                  <a:p>
                    <a:pPr>
                      <a:defRPr sz="860" b="0" i="0" u="none" strike="noStrike" baseline="0">
                        <a:solidFill>
                          <a:srgbClr val="000000"/>
                        </a:solidFill>
                        <a:latin typeface="Times New Roman"/>
                        <a:ea typeface="Times New Roman"/>
                        <a:cs typeface="Times New Roman"/>
                      </a:defRPr>
                    </a:pPr>
                    <a:r>
                      <a:rPr lang="en-US"/>
                      <a:t>50</a:t>
                    </a:r>
                    <a:r>
                      <a:rPr lang="ro-RO"/>
                      <a:t>,</a:t>
                    </a:r>
                    <a:r>
                      <a:rPr lang="en-US"/>
                      <a:t>6%</a:t>
                    </a:r>
                  </a:p>
                </c:rich>
              </c:tx>
              <c:numFmt formatCode="0.0%" sourceLinked="0"/>
              <c:spPr>
                <a:noFill/>
                <a:ln w="22420">
                  <a:noFill/>
                </a:ln>
              </c:spPr>
              <c:dLblPos val="bestFit"/>
            </c:dLbl>
            <c:dLbl>
              <c:idx val="1"/>
              <c:layout>
                <c:manualLayout>
                  <c:x val="0.11445798310948682"/>
                  <c:y val="3.9150747438394001E-2"/>
                </c:manualLayout>
              </c:layout>
              <c:tx>
                <c:rich>
                  <a:bodyPr/>
                  <a:lstStyle/>
                  <a:p>
                    <a:pPr>
                      <a:defRPr sz="860" b="0" i="0" u="none" strike="noStrike" baseline="0">
                        <a:solidFill>
                          <a:srgbClr val="000000"/>
                        </a:solidFill>
                        <a:latin typeface="Times New Roman"/>
                        <a:ea typeface="Times New Roman"/>
                        <a:cs typeface="Times New Roman"/>
                      </a:defRPr>
                    </a:pPr>
                    <a:r>
                      <a:rPr lang="en-US"/>
                      <a:t>0</a:t>
                    </a:r>
                    <a:r>
                      <a:rPr lang="ro-RO"/>
                      <a:t>,</a:t>
                    </a:r>
                    <a:r>
                      <a:rPr lang="en-US"/>
                      <a:t>7%</a:t>
                    </a:r>
                  </a:p>
                </c:rich>
              </c:tx>
              <c:numFmt formatCode="0.0%" sourceLinked="0"/>
              <c:spPr>
                <a:noFill/>
                <a:ln w="22420">
                  <a:noFill/>
                </a:ln>
              </c:spPr>
              <c:dLblPos val="bestFit"/>
            </c:dLbl>
            <c:dLbl>
              <c:idx val="2"/>
              <c:layout>
                <c:manualLayout>
                  <c:x val="3.5730381512084991E-2"/>
                  <c:y val="4.0956316591272877E-2"/>
                </c:manualLayout>
              </c:layout>
              <c:tx>
                <c:rich>
                  <a:bodyPr/>
                  <a:lstStyle/>
                  <a:p>
                    <a:pPr>
                      <a:defRPr sz="860" b="0" i="0" u="none" strike="noStrike" baseline="0">
                        <a:solidFill>
                          <a:srgbClr val="000000"/>
                        </a:solidFill>
                        <a:latin typeface="Times New Roman"/>
                        <a:ea typeface="Times New Roman"/>
                        <a:cs typeface="Times New Roman"/>
                      </a:defRPr>
                    </a:pPr>
                    <a:r>
                      <a:rPr lang="en-US"/>
                      <a:t>4</a:t>
                    </a:r>
                    <a:r>
                      <a:rPr lang="ro-RO"/>
                      <a:t>,</a:t>
                    </a:r>
                    <a:r>
                      <a:rPr lang="en-US"/>
                      <a:t>4%</a:t>
                    </a:r>
                  </a:p>
                </c:rich>
              </c:tx>
              <c:numFmt formatCode="0.0%" sourceLinked="0"/>
              <c:spPr>
                <a:noFill/>
                <a:ln w="22420">
                  <a:noFill/>
                </a:ln>
              </c:spPr>
              <c:dLblPos val="bestFit"/>
            </c:dLbl>
            <c:dLbl>
              <c:idx val="3"/>
              <c:layout>
                <c:manualLayout>
                  <c:x val="7.7712931507801725E-3"/>
                  <c:y val="7.8289477432846533E-2"/>
                </c:manualLayout>
              </c:layout>
              <c:tx>
                <c:rich>
                  <a:bodyPr/>
                  <a:lstStyle/>
                  <a:p>
                    <a:pPr>
                      <a:defRPr sz="860" b="0" i="0" u="none" strike="noStrike" baseline="0">
                        <a:solidFill>
                          <a:srgbClr val="000000"/>
                        </a:solidFill>
                        <a:latin typeface="Times New Roman"/>
                        <a:ea typeface="Times New Roman"/>
                        <a:cs typeface="Times New Roman"/>
                      </a:defRPr>
                    </a:pPr>
                    <a:r>
                      <a:rPr lang="en-US"/>
                      <a:t>11</a:t>
                    </a:r>
                    <a:r>
                      <a:rPr lang="ro-RO"/>
                      <a:t>,</a:t>
                    </a:r>
                    <a:r>
                      <a:rPr lang="en-US"/>
                      <a:t>9%</a:t>
                    </a:r>
                  </a:p>
                </c:rich>
              </c:tx>
              <c:numFmt formatCode="0.0%" sourceLinked="0"/>
              <c:spPr>
                <a:noFill/>
                <a:ln w="22420">
                  <a:noFill/>
                </a:ln>
              </c:spPr>
              <c:dLblPos val="bestFit"/>
            </c:dLbl>
            <c:dLbl>
              <c:idx val="4"/>
              <c:layout>
                <c:manualLayout>
                  <c:x val="-5.6459683464433294E-2"/>
                  <c:y val="-2.7401740560997871E-2"/>
                </c:manualLayout>
              </c:layout>
              <c:tx>
                <c:rich>
                  <a:bodyPr/>
                  <a:lstStyle/>
                  <a:p>
                    <a:pPr>
                      <a:defRPr sz="860" b="0" i="0" u="none" strike="noStrike" baseline="0">
                        <a:solidFill>
                          <a:srgbClr val="000000"/>
                        </a:solidFill>
                        <a:latin typeface="Times New Roman"/>
                        <a:ea typeface="Times New Roman"/>
                        <a:cs typeface="Times New Roman"/>
                      </a:defRPr>
                    </a:pPr>
                    <a:r>
                      <a:rPr lang="en-US"/>
                      <a:t>16</a:t>
                    </a:r>
                    <a:r>
                      <a:rPr lang="ro-RO"/>
                      <a:t>,</a:t>
                    </a:r>
                    <a:r>
                      <a:rPr lang="en-US"/>
                      <a:t>4%</a:t>
                    </a:r>
                  </a:p>
                </c:rich>
              </c:tx>
              <c:numFmt formatCode="0.0%" sourceLinked="0"/>
              <c:spPr>
                <a:noFill/>
                <a:ln w="22420">
                  <a:noFill/>
                </a:ln>
              </c:spPr>
              <c:dLblPos val="bestFit"/>
            </c:dLbl>
            <c:dLbl>
              <c:idx val="5"/>
              <c:tx>
                <c:rich>
                  <a:bodyPr/>
                  <a:lstStyle/>
                  <a:p>
                    <a:pPr>
                      <a:defRPr sz="860" b="0" i="0" u="none" strike="noStrike" baseline="0">
                        <a:solidFill>
                          <a:srgbClr val="000000"/>
                        </a:solidFill>
                        <a:latin typeface="Times New Roman"/>
                        <a:ea typeface="Times New Roman"/>
                        <a:cs typeface="Times New Roman"/>
                      </a:defRPr>
                    </a:pPr>
                    <a:r>
                      <a:rPr lang="en-US"/>
                      <a:t>16</a:t>
                    </a:r>
                    <a:r>
                      <a:rPr lang="ro-RO"/>
                      <a:t>,</a:t>
                    </a:r>
                    <a:r>
                      <a:rPr lang="en-US"/>
                      <a:t>0%</a:t>
                    </a:r>
                  </a:p>
                </c:rich>
              </c:tx>
              <c:numFmt formatCode="0.0%" sourceLinked="0"/>
              <c:spPr>
                <a:noFill/>
                <a:ln w="22420">
                  <a:noFill/>
                </a:ln>
              </c:spPr>
              <c:dLblPos val="bestFit"/>
            </c:dLbl>
            <c:numFmt formatCode="0.0%" sourceLinked="0"/>
            <c:spPr>
              <a:noFill/>
              <a:ln w="22420">
                <a:noFill/>
              </a:ln>
            </c:spPr>
            <c:txPr>
              <a:bodyPr/>
              <a:lstStyle/>
              <a:p>
                <a:pPr>
                  <a:defRPr sz="859" b="0" i="0" u="none" strike="noStrike" baseline="0">
                    <a:solidFill>
                      <a:srgbClr val="000000"/>
                    </a:solidFill>
                    <a:latin typeface="Times New Roman"/>
                    <a:ea typeface="Times New Roman"/>
                    <a:cs typeface="Times New Roman"/>
                  </a:defRPr>
                </a:pPr>
                <a:endParaRPr lang="ru-RU"/>
              </a:p>
            </c:txPr>
            <c:showPercent val="1"/>
            <c:showLeaderLines val="1"/>
          </c:dLbls>
          <c:cat>
            <c:strRef>
              <c:f>Sheet1!$B$1:$G$1</c:f>
              <c:strCache>
                <c:ptCount val="6"/>
                <c:pt idx="0">
                  <c:v>Materiale</c:v>
                </c:pt>
                <c:pt idx="1">
                  <c:v>Active biologice circulante</c:v>
                </c:pt>
                <c:pt idx="2">
                  <c:v>Obiecte de mică valoare şi scurtă durată</c:v>
                </c:pt>
                <c:pt idx="3">
                  <c:v>Producţia în curs de execuţie</c:v>
                </c:pt>
                <c:pt idx="4">
                  <c:v>Produse</c:v>
                </c:pt>
                <c:pt idx="5">
                  <c:v>Mărfuri</c:v>
                </c:pt>
              </c:strCache>
            </c:strRef>
          </c:cat>
          <c:val>
            <c:numRef>
              <c:f>Sheet1!$B$2:$G$2</c:f>
              <c:numCache>
                <c:formatCode>0.0%</c:formatCode>
                <c:ptCount val="6"/>
                <c:pt idx="0">
                  <c:v>0.50600000000000001</c:v>
                </c:pt>
                <c:pt idx="1">
                  <c:v>7.0000000000000036E-3</c:v>
                </c:pt>
                <c:pt idx="2">
                  <c:v>4.3999999999999997E-2</c:v>
                </c:pt>
                <c:pt idx="3">
                  <c:v>0.11899999999999998</c:v>
                </c:pt>
                <c:pt idx="4">
                  <c:v>0.16400000000000001</c:v>
                </c:pt>
                <c:pt idx="5" formatCode="0.00%">
                  <c:v>0.16</c:v>
                </c:pt>
              </c:numCache>
            </c:numRef>
          </c:val>
        </c:ser>
        <c:dLbls>
          <c:showVal val="1"/>
        </c:dLbls>
      </c:pie3DChart>
      <c:spPr>
        <a:solidFill>
          <a:srgbClr val="FFFFFF"/>
        </a:solidFill>
        <a:ln w="11210">
          <a:solidFill>
            <a:srgbClr val="FFFFFF"/>
          </a:solidFill>
          <a:prstDash val="solid"/>
        </a:ln>
      </c:spPr>
    </c:plotArea>
    <c:legend>
      <c:legendPos val="r"/>
      <c:layout>
        <c:manualLayout>
          <c:xMode val="edge"/>
          <c:yMode val="edge"/>
          <c:x val="0"/>
          <c:y val="0.59003831417624486"/>
          <c:w val="0.9945799457994573"/>
          <c:h val="0.39463601532567094"/>
        </c:manualLayout>
      </c:layout>
      <c:spPr>
        <a:noFill/>
        <a:ln w="22420">
          <a:noFill/>
        </a:ln>
      </c:spPr>
      <c:txPr>
        <a:bodyPr/>
        <a:lstStyle/>
        <a:p>
          <a:pPr>
            <a:defRPr sz="648"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749" b="1" i="0" u="none" strike="noStrike" baseline="0">
          <a:solidFill>
            <a:srgbClr val="000000"/>
          </a:solidFill>
          <a:latin typeface="Arial Cyr"/>
          <a:ea typeface="Arial Cyr"/>
          <a:cs typeface="Arial Cyr"/>
        </a:defRPr>
      </a:pPr>
      <a:endParaRPr lang="ru-RU"/>
    </a:p>
  </c:txPr>
  <c:externalData r:id="rId2"/>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perspective val="0"/>
    </c:view3D>
    <c:plotArea>
      <c:layout>
        <c:manualLayout>
          <c:layoutTarget val="inner"/>
          <c:xMode val="edge"/>
          <c:yMode val="edge"/>
          <c:x val="0.18027210884353742"/>
          <c:y val="0.12037037037037036"/>
          <c:w val="0.62925170068028236"/>
          <c:h val="0.33796296296297534"/>
        </c:manualLayout>
      </c:layout>
      <c:pie3DChart>
        <c:varyColors val="1"/>
        <c:ser>
          <c:idx val="0"/>
          <c:order val="0"/>
          <c:tx>
            <c:strRef>
              <c:f>Sheet1!$A$2</c:f>
              <c:strCache>
                <c:ptCount val="1"/>
                <c:pt idx="0">
                  <c:v>Восток</c:v>
                </c:pt>
              </c:strCache>
            </c:strRef>
          </c:tx>
          <c:spPr>
            <a:solidFill>
              <a:srgbClr val="9999FF"/>
            </a:solidFill>
            <a:ln w="11041">
              <a:solidFill>
                <a:srgbClr val="000000"/>
              </a:solidFill>
              <a:prstDash val="solid"/>
            </a:ln>
          </c:spPr>
          <c:explosion val="25"/>
          <c:dPt>
            <c:idx val="0"/>
            <c:spPr>
              <a:pattFill prst="dashVert">
                <a:fgClr>
                  <a:srgbClr val="9999FF"/>
                </a:fgClr>
                <a:bgClr>
                  <a:srgbClr val="FFFFFF"/>
                </a:bgClr>
              </a:pattFill>
              <a:ln w="11041">
                <a:solidFill>
                  <a:srgbClr val="000000"/>
                </a:solidFill>
                <a:prstDash val="solid"/>
              </a:ln>
            </c:spPr>
          </c:dPt>
          <c:dPt>
            <c:idx val="1"/>
            <c:spPr>
              <a:pattFill prst="wdUpDiag">
                <a:fgClr>
                  <a:srgbClr val="993366"/>
                </a:fgClr>
                <a:bgClr>
                  <a:srgbClr val="FFFFFF"/>
                </a:bgClr>
              </a:pattFill>
              <a:ln w="11041">
                <a:solidFill>
                  <a:srgbClr val="000000"/>
                </a:solidFill>
                <a:prstDash val="solid"/>
              </a:ln>
            </c:spPr>
          </c:dPt>
          <c:dPt>
            <c:idx val="2"/>
            <c:spPr>
              <a:solidFill>
                <a:srgbClr val="FFFFCC"/>
              </a:solidFill>
              <a:ln w="11041">
                <a:solidFill>
                  <a:srgbClr val="000000"/>
                </a:solidFill>
                <a:prstDash val="solid"/>
              </a:ln>
            </c:spPr>
          </c:dPt>
          <c:dPt>
            <c:idx val="3"/>
            <c:spPr>
              <a:pattFill prst="horzBrick">
                <a:fgClr>
                  <a:srgbClr val="0000FF"/>
                </a:fgClr>
                <a:bgClr>
                  <a:srgbClr val="FFFFFF"/>
                </a:bgClr>
              </a:pattFill>
              <a:ln w="11041">
                <a:solidFill>
                  <a:srgbClr val="000000"/>
                </a:solidFill>
                <a:prstDash val="solid"/>
              </a:ln>
            </c:spPr>
          </c:dPt>
          <c:dPt>
            <c:idx val="4"/>
            <c:spPr>
              <a:pattFill prst="solidDmnd">
                <a:fgClr>
                  <a:srgbClr val="660066"/>
                </a:fgClr>
                <a:bgClr>
                  <a:srgbClr val="FFFFFF"/>
                </a:bgClr>
              </a:pattFill>
              <a:ln w="11041">
                <a:solidFill>
                  <a:srgbClr val="000000"/>
                </a:solidFill>
                <a:prstDash val="solid"/>
              </a:ln>
            </c:spPr>
          </c:dPt>
          <c:dPt>
            <c:idx val="5"/>
            <c:spPr>
              <a:solidFill>
                <a:srgbClr val="FF8080"/>
              </a:solidFill>
              <a:ln w="11041">
                <a:solidFill>
                  <a:srgbClr val="000000"/>
                </a:solidFill>
                <a:prstDash val="solid"/>
              </a:ln>
            </c:spPr>
          </c:dPt>
          <c:dLbls>
            <c:dLbl>
              <c:idx val="0"/>
              <c:layout>
                <c:manualLayout>
                  <c:x val="4.4860150852779113E-2"/>
                  <c:y val="-4.5018432790631932E-2"/>
                </c:manualLayout>
              </c:layout>
              <c:tx>
                <c:rich>
                  <a:bodyPr/>
                  <a:lstStyle/>
                  <a:p>
                    <a:pPr>
                      <a:defRPr sz="847" b="0" i="0" u="none" strike="noStrike" baseline="0">
                        <a:solidFill>
                          <a:srgbClr val="000000"/>
                        </a:solidFill>
                        <a:latin typeface="Times New Roman"/>
                        <a:ea typeface="Times New Roman"/>
                        <a:cs typeface="Times New Roman"/>
                      </a:defRPr>
                    </a:pPr>
                    <a:r>
                      <a:rPr lang="en-US"/>
                      <a:t>50</a:t>
                    </a:r>
                    <a:r>
                      <a:rPr lang="ro-RO"/>
                      <a:t>,</a:t>
                    </a:r>
                    <a:r>
                      <a:rPr lang="en-US"/>
                      <a:t>2%</a:t>
                    </a:r>
                  </a:p>
                </c:rich>
              </c:tx>
              <c:numFmt formatCode="0.0%" sourceLinked="0"/>
              <c:spPr>
                <a:noFill/>
                <a:ln w="22082">
                  <a:noFill/>
                </a:ln>
              </c:spPr>
              <c:dLblPos val="bestFit"/>
            </c:dLbl>
            <c:dLbl>
              <c:idx val="1"/>
              <c:layout>
                <c:manualLayout>
                  <c:x val="9.4869799890528905E-2"/>
                  <c:y val="2.5261858549505412E-2"/>
                </c:manualLayout>
              </c:layout>
              <c:tx>
                <c:rich>
                  <a:bodyPr/>
                  <a:lstStyle/>
                  <a:p>
                    <a:pPr>
                      <a:defRPr sz="847" b="0" i="0" u="none" strike="noStrike" baseline="0">
                        <a:solidFill>
                          <a:srgbClr val="000000"/>
                        </a:solidFill>
                        <a:latin typeface="Times New Roman"/>
                        <a:ea typeface="Times New Roman"/>
                        <a:cs typeface="Times New Roman"/>
                      </a:defRPr>
                    </a:pPr>
                    <a:r>
                      <a:rPr lang="en-US"/>
                      <a:t>0</a:t>
                    </a:r>
                    <a:r>
                      <a:rPr lang="ro-RO"/>
                      <a:t>,</a:t>
                    </a:r>
                    <a:r>
                      <a:rPr lang="en-US"/>
                      <a:t>6%</a:t>
                    </a:r>
                  </a:p>
                </c:rich>
              </c:tx>
              <c:numFmt formatCode="0.0%" sourceLinked="0"/>
              <c:spPr>
                <a:noFill/>
                <a:ln w="22082">
                  <a:noFill/>
                </a:ln>
              </c:spPr>
              <c:dLblPos val="bestFit"/>
            </c:dLbl>
            <c:dLbl>
              <c:idx val="2"/>
              <c:layout>
                <c:manualLayout>
                  <c:x val="3.6472001594491786E-2"/>
                  <c:y val="3.5458633834181158E-2"/>
                </c:manualLayout>
              </c:layout>
              <c:tx>
                <c:rich>
                  <a:bodyPr/>
                  <a:lstStyle/>
                  <a:p>
                    <a:pPr>
                      <a:defRPr sz="847" b="0" i="0" u="none" strike="noStrike" baseline="0">
                        <a:solidFill>
                          <a:srgbClr val="000000"/>
                        </a:solidFill>
                        <a:latin typeface="Times New Roman"/>
                        <a:ea typeface="Times New Roman"/>
                        <a:cs typeface="Times New Roman"/>
                      </a:defRPr>
                    </a:pPr>
                    <a:r>
                      <a:rPr lang="en-US"/>
                      <a:t>4</a:t>
                    </a:r>
                    <a:r>
                      <a:rPr lang="ro-RO"/>
                      <a:t>,</a:t>
                    </a:r>
                    <a:r>
                      <a:rPr lang="en-US"/>
                      <a:t>6%</a:t>
                    </a:r>
                  </a:p>
                </c:rich>
              </c:tx>
              <c:numFmt formatCode="0.0%" sourceLinked="0"/>
              <c:spPr>
                <a:noFill/>
                <a:ln w="22082">
                  <a:noFill/>
                </a:ln>
              </c:spPr>
              <c:dLblPos val="bestFit"/>
            </c:dLbl>
            <c:dLbl>
              <c:idx val="3"/>
              <c:layout>
                <c:manualLayout>
                  <c:x val="1.1861451142826553E-2"/>
                  <c:y val="8.0653870678835865E-2"/>
                </c:manualLayout>
              </c:layout>
              <c:tx>
                <c:rich>
                  <a:bodyPr/>
                  <a:lstStyle/>
                  <a:p>
                    <a:pPr>
                      <a:defRPr sz="847" b="0" i="0" u="none" strike="noStrike" baseline="0">
                        <a:solidFill>
                          <a:srgbClr val="000000"/>
                        </a:solidFill>
                        <a:latin typeface="Times New Roman"/>
                        <a:ea typeface="Times New Roman"/>
                        <a:cs typeface="Times New Roman"/>
                      </a:defRPr>
                    </a:pPr>
                    <a:r>
                      <a:rPr lang="en-US"/>
                      <a:t>12</a:t>
                    </a:r>
                    <a:r>
                      <a:rPr lang="ro-RO"/>
                      <a:t>,</a:t>
                    </a:r>
                    <a:r>
                      <a:rPr lang="en-US"/>
                      <a:t>1%</a:t>
                    </a:r>
                  </a:p>
                </c:rich>
              </c:tx>
              <c:numFmt formatCode="0.0%" sourceLinked="0"/>
              <c:spPr>
                <a:noFill/>
                <a:ln w="22082">
                  <a:noFill/>
                </a:ln>
              </c:spPr>
              <c:dLblPos val="bestFit"/>
            </c:dLbl>
            <c:dLbl>
              <c:idx val="4"/>
              <c:layout>
                <c:manualLayout>
                  <c:x val="-6.0526748479674257E-2"/>
                  <c:y val="-2.2003965756501286E-2"/>
                </c:manualLayout>
              </c:layout>
              <c:tx>
                <c:rich>
                  <a:bodyPr/>
                  <a:lstStyle/>
                  <a:p>
                    <a:pPr>
                      <a:defRPr sz="847" b="0" i="0" u="none" strike="noStrike" baseline="0">
                        <a:solidFill>
                          <a:srgbClr val="000000"/>
                        </a:solidFill>
                        <a:latin typeface="Times New Roman"/>
                        <a:ea typeface="Times New Roman"/>
                        <a:cs typeface="Times New Roman"/>
                      </a:defRPr>
                    </a:pPr>
                    <a:r>
                      <a:rPr lang="en-US"/>
                      <a:t>15</a:t>
                    </a:r>
                    <a:r>
                      <a:rPr lang="ro-RO"/>
                      <a:t>,</a:t>
                    </a:r>
                    <a:r>
                      <a:rPr lang="en-US"/>
                      <a:t>7%</a:t>
                    </a:r>
                  </a:p>
                </c:rich>
              </c:tx>
              <c:numFmt formatCode="0.0%" sourceLinked="0"/>
              <c:spPr>
                <a:noFill/>
                <a:ln w="22082">
                  <a:noFill/>
                </a:ln>
              </c:spPr>
              <c:dLblPos val="bestFit"/>
            </c:dLbl>
            <c:dLbl>
              <c:idx val="5"/>
              <c:tx>
                <c:rich>
                  <a:bodyPr/>
                  <a:lstStyle/>
                  <a:p>
                    <a:pPr>
                      <a:defRPr sz="847" b="0" i="0" u="none" strike="noStrike" baseline="0">
                        <a:solidFill>
                          <a:srgbClr val="000000"/>
                        </a:solidFill>
                        <a:latin typeface="Times New Roman"/>
                        <a:ea typeface="Times New Roman"/>
                        <a:cs typeface="Times New Roman"/>
                      </a:defRPr>
                    </a:pPr>
                    <a:r>
                      <a:rPr lang="en-US"/>
                      <a:t>16</a:t>
                    </a:r>
                    <a:r>
                      <a:rPr lang="ro-RO"/>
                      <a:t>,</a:t>
                    </a:r>
                    <a:r>
                      <a:rPr lang="en-US"/>
                      <a:t>8%</a:t>
                    </a:r>
                  </a:p>
                </c:rich>
              </c:tx>
              <c:numFmt formatCode="0.0%" sourceLinked="0"/>
              <c:spPr>
                <a:noFill/>
                <a:ln w="22082">
                  <a:noFill/>
                </a:ln>
              </c:spPr>
              <c:dLblPos val="bestFit"/>
            </c:dLbl>
            <c:numFmt formatCode="0.0%" sourceLinked="0"/>
            <c:spPr>
              <a:noFill/>
              <a:ln w="22082">
                <a:noFill/>
              </a:ln>
            </c:spPr>
            <c:txPr>
              <a:bodyPr/>
              <a:lstStyle/>
              <a:p>
                <a:pPr>
                  <a:defRPr sz="846" b="0" i="0" u="none" strike="noStrike" baseline="0">
                    <a:solidFill>
                      <a:srgbClr val="000000"/>
                    </a:solidFill>
                    <a:latin typeface="Times New Roman"/>
                    <a:ea typeface="Times New Roman"/>
                    <a:cs typeface="Times New Roman"/>
                  </a:defRPr>
                </a:pPr>
                <a:endParaRPr lang="ru-RU"/>
              </a:p>
            </c:txPr>
            <c:showPercent val="1"/>
            <c:showLeaderLines val="1"/>
          </c:dLbls>
          <c:cat>
            <c:strRef>
              <c:f>Sheet1!$B$1:$G$1</c:f>
              <c:strCache>
                <c:ptCount val="6"/>
                <c:pt idx="0">
                  <c:v>Materiale</c:v>
                </c:pt>
                <c:pt idx="1">
                  <c:v>Active biologice circulante</c:v>
                </c:pt>
                <c:pt idx="2">
                  <c:v>Obiecte de mică valoare şi scurtă durată</c:v>
                </c:pt>
                <c:pt idx="3">
                  <c:v>Producţia în curs de execuţie</c:v>
                </c:pt>
                <c:pt idx="4">
                  <c:v>Produse</c:v>
                </c:pt>
                <c:pt idx="5">
                  <c:v>Mărfuri</c:v>
                </c:pt>
              </c:strCache>
            </c:strRef>
          </c:cat>
          <c:val>
            <c:numRef>
              <c:f>Sheet1!$B$2:$G$2</c:f>
              <c:numCache>
                <c:formatCode>0.0%</c:formatCode>
                <c:ptCount val="6"/>
                <c:pt idx="0">
                  <c:v>0.502</c:v>
                </c:pt>
                <c:pt idx="1">
                  <c:v>6.0000000000000036E-3</c:v>
                </c:pt>
                <c:pt idx="2">
                  <c:v>4.5999999999999999E-2</c:v>
                </c:pt>
                <c:pt idx="3">
                  <c:v>0.12100000000000002</c:v>
                </c:pt>
                <c:pt idx="4">
                  <c:v>0.15700000000000011</c:v>
                </c:pt>
                <c:pt idx="5" formatCode="0.00%">
                  <c:v>0.16800000000000001</c:v>
                </c:pt>
              </c:numCache>
            </c:numRef>
          </c:val>
        </c:ser>
        <c:dLbls>
          <c:showVal val="1"/>
        </c:dLbls>
      </c:pie3DChart>
      <c:spPr>
        <a:solidFill>
          <a:srgbClr val="FFFFFF"/>
        </a:solidFill>
        <a:ln w="11041">
          <a:solidFill>
            <a:srgbClr val="FFFFFF"/>
          </a:solidFill>
          <a:prstDash val="solid"/>
        </a:ln>
      </c:spPr>
    </c:plotArea>
    <c:legend>
      <c:legendPos val="r"/>
      <c:layout>
        <c:manualLayout>
          <c:xMode val="edge"/>
          <c:yMode val="edge"/>
          <c:x val="0"/>
          <c:y val="0.59073359073359077"/>
          <c:w val="0.99728260869565166"/>
          <c:h val="0.39768339768339794"/>
        </c:manualLayout>
      </c:layout>
      <c:spPr>
        <a:noFill/>
        <a:ln w="22082">
          <a:noFill/>
        </a:ln>
      </c:spPr>
      <c:txPr>
        <a:bodyPr/>
        <a:lstStyle/>
        <a:p>
          <a:pPr>
            <a:defRPr sz="639"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737" b="1" i="0" u="none" strike="noStrike" baseline="0">
          <a:solidFill>
            <a:srgbClr val="000000"/>
          </a:solidFill>
          <a:latin typeface="Arial Cyr"/>
          <a:ea typeface="Arial Cyr"/>
          <a:cs typeface="Arial Cyr"/>
        </a:defRPr>
      </a:pPr>
      <a:endParaRPr lang="ru-RU"/>
    </a:p>
  </c:txPr>
  <c:externalData r:id="rId2"/>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perspective val="0"/>
    </c:view3D>
    <c:plotArea>
      <c:layout>
        <c:manualLayout>
          <c:layoutTarget val="inner"/>
          <c:xMode val="edge"/>
          <c:yMode val="edge"/>
          <c:x val="8.4552845528458917E-2"/>
          <c:y val="0.18181818181818518"/>
          <c:w val="0.29430894308943978"/>
          <c:h val="0.5950413223140496"/>
        </c:manualLayout>
      </c:layout>
      <c:pie3DChart>
        <c:varyColors val="1"/>
        <c:ser>
          <c:idx val="0"/>
          <c:order val="0"/>
          <c:tx>
            <c:strRef>
              <c:f>Sheet1!$A$2</c:f>
              <c:strCache>
                <c:ptCount val="1"/>
                <c:pt idx="0">
                  <c:v>Восток</c:v>
                </c:pt>
              </c:strCache>
            </c:strRef>
          </c:tx>
          <c:spPr>
            <a:solidFill>
              <a:srgbClr val="9999FF"/>
            </a:solidFill>
            <a:ln w="12672">
              <a:solidFill>
                <a:srgbClr val="000000"/>
              </a:solidFill>
              <a:prstDash val="solid"/>
            </a:ln>
          </c:spPr>
          <c:explosion val="25"/>
          <c:dPt>
            <c:idx val="0"/>
            <c:spPr>
              <a:pattFill prst="dashVert">
                <a:fgClr>
                  <a:srgbClr val="9999FF"/>
                </a:fgClr>
                <a:bgClr>
                  <a:srgbClr val="FFFFFF"/>
                </a:bgClr>
              </a:pattFill>
              <a:ln w="12672">
                <a:solidFill>
                  <a:srgbClr val="000000"/>
                </a:solidFill>
                <a:prstDash val="solid"/>
              </a:ln>
            </c:spPr>
          </c:dPt>
          <c:dPt>
            <c:idx val="1"/>
            <c:spPr>
              <a:pattFill prst="wdUpDiag">
                <a:fgClr>
                  <a:srgbClr val="993366"/>
                </a:fgClr>
                <a:bgClr>
                  <a:srgbClr val="FFFFFF"/>
                </a:bgClr>
              </a:pattFill>
              <a:ln w="12672">
                <a:solidFill>
                  <a:srgbClr val="000000"/>
                </a:solidFill>
                <a:prstDash val="solid"/>
              </a:ln>
            </c:spPr>
          </c:dPt>
          <c:dPt>
            <c:idx val="2"/>
            <c:spPr>
              <a:solidFill>
                <a:srgbClr val="FFFFCC"/>
              </a:solidFill>
              <a:ln w="12672">
                <a:solidFill>
                  <a:srgbClr val="000000"/>
                </a:solidFill>
                <a:prstDash val="solid"/>
              </a:ln>
            </c:spPr>
          </c:dPt>
          <c:dPt>
            <c:idx val="3"/>
            <c:spPr>
              <a:pattFill prst="horzBrick">
                <a:fgClr>
                  <a:srgbClr val="0000FF"/>
                </a:fgClr>
                <a:bgClr>
                  <a:srgbClr val="FFFFFF"/>
                </a:bgClr>
              </a:pattFill>
              <a:ln w="12672">
                <a:solidFill>
                  <a:srgbClr val="000000"/>
                </a:solidFill>
                <a:prstDash val="solid"/>
              </a:ln>
            </c:spPr>
          </c:dPt>
          <c:dPt>
            <c:idx val="4"/>
            <c:spPr>
              <a:pattFill prst="solidDmnd">
                <a:fgClr>
                  <a:srgbClr val="660066"/>
                </a:fgClr>
                <a:bgClr>
                  <a:srgbClr val="FFFFFF"/>
                </a:bgClr>
              </a:pattFill>
              <a:ln w="12672">
                <a:solidFill>
                  <a:srgbClr val="000000"/>
                </a:solidFill>
                <a:prstDash val="solid"/>
              </a:ln>
            </c:spPr>
          </c:dPt>
          <c:dLbls>
            <c:dLbl>
              <c:idx val="0"/>
              <c:layout>
                <c:manualLayout>
                  <c:x val="-2.7233564495732592E-2"/>
                  <c:y val="-0.27789698248237882"/>
                </c:manualLayout>
              </c:layout>
              <c:tx>
                <c:rich>
                  <a:bodyPr/>
                  <a:lstStyle/>
                  <a:p>
                    <a:r>
                      <a:rPr lang="en-US"/>
                      <a:t>42</a:t>
                    </a:r>
                    <a:r>
                      <a:rPr lang="ro-RO"/>
                      <a:t>,</a:t>
                    </a:r>
                    <a:r>
                      <a:rPr lang="en-US"/>
                      <a:t>3%</a:t>
                    </a:r>
                  </a:p>
                </c:rich>
              </c:tx>
              <c:dLblPos val="bestFit"/>
            </c:dLbl>
            <c:dLbl>
              <c:idx val="1"/>
              <c:layout>
                <c:manualLayout>
                  <c:x val="1.9043489172059815E-3"/>
                  <c:y val="0.11907360377276022"/>
                </c:manualLayout>
              </c:layout>
              <c:tx>
                <c:rich>
                  <a:bodyPr/>
                  <a:lstStyle/>
                  <a:p>
                    <a:r>
                      <a:rPr lang="en-US"/>
                      <a:t>9</a:t>
                    </a:r>
                    <a:r>
                      <a:rPr lang="ro-RO"/>
                      <a:t>,</a:t>
                    </a:r>
                    <a:r>
                      <a:rPr lang="en-US"/>
                      <a:t>7%</a:t>
                    </a:r>
                  </a:p>
                </c:rich>
              </c:tx>
              <c:dLblPos val="bestFit"/>
            </c:dLbl>
            <c:dLbl>
              <c:idx val="2"/>
              <c:layout>
                <c:manualLayout>
                  <c:x val="-7.6971409395968238E-4"/>
                  <c:y val="0.23855393316497173"/>
                </c:manualLayout>
              </c:layout>
              <c:tx>
                <c:rich>
                  <a:bodyPr/>
                  <a:lstStyle/>
                  <a:p>
                    <a:r>
                      <a:rPr lang="en-US"/>
                      <a:t>17</a:t>
                    </a:r>
                    <a:r>
                      <a:rPr lang="ro-RO"/>
                      <a:t>,</a:t>
                    </a:r>
                    <a:r>
                      <a:rPr lang="en-US"/>
                      <a:t>6%</a:t>
                    </a:r>
                  </a:p>
                </c:rich>
              </c:tx>
              <c:dLblPos val="bestFit"/>
            </c:dLbl>
            <c:dLbl>
              <c:idx val="3"/>
              <c:layout>
                <c:manualLayout>
                  <c:x val="-2.0892692758063852E-2"/>
                  <c:y val="-2.3023573588910856E-2"/>
                </c:manualLayout>
              </c:layout>
              <c:tx>
                <c:rich>
                  <a:bodyPr/>
                  <a:lstStyle/>
                  <a:p>
                    <a:r>
                      <a:rPr lang="en-US"/>
                      <a:t>19</a:t>
                    </a:r>
                    <a:r>
                      <a:rPr lang="ro-RO"/>
                      <a:t>,</a:t>
                    </a:r>
                    <a:r>
                      <a:rPr lang="en-US"/>
                      <a:t>7%</a:t>
                    </a:r>
                  </a:p>
                </c:rich>
              </c:tx>
              <c:dLblPos val="bestFit"/>
            </c:dLbl>
            <c:dLbl>
              <c:idx val="4"/>
              <c:tx>
                <c:rich>
                  <a:bodyPr/>
                  <a:lstStyle/>
                  <a:p>
                    <a:r>
                      <a:rPr lang="en-US"/>
                      <a:t>10</a:t>
                    </a:r>
                    <a:r>
                      <a:rPr lang="ro-RO"/>
                      <a:t>,</a:t>
                    </a:r>
                    <a:r>
                      <a:rPr lang="en-US"/>
                      <a:t>7%</a:t>
                    </a:r>
                  </a:p>
                </c:rich>
              </c:tx>
              <c:dLblPos val="bestFit"/>
            </c:dLbl>
            <c:numFmt formatCode="0.0%" sourceLinked="0"/>
            <c:spPr>
              <a:noFill/>
              <a:ln w="25344">
                <a:noFill/>
              </a:ln>
            </c:spPr>
            <c:txPr>
              <a:bodyPr/>
              <a:lstStyle/>
              <a:p>
                <a:pPr>
                  <a:defRPr sz="823" b="0" i="0" u="none" strike="noStrike" baseline="0">
                    <a:solidFill>
                      <a:srgbClr val="000000"/>
                    </a:solidFill>
                    <a:latin typeface="Times New Roman"/>
                    <a:ea typeface="Times New Roman"/>
                    <a:cs typeface="Times New Roman"/>
                  </a:defRPr>
                </a:pPr>
                <a:endParaRPr lang="ru-RU"/>
              </a:p>
            </c:txPr>
            <c:showPercent val="1"/>
            <c:showLeaderLines val="1"/>
          </c:dLbls>
          <c:cat>
            <c:strRef>
              <c:f>Sheet1!$B$1:$F$1</c:f>
              <c:strCache>
                <c:ptCount val="5"/>
                <c:pt idx="0">
                  <c:v>Costuri şi cheltuieli materiale</c:v>
                </c:pt>
                <c:pt idx="1">
                  <c:v>Costuri şi cheltuieli aferente serviciilor prestate de terţi</c:v>
                </c:pt>
                <c:pt idx="2">
                  <c:v>Amortizarea activelor imobilizate</c:v>
                </c:pt>
                <c:pt idx="3">
                  <c:v>Cheltuieli cu personalul</c:v>
                </c:pt>
                <c:pt idx="4">
                  <c:v>Alte costuri şi cheltuieli din activitatea operaţională</c:v>
                </c:pt>
              </c:strCache>
            </c:strRef>
          </c:cat>
          <c:val>
            <c:numRef>
              <c:f>Sheet1!$B$2:$F$2</c:f>
              <c:numCache>
                <c:formatCode>0.0%</c:formatCode>
                <c:ptCount val="5"/>
                <c:pt idx="0">
                  <c:v>0.42300000000000026</c:v>
                </c:pt>
                <c:pt idx="1">
                  <c:v>9.7000000000000003E-2</c:v>
                </c:pt>
                <c:pt idx="2">
                  <c:v>0.1760000000000001</c:v>
                </c:pt>
                <c:pt idx="3">
                  <c:v>0.19700000000000001</c:v>
                </c:pt>
                <c:pt idx="4">
                  <c:v>0.10700000000000005</c:v>
                </c:pt>
              </c:numCache>
            </c:numRef>
          </c:val>
        </c:ser>
        <c:dLbls>
          <c:showVal val="1"/>
        </c:dLbls>
      </c:pie3DChart>
      <c:spPr>
        <a:solidFill>
          <a:srgbClr val="FFFFFF"/>
        </a:solidFill>
        <a:ln w="12672">
          <a:solidFill>
            <a:srgbClr val="FFFFFF"/>
          </a:solidFill>
          <a:prstDash val="solid"/>
        </a:ln>
      </c:spPr>
    </c:plotArea>
    <c:legend>
      <c:legendPos val="r"/>
      <c:layout>
        <c:manualLayout>
          <c:xMode val="edge"/>
          <c:yMode val="edge"/>
          <c:x val="0.44343302990897276"/>
          <c:y val="1.0638297872340406E-2"/>
          <c:w val="0.55526657997399176"/>
          <c:h val="1"/>
        </c:manualLayout>
      </c:layout>
      <c:spPr>
        <a:noFill/>
        <a:ln w="25344">
          <a:noFill/>
        </a:ln>
      </c:spPr>
      <c:txPr>
        <a:bodyPr/>
        <a:lstStyle/>
        <a:p>
          <a:pPr>
            <a:defRPr sz="918"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524" b="1" i="0" u="none" strike="noStrike" baseline="0">
          <a:solidFill>
            <a:srgbClr val="000000"/>
          </a:solidFill>
          <a:latin typeface="Arial Cyr"/>
          <a:ea typeface="Arial Cyr"/>
          <a:cs typeface="Arial Cyr"/>
        </a:defRPr>
      </a:pPr>
      <a:endParaRPr lang="ru-RU"/>
    </a:p>
  </c:txPr>
  <c:externalData r:id="rId2"/>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perspective val="0"/>
    </c:view3D>
    <c:plotArea>
      <c:layout>
        <c:manualLayout>
          <c:layoutTarget val="inner"/>
          <c:xMode val="edge"/>
          <c:yMode val="edge"/>
          <c:x val="0.18027210884353742"/>
          <c:y val="0.12037037037037036"/>
          <c:w val="0.62925170068028236"/>
          <c:h val="0.33796296296297534"/>
        </c:manualLayout>
      </c:layout>
      <c:pie3DChart>
        <c:varyColors val="1"/>
        <c:ser>
          <c:idx val="0"/>
          <c:order val="0"/>
          <c:tx>
            <c:strRef>
              <c:f>Sheet1!$A$2</c:f>
              <c:strCache>
                <c:ptCount val="1"/>
                <c:pt idx="0">
                  <c:v>Восток</c:v>
                </c:pt>
              </c:strCache>
            </c:strRef>
          </c:tx>
          <c:spPr>
            <a:solidFill>
              <a:srgbClr val="9999FF"/>
            </a:solidFill>
            <a:ln w="11481">
              <a:solidFill>
                <a:srgbClr val="000000"/>
              </a:solidFill>
              <a:prstDash val="solid"/>
            </a:ln>
          </c:spPr>
          <c:explosion val="25"/>
          <c:dPt>
            <c:idx val="0"/>
            <c:spPr>
              <a:pattFill prst="dashVert">
                <a:fgClr>
                  <a:srgbClr val="9999FF"/>
                </a:fgClr>
                <a:bgClr>
                  <a:srgbClr val="FFFFFF"/>
                </a:bgClr>
              </a:pattFill>
              <a:ln w="11481">
                <a:solidFill>
                  <a:srgbClr val="000000"/>
                </a:solidFill>
                <a:prstDash val="solid"/>
              </a:ln>
            </c:spPr>
          </c:dPt>
          <c:dPt>
            <c:idx val="1"/>
            <c:spPr>
              <a:pattFill prst="wdUpDiag">
                <a:fgClr>
                  <a:srgbClr val="993366"/>
                </a:fgClr>
                <a:bgClr>
                  <a:srgbClr val="FFFFFF"/>
                </a:bgClr>
              </a:pattFill>
              <a:ln w="11481">
                <a:solidFill>
                  <a:srgbClr val="000000"/>
                </a:solidFill>
                <a:prstDash val="solid"/>
              </a:ln>
            </c:spPr>
          </c:dPt>
          <c:dPt>
            <c:idx val="2"/>
            <c:spPr>
              <a:solidFill>
                <a:srgbClr val="FFFFCC"/>
              </a:solidFill>
              <a:ln w="11481">
                <a:solidFill>
                  <a:srgbClr val="000000"/>
                </a:solidFill>
                <a:prstDash val="solid"/>
              </a:ln>
            </c:spPr>
          </c:dPt>
          <c:dPt>
            <c:idx val="3"/>
            <c:spPr>
              <a:pattFill prst="horzBrick">
                <a:fgClr>
                  <a:srgbClr val="0000FF"/>
                </a:fgClr>
                <a:bgClr>
                  <a:srgbClr val="FFFFFF"/>
                </a:bgClr>
              </a:pattFill>
              <a:ln w="11481">
                <a:solidFill>
                  <a:srgbClr val="000000"/>
                </a:solidFill>
                <a:prstDash val="solid"/>
              </a:ln>
            </c:spPr>
          </c:dPt>
          <c:dPt>
            <c:idx val="4"/>
            <c:spPr>
              <a:pattFill prst="solidDmnd">
                <a:fgClr>
                  <a:srgbClr val="660066"/>
                </a:fgClr>
                <a:bgClr>
                  <a:srgbClr val="FFFFFF"/>
                </a:bgClr>
              </a:pattFill>
              <a:ln w="11481">
                <a:solidFill>
                  <a:srgbClr val="000000"/>
                </a:solidFill>
                <a:prstDash val="solid"/>
              </a:ln>
            </c:spPr>
          </c:dPt>
          <c:dLbls>
            <c:dLbl>
              <c:idx val="0"/>
              <c:layout>
                <c:manualLayout>
                  <c:x val="4.0848233244834033E-2"/>
                  <c:y val="-7.7696038439246051E-2"/>
                </c:manualLayout>
              </c:layout>
              <c:tx>
                <c:rich>
                  <a:bodyPr/>
                  <a:lstStyle/>
                  <a:p>
                    <a:pPr>
                      <a:defRPr sz="881" b="0" i="0" u="none" strike="noStrike" baseline="0">
                        <a:solidFill>
                          <a:srgbClr val="000000"/>
                        </a:solidFill>
                        <a:latin typeface="Times New Roman"/>
                        <a:ea typeface="Times New Roman"/>
                        <a:cs typeface="Times New Roman"/>
                      </a:defRPr>
                    </a:pPr>
                    <a:r>
                      <a:rPr lang="en-US"/>
                      <a:t>43</a:t>
                    </a:r>
                    <a:r>
                      <a:rPr lang="ro-RO"/>
                      <a:t>,</a:t>
                    </a:r>
                    <a:r>
                      <a:rPr lang="en-US"/>
                      <a:t>7%</a:t>
                    </a:r>
                  </a:p>
                </c:rich>
              </c:tx>
              <c:numFmt formatCode="0.0%" sourceLinked="0"/>
              <c:spPr>
                <a:noFill/>
                <a:ln w="22961">
                  <a:noFill/>
                </a:ln>
              </c:spPr>
              <c:dLblPos val="bestFit"/>
            </c:dLbl>
            <c:dLbl>
              <c:idx val="1"/>
              <c:layout>
                <c:manualLayout>
                  <c:x val="5.7438261545512924E-2"/>
                  <c:y val="-1.2032983739642081E-4"/>
                </c:manualLayout>
              </c:layout>
              <c:tx>
                <c:rich>
                  <a:bodyPr/>
                  <a:lstStyle/>
                  <a:p>
                    <a:pPr>
                      <a:defRPr sz="881" b="0" i="0" u="none" strike="noStrike" baseline="0">
                        <a:solidFill>
                          <a:srgbClr val="000000"/>
                        </a:solidFill>
                        <a:latin typeface="Times New Roman"/>
                        <a:ea typeface="Times New Roman"/>
                        <a:cs typeface="Times New Roman"/>
                      </a:defRPr>
                    </a:pPr>
                    <a:r>
                      <a:rPr lang="en-US"/>
                      <a:t>1</a:t>
                    </a:r>
                    <a:r>
                      <a:rPr lang="ro-RO"/>
                      <a:t>,</a:t>
                    </a:r>
                    <a:r>
                      <a:rPr lang="en-US"/>
                      <a:t>7%</a:t>
                    </a:r>
                  </a:p>
                </c:rich>
              </c:tx>
              <c:numFmt formatCode="0.0%" sourceLinked="0"/>
              <c:spPr>
                <a:noFill/>
                <a:ln w="22961">
                  <a:noFill/>
                </a:ln>
              </c:spPr>
              <c:dLblPos val="bestFit"/>
            </c:dLbl>
            <c:dLbl>
              <c:idx val="2"/>
              <c:layout>
                <c:manualLayout>
                  <c:x val="8.5784781545399248E-3"/>
                  <c:y val="5.6989943678591386E-2"/>
                </c:manualLayout>
              </c:layout>
              <c:tx>
                <c:rich>
                  <a:bodyPr/>
                  <a:lstStyle/>
                  <a:p>
                    <a:pPr>
                      <a:defRPr sz="881" b="0" i="0" u="none" strike="noStrike" baseline="0">
                        <a:solidFill>
                          <a:srgbClr val="000000"/>
                        </a:solidFill>
                        <a:latin typeface="Times New Roman"/>
                        <a:ea typeface="Times New Roman"/>
                        <a:cs typeface="Times New Roman"/>
                      </a:defRPr>
                    </a:pPr>
                    <a:r>
                      <a:rPr lang="en-US"/>
                      <a:t>22</a:t>
                    </a:r>
                    <a:r>
                      <a:rPr lang="ro-RO"/>
                      <a:t>,</a:t>
                    </a:r>
                    <a:r>
                      <a:rPr lang="en-US"/>
                      <a:t>1%</a:t>
                    </a:r>
                  </a:p>
                </c:rich>
              </c:tx>
              <c:numFmt formatCode="0.0%" sourceLinked="0"/>
              <c:spPr>
                <a:noFill/>
                <a:ln w="22961">
                  <a:noFill/>
                </a:ln>
              </c:spPr>
              <c:dLblPos val="bestFit"/>
            </c:dLbl>
            <c:dLbl>
              <c:idx val="3"/>
              <c:layout>
                <c:manualLayout>
                  <c:x val="-8.6684760502864708E-3"/>
                  <c:y val="2.2127830897987949E-2"/>
                </c:manualLayout>
              </c:layout>
              <c:tx>
                <c:rich>
                  <a:bodyPr/>
                  <a:lstStyle/>
                  <a:p>
                    <a:pPr>
                      <a:defRPr sz="881" b="0" i="0" u="none" strike="noStrike" baseline="0">
                        <a:solidFill>
                          <a:srgbClr val="000000"/>
                        </a:solidFill>
                        <a:latin typeface="Times New Roman"/>
                        <a:ea typeface="Times New Roman"/>
                        <a:cs typeface="Times New Roman"/>
                      </a:defRPr>
                    </a:pPr>
                    <a:r>
                      <a:rPr lang="en-US"/>
                      <a:t>25</a:t>
                    </a:r>
                    <a:r>
                      <a:rPr lang="ro-RO"/>
                      <a:t>,</a:t>
                    </a:r>
                    <a:r>
                      <a:rPr lang="en-US"/>
                      <a:t>8%</a:t>
                    </a:r>
                  </a:p>
                </c:rich>
              </c:tx>
              <c:numFmt formatCode="0.0%" sourceLinked="0"/>
              <c:spPr>
                <a:noFill/>
                <a:ln w="22961">
                  <a:noFill/>
                </a:ln>
              </c:spPr>
              <c:dLblPos val="bestFit"/>
            </c:dLbl>
            <c:dLbl>
              <c:idx val="4"/>
              <c:tx>
                <c:rich>
                  <a:bodyPr/>
                  <a:lstStyle/>
                  <a:p>
                    <a:pPr>
                      <a:defRPr sz="881" b="0" i="0" u="none" strike="noStrike" baseline="0">
                        <a:solidFill>
                          <a:srgbClr val="000000"/>
                        </a:solidFill>
                        <a:latin typeface="Times New Roman"/>
                        <a:ea typeface="Times New Roman"/>
                        <a:cs typeface="Times New Roman"/>
                      </a:defRPr>
                    </a:pPr>
                    <a:r>
                      <a:rPr lang="en-US"/>
                      <a:t>6</a:t>
                    </a:r>
                    <a:r>
                      <a:rPr lang="ro-RO"/>
                      <a:t>,</a:t>
                    </a:r>
                    <a:r>
                      <a:rPr lang="en-US"/>
                      <a:t>7%</a:t>
                    </a:r>
                  </a:p>
                </c:rich>
              </c:tx>
              <c:numFmt formatCode="0.0%" sourceLinked="0"/>
              <c:spPr>
                <a:noFill/>
                <a:ln w="22961">
                  <a:noFill/>
                </a:ln>
              </c:spPr>
              <c:dLblPos val="bestFit"/>
            </c:dLbl>
            <c:dLbl>
              <c:idx val="5"/>
              <c:layout>
                <c:manualLayout>
                  <c:xMode val="edge"/>
                  <c:yMode val="edge"/>
                  <c:x val="0.34353741496598639"/>
                  <c:y val="4.6296296296297014E-3"/>
                </c:manualLayout>
              </c:layout>
              <c:dLblPos val="bestFit"/>
              <c:showPercent val="1"/>
            </c:dLbl>
            <c:numFmt formatCode="0.0%" sourceLinked="0"/>
            <c:spPr>
              <a:noFill/>
              <a:ln w="22961">
                <a:noFill/>
              </a:ln>
            </c:spPr>
            <c:txPr>
              <a:bodyPr/>
              <a:lstStyle/>
              <a:p>
                <a:pPr>
                  <a:defRPr sz="880" b="0" i="0" u="none" strike="noStrike" baseline="0">
                    <a:solidFill>
                      <a:srgbClr val="000000"/>
                    </a:solidFill>
                    <a:latin typeface="Times New Roman"/>
                    <a:ea typeface="Times New Roman"/>
                    <a:cs typeface="Times New Roman"/>
                  </a:defRPr>
                </a:pPr>
                <a:endParaRPr lang="ru-RU"/>
              </a:p>
            </c:txPr>
            <c:showPercent val="1"/>
            <c:showLeaderLines val="1"/>
          </c:dLbls>
          <c:cat>
            <c:strRef>
              <c:f>Sheet1!$B$1:$F$1</c:f>
              <c:strCache>
                <c:ptCount val="5"/>
                <c:pt idx="0">
                  <c:v>Materiale </c:v>
                </c:pt>
                <c:pt idx="1">
                  <c:v>Obiecte de mică valoare şi scurtă durată</c:v>
                </c:pt>
                <c:pt idx="2">
                  <c:v>Producţia în curs de execuţie</c:v>
                </c:pt>
                <c:pt idx="3">
                  <c:v>Produse</c:v>
                </c:pt>
                <c:pt idx="4">
                  <c:v>Mărfuri</c:v>
                </c:pt>
              </c:strCache>
            </c:strRef>
          </c:cat>
          <c:val>
            <c:numRef>
              <c:f>Sheet1!$B$2:$F$2</c:f>
              <c:numCache>
                <c:formatCode>0.0%</c:formatCode>
                <c:ptCount val="5"/>
                <c:pt idx="0">
                  <c:v>0.43700000000000022</c:v>
                </c:pt>
                <c:pt idx="1">
                  <c:v>1.7000000000000001E-2</c:v>
                </c:pt>
                <c:pt idx="2">
                  <c:v>0.221</c:v>
                </c:pt>
                <c:pt idx="3">
                  <c:v>0.25800000000000001</c:v>
                </c:pt>
                <c:pt idx="4" formatCode="0.00%">
                  <c:v>6.7000000000000004E-2</c:v>
                </c:pt>
              </c:numCache>
            </c:numRef>
          </c:val>
        </c:ser>
        <c:dLbls>
          <c:showVal val="1"/>
        </c:dLbls>
      </c:pie3DChart>
      <c:spPr>
        <a:solidFill>
          <a:srgbClr val="FFFFFF"/>
        </a:solidFill>
        <a:ln w="11481">
          <a:solidFill>
            <a:srgbClr val="FFFFFF"/>
          </a:solidFill>
          <a:prstDash val="solid"/>
        </a:ln>
      </c:spPr>
    </c:plotArea>
    <c:legend>
      <c:legendPos val="r"/>
      <c:layout>
        <c:manualLayout>
          <c:xMode val="edge"/>
          <c:yMode val="edge"/>
          <c:x val="2.7100271002710049E-3"/>
          <c:y val="0.58921161825726098"/>
          <c:w val="0.9945799457994573"/>
          <c:h val="0.39004149377593383"/>
        </c:manualLayout>
      </c:layout>
      <c:spPr>
        <a:noFill/>
        <a:ln w="22961">
          <a:noFill/>
        </a:ln>
      </c:spPr>
      <c:txPr>
        <a:bodyPr/>
        <a:lstStyle/>
        <a:p>
          <a:pPr>
            <a:defRPr sz="664"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767" b="1" i="0" u="none" strike="noStrike" baseline="0">
          <a:solidFill>
            <a:srgbClr val="000000"/>
          </a:solidFill>
          <a:latin typeface="Arial Cyr"/>
          <a:ea typeface="Arial Cyr"/>
          <a:cs typeface="Arial Cyr"/>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0.18208092485549149"/>
          <c:y val="8.8942307692307696E-2"/>
          <c:w val="0.70520231213872864"/>
          <c:h val="0.23317307692307668"/>
        </c:manualLayout>
      </c:layout>
      <c:pie3DChart>
        <c:varyColors val="1"/>
        <c:ser>
          <c:idx val="0"/>
          <c:order val="0"/>
          <c:tx>
            <c:strRef>
              <c:f>Sheet1!$A$2</c:f>
              <c:strCache>
                <c:ptCount val="1"/>
                <c:pt idx="0">
                  <c:v>Восток</c:v>
                </c:pt>
              </c:strCache>
            </c:strRef>
          </c:tx>
          <c:spPr>
            <a:solidFill>
              <a:srgbClr val="9999FF"/>
            </a:solidFill>
            <a:ln w="10726">
              <a:solidFill>
                <a:srgbClr val="000000"/>
              </a:solidFill>
              <a:prstDash val="solid"/>
            </a:ln>
          </c:spPr>
          <c:explosion val="25"/>
          <c:dPt>
            <c:idx val="0"/>
            <c:spPr>
              <a:pattFill prst="wdUpDiag">
                <a:fgClr>
                  <a:srgbClr val="9999FF"/>
                </a:fgClr>
                <a:bgClr>
                  <a:srgbClr val="FFFFFF"/>
                </a:bgClr>
              </a:pattFill>
              <a:ln w="10726">
                <a:solidFill>
                  <a:srgbClr val="000000"/>
                </a:solidFill>
                <a:prstDash val="solid"/>
              </a:ln>
            </c:spPr>
          </c:dPt>
          <c:dPt>
            <c:idx val="1"/>
            <c:spPr>
              <a:solidFill>
                <a:srgbClr val="993366"/>
              </a:solidFill>
              <a:ln w="10726">
                <a:solidFill>
                  <a:srgbClr val="000000"/>
                </a:solidFill>
                <a:prstDash val="solid"/>
              </a:ln>
            </c:spPr>
          </c:dPt>
          <c:dPt>
            <c:idx val="2"/>
            <c:spPr>
              <a:solidFill>
                <a:srgbClr val="FFFFCC"/>
              </a:solidFill>
              <a:ln w="10726">
                <a:solidFill>
                  <a:srgbClr val="000000"/>
                </a:solidFill>
                <a:prstDash val="solid"/>
              </a:ln>
            </c:spPr>
          </c:dPt>
          <c:dPt>
            <c:idx val="3"/>
            <c:spPr>
              <a:solidFill>
                <a:srgbClr val="CCFFFF"/>
              </a:solidFill>
              <a:ln w="10726">
                <a:solidFill>
                  <a:srgbClr val="000000"/>
                </a:solidFill>
                <a:prstDash val="solid"/>
              </a:ln>
            </c:spPr>
          </c:dPt>
          <c:dPt>
            <c:idx val="4"/>
            <c:spPr>
              <a:pattFill prst="lgCheck">
                <a:fgClr>
                  <a:srgbClr val="660066"/>
                </a:fgClr>
                <a:bgClr>
                  <a:srgbClr val="FFFFFF"/>
                </a:bgClr>
              </a:pattFill>
              <a:ln w="10726">
                <a:solidFill>
                  <a:srgbClr val="000000"/>
                </a:solidFill>
                <a:prstDash val="solid"/>
              </a:ln>
            </c:spPr>
          </c:dPt>
          <c:dPt>
            <c:idx val="5"/>
            <c:spPr>
              <a:pattFill prst="solidDmnd">
                <a:fgClr>
                  <a:srgbClr val="FF8080"/>
                </a:fgClr>
                <a:bgClr>
                  <a:srgbClr val="FFFFFF"/>
                </a:bgClr>
              </a:pattFill>
              <a:ln w="10726">
                <a:solidFill>
                  <a:srgbClr val="000000"/>
                </a:solidFill>
                <a:prstDash val="solid"/>
              </a:ln>
            </c:spPr>
          </c:dPt>
          <c:dPt>
            <c:idx val="6"/>
            <c:spPr>
              <a:solidFill>
                <a:srgbClr val="0066CC"/>
              </a:solidFill>
              <a:ln w="10726">
                <a:solidFill>
                  <a:srgbClr val="000000"/>
                </a:solidFill>
                <a:prstDash val="solid"/>
              </a:ln>
            </c:spPr>
          </c:dPt>
          <c:dPt>
            <c:idx val="7"/>
            <c:spPr>
              <a:solidFill>
                <a:srgbClr val="CCCCFF"/>
              </a:solidFill>
              <a:ln w="10726">
                <a:solidFill>
                  <a:srgbClr val="000000"/>
                </a:solidFill>
                <a:prstDash val="solid"/>
              </a:ln>
            </c:spPr>
          </c:dPt>
          <c:dPt>
            <c:idx val="8"/>
            <c:spPr>
              <a:solidFill>
                <a:srgbClr val="000080"/>
              </a:solidFill>
              <a:ln w="10726">
                <a:solidFill>
                  <a:srgbClr val="000000"/>
                </a:solidFill>
                <a:prstDash val="solid"/>
              </a:ln>
            </c:spPr>
          </c:dPt>
          <c:dPt>
            <c:idx val="9"/>
            <c:spPr>
              <a:solidFill>
                <a:srgbClr val="FF00FF"/>
              </a:solidFill>
              <a:ln w="10726">
                <a:solidFill>
                  <a:srgbClr val="000000"/>
                </a:solidFill>
                <a:prstDash val="solid"/>
              </a:ln>
            </c:spPr>
          </c:dPt>
          <c:dPt>
            <c:idx val="10"/>
            <c:spPr>
              <a:solidFill>
                <a:srgbClr val="FFFF00"/>
              </a:solidFill>
              <a:ln w="10726">
                <a:solidFill>
                  <a:srgbClr val="000000"/>
                </a:solidFill>
                <a:prstDash val="solid"/>
              </a:ln>
            </c:spPr>
          </c:dPt>
          <c:dPt>
            <c:idx val="11"/>
            <c:spPr>
              <a:pattFill prst="wdUpDiag">
                <a:fgClr>
                  <a:srgbClr val="00FFFF"/>
                </a:fgClr>
                <a:bgClr>
                  <a:srgbClr val="FFFFFF"/>
                </a:bgClr>
              </a:pattFill>
              <a:ln w="10726">
                <a:solidFill>
                  <a:srgbClr val="000000"/>
                </a:solidFill>
                <a:prstDash val="solid"/>
              </a:ln>
            </c:spPr>
          </c:dPt>
          <c:dPt>
            <c:idx val="12"/>
            <c:spPr>
              <a:solidFill>
                <a:srgbClr val="800080"/>
              </a:solidFill>
              <a:ln w="10726">
                <a:solidFill>
                  <a:srgbClr val="000000"/>
                </a:solidFill>
                <a:prstDash val="solid"/>
              </a:ln>
            </c:spPr>
          </c:dPt>
          <c:dPt>
            <c:idx val="13"/>
            <c:spPr>
              <a:solidFill>
                <a:srgbClr val="800000"/>
              </a:solidFill>
              <a:ln w="10726">
                <a:solidFill>
                  <a:srgbClr val="000000"/>
                </a:solidFill>
                <a:prstDash val="solid"/>
              </a:ln>
            </c:spPr>
          </c:dPt>
          <c:dLbls>
            <c:dLbl>
              <c:idx val="0"/>
              <c:layout>
                <c:manualLayout>
                  <c:x val="1.4978472293949706E-2"/>
                  <c:y val="-4.572449011773428E-2"/>
                </c:manualLayout>
              </c:layout>
              <c:tx>
                <c:rich>
                  <a:bodyPr/>
                  <a:lstStyle/>
                  <a:p>
                    <a:pPr>
                      <a:defRPr sz="676" b="0" i="0" u="none" strike="noStrike" baseline="0">
                        <a:solidFill>
                          <a:srgbClr val="000000"/>
                        </a:solidFill>
                        <a:latin typeface="Times New Roman"/>
                        <a:ea typeface="Times New Roman"/>
                        <a:cs typeface="Times New Roman"/>
                      </a:defRPr>
                    </a:pPr>
                    <a:r>
                      <a:rPr lang="ru-RU"/>
                      <a:t>0,5%</a:t>
                    </a:r>
                  </a:p>
                </c:rich>
              </c:tx>
              <c:spPr>
                <a:noFill/>
                <a:ln w="21451">
                  <a:noFill/>
                </a:ln>
              </c:spPr>
              <c:dLblPos val="bestFit"/>
            </c:dLbl>
            <c:dLbl>
              <c:idx val="1"/>
              <c:layout>
                <c:manualLayout>
                  <c:x val="4.553060906513829E-2"/>
                  <c:y val="-5.11799108629079E-2"/>
                </c:manualLayout>
              </c:layout>
              <c:tx>
                <c:rich>
                  <a:bodyPr/>
                  <a:lstStyle/>
                  <a:p>
                    <a:pPr>
                      <a:defRPr sz="676" b="0" i="0" u="none" strike="noStrike" baseline="0">
                        <a:solidFill>
                          <a:srgbClr val="000000"/>
                        </a:solidFill>
                        <a:latin typeface="Times New Roman"/>
                        <a:ea typeface="Times New Roman"/>
                        <a:cs typeface="Times New Roman"/>
                      </a:defRPr>
                    </a:pPr>
                    <a:r>
                      <a:rPr lang="ru-RU"/>
                      <a:t>4,5%</a:t>
                    </a:r>
                  </a:p>
                </c:rich>
              </c:tx>
              <c:spPr>
                <a:noFill/>
                <a:ln w="21451">
                  <a:noFill/>
                </a:ln>
              </c:spPr>
              <c:dLblPos val="bestFit"/>
            </c:dLbl>
            <c:dLbl>
              <c:idx val="2"/>
              <c:layout>
                <c:manualLayout>
                  <c:x val="-1.4424312525847935E-2"/>
                  <c:y val="-3.3131027294807061E-2"/>
                </c:manualLayout>
              </c:layout>
              <c:tx>
                <c:rich>
                  <a:bodyPr/>
                  <a:lstStyle/>
                  <a:p>
                    <a:pPr>
                      <a:defRPr sz="676" b="0" i="0" u="none" strike="noStrike" baseline="0">
                        <a:solidFill>
                          <a:srgbClr val="000000"/>
                        </a:solidFill>
                        <a:latin typeface="Times New Roman"/>
                        <a:ea typeface="Times New Roman"/>
                        <a:cs typeface="Times New Roman"/>
                      </a:defRPr>
                    </a:pPr>
                    <a:r>
                      <a:rPr lang="ru-RU"/>
                      <a:t>5,5%</a:t>
                    </a:r>
                  </a:p>
                </c:rich>
              </c:tx>
              <c:spPr>
                <a:noFill/>
                <a:ln w="21451">
                  <a:noFill/>
                </a:ln>
              </c:spPr>
              <c:dLblPos val="bestFit"/>
            </c:dLbl>
            <c:dLbl>
              <c:idx val="3"/>
              <c:layout>
                <c:manualLayout>
                  <c:x val="-3.1426551687949285E-2"/>
                  <c:y val="-4.8697871464468502E-2"/>
                </c:manualLayout>
              </c:layout>
              <c:tx>
                <c:rich>
                  <a:bodyPr/>
                  <a:lstStyle/>
                  <a:p>
                    <a:pPr>
                      <a:defRPr sz="676" b="0" i="0" u="none" strike="noStrike" baseline="0">
                        <a:solidFill>
                          <a:srgbClr val="000000"/>
                        </a:solidFill>
                        <a:latin typeface="Times New Roman"/>
                        <a:ea typeface="Times New Roman"/>
                        <a:cs typeface="Times New Roman"/>
                      </a:defRPr>
                    </a:pPr>
                    <a:r>
                      <a:rPr lang="ru-RU"/>
                      <a:t>15,5%</a:t>
                    </a:r>
                  </a:p>
                </c:rich>
              </c:tx>
              <c:spPr>
                <a:noFill/>
                <a:ln w="21451">
                  <a:noFill/>
                </a:ln>
              </c:spPr>
              <c:dLblPos val="bestFit"/>
            </c:dLbl>
            <c:dLbl>
              <c:idx val="4"/>
              <c:layout>
                <c:manualLayout>
                  <c:x val="1.4438174870861497E-2"/>
                  <c:y val="1.1543776949213009E-2"/>
                </c:manualLayout>
              </c:layout>
              <c:dLblPos val="bestFit"/>
              <c:showVal val="1"/>
            </c:dLbl>
            <c:dLbl>
              <c:idx val="5"/>
              <c:layout>
                <c:manualLayout>
                  <c:x val="-2.7093381375737621E-2"/>
                  <c:y val="1.4366049707350092E-2"/>
                </c:manualLayout>
              </c:layout>
              <c:tx>
                <c:rich>
                  <a:bodyPr/>
                  <a:lstStyle/>
                  <a:p>
                    <a:pPr>
                      <a:defRPr sz="676" b="0" i="0" u="none" strike="noStrike" baseline="0">
                        <a:solidFill>
                          <a:srgbClr val="000000"/>
                        </a:solidFill>
                        <a:latin typeface="Times New Roman"/>
                        <a:ea typeface="Times New Roman"/>
                        <a:cs typeface="Times New Roman"/>
                      </a:defRPr>
                    </a:pPr>
                    <a:r>
                      <a:rPr lang="ru-RU"/>
                      <a:t>17,7%</a:t>
                    </a:r>
                  </a:p>
                </c:rich>
              </c:tx>
              <c:spPr>
                <a:noFill/>
                <a:ln w="21451">
                  <a:noFill/>
                </a:ln>
              </c:spPr>
              <c:dLblPos val="bestFit"/>
            </c:dLbl>
            <c:dLbl>
              <c:idx val="6"/>
              <c:layout>
                <c:manualLayout>
                  <c:x val="4.14761163202952E-2"/>
                  <c:y val="5.4255530204242619E-2"/>
                </c:manualLayout>
              </c:layout>
              <c:tx>
                <c:rich>
                  <a:bodyPr/>
                  <a:lstStyle/>
                  <a:p>
                    <a:pPr>
                      <a:defRPr sz="676" b="0" i="0" u="none" strike="noStrike" baseline="0">
                        <a:solidFill>
                          <a:srgbClr val="000000"/>
                        </a:solidFill>
                        <a:latin typeface="Times New Roman"/>
                        <a:ea typeface="Times New Roman"/>
                        <a:cs typeface="Times New Roman"/>
                      </a:defRPr>
                    </a:pPr>
                    <a:r>
                      <a:rPr lang="ru-RU"/>
                      <a:t>2,1%</a:t>
                    </a:r>
                  </a:p>
                </c:rich>
              </c:tx>
              <c:spPr>
                <a:noFill/>
                <a:ln w="21451">
                  <a:noFill/>
                </a:ln>
              </c:spPr>
              <c:dLblPos val="bestFit"/>
            </c:dLbl>
            <c:dLbl>
              <c:idx val="7"/>
              <c:layout>
                <c:manualLayout>
                  <c:x val="5.8072479843900579E-4"/>
                  <c:y val="6.752016458106247E-2"/>
                </c:manualLayout>
              </c:layout>
              <c:tx>
                <c:rich>
                  <a:bodyPr/>
                  <a:lstStyle/>
                  <a:p>
                    <a:pPr>
                      <a:defRPr sz="676" b="0" i="0" u="none" strike="noStrike" baseline="0">
                        <a:solidFill>
                          <a:srgbClr val="000000"/>
                        </a:solidFill>
                        <a:latin typeface="Times New Roman"/>
                        <a:ea typeface="Times New Roman"/>
                        <a:cs typeface="Times New Roman"/>
                      </a:defRPr>
                    </a:pPr>
                    <a:r>
                      <a:rPr lang="ru-RU"/>
                      <a:t>6,5%</a:t>
                    </a:r>
                  </a:p>
                </c:rich>
              </c:tx>
              <c:spPr>
                <a:noFill/>
                <a:ln w="21451">
                  <a:noFill/>
                </a:ln>
              </c:spPr>
              <c:dLblPos val="bestFit"/>
            </c:dLbl>
            <c:dLbl>
              <c:idx val="8"/>
              <c:layout>
                <c:manualLayout>
                  <c:x val="-2.8675435549638712E-2"/>
                  <c:y val="4.435701152324014E-2"/>
                </c:manualLayout>
              </c:layout>
              <c:dLblPos val="bestFit"/>
              <c:showVal val="1"/>
            </c:dLbl>
            <c:dLbl>
              <c:idx val="9"/>
              <c:layout>
                <c:manualLayout>
                  <c:x val="-8.0785024062360794E-2"/>
                  <c:y val="-5.1933776880959586E-3"/>
                </c:manualLayout>
              </c:layout>
              <c:dLblPos val="bestFit"/>
              <c:showVal val="1"/>
            </c:dLbl>
            <c:dLbl>
              <c:idx val="10"/>
              <c:layout>
                <c:manualLayout>
                  <c:x val="-4.2155579208364817E-2"/>
                  <c:y val="-2.9026346785487895E-2"/>
                </c:manualLayout>
              </c:layout>
              <c:tx>
                <c:rich>
                  <a:bodyPr/>
                  <a:lstStyle/>
                  <a:p>
                    <a:pPr>
                      <a:defRPr sz="676" b="0" i="0" u="none" strike="noStrike" baseline="0">
                        <a:solidFill>
                          <a:srgbClr val="000000"/>
                        </a:solidFill>
                        <a:latin typeface="Times New Roman"/>
                        <a:ea typeface="Times New Roman"/>
                        <a:cs typeface="Times New Roman"/>
                      </a:defRPr>
                    </a:pPr>
                    <a:r>
                      <a:rPr lang="ru-RU"/>
                      <a:t>13,0%</a:t>
                    </a:r>
                  </a:p>
                </c:rich>
              </c:tx>
              <c:spPr>
                <a:noFill/>
                <a:ln w="21451">
                  <a:noFill/>
                </a:ln>
              </c:spPr>
              <c:dLblPos val="bestFit"/>
            </c:dLbl>
            <c:dLbl>
              <c:idx val="11"/>
              <c:layout>
                <c:manualLayout>
                  <c:x val="1.2607276005299102E-3"/>
                  <c:y val="-2.7696354082759094E-2"/>
                </c:manualLayout>
              </c:layout>
              <c:tx>
                <c:rich>
                  <a:bodyPr/>
                  <a:lstStyle/>
                  <a:p>
                    <a:pPr>
                      <a:defRPr sz="676" b="0" i="0" u="none" strike="noStrike" baseline="0">
                        <a:solidFill>
                          <a:srgbClr val="000000"/>
                        </a:solidFill>
                        <a:latin typeface="Times New Roman"/>
                        <a:ea typeface="Times New Roman"/>
                        <a:cs typeface="Times New Roman"/>
                      </a:defRPr>
                    </a:pPr>
                    <a:r>
                      <a:rPr lang="ru-RU"/>
                      <a:t>17,5%</a:t>
                    </a:r>
                  </a:p>
                </c:rich>
              </c:tx>
              <c:spPr>
                <a:noFill/>
                <a:ln w="21451">
                  <a:noFill/>
                </a:ln>
              </c:spPr>
              <c:dLblPos val="bestFit"/>
            </c:dLbl>
            <c:dLbl>
              <c:idx val="12"/>
              <c:layout>
                <c:manualLayout>
                  <c:x val="-8.5928212464528475E-2"/>
                  <c:y val="-2.4737603170600225E-2"/>
                </c:manualLayout>
              </c:layout>
              <c:tx>
                <c:rich>
                  <a:bodyPr/>
                  <a:lstStyle/>
                  <a:p>
                    <a:pPr>
                      <a:defRPr sz="676" b="0" i="0" u="none" strike="noStrike" baseline="0">
                        <a:solidFill>
                          <a:srgbClr val="000000"/>
                        </a:solidFill>
                        <a:latin typeface="Times New Roman"/>
                        <a:ea typeface="Times New Roman"/>
                        <a:cs typeface="Times New Roman"/>
                      </a:defRPr>
                    </a:pPr>
                    <a:r>
                      <a:rPr lang="ru-RU"/>
                      <a:t>0,2%</a:t>
                    </a:r>
                  </a:p>
                </c:rich>
              </c:tx>
              <c:spPr>
                <a:noFill/>
                <a:ln w="21451">
                  <a:noFill/>
                </a:ln>
              </c:spPr>
              <c:dLblPos val="bestFit"/>
            </c:dLbl>
            <c:dLbl>
              <c:idx val="13"/>
              <c:layout>
                <c:manualLayout>
                  <c:x val="-2.4655909065367096E-3"/>
                  <c:y val="-4.572449011773428E-2"/>
                </c:manualLayout>
              </c:layout>
              <c:dLblPos val="bestFit"/>
              <c:showVal val="1"/>
            </c:dLbl>
            <c:numFmt formatCode="0.0%" sourceLinked="0"/>
            <c:spPr>
              <a:noFill/>
              <a:ln w="21451">
                <a:noFill/>
              </a:ln>
            </c:spPr>
            <c:txPr>
              <a:bodyPr/>
              <a:lstStyle/>
              <a:p>
                <a:pPr>
                  <a:defRPr sz="676" b="0" i="0" u="none" strike="noStrike" baseline="0">
                    <a:solidFill>
                      <a:srgbClr val="000000"/>
                    </a:solidFill>
                    <a:latin typeface="Times New Roman"/>
                    <a:ea typeface="Times New Roman"/>
                    <a:cs typeface="Times New Roman"/>
                  </a:defRPr>
                </a:pPr>
                <a:endParaRPr lang="ru-RU"/>
              </a:p>
            </c:txPr>
            <c:showVal val="1"/>
            <c:showLeaderLines val="1"/>
          </c:dLbls>
          <c:cat>
            <c:strRef>
              <c:f>Sheet1!$B$1:$O$1</c:f>
              <c:strCache>
                <c:ptCount val="14"/>
                <c:pt idx="0">
                  <c:v>Investiţii financiare pe termen lung în părţi neafiliate</c:v>
                </c:pt>
                <c:pt idx="1">
                  <c:v>Investiţii financiare pe termen lung în părţi afiliate</c:v>
                </c:pt>
                <c:pt idx="2">
                  <c:v>Investiţii imobiliare</c:v>
                </c:pt>
                <c:pt idx="3">
                  <c:v>Creanţe pe termen lung</c:v>
                </c:pt>
                <c:pt idx="4">
                  <c:v>Avansuri acordate pe termen lung</c:v>
                </c:pt>
                <c:pt idx="5">
                  <c:v>Creanţe comerciale</c:v>
                </c:pt>
                <c:pt idx="6">
                  <c:v>Creanţe ale părţilor afiliate</c:v>
                </c:pt>
                <c:pt idx="7">
                  <c:v>Avansuri acordate curente</c:v>
                </c:pt>
                <c:pt idx="8">
                  <c:v>Creanţe ale bugetului</c:v>
                </c:pt>
                <c:pt idx="9">
                  <c:v>Creanţe ale personalului</c:v>
                </c:pt>
                <c:pt idx="10">
                  <c:v>Alte creanţe curente</c:v>
                </c:pt>
                <c:pt idx="11">
                  <c:v>Numerar în casierie şi la conturi curente</c:v>
                </c:pt>
                <c:pt idx="12">
                  <c:v>Alte elemente de numerar</c:v>
                </c:pt>
                <c:pt idx="13">
                  <c:v>Investiţii financiare curente în părţi afiliate, neafiliate</c:v>
                </c:pt>
              </c:strCache>
            </c:strRef>
          </c:cat>
          <c:val>
            <c:numRef>
              <c:f>Sheet1!$B$2:$O$2</c:f>
              <c:numCache>
                <c:formatCode>0.00%</c:formatCode>
                <c:ptCount val="14"/>
                <c:pt idx="0">
                  <c:v>5.0000000000000036E-3</c:v>
                </c:pt>
                <c:pt idx="1">
                  <c:v>4.5000000000000012E-2</c:v>
                </c:pt>
                <c:pt idx="2">
                  <c:v>5.5000000000000014E-2</c:v>
                </c:pt>
                <c:pt idx="3">
                  <c:v>0.15500000000000011</c:v>
                </c:pt>
                <c:pt idx="4">
                  <c:v>0.11700000000000002</c:v>
                </c:pt>
                <c:pt idx="5">
                  <c:v>0.1770000000000001</c:v>
                </c:pt>
                <c:pt idx="6">
                  <c:v>2.1000000000000012E-2</c:v>
                </c:pt>
                <c:pt idx="7">
                  <c:v>6.5000000000000002E-2</c:v>
                </c:pt>
                <c:pt idx="8">
                  <c:v>1.7999999999999999E-2</c:v>
                </c:pt>
                <c:pt idx="9">
                  <c:v>7.0000000000000036E-3</c:v>
                </c:pt>
                <c:pt idx="10">
                  <c:v>0.13</c:v>
                </c:pt>
                <c:pt idx="11">
                  <c:v>0.17500000000000004</c:v>
                </c:pt>
                <c:pt idx="12">
                  <c:v>2.0000000000000018E-3</c:v>
                </c:pt>
                <c:pt idx="13">
                  <c:v>2.8000000000000001E-2</c:v>
                </c:pt>
              </c:numCache>
            </c:numRef>
          </c:val>
        </c:ser>
        <c:dLbls>
          <c:showVal val="1"/>
        </c:dLbls>
      </c:pie3DChart>
      <c:spPr>
        <a:solidFill>
          <a:srgbClr val="FFFFFF"/>
        </a:solidFill>
        <a:ln w="10726">
          <a:solidFill>
            <a:srgbClr val="FFFFFF"/>
          </a:solidFill>
          <a:prstDash val="solid"/>
        </a:ln>
      </c:spPr>
    </c:plotArea>
    <c:legend>
      <c:legendPos val="b"/>
      <c:spPr>
        <a:noFill/>
        <a:ln w="2681">
          <a:solidFill>
            <a:srgbClr val="000000"/>
          </a:solidFill>
          <a:prstDash val="solid"/>
        </a:ln>
      </c:spPr>
      <c:txPr>
        <a:bodyPr/>
        <a:lstStyle/>
        <a:p>
          <a:pPr>
            <a:defRPr sz="697"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676" b="0" i="0" u="none" strike="noStrike" baseline="0">
          <a:solidFill>
            <a:srgbClr val="000000"/>
          </a:solidFill>
          <a:latin typeface="Times New Roman"/>
          <a:ea typeface="Times New Roman"/>
          <a:cs typeface="Times New Roman"/>
        </a:defRPr>
      </a:pPr>
      <a:endParaRPr lang="ru-RU"/>
    </a:p>
  </c:tx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perspective val="0"/>
    </c:view3D>
    <c:plotArea>
      <c:layout>
        <c:manualLayout>
          <c:layoutTarget val="inner"/>
          <c:xMode val="edge"/>
          <c:yMode val="edge"/>
          <c:x val="0.18027210884353742"/>
          <c:y val="0.12037037037037036"/>
          <c:w val="0.62925170068028236"/>
          <c:h val="0.33796296296297534"/>
        </c:manualLayout>
      </c:layout>
      <c:pie3DChart>
        <c:varyColors val="1"/>
        <c:ser>
          <c:idx val="0"/>
          <c:order val="0"/>
          <c:tx>
            <c:strRef>
              <c:f>Sheet1!$A$2</c:f>
              <c:strCache>
                <c:ptCount val="1"/>
                <c:pt idx="0">
                  <c:v>Восток</c:v>
                </c:pt>
              </c:strCache>
            </c:strRef>
          </c:tx>
          <c:spPr>
            <a:solidFill>
              <a:srgbClr val="9999FF"/>
            </a:solidFill>
            <a:ln w="11506">
              <a:solidFill>
                <a:srgbClr val="000000"/>
              </a:solidFill>
              <a:prstDash val="solid"/>
            </a:ln>
          </c:spPr>
          <c:explosion val="25"/>
          <c:dPt>
            <c:idx val="0"/>
            <c:spPr>
              <a:pattFill prst="dashVert">
                <a:fgClr>
                  <a:srgbClr val="9999FF"/>
                </a:fgClr>
                <a:bgClr>
                  <a:srgbClr val="FFFFFF"/>
                </a:bgClr>
              </a:pattFill>
              <a:ln w="11506">
                <a:solidFill>
                  <a:srgbClr val="000000"/>
                </a:solidFill>
                <a:prstDash val="solid"/>
              </a:ln>
            </c:spPr>
          </c:dPt>
          <c:dPt>
            <c:idx val="1"/>
            <c:spPr>
              <a:pattFill prst="wdUpDiag">
                <a:fgClr>
                  <a:srgbClr val="993366"/>
                </a:fgClr>
                <a:bgClr>
                  <a:srgbClr val="FFFFFF"/>
                </a:bgClr>
              </a:pattFill>
              <a:ln w="11506">
                <a:solidFill>
                  <a:srgbClr val="000000"/>
                </a:solidFill>
                <a:prstDash val="solid"/>
              </a:ln>
            </c:spPr>
          </c:dPt>
          <c:dPt>
            <c:idx val="2"/>
            <c:spPr>
              <a:solidFill>
                <a:srgbClr val="FFFFCC"/>
              </a:solidFill>
              <a:ln w="11506">
                <a:solidFill>
                  <a:srgbClr val="000000"/>
                </a:solidFill>
                <a:prstDash val="solid"/>
              </a:ln>
            </c:spPr>
          </c:dPt>
          <c:dPt>
            <c:idx val="3"/>
            <c:spPr>
              <a:pattFill prst="horzBrick">
                <a:fgClr>
                  <a:srgbClr val="0000FF"/>
                </a:fgClr>
                <a:bgClr>
                  <a:srgbClr val="FFFFFF"/>
                </a:bgClr>
              </a:pattFill>
              <a:ln w="11506">
                <a:solidFill>
                  <a:srgbClr val="000000"/>
                </a:solidFill>
                <a:prstDash val="solid"/>
              </a:ln>
            </c:spPr>
          </c:dPt>
          <c:dPt>
            <c:idx val="4"/>
            <c:spPr>
              <a:pattFill prst="solidDmnd">
                <a:fgClr>
                  <a:srgbClr val="660066"/>
                </a:fgClr>
                <a:bgClr>
                  <a:srgbClr val="FFFFFF"/>
                </a:bgClr>
              </a:pattFill>
              <a:ln w="11506">
                <a:solidFill>
                  <a:srgbClr val="000000"/>
                </a:solidFill>
                <a:prstDash val="solid"/>
              </a:ln>
            </c:spPr>
          </c:dPt>
          <c:dLbls>
            <c:dLbl>
              <c:idx val="0"/>
              <c:layout>
                <c:manualLayout>
                  <c:x val="4.0853747985563724E-2"/>
                  <c:y val="-9.0432029699662367E-2"/>
                </c:manualLayout>
              </c:layout>
              <c:tx>
                <c:rich>
                  <a:bodyPr/>
                  <a:lstStyle/>
                  <a:p>
                    <a:pPr>
                      <a:defRPr sz="883" b="0" i="0" u="none" strike="noStrike" baseline="0">
                        <a:solidFill>
                          <a:srgbClr val="000000"/>
                        </a:solidFill>
                        <a:latin typeface="Times New Roman"/>
                        <a:ea typeface="Times New Roman"/>
                        <a:cs typeface="Times New Roman"/>
                      </a:defRPr>
                    </a:pPr>
                    <a:r>
                      <a:rPr lang="en-US"/>
                      <a:t>43</a:t>
                    </a:r>
                    <a:r>
                      <a:rPr lang="ro-RO"/>
                      <a:t>,</a:t>
                    </a:r>
                    <a:r>
                      <a:rPr lang="en-US"/>
                      <a:t>9%</a:t>
                    </a:r>
                  </a:p>
                </c:rich>
              </c:tx>
              <c:numFmt formatCode="0.0%" sourceLinked="0"/>
              <c:spPr>
                <a:noFill/>
                <a:ln w="23012">
                  <a:noFill/>
                </a:ln>
              </c:spPr>
              <c:dLblPos val="bestFit"/>
            </c:dLbl>
            <c:dLbl>
              <c:idx val="1"/>
              <c:layout>
                <c:manualLayout>
                  <c:x val="6.9249489156693794E-2"/>
                  <c:y val="-7.2080576961626522E-3"/>
                </c:manualLayout>
              </c:layout>
              <c:tx>
                <c:rich>
                  <a:bodyPr/>
                  <a:lstStyle/>
                  <a:p>
                    <a:pPr>
                      <a:defRPr sz="883" b="0" i="0" u="none" strike="noStrike" baseline="0">
                        <a:solidFill>
                          <a:srgbClr val="000000"/>
                        </a:solidFill>
                        <a:latin typeface="Times New Roman"/>
                        <a:ea typeface="Times New Roman"/>
                        <a:cs typeface="Times New Roman"/>
                      </a:defRPr>
                    </a:pPr>
                    <a:r>
                      <a:rPr lang="en-US"/>
                      <a:t>1</a:t>
                    </a:r>
                    <a:r>
                      <a:rPr lang="ro-RO"/>
                      <a:t>,</a:t>
                    </a:r>
                    <a:r>
                      <a:rPr lang="en-US"/>
                      <a:t>8%</a:t>
                    </a:r>
                  </a:p>
                </c:rich>
              </c:tx>
              <c:numFmt formatCode="0.0%" sourceLinked="0"/>
              <c:spPr>
                <a:noFill/>
                <a:ln w="23012">
                  <a:noFill/>
                </a:ln>
              </c:spPr>
              <c:dLblPos val="bestFit"/>
            </c:dLbl>
            <c:dLbl>
              <c:idx val="2"/>
              <c:layout>
                <c:manualLayout>
                  <c:x val="8.5784781545399248E-3"/>
                  <c:y val="5.6989943678591386E-2"/>
                </c:manualLayout>
              </c:layout>
              <c:tx>
                <c:rich>
                  <a:bodyPr/>
                  <a:lstStyle/>
                  <a:p>
                    <a:pPr>
                      <a:defRPr sz="883" b="0" i="0" u="none" strike="noStrike" baseline="0">
                        <a:solidFill>
                          <a:srgbClr val="000000"/>
                        </a:solidFill>
                        <a:latin typeface="Times New Roman"/>
                        <a:ea typeface="Times New Roman"/>
                        <a:cs typeface="Times New Roman"/>
                      </a:defRPr>
                    </a:pPr>
                    <a:r>
                      <a:rPr lang="en-US"/>
                      <a:t>21</a:t>
                    </a:r>
                    <a:r>
                      <a:rPr lang="ro-RO"/>
                      <a:t>,</a:t>
                    </a:r>
                    <a:r>
                      <a:rPr lang="en-US"/>
                      <a:t>8%</a:t>
                    </a:r>
                  </a:p>
                </c:rich>
              </c:tx>
              <c:numFmt formatCode="0.0%" sourceLinked="0"/>
              <c:spPr>
                <a:noFill/>
                <a:ln w="23012">
                  <a:noFill/>
                </a:ln>
              </c:spPr>
              <c:dLblPos val="bestFit"/>
            </c:dLbl>
            <c:dLbl>
              <c:idx val="3"/>
              <c:layout>
                <c:manualLayout>
                  <c:x val="-8.6684760502864708E-3"/>
                  <c:y val="2.2127830897987949E-2"/>
                </c:manualLayout>
              </c:layout>
              <c:tx>
                <c:rich>
                  <a:bodyPr/>
                  <a:lstStyle/>
                  <a:p>
                    <a:pPr>
                      <a:defRPr sz="883" b="0" i="0" u="none" strike="noStrike" baseline="0">
                        <a:solidFill>
                          <a:srgbClr val="000000"/>
                        </a:solidFill>
                        <a:latin typeface="Times New Roman"/>
                        <a:ea typeface="Times New Roman"/>
                        <a:cs typeface="Times New Roman"/>
                      </a:defRPr>
                    </a:pPr>
                    <a:r>
                      <a:rPr lang="en-US"/>
                      <a:t>25</a:t>
                    </a:r>
                    <a:r>
                      <a:rPr lang="ro-RO"/>
                      <a:t>,</a:t>
                    </a:r>
                    <a:r>
                      <a:rPr lang="en-US"/>
                      <a:t>9%</a:t>
                    </a:r>
                  </a:p>
                </c:rich>
              </c:tx>
              <c:numFmt formatCode="0.0%" sourceLinked="0"/>
              <c:spPr>
                <a:noFill/>
                <a:ln w="23012">
                  <a:noFill/>
                </a:ln>
              </c:spPr>
              <c:dLblPos val="bestFit"/>
            </c:dLbl>
            <c:dLbl>
              <c:idx val="4"/>
              <c:tx>
                <c:rich>
                  <a:bodyPr/>
                  <a:lstStyle/>
                  <a:p>
                    <a:pPr>
                      <a:defRPr sz="883" b="0" i="0" u="none" strike="noStrike" baseline="0">
                        <a:solidFill>
                          <a:srgbClr val="000000"/>
                        </a:solidFill>
                        <a:latin typeface="Times New Roman"/>
                        <a:ea typeface="Times New Roman"/>
                        <a:cs typeface="Times New Roman"/>
                      </a:defRPr>
                    </a:pPr>
                    <a:r>
                      <a:rPr lang="en-US"/>
                      <a:t>6</a:t>
                    </a:r>
                    <a:r>
                      <a:rPr lang="ro-RO"/>
                      <a:t>,</a:t>
                    </a:r>
                    <a:r>
                      <a:rPr lang="en-US"/>
                      <a:t>6%</a:t>
                    </a:r>
                  </a:p>
                </c:rich>
              </c:tx>
              <c:numFmt formatCode="0.0%" sourceLinked="0"/>
              <c:spPr>
                <a:noFill/>
                <a:ln w="23012">
                  <a:noFill/>
                </a:ln>
              </c:spPr>
              <c:dLblPos val="bestFit"/>
            </c:dLbl>
            <c:dLbl>
              <c:idx val="5"/>
              <c:layout>
                <c:manualLayout>
                  <c:xMode val="edge"/>
                  <c:yMode val="edge"/>
                  <c:x val="0.34353741496598639"/>
                  <c:y val="4.6296296296297014E-3"/>
                </c:manualLayout>
              </c:layout>
              <c:dLblPos val="bestFit"/>
              <c:showPercent val="1"/>
            </c:dLbl>
            <c:numFmt formatCode="0.0%" sourceLinked="0"/>
            <c:spPr>
              <a:noFill/>
              <a:ln w="23012">
                <a:noFill/>
              </a:ln>
            </c:spPr>
            <c:txPr>
              <a:bodyPr/>
              <a:lstStyle/>
              <a:p>
                <a:pPr>
                  <a:defRPr sz="882" b="0" i="0" u="none" strike="noStrike" baseline="0">
                    <a:solidFill>
                      <a:srgbClr val="000000"/>
                    </a:solidFill>
                    <a:latin typeface="Times New Roman"/>
                    <a:ea typeface="Times New Roman"/>
                    <a:cs typeface="Times New Roman"/>
                  </a:defRPr>
                </a:pPr>
                <a:endParaRPr lang="ru-RU"/>
              </a:p>
            </c:txPr>
            <c:showPercent val="1"/>
            <c:showLeaderLines val="1"/>
          </c:dLbls>
          <c:cat>
            <c:strRef>
              <c:f>Sheet1!$B$1:$F$1</c:f>
              <c:strCache>
                <c:ptCount val="5"/>
                <c:pt idx="0">
                  <c:v>Materiale </c:v>
                </c:pt>
                <c:pt idx="1">
                  <c:v>Obiecte de mică valoare şi scurtă durată</c:v>
                </c:pt>
                <c:pt idx="2">
                  <c:v>Producţia în curs de execuţie</c:v>
                </c:pt>
                <c:pt idx="3">
                  <c:v>Produse</c:v>
                </c:pt>
                <c:pt idx="4">
                  <c:v>Mărfuri</c:v>
                </c:pt>
              </c:strCache>
            </c:strRef>
          </c:cat>
          <c:val>
            <c:numRef>
              <c:f>Sheet1!$B$2:$F$2</c:f>
              <c:numCache>
                <c:formatCode>0.0%</c:formatCode>
                <c:ptCount val="5"/>
                <c:pt idx="0">
                  <c:v>0.43900000000000022</c:v>
                </c:pt>
                <c:pt idx="1">
                  <c:v>1.7999999999999999E-2</c:v>
                </c:pt>
                <c:pt idx="2">
                  <c:v>0.21800000000000011</c:v>
                </c:pt>
                <c:pt idx="3">
                  <c:v>0.25900000000000001</c:v>
                </c:pt>
                <c:pt idx="4" formatCode="0.00%">
                  <c:v>6.6000000000000003E-2</c:v>
                </c:pt>
              </c:numCache>
            </c:numRef>
          </c:val>
        </c:ser>
        <c:dLbls>
          <c:showVal val="1"/>
        </c:dLbls>
      </c:pie3DChart>
      <c:spPr>
        <a:solidFill>
          <a:srgbClr val="FFFFFF"/>
        </a:solidFill>
        <a:ln w="11506">
          <a:solidFill>
            <a:srgbClr val="FFFFFF"/>
          </a:solidFill>
          <a:prstDash val="solid"/>
        </a:ln>
      </c:spPr>
    </c:plotArea>
    <c:legend>
      <c:legendPos val="r"/>
      <c:layout>
        <c:manualLayout>
          <c:xMode val="edge"/>
          <c:yMode val="edge"/>
          <c:x val="0"/>
          <c:y val="0.59437751004016059"/>
          <c:w val="0.99728260869565166"/>
          <c:h val="0.39357429718875547"/>
        </c:manualLayout>
      </c:layout>
      <c:spPr>
        <a:noFill/>
        <a:ln w="23012">
          <a:noFill/>
        </a:ln>
      </c:spPr>
      <c:txPr>
        <a:bodyPr/>
        <a:lstStyle/>
        <a:p>
          <a:pPr>
            <a:defRPr sz="666"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768" b="1" i="0" u="none" strike="noStrike" baseline="0">
          <a:solidFill>
            <a:srgbClr val="000000"/>
          </a:solidFill>
          <a:latin typeface="Arial Cyr"/>
          <a:ea typeface="Arial Cyr"/>
          <a:cs typeface="Arial Cyr"/>
        </a:defRPr>
      </a:pPr>
      <a:endParaRPr lang="ru-RU"/>
    </a:p>
  </c:txPr>
  <c:externalData r:id="rId2"/>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4285714285714299"/>
          <c:y val="0.10047846889952142"/>
          <c:w val="0.21428571428571427"/>
          <c:h val="0.70334928229665072"/>
        </c:manualLayout>
      </c:layout>
      <c:pieChart>
        <c:varyColors val="1"/>
        <c:ser>
          <c:idx val="0"/>
          <c:order val="0"/>
          <c:tx>
            <c:strRef>
              <c:f>Sheet1!$A$2</c:f>
              <c:strCache>
                <c:ptCount val="1"/>
                <c:pt idx="0">
                  <c:v>Восток</c:v>
                </c:pt>
              </c:strCache>
            </c:strRef>
          </c:tx>
          <c:spPr>
            <a:solidFill>
              <a:srgbClr val="9999FF"/>
            </a:solidFill>
            <a:ln w="12676">
              <a:solidFill>
                <a:srgbClr val="000000"/>
              </a:solidFill>
              <a:prstDash val="solid"/>
            </a:ln>
            <a:effectLst>
              <a:outerShdw dist="35921" dir="2700000" algn="br">
                <a:srgbClr val="000000"/>
              </a:outerShdw>
            </a:effectLst>
          </c:spPr>
          <c:explosion val="3"/>
          <c:dPt>
            <c:idx val="0"/>
            <c:explosion val="15"/>
            <c:spPr>
              <a:pattFill prst="solidDmnd">
                <a:fgClr>
                  <a:srgbClr val="9999FF"/>
                </a:fgClr>
                <a:bgClr>
                  <a:srgbClr val="FFFFFF"/>
                </a:bgClr>
              </a:pattFill>
              <a:ln w="12676">
                <a:solidFill>
                  <a:srgbClr val="000000"/>
                </a:solidFill>
                <a:prstDash val="solid"/>
              </a:ln>
              <a:effectLst>
                <a:outerShdw dist="35921" dir="2700000" algn="br">
                  <a:srgbClr val="000000"/>
                </a:outerShdw>
              </a:effectLst>
            </c:spPr>
          </c:dPt>
          <c:dPt>
            <c:idx val="1"/>
            <c:explosion val="8"/>
            <c:spPr>
              <a:pattFill prst="wdUpDiag">
                <a:fgClr>
                  <a:srgbClr val="993366"/>
                </a:fgClr>
                <a:bgClr>
                  <a:srgbClr val="FFFFFF"/>
                </a:bgClr>
              </a:pattFill>
              <a:ln w="12676">
                <a:solidFill>
                  <a:srgbClr val="000000"/>
                </a:solidFill>
                <a:prstDash val="solid"/>
              </a:ln>
              <a:effectLst>
                <a:outerShdw dist="35921" dir="2700000" algn="br">
                  <a:srgbClr val="000000"/>
                </a:outerShdw>
              </a:effectLst>
            </c:spPr>
          </c:dPt>
          <c:dPt>
            <c:idx val="2"/>
            <c:explosion val="12"/>
            <c:spPr>
              <a:pattFill prst="horzBrick">
                <a:fgClr>
                  <a:srgbClr val="FF9900"/>
                </a:fgClr>
                <a:bgClr>
                  <a:srgbClr val="FFFFFF"/>
                </a:bgClr>
              </a:pattFill>
              <a:ln w="12676">
                <a:solidFill>
                  <a:srgbClr val="000000"/>
                </a:solidFill>
                <a:prstDash val="solid"/>
              </a:ln>
              <a:effectLst>
                <a:outerShdw dist="35921" dir="2700000" algn="br">
                  <a:srgbClr val="000000"/>
                </a:outerShdw>
              </a:effectLst>
            </c:spPr>
          </c:dPt>
          <c:dPt>
            <c:idx val="3"/>
            <c:explosion val="10"/>
            <c:spPr>
              <a:solidFill>
                <a:srgbClr val="CCFFFF"/>
              </a:solidFill>
              <a:ln w="12676">
                <a:solidFill>
                  <a:srgbClr val="000000"/>
                </a:solidFill>
                <a:prstDash val="solid"/>
              </a:ln>
              <a:effectLst>
                <a:outerShdw dist="35921" dir="2700000" algn="br">
                  <a:srgbClr val="000000"/>
                </a:outerShdw>
              </a:effectLst>
            </c:spPr>
          </c:dPt>
          <c:dLbls>
            <c:dLbl>
              <c:idx val="0"/>
              <c:layout>
                <c:manualLayout>
                  <c:xMode val="edge"/>
                  <c:yMode val="edge"/>
                  <c:x val="0.38483965014577282"/>
                  <c:y val="0.20574162679425836"/>
                </c:manualLayout>
              </c:layout>
              <c:dLblPos val="bestFit"/>
              <c:showPercent val="1"/>
            </c:dLbl>
            <c:dLbl>
              <c:idx val="1"/>
              <c:layout>
                <c:manualLayout>
                  <c:xMode val="edge"/>
                  <c:yMode val="edge"/>
                  <c:x val="0.28134110787172012"/>
                  <c:y val="0.86124401913875648"/>
                </c:manualLayout>
              </c:layout>
              <c:dLblPos val="bestFit"/>
              <c:showPercent val="1"/>
            </c:dLbl>
            <c:dLbl>
              <c:idx val="2"/>
              <c:layout>
                <c:manualLayout>
                  <c:xMode val="edge"/>
                  <c:yMode val="edge"/>
                  <c:x val="8.6005830903790145E-2"/>
                  <c:y val="0.69377990430622005"/>
                </c:manualLayout>
              </c:layout>
              <c:dLblPos val="bestFit"/>
              <c:showPercent val="1"/>
            </c:dLbl>
            <c:dLbl>
              <c:idx val="3"/>
              <c:layout>
                <c:manualLayout>
                  <c:xMode val="edge"/>
                  <c:yMode val="edge"/>
                  <c:x val="0.11807580174927119"/>
                  <c:y val="9.5693779904306216E-3"/>
                </c:manualLayout>
              </c:layout>
              <c:dLblPos val="bestFit"/>
              <c:showPercent val="1"/>
            </c:dLbl>
            <c:numFmt formatCode="0.0%" sourceLinked="0"/>
            <c:spPr>
              <a:noFill/>
              <a:ln w="25352">
                <a:noFill/>
              </a:ln>
            </c:spPr>
            <c:txPr>
              <a:bodyPr/>
              <a:lstStyle/>
              <a:p>
                <a:pPr>
                  <a:defRPr sz="948" b="0" i="0" u="none" strike="noStrike" baseline="0">
                    <a:solidFill>
                      <a:srgbClr val="000000"/>
                    </a:solidFill>
                    <a:latin typeface="Times New Roman"/>
                    <a:ea typeface="Times New Roman"/>
                    <a:cs typeface="Times New Roman"/>
                  </a:defRPr>
                </a:pPr>
                <a:endParaRPr lang="ru-RU"/>
              </a:p>
            </c:txPr>
            <c:showPercent val="1"/>
            <c:showLeaderLines val="1"/>
          </c:dLbls>
          <c:cat>
            <c:strRef>
              <c:f>Sheet1!$B$1:$E$1</c:f>
              <c:strCache>
                <c:ptCount val="4"/>
                <c:pt idx="0">
                  <c:v>Bugetul de stat</c:v>
                </c:pt>
                <c:pt idx="1">
                  <c:v>Bugetul unităților administrativ-teritoriale</c:v>
                </c:pt>
                <c:pt idx="2">
                  <c:v>Bugetul asigurărilor sociale de stat</c:v>
                </c:pt>
                <c:pt idx="3">
                  <c:v>Fondurile asigurării obligatorii de asistență medicală</c:v>
                </c:pt>
              </c:strCache>
            </c:strRef>
          </c:cat>
          <c:val>
            <c:numRef>
              <c:f>Sheet1!$B$2:$E$2</c:f>
              <c:numCache>
                <c:formatCode>General</c:formatCode>
                <c:ptCount val="4"/>
                <c:pt idx="0">
                  <c:v>37.800000000000004</c:v>
                </c:pt>
                <c:pt idx="1">
                  <c:v>8.2000000000000011</c:v>
                </c:pt>
                <c:pt idx="2">
                  <c:v>40.700000000000003</c:v>
                </c:pt>
                <c:pt idx="3">
                  <c:v>13.3</c:v>
                </c:pt>
              </c:numCache>
            </c:numRef>
          </c:val>
        </c:ser>
        <c:dLbls>
          <c:showPercent val="1"/>
        </c:dLbls>
        <c:firstSliceAng val="0"/>
      </c:pieChart>
      <c:spPr>
        <a:solidFill>
          <a:srgbClr val="FFFFFF"/>
        </a:solidFill>
        <a:ln w="25352">
          <a:noFill/>
        </a:ln>
      </c:spPr>
    </c:plotArea>
    <c:legend>
      <c:legendPos val="r"/>
      <c:layout>
        <c:manualLayout>
          <c:xMode val="edge"/>
          <c:yMode val="edge"/>
          <c:x val="0.48396501457725966"/>
          <c:y val="0.39712918660287122"/>
          <c:w val="0.51457725947521848"/>
          <c:h val="0.49282296650717744"/>
        </c:manualLayout>
      </c:layout>
      <c:spPr>
        <a:noFill/>
        <a:ln w="25352">
          <a:noFill/>
        </a:ln>
      </c:spPr>
      <c:txPr>
        <a:bodyPr/>
        <a:lstStyle/>
        <a:p>
          <a:pPr>
            <a:defRPr sz="823"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798" b="1" i="0" u="none" strike="noStrike" baseline="0">
          <a:solidFill>
            <a:srgbClr val="000000"/>
          </a:solidFill>
          <a:latin typeface="Arial Cyr"/>
          <a:ea typeface="Arial Cyr"/>
          <a:cs typeface="Arial Cyr"/>
        </a:defRPr>
      </a:pPr>
      <a:endParaRPr lang="ru-RU"/>
    </a:p>
  </c:tx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4992721979621554"/>
          <c:y val="0.10101010101010102"/>
          <c:w val="0.2037845705967978"/>
          <c:h val="0.70707070707070752"/>
        </c:manualLayout>
      </c:layout>
      <c:pieChart>
        <c:varyColors val="1"/>
        <c:ser>
          <c:idx val="0"/>
          <c:order val="0"/>
          <c:tx>
            <c:strRef>
              <c:f>Sheet1!$A$2</c:f>
              <c:strCache>
                <c:ptCount val="1"/>
                <c:pt idx="0">
                  <c:v>Восток</c:v>
                </c:pt>
              </c:strCache>
            </c:strRef>
          </c:tx>
          <c:spPr>
            <a:solidFill>
              <a:srgbClr val="9999FF"/>
            </a:solidFill>
            <a:ln w="12686">
              <a:solidFill>
                <a:srgbClr val="000000"/>
              </a:solidFill>
              <a:prstDash val="solid"/>
            </a:ln>
            <a:effectLst>
              <a:outerShdw dist="35921" dir="2700000" algn="br">
                <a:srgbClr val="000000"/>
              </a:outerShdw>
            </a:effectLst>
          </c:spPr>
          <c:explosion val="3"/>
          <c:dPt>
            <c:idx val="0"/>
            <c:explosion val="15"/>
            <c:spPr>
              <a:pattFill prst="solidDmnd">
                <a:fgClr>
                  <a:srgbClr val="9999FF"/>
                </a:fgClr>
                <a:bgClr>
                  <a:srgbClr val="FFFFFF"/>
                </a:bgClr>
              </a:pattFill>
              <a:ln w="12686">
                <a:solidFill>
                  <a:srgbClr val="000000"/>
                </a:solidFill>
                <a:prstDash val="solid"/>
              </a:ln>
              <a:effectLst>
                <a:outerShdw dist="35921" dir="2700000" algn="br">
                  <a:srgbClr val="000000"/>
                </a:outerShdw>
              </a:effectLst>
            </c:spPr>
          </c:dPt>
          <c:dPt>
            <c:idx val="1"/>
            <c:explosion val="8"/>
            <c:spPr>
              <a:pattFill prst="wdUpDiag">
                <a:fgClr>
                  <a:srgbClr val="993366"/>
                </a:fgClr>
                <a:bgClr>
                  <a:srgbClr val="FFFFFF"/>
                </a:bgClr>
              </a:pattFill>
              <a:ln w="12686">
                <a:solidFill>
                  <a:srgbClr val="000000"/>
                </a:solidFill>
                <a:prstDash val="solid"/>
              </a:ln>
              <a:effectLst>
                <a:outerShdw dist="35921" dir="2700000" algn="br">
                  <a:srgbClr val="000000"/>
                </a:outerShdw>
              </a:effectLst>
            </c:spPr>
          </c:dPt>
          <c:dPt>
            <c:idx val="2"/>
            <c:explosion val="12"/>
            <c:spPr>
              <a:pattFill prst="horzBrick">
                <a:fgClr>
                  <a:srgbClr val="FF9900"/>
                </a:fgClr>
                <a:bgClr>
                  <a:srgbClr val="FFFFFF"/>
                </a:bgClr>
              </a:pattFill>
              <a:ln w="12686">
                <a:solidFill>
                  <a:srgbClr val="000000"/>
                </a:solidFill>
                <a:prstDash val="solid"/>
              </a:ln>
              <a:effectLst>
                <a:outerShdw dist="35921" dir="2700000" algn="br">
                  <a:srgbClr val="000000"/>
                </a:outerShdw>
              </a:effectLst>
            </c:spPr>
          </c:dPt>
          <c:dPt>
            <c:idx val="3"/>
            <c:explosion val="10"/>
            <c:spPr>
              <a:solidFill>
                <a:srgbClr val="CCFFFF"/>
              </a:solidFill>
              <a:ln w="12686">
                <a:solidFill>
                  <a:srgbClr val="000000"/>
                </a:solidFill>
                <a:prstDash val="solid"/>
              </a:ln>
              <a:effectLst>
                <a:outerShdw dist="35921" dir="2700000" algn="br">
                  <a:srgbClr val="000000"/>
                </a:outerShdw>
              </a:effectLst>
            </c:spPr>
          </c:dPt>
          <c:dLbls>
            <c:dLbl>
              <c:idx val="0"/>
              <c:layout>
                <c:manualLayout>
                  <c:xMode val="edge"/>
                  <c:yMode val="edge"/>
                  <c:x val="0.38573508005822416"/>
                  <c:y val="0.49494949494949525"/>
                </c:manualLayout>
              </c:layout>
              <c:dLblPos val="bestFit"/>
              <c:showPercent val="1"/>
            </c:dLbl>
            <c:dLbl>
              <c:idx val="1"/>
              <c:layout>
                <c:manualLayout>
                  <c:xMode val="edge"/>
                  <c:yMode val="edge"/>
                  <c:x val="0.12081513828238719"/>
                  <c:y val="0.74747474747474763"/>
                </c:manualLayout>
              </c:layout>
              <c:dLblPos val="bestFit"/>
              <c:showPercent val="1"/>
            </c:dLbl>
            <c:dLbl>
              <c:idx val="2"/>
              <c:layout>
                <c:manualLayout>
                  <c:xMode val="edge"/>
                  <c:yMode val="edge"/>
                  <c:x val="7.132459970887918E-2"/>
                  <c:y val="0.43939393939393961"/>
                </c:manualLayout>
              </c:layout>
              <c:dLblPos val="bestFit"/>
              <c:showPercent val="1"/>
            </c:dLbl>
            <c:dLbl>
              <c:idx val="3"/>
              <c:layout>
                <c:manualLayout>
                  <c:xMode val="edge"/>
                  <c:yMode val="edge"/>
                  <c:x val="0.14992721979621554"/>
                  <c:y val="0"/>
                </c:manualLayout>
              </c:layout>
              <c:dLblPos val="bestFit"/>
              <c:showPercent val="1"/>
            </c:dLbl>
            <c:numFmt formatCode="0.0%" sourceLinked="0"/>
            <c:spPr>
              <a:noFill/>
              <a:ln w="25371">
                <a:noFill/>
              </a:ln>
            </c:spPr>
            <c:txPr>
              <a:bodyPr/>
              <a:lstStyle/>
              <a:p>
                <a:pPr>
                  <a:defRPr sz="824" b="0" i="0" u="none" strike="noStrike" baseline="0">
                    <a:solidFill>
                      <a:srgbClr val="000000"/>
                    </a:solidFill>
                    <a:latin typeface="Times New Roman"/>
                    <a:ea typeface="Times New Roman"/>
                    <a:cs typeface="Times New Roman"/>
                  </a:defRPr>
                </a:pPr>
                <a:endParaRPr lang="ru-RU"/>
              </a:p>
            </c:txPr>
            <c:showPercent val="1"/>
            <c:showLeaderLines val="1"/>
          </c:dLbls>
          <c:cat>
            <c:strRef>
              <c:f>Sheet1!$B$1:$E$1</c:f>
              <c:strCache>
                <c:ptCount val="4"/>
                <c:pt idx="0">
                  <c:v>Bugetul de stat</c:v>
                </c:pt>
                <c:pt idx="1">
                  <c:v>Bugetul unităților administrativ-teritoriale</c:v>
                </c:pt>
                <c:pt idx="2">
                  <c:v>Bugetul asigurărilor sociale de stat</c:v>
                </c:pt>
                <c:pt idx="3">
                  <c:v>Fondurile asigurării obligatorii de asistență medicală</c:v>
                </c:pt>
              </c:strCache>
            </c:strRef>
          </c:cat>
          <c:val>
            <c:numRef>
              <c:f>Sheet1!$B$2:$E$2</c:f>
              <c:numCache>
                <c:formatCode>General</c:formatCode>
                <c:ptCount val="4"/>
                <c:pt idx="0">
                  <c:v>54.4</c:v>
                </c:pt>
                <c:pt idx="1">
                  <c:v>6.7</c:v>
                </c:pt>
                <c:pt idx="2">
                  <c:v>29.3</c:v>
                </c:pt>
                <c:pt idx="3">
                  <c:v>9.6</c:v>
                </c:pt>
              </c:numCache>
            </c:numRef>
          </c:val>
        </c:ser>
        <c:dLbls>
          <c:showPercent val="1"/>
        </c:dLbls>
        <c:firstSliceAng val="0"/>
      </c:pieChart>
      <c:spPr>
        <a:solidFill>
          <a:srgbClr val="FFFFFF"/>
        </a:solidFill>
        <a:ln w="25371">
          <a:noFill/>
        </a:ln>
      </c:spPr>
    </c:plotArea>
    <c:legend>
      <c:legendPos val="r"/>
      <c:layout>
        <c:manualLayout>
          <c:xMode val="edge"/>
          <c:yMode val="edge"/>
          <c:x val="0.48471615720524047"/>
          <c:y val="0.38888888888888962"/>
          <c:w val="0.51382823871906869"/>
          <c:h val="0.52020202020201978"/>
        </c:manualLayout>
      </c:layout>
      <c:spPr>
        <a:noFill/>
        <a:ln w="25371">
          <a:noFill/>
        </a:ln>
      </c:spPr>
      <c:txPr>
        <a:bodyPr/>
        <a:lstStyle/>
        <a:p>
          <a:pPr>
            <a:defRPr sz="824"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799" b="1"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0.20172910662824209"/>
          <c:y val="0.18285714285714302"/>
          <c:w val="0.66858789625360293"/>
          <c:h val="0.26285714285714284"/>
        </c:manualLayout>
      </c:layout>
      <c:pie3DChart>
        <c:varyColors val="1"/>
        <c:ser>
          <c:idx val="0"/>
          <c:order val="0"/>
          <c:tx>
            <c:strRef>
              <c:f>Sheet1!$A$2</c:f>
              <c:strCache>
                <c:ptCount val="1"/>
                <c:pt idx="0">
                  <c:v>Восток</c:v>
                </c:pt>
              </c:strCache>
            </c:strRef>
          </c:tx>
          <c:spPr>
            <a:solidFill>
              <a:srgbClr val="9999FF"/>
            </a:solidFill>
            <a:ln w="10740">
              <a:solidFill>
                <a:srgbClr val="000000"/>
              </a:solidFill>
              <a:prstDash val="solid"/>
            </a:ln>
          </c:spPr>
          <c:explosion val="25"/>
          <c:dPt>
            <c:idx val="0"/>
            <c:spPr>
              <a:pattFill prst="wdUpDiag">
                <a:fgClr>
                  <a:srgbClr val="9999FF"/>
                </a:fgClr>
                <a:bgClr>
                  <a:srgbClr val="FFFFFF"/>
                </a:bgClr>
              </a:pattFill>
              <a:ln w="10740">
                <a:solidFill>
                  <a:srgbClr val="000000"/>
                </a:solidFill>
                <a:prstDash val="solid"/>
              </a:ln>
            </c:spPr>
          </c:dPt>
          <c:dPt>
            <c:idx val="1"/>
            <c:spPr>
              <a:solidFill>
                <a:srgbClr val="993366"/>
              </a:solidFill>
              <a:ln w="10740">
                <a:solidFill>
                  <a:srgbClr val="000000"/>
                </a:solidFill>
                <a:prstDash val="solid"/>
              </a:ln>
            </c:spPr>
          </c:dPt>
          <c:dPt>
            <c:idx val="2"/>
            <c:spPr>
              <a:solidFill>
                <a:srgbClr val="FFFFCC"/>
              </a:solidFill>
              <a:ln w="10740">
                <a:solidFill>
                  <a:srgbClr val="000000"/>
                </a:solidFill>
                <a:prstDash val="solid"/>
              </a:ln>
            </c:spPr>
          </c:dPt>
          <c:dPt>
            <c:idx val="3"/>
            <c:spPr>
              <a:solidFill>
                <a:srgbClr val="CCFFFF"/>
              </a:solidFill>
              <a:ln w="10740">
                <a:solidFill>
                  <a:srgbClr val="000000"/>
                </a:solidFill>
                <a:prstDash val="solid"/>
              </a:ln>
            </c:spPr>
          </c:dPt>
          <c:dPt>
            <c:idx val="4"/>
            <c:spPr>
              <a:pattFill prst="lgCheck">
                <a:fgClr>
                  <a:srgbClr val="660066"/>
                </a:fgClr>
                <a:bgClr>
                  <a:srgbClr val="FFFFFF"/>
                </a:bgClr>
              </a:pattFill>
              <a:ln w="10740">
                <a:solidFill>
                  <a:srgbClr val="000000"/>
                </a:solidFill>
                <a:prstDash val="solid"/>
              </a:ln>
            </c:spPr>
          </c:dPt>
          <c:dPt>
            <c:idx val="5"/>
            <c:spPr>
              <a:pattFill prst="solidDmnd">
                <a:fgClr>
                  <a:srgbClr val="FF8080"/>
                </a:fgClr>
                <a:bgClr>
                  <a:srgbClr val="FFFFFF"/>
                </a:bgClr>
              </a:pattFill>
              <a:ln w="10740">
                <a:solidFill>
                  <a:srgbClr val="000000"/>
                </a:solidFill>
                <a:prstDash val="solid"/>
              </a:ln>
            </c:spPr>
          </c:dPt>
          <c:dPt>
            <c:idx val="6"/>
            <c:spPr>
              <a:solidFill>
                <a:srgbClr val="0066CC"/>
              </a:solidFill>
              <a:ln w="10740">
                <a:solidFill>
                  <a:srgbClr val="000000"/>
                </a:solidFill>
                <a:prstDash val="solid"/>
              </a:ln>
            </c:spPr>
          </c:dPt>
          <c:dPt>
            <c:idx val="7"/>
            <c:spPr>
              <a:solidFill>
                <a:srgbClr val="CCCCFF"/>
              </a:solidFill>
              <a:ln w="10740">
                <a:solidFill>
                  <a:srgbClr val="000000"/>
                </a:solidFill>
                <a:prstDash val="solid"/>
              </a:ln>
            </c:spPr>
          </c:dPt>
          <c:dPt>
            <c:idx val="8"/>
            <c:spPr>
              <a:solidFill>
                <a:srgbClr val="000080"/>
              </a:solidFill>
              <a:ln w="10740">
                <a:solidFill>
                  <a:srgbClr val="000000"/>
                </a:solidFill>
                <a:prstDash val="solid"/>
              </a:ln>
            </c:spPr>
          </c:dPt>
          <c:dPt>
            <c:idx val="9"/>
            <c:spPr>
              <a:solidFill>
                <a:srgbClr val="FF00FF"/>
              </a:solidFill>
              <a:ln w="10740">
                <a:solidFill>
                  <a:srgbClr val="000000"/>
                </a:solidFill>
                <a:prstDash val="solid"/>
              </a:ln>
            </c:spPr>
          </c:dPt>
          <c:dPt>
            <c:idx val="10"/>
            <c:spPr>
              <a:solidFill>
                <a:srgbClr val="FFFF00"/>
              </a:solidFill>
              <a:ln w="10740">
                <a:solidFill>
                  <a:srgbClr val="000000"/>
                </a:solidFill>
                <a:prstDash val="solid"/>
              </a:ln>
            </c:spPr>
          </c:dPt>
          <c:dPt>
            <c:idx val="11"/>
            <c:spPr>
              <a:solidFill>
                <a:srgbClr val="00FFFF"/>
              </a:solidFill>
              <a:ln w="10740">
                <a:solidFill>
                  <a:srgbClr val="000000"/>
                </a:solidFill>
                <a:prstDash val="solid"/>
              </a:ln>
            </c:spPr>
          </c:dPt>
          <c:dLbls>
            <c:dLbl>
              <c:idx val="0"/>
              <c:layout>
                <c:manualLayout>
                  <c:x val="8.8975201868718171E-2"/>
                  <c:y val="-6.350491738991336E-2"/>
                </c:manualLayout>
              </c:layout>
              <c:tx>
                <c:rich>
                  <a:bodyPr/>
                  <a:lstStyle/>
                  <a:p>
                    <a:pPr>
                      <a:defRPr sz="719" b="0" i="0" u="none" strike="noStrike" baseline="0">
                        <a:solidFill>
                          <a:srgbClr val="000000"/>
                        </a:solidFill>
                        <a:latin typeface="Times New Roman"/>
                        <a:ea typeface="Times New Roman"/>
                        <a:cs typeface="Times New Roman"/>
                      </a:defRPr>
                    </a:pPr>
                    <a:r>
                      <a:rPr lang="ru-RU"/>
                      <a:t>0,7%</a:t>
                    </a:r>
                  </a:p>
                </c:rich>
              </c:tx>
              <c:spPr>
                <a:noFill/>
                <a:ln w="21480">
                  <a:noFill/>
                </a:ln>
              </c:spPr>
              <c:dLblPos val="bestFit"/>
            </c:dLbl>
            <c:dLbl>
              <c:idx val="1"/>
              <c:layout>
                <c:manualLayout>
                  <c:x val="-4.6927429815332433E-2"/>
                  <c:y val="-8.7611995748238011E-2"/>
                </c:manualLayout>
              </c:layout>
              <c:tx>
                <c:rich>
                  <a:bodyPr/>
                  <a:lstStyle/>
                  <a:p>
                    <a:pPr>
                      <a:defRPr sz="719" b="0" i="0" u="none" strike="noStrike" baseline="0">
                        <a:solidFill>
                          <a:srgbClr val="000000"/>
                        </a:solidFill>
                        <a:latin typeface="Times New Roman"/>
                        <a:ea typeface="Times New Roman"/>
                        <a:cs typeface="Times New Roman"/>
                      </a:defRPr>
                    </a:pPr>
                    <a:r>
                      <a:rPr lang="ru-RU"/>
                      <a:t>19,7%</a:t>
                    </a:r>
                  </a:p>
                </c:rich>
              </c:tx>
              <c:spPr>
                <a:noFill/>
                <a:ln w="21480">
                  <a:noFill/>
                </a:ln>
              </c:spPr>
              <c:dLblPos val="bestFit"/>
            </c:dLbl>
            <c:dLbl>
              <c:idx val="2"/>
              <c:layout>
                <c:manualLayout>
                  <c:x val="1.4924442760237645E-2"/>
                  <c:y val="-3.4267912611840812E-2"/>
                </c:manualLayout>
              </c:layout>
              <c:tx>
                <c:rich>
                  <a:bodyPr/>
                  <a:lstStyle/>
                  <a:p>
                    <a:pPr>
                      <a:defRPr sz="719" b="0" i="0" u="none" strike="noStrike" baseline="0">
                        <a:solidFill>
                          <a:srgbClr val="000000"/>
                        </a:solidFill>
                        <a:latin typeface="Times New Roman"/>
                        <a:ea typeface="Times New Roman"/>
                        <a:cs typeface="Times New Roman"/>
                      </a:defRPr>
                    </a:pPr>
                    <a:r>
                      <a:rPr lang="ru-RU"/>
                      <a:t>3,8%</a:t>
                    </a:r>
                  </a:p>
                </c:rich>
              </c:tx>
              <c:spPr>
                <a:noFill/>
                <a:ln w="21480">
                  <a:noFill/>
                </a:ln>
              </c:spPr>
              <c:dLblPos val="bestFit"/>
            </c:dLbl>
            <c:dLbl>
              <c:idx val="3"/>
              <c:layout>
                <c:manualLayout>
                  <c:x val="0.48117049416770186"/>
                  <c:y val="-3.4086645132660839E-2"/>
                </c:manualLayout>
              </c:layout>
              <c:tx>
                <c:rich>
                  <a:bodyPr/>
                  <a:lstStyle/>
                  <a:p>
                    <a:pPr>
                      <a:defRPr sz="719" b="0" i="0" u="none" strike="noStrike" baseline="0">
                        <a:solidFill>
                          <a:srgbClr val="000000"/>
                        </a:solidFill>
                        <a:latin typeface="Times New Roman"/>
                        <a:ea typeface="Times New Roman"/>
                        <a:cs typeface="Times New Roman"/>
                      </a:defRPr>
                    </a:pPr>
                    <a:r>
                      <a:rPr lang="ru-RU"/>
                      <a:t>65,7%</a:t>
                    </a:r>
                  </a:p>
                </c:rich>
              </c:tx>
              <c:spPr>
                <a:noFill/>
                <a:ln w="21480">
                  <a:noFill/>
                </a:ln>
              </c:spPr>
              <c:dLblPos val="bestFit"/>
            </c:dLbl>
            <c:dLbl>
              <c:idx val="4"/>
              <c:layout>
                <c:manualLayout>
                  <c:x val="-0.23948532349172849"/>
                  <c:y val="-4.4726421811952508E-2"/>
                </c:manualLayout>
              </c:layout>
              <c:tx>
                <c:rich>
                  <a:bodyPr/>
                  <a:lstStyle/>
                  <a:p>
                    <a:pPr>
                      <a:defRPr sz="719" b="0" i="0" u="none" strike="noStrike" baseline="0">
                        <a:solidFill>
                          <a:srgbClr val="000000"/>
                        </a:solidFill>
                        <a:latin typeface="Times New Roman"/>
                        <a:ea typeface="Times New Roman"/>
                        <a:cs typeface="Times New Roman"/>
                      </a:defRPr>
                    </a:pPr>
                    <a:r>
                      <a:rPr lang="ru-RU"/>
                      <a:t>0,3%</a:t>
                    </a:r>
                  </a:p>
                </c:rich>
              </c:tx>
              <c:spPr>
                <a:noFill/>
                <a:ln w="21480">
                  <a:noFill/>
                </a:ln>
              </c:spPr>
              <c:dLblPos val="bestFit"/>
            </c:dLbl>
            <c:dLbl>
              <c:idx val="5"/>
              <c:layout>
                <c:manualLayout>
                  <c:x val="-0.21616904870143128"/>
                  <c:y val="5.623218542636288E-2"/>
                </c:manualLayout>
              </c:layout>
              <c:tx>
                <c:rich>
                  <a:bodyPr/>
                  <a:lstStyle/>
                  <a:p>
                    <a:pPr>
                      <a:defRPr sz="719" b="0" i="0" u="none" strike="noStrike" baseline="0">
                        <a:solidFill>
                          <a:srgbClr val="000000"/>
                        </a:solidFill>
                        <a:latin typeface="Times New Roman"/>
                        <a:ea typeface="Times New Roman"/>
                        <a:cs typeface="Times New Roman"/>
                      </a:defRPr>
                    </a:pPr>
                    <a:r>
                      <a:rPr lang="ru-RU"/>
                      <a:t>0,2%</a:t>
                    </a:r>
                  </a:p>
                </c:rich>
              </c:tx>
              <c:spPr>
                <a:noFill/>
                <a:ln w="21480">
                  <a:noFill/>
                </a:ln>
              </c:spPr>
              <c:dLblPos val="bestFit"/>
            </c:dLbl>
            <c:dLbl>
              <c:idx val="6"/>
              <c:layout>
                <c:manualLayout>
                  <c:x val="-0.27434014990702282"/>
                  <c:y val="-9.7065252164580354E-2"/>
                </c:manualLayout>
              </c:layout>
              <c:tx>
                <c:rich>
                  <a:bodyPr/>
                  <a:lstStyle/>
                  <a:p>
                    <a:pPr>
                      <a:defRPr sz="719" b="0" i="0" u="none" strike="noStrike" baseline="0">
                        <a:solidFill>
                          <a:srgbClr val="000000"/>
                        </a:solidFill>
                        <a:latin typeface="Times New Roman"/>
                        <a:ea typeface="Times New Roman"/>
                        <a:cs typeface="Times New Roman"/>
                      </a:defRPr>
                    </a:pPr>
                    <a:r>
                      <a:rPr lang="ru-RU"/>
                      <a:t>4,0%</a:t>
                    </a:r>
                  </a:p>
                </c:rich>
              </c:tx>
              <c:spPr>
                <a:noFill/>
                <a:ln w="21480">
                  <a:noFill/>
                </a:ln>
              </c:spPr>
              <c:dLblPos val="bestFit"/>
            </c:dLbl>
            <c:dLbl>
              <c:idx val="7"/>
              <c:layout>
                <c:manualLayout>
                  <c:x val="-0.25494775709942241"/>
                  <c:y val="-0.1443143001620211"/>
                </c:manualLayout>
              </c:layout>
              <c:tx>
                <c:rich>
                  <a:bodyPr/>
                  <a:lstStyle/>
                  <a:p>
                    <a:pPr>
                      <a:defRPr sz="719" b="0" i="0" u="none" strike="noStrike" baseline="0">
                        <a:solidFill>
                          <a:srgbClr val="000000"/>
                        </a:solidFill>
                        <a:latin typeface="Times New Roman"/>
                        <a:ea typeface="Times New Roman"/>
                        <a:cs typeface="Times New Roman"/>
                      </a:defRPr>
                    </a:pPr>
                    <a:r>
                      <a:rPr lang="ru-RU"/>
                      <a:t>0,1%</a:t>
                    </a:r>
                  </a:p>
                </c:rich>
              </c:tx>
              <c:spPr>
                <a:noFill/>
                <a:ln w="21480">
                  <a:noFill/>
                </a:ln>
              </c:spPr>
              <c:dLblPos val="bestFit"/>
            </c:dLbl>
            <c:dLbl>
              <c:idx val="8"/>
              <c:layout>
                <c:manualLayout>
                  <c:x val="-0.13364772831537877"/>
                  <c:y val="-0.1453434433081186"/>
                </c:manualLayout>
              </c:layout>
              <c:dLblPos val="bestFit"/>
              <c:showVal val="1"/>
            </c:dLbl>
            <c:dLbl>
              <c:idx val="9"/>
              <c:layout>
                <c:manualLayout>
                  <c:x val="-3.4080852452437645E-2"/>
                  <c:y val="-0.13420413618022525"/>
                </c:manualLayout>
              </c:layout>
              <c:tx>
                <c:rich>
                  <a:bodyPr/>
                  <a:lstStyle/>
                  <a:p>
                    <a:pPr>
                      <a:defRPr sz="719" b="0" i="0" u="none" strike="noStrike" baseline="0">
                        <a:solidFill>
                          <a:srgbClr val="000000"/>
                        </a:solidFill>
                        <a:latin typeface="Times New Roman"/>
                        <a:ea typeface="Times New Roman"/>
                        <a:cs typeface="Times New Roman"/>
                      </a:defRPr>
                    </a:pPr>
                    <a:r>
                      <a:rPr lang="ru-RU"/>
                      <a:t>2,4%</a:t>
                    </a:r>
                  </a:p>
                </c:rich>
              </c:tx>
              <c:spPr>
                <a:noFill/>
                <a:ln w="21480">
                  <a:noFill/>
                </a:ln>
              </c:spPr>
              <c:dLblPos val="bestFit"/>
            </c:dLbl>
            <c:dLbl>
              <c:idx val="10"/>
              <c:layout>
                <c:manualLayout>
                  <c:x val="5.7373993935927223E-2"/>
                  <c:y val="-0.13779063167562772"/>
                </c:manualLayout>
              </c:layout>
              <c:tx>
                <c:rich>
                  <a:bodyPr/>
                  <a:lstStyle/>
                  <a:p>
                    <a:pPr>
                      <a:defRPr sz="719" b="0" i="0" u="none" strike="noStrike" baseline="0">
                        <a:solidFill>
                          <a:srgbClr val="000000"/>
                        </a:solidFill>
                        <a:latin typeface="Times New Roman"/>
                        <a:ea typeface="Times New Roman"/>
                        <a:cs typeface="Times New Roman"/>
                      </a:defRPr>
                    </a:pPr>
                    <a:r>
                      <a:rPr lang="ru-RU"/>
                      <a:t>1,1%</a:t>
                    </a:r>
                  </a:p>
                </c:rich>
              </c:tx>
              <c:spPr>
                <a:noFill/>
                <a:ln w="21480">
                  <a:noFill/>
                </a:ln>
              </c:spPr>
              <c:dLblPos val="bestFit"/>
            </c:dLbl>
            <c:dLbl>
              <c:idx val="11"/>
              <c:layout>
                <c:manualLayout>
                  <c:x val="0.13649672795202455"/>
                  <c:y val="-0.13207634596134199"/>
                </c:manualLayout>
              </c:layout>
              <c:tx>
                <c:rich>
                  <a:bodyPr/>
                  <a:lstStyle/>
                  <a:p>
                    <a:pPr>
                      <a:defRPr sz="719" b="0" i="0" u="none" strike="noStrike" baseline="0">
                        <a:solidFill>
                          <a:srgbClr val="000000"/>
                        </a:solidFill>
                        <a:latin typeface="Times New Roman"/>
                        <a:ea typeface="Times New Roman"/>
                        <a:cs typeface="Times New Roman"/>
                      </a:defRPr>
                    </a:pPr>
                    <a:r>
                      <a:rPr lang="ru-RU"/>
                      <a:t>1,7%</a:t>
                    </a:r>
                  </a:p>
                </c:rich>
              </c:tx>
              <c:spPr>
                <a:noFill/>
                <a:ln w="21480">
                  <a:noFill/>
                </a:ln>
              </c:spPr>
              <c:dLblPos val="bestFit"/>
            </c:dLbl>
            <c:numFmt formatCode="0.0%" sourceLinked="0"/>
            <c:spPr>
              <a:noFill/>
              <a:ln w="21480">
                <a:noFill/>
              </a:ln>
            </c:spPr>
            <c:txPr>
              <a:bodyPr/>
              <a:lstStyle/>
              <a:p>
                <a:pPr>
                  <a:defRPr sz="719" b="0" i="0" u="none" strike="noStrike" baseline="0">
                    <a:solidFill>
                      <a:srgbClr val="000000"/>
                    </a:solidFill>
                    <a:latin typeface="Times New Roman"/>
                    <a:ea typeface="Times New Roman"/>
                    <a:cs typeface="Times New Roman"/>
                  </a:defRPr>
                </a:pPr>
                <a:endParaRPr lang="ru-RU"/>
              </a:p>
            </c:txPr>
            <c:showVal val="1"/>
            <c:showLeaderLines val="1"/>
          </c:dLbls>
          <c:cat>
            <c:strRef>
              <c:f>Sheet1!$B$1:$M$1</c:f>
              <c:strCache>
                <c:ptCount val="12"/>
                <c:pt idx="0">
                  <c:v>Imobilizări necorporale</c:v>
                </c:pt>
                <c:pt idx="1">
                  <c:v>Imobilizări corporale în curs de execuţie</c:v>
                </c:pt>
                <c:pt idx="2">
                  <c:v>Terenuri</c:v>
                </c:pt>
                <c:pt idx="3">
                  <c:v>Mijloace fixe</c:v>
                </c:pt>
                <c:pt idx="4">
                  <c:v>Active biologice imobilizate</c:v>
                </c:pt>
                <c:pt idx="5">
                  <c:v>Alte active imobilizate</c:v>
                </c:pt>
                <c:pt idx="6">
                  <c:v>Materiale</c:v>
                </c:pt>
                <c:pt idx="7">
                  <c:v>Active biologice circulante</c:v>
                </c:pt>
                <c:pt idx="8">
                  <c:v>Obiecte de mică valoare şi scurtă durată</c:v>
                </c:pt>
                <c:pt idx="9">
                  <c:v>Producţia în curs de execuţie şi produse</c:v>
                </c:pt>
                <c:pt idx="10">
                  <c:v>Mărfuri</c:v>
                </c:pt>
                <c:pt idx="11">
                  <c:v>Alte active circulante</c:v>
                </c:pt>
              </c:strCache>
            </c:strRef>
          </c:cat>
          <c:val>
            <c:numRef>
              <c:f>Sheet1!$B$2:$M$2</c:f>
              <c:numCache>
                <c:formatCode>0.00%</c:formatCode>
                <c:ptCount val="12"/>
                <c:pt idx="0">
                  <c:v>7.0000000000000036E-3</c:v>
                </c:pt>
                <c:pt idx="1">
                  <c:v>0.19700000000000001</c:v>
                </c:pt>
                <c:pt idx="2">
                  <c:v>3.7999999999999999E-2</c:v>
                </c:pt>
                <c:pt idx="3">
                  <c:v>0.65700000000000058</c:v>
                </c:pt>
                <c:pt idx="4">
                  <c:v>2.0000000000000018E-3</c:v>
                </c:pt>
                <c:pt idx="5">
                  <c:v>3.0000000000000018E-3</c:v>
                </c:pt>
                <c:pt idx="6">
                  <c:v>4.0000000000000022E-2</c:v>
                </c:pt>
                <c:pt idx="7">
                  <c:v>1.0000000000000009E-3</c:v>
                </c:pt>
                <c:pt idx="8">
                  <c:v>3.0000000000000018E-3</c:v>
                </c:pt>
                <c:pt idx="9">
                  <c:v>2.4E-2</c:v>
                </c:pt>
                <c:pt idx="10">
                  <c:v>1.0999999999999998E-2</c:v>
                </c:pt>
                <c:pt idx="11">
                  <c:v>1.7000000000000001E-2</c:v>
                </c:pt>
              </c:numCache>
            </c:numRef>
          </c:val>
        </c:ser>
        <c:dLbls>
          <c:showVal val="1"/>
        </c:dLbls>
      </c:pie3DChart>
      <c:spPr>
        <a:solidFill>
          <a:srgbClr val="FFFFFF"/>
        </a:solidFill>
        <a:ln w="10740">
          <a:solidFill>
            <a:srgbClr val="FFFFFF"/>
          </a:solidFill>
          <a:prstDash val="solid"/>
        </a:ln>
      </c:spPr>
    </c:plotArea>
    <c:legend>
      <c:legendPos val="b"/>
      <c:spPr>
        <a:noFill/>
        <a:ln w="2685">
          <a:solidFill>
            <a:srgbClr val="000000"/>
          </a:solidFill>
          <a:prstDash val="solid"/>
        </a:ln>
      </c:spPr>
      <c:txPr>
        <a:bodyPr/>
        <a:lstStyle/>
        <a:p>
          <a:pPr>
            <a:defRPr sz="698"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677" b="0" i="0" u="none" strike="noStrike" baseline="0">
          <a:solidFill>
            <a:srgbClr val="000000"/>
          </a:solidFill>
          <a:latin typeface="Times New Roman"/>
          <a:ea typeface="Times New Roman"/>
          <a:cs typeface="Times New Roman"/>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0.20172910662824209"/>
          <c:y val="0.18285714285714302"/>
          <c:w val="0.66858789625360293"/>
          <c:h val="0.26285714285714284"/>
        </c:manualLayout>
      </c:layout>
      <c:pie3DChart>
        <c:varyColors val="1"/>
        <c:ser>
          <c:idx val="0"/>
          <c:order val="0"/>
          <c:tx>
            <c:strRef>
              <c:f>Sheet1!$A$2</c:f>
              <c:strCache>
                <c:ptCount val="1"/>
                <c:pt idx="0">
                  <c:v>Восток</c:v>
                </c:pt>
              </c:strCache>
            </c:strRef>
          </c:tx>
          <c:spPr>
            <a:solidFill>
              <a:srgbClr val="9999FF"/>
            </a:solidFill>
            <a:ln w="10740">
              <a:solidFill>
                <a:srgbClr val="000000"/>
              </a:solidFill>
              <a:prstDash val="solid"/>
            </a:ln>
          </c:spPr>
          <c:explosion val="25"/>
          <c:dPt>
            <c:idx val="0"/>
            <c:spPr>
              <a:pattFill prst="wdUpDiag">
                <a:fgClr>
                  <a:srgbClr val="9999FF"/>
                </a:fgClr>
                <a:bgClr>
                  <a:srgbClr val="FFFFFF"/>
                </a:bgClr>
              </a:pattFill>
              <a:ln w="10740">
                <a:solidFill>
                  <a:srgbClr val="000000"/>
                </a:solidFill>
                <a:prstDash val="solid"/>
              </a:ln>
            </c:spPr>
          </c:dPt>
          <c:dPt>
            <c:idx val="1"/>
            <c:spPr>
              <a:solidFill>
                <a:srgbClr val="993366"/>
              </a:solidFill>
              <a:ln w="10740">
                <a:solidFill>
                  <a:srgbClr val="000000"/>
                </a:solidFill>
                <a:prstDash val="solid"/>
              </a:ln>
            </c:spPr>
          </c:dPt>
          <c:dPt>
            <c:idx val="2"/>
            <c:spPr>
              <a:solidFill>
                <a:srgbClr val="FFFFCC"/>
              </a:solidFill>
              <a:ln w="10740">
                <a:solidFill>
                  <a:srgbClr val="000000"/>
                </a:solidFill>
                <a:prstDash val="solid"/>
              </a:ln>
            </c:spPr>
          </c:dPt>
          <c:dPt>
            <c:idx val="3"/>
            <c:spPr>
              <a:solidFill>
                <a:srgbClr val="CCFFFF"/>
              </a:solidFill>
              <a:ln w="10740">
                <a:solidFill>
                  <a:srgbClr val="000000"/>
                </a:solidFill>
                <a:prstDash val="solid"/>
              </a:ln>
            </c:spPr>
          </c:dPt>
          <c:dPt>
            <c:idx val="4"/>
            <c:spPr>
              <a:pattFill prst="lgCheck">
                <a:fgClr>
                  <a:srgbClr val="660066"/>
                </a:fgClr>
                <a:bgClr>
                  <a:srgbClr val="FFFFFF"/>
                </a:bgClr>
              </a:pattFill>
              <a:ln w="10740">
                <a:solidFill>
                  <a:srgbClr val="000000"/>
                </a:solidFill>
                <a:prstDash val="solid"/>
              </a:ln>
            </c:spPr>
          </c:dPt>
          <c:dPt>
            <c:idx val="5"/>
            <c:spPr>
              <a:pattFill prst="solidDmnd">
                <a:fgClr>
                  <a:srgbClr val="FF8080"/>
                </a:fgClr>
                <a:bgClr>
                  <a:srgbClr val="FFFFFF"/>
                </a:bgClr>
              </a:pattFill>
              <a:ln w="10740">
                <a:solidFill>
                  <a:srgbClr val="000000"/>
                </a:solidFill>
                <a:prstDash val="solid"/>
              </a:ln>
            </c:spPr>
          </c:dPt>
          <c:dPt>
            <c:idx val="6"/>
            <c:spPr>
              <a:solidFill>
                <a:srgbClr val="0066CC"/>
              </a:solidFill>
              <a:ln w="10740">
                <a:solidFill>
                  <a:srgbClr val="000000"/>
                </a:solidFill>
                <a:prstDash val="solid"/>
              </a:ln>
            </c:spPr>
          </c:dPt>
          <c:dPt>
            <c:idx val="7"/>
            <c:spPr>
              <a:solidFill>
                <a:srgbClr val="CCCCFF"/>
              </a:solidFill>
              <a:ln w="10740">
                <a:solidFill>
                  <a:srgbClr val="000000"/>
                </a:solidFill>
                <a:prstDash val="solid"/>
              </a:ln>
            </c:spPr>
          </c:dPt>
          <c:dPt>
            <c:idx val="8"/>
            <c:spPr>
              <a:solidFill>
                <a:srgbClr val="000080"/>
              </a:solidFill>
              <a:ln w="10740">
                <a:solidFill>
                  <a:srgbClr val="000000"/>
                </a:solidFill>
                <a:prstDash val="solid"/>
              </a:ln>
            </c:spPr>
          </c:dPt>
          <c:dPt>
            <c:idx val="9"/>
            <c:spPr>
              <a:solidFill>
                <a:srgbClr val="FF00FF"/>
              </a:solidFill>
              <a:ln w="10740">
                <a:solidFill>
                  <a:srgbClr val="000000"/>
                </a:solidFill>
                <a:prstDash val="solid"/>
              </a:ln>
            </c:spPr>
          </c:dPt>
          <c:dPt>
            <c:idx val="10"/>
            <c:spPr>
              <a:solidFill>
                <a:srgbClr val="FFFF00"/>
              </a:solidFill>
              <a:ln w="10740">
                <a:solidFill>
                  <a:srgbClr val="000000"/>
                </a:solidFill>
                <a:prstDash val="solid"/>
              </a:ln>
            </c:spPr>
          </c:dPt>
          <c:dPt>
            <c:idx val="11"/>
            <c:spPr>
              <a:solidFill>
                <a:srgbClr val="00FFFF"/>
              </a:solidFill>
              <a:ln w="10740">
                <a:solidFill>
                  <a:srgbClr val="000000"/>
                </a:solidFill>
                <a:prstDash val="solid"/>
              </a:ln>
            </c:spPr>
          </c:dPt>
          <c:dLbls>
            <c:dLbl>
              <c:idx val="0"/>
              <c:layout>
                <c:manualLayout>
                  <c:x val="8.8975201868718171E-2"/>
                  <c:y val="-6.350491738991336E-2"/>
                </c:manualLayout>
              </c:layout>
              <c:tx>
                <c:rich>
                  <a:bodyPr/>
                  <a:lstStyle/>
                  <a:p>
                    <a:pPr>
                      <a:defRPr sz="719" b="0" i="0" u="none" strike="noStrike" baseline="0">
                        <a:solidFill>
                          <a:srgbClr val="000000"/>
                        </a:solidFill>
                        <a:latin typeface="Times New Roman"/>
                        <a:ea typeface="Times New Roman"/>
                        <a:cs typeface="Times New Roman"/>
                      </a:defRPr>
                    </a:pPr>
                    <a:r>
                      <a:rPr lang="ru-RU"/>
                      <a:t>0,9%</a:t>
                    </a:r>
                  </a:p>
                </c:rich>
              </c:tx>
              <c:spPr>
                <a:noFill/>
                <a:ln w="21480">
                  <a:noFill/>
                </a:ln>
              </c:spPr>
              <c:dLblPos val="bestFit"/>
            </c:dLbl>
            <c:dLbl>
              <c:idx val="1"/>
              <c:layout>
                <c:manualLayout>
                  <c:x val="-4.326179250147337E-2"/>
                  <c:y val="-8.662764058162456E-2"/>
                </c:manualLayout>
              </c:layout>
              <c:tx>
                <c:rich>
                  <a:bodyPr/>
                  <a:lstStyle/>
                  <a:p>
                    <a:pPr>
                      <a:defRPr sz="719" b="0" i="0" u="none" strike="noStrike" baseline="0">
                        <a:solidFill>
                          <a:srgbClr val="000000"/>
                        </a:solidFill>
                        <a:latin typeface="Times New Roman"/>
                        <a:ea typeface="Times New Roman"/>
                        <a:cs typeface="Times New Roman"/>
                      </a:defRPr>
                    </a:pPr>
                    <a:r>
                      <a:rPr lang="ru-RU"/>
                      <a:t>20,4%</a:t>
                    </a:r>
                  </a:p>
                </c:rich>
              </c:tx>
              <c:spPr>
                <a:noFill/>
                <a:ln w="21480">
                  <a:noFill/>
                </a:ln>
              </c:spPr>
              <c:dLblPos val="bestFit"/>
            </c:dLbl>
            <c:dLbl>
              <c:idx val="2"/>
              <c:layout>
                <c:manualLayout>
                  <c:x val="1.1996910151089149E-2"/>
                  <c:y val="-3.939469148925178E-2"/>
                </c:manualLayout>
              </c:layout>
              <c:tx>
                <c:rich>
                  <a:bodyPr/>
                  <a:lstStyle/>
                  <a:p>
                    <a:pPr>
                      <a:defRPr sz="719" b="0" i="0" u="none" strike="noStrike" baseline="0">
                        <a:solidFill>
                          <a:srgbClr val="000000"/>
                        </a:solidFill>
                        <a:latin typeface="Times New Roman"/>
                        <a:ea typeface="Times New Roman"/>
                        <a:cs typeface="Times New Roman"/>
                      </a:defRPr>
                    </a:pPr>
                    <a:r>
                      <a:rPr lang="ru-RU"/>
                      <a:t>3,7%</a:t>
                    </a:r>
                  </a:p>
                </c:rich>
              </c:tx>
              <c:spPr>
                <a:noFill/>
                <a:ln w="21480">
                  <a:noFill/>
                </a:ln>
              </c:spPr>
              <c:dLblPos val="bestFit"/>
            </c:dLbl>
            <c:dLbl>
              <c:idx val="3"/>
              <c:layout>
                <c:manualLayout>
                  <c:x val="0.49771439890650188"/>
                  <c:y val="-1.9706401378726774E-2"/>
                </c:manualLayout>
              </c:layout>
              <c:tx>
                <c:rich>
                  <a:bodyPr/>
                  <a:lstStyle/>
                  <a:p>
                    <a:pPr>
                      <a:defRPr sz="719" b="0" i="0" u="none" strike="noStrike" baseline="0">
                        <a:solidFill>
                          <a:srgbClr val="000000"/>
                        </a:solidFill>
                        <a:latin typeface="Times New Roman"/>
                        <a:ea typeface="Times New Roman"/>
                        <a:cs typeface="Times New Roman"/>
                      </a:defRPr>
                    </a:pPr>
                    <a:r>
                      <a:rPr lang="ru-RU"/>
                      <a:t>65,3%</a:t>
                    </a:r>
                  </a:p>
                </c:rich>
              </c:tx>
              <c:spPr>
                <a:noFill/>
                <a:ln w="21480">
                  <a:noFill/>
                </a:ln>
              </c:spPr>
              <c:dLblPos val="bestFit"/>
            </c:dLbl>
            <c:dLbl>
              <c:idx val="4"/>
              <c:layout>
                <c:manualLayout>
                  <c:x val="-0.23058338419387844"/>
                  <c:y val="-4.8471120009081367E-2"/>
                </c:manualLayout>
              </c:layout>
              <c:tx>
                <c:rich>
                  <a:bodyPr/>
                  <a:lstStyle/>
                  <a:p>
                    <a:pPr>
                      <a:defRPr sz="719" b="0" i="0" u="none" strike="noStrike" baseline="0">
                        <a:solidFill>
                          <a:srgbClr val="000000"/>
                        </a:solidFill>
                        <a:latin typeface="Times New Roman"/>
                        <a:ea typeface="Times New Roman"/>
                        <a:cs typeface="Times New Roman"/>
                      </a:defRPr>
                    </a:pPr>
                    <a:r>
                      <a:rPr lang="ru-RU"/>
                      <a:t>0,7%</a:t>
                    </a:r>
                  </a:p>
                </c:rich>
              </c:tx>
              <c:spPr>
                <a:noFill/>
                <a:ln w="21480">
                  <a:noFill/>
                </a:ln>
              </c:spPr>
              <c:dLblPos val="bestFit"/>
            </c:dLbl>
            <c:dLbl>
              <c:idx val="5"/>
              <c:layout>
                <c:manualLayout>
                  <c:x val="-0.21250924952511502"/>
                  <c:y val="4.5641840641479435E-2"/>
                </c:manualLayout>
              </c:layout>
              <c:tx>
                <c:rich>
                  <a:bodyPr/>
                  <a:lstStyle/>
                  <a:p>
                    <a:pPr>
                      <a:defRPr sz="719" b="0" i="0" u="none" strike="noStrike" baseline="0">
                        <a:solidFill>
                          <a:srgbClr val="000000"/>
                        </a:solidFill>
                        <a:latin typeface="Times New Roman"/>
                        <a:ea typeface="Times New Roman"/>
                        <a:cs typeface="Times New Roman"/>
                      </a:defRPr>
                    </a:pPr>
                    <a:r>
                      <a:rPr lang="ru-RU"/>
                      <a:t>0,2%</a:t>
                    </a:r>
                  </a:p>
                </c:rich>
              </c:tx>
              <c:spPr>
                <a:noFill/>
                <a:ln w="21480">
                  <a:noFill/>
                </a:ln>
              </c:spPr>
              <c:dLblPos val="bestFit"/>
            </c:dLbl>
            <c:dLbl>
              <c:idx val="6"/>
              <c:layout>
                <c:manualLayout>
                  <c:x val="-0.2649065183103208"/>
                  <c:y val="-0.11127232949092371"/>
                </c:manualLayout>
              </c:layout>
              <c:tx>
                <c:rich>
                  <a:bodyPr/>
                  <a:lstStyle/>
                  <a:p>
                    <a:pPr>
                      <a:defRPr sz="719" b="0" i="0" u="none" strike="noStrike" baseline="0">
                        <a:solidFill>
                          <a:srgbClr val="000000"/>
                        </a:solidFill>
                        <a:latin typeface="Times New Roman"/>
                        <a:ea typeface="Times New Roman"/>
                        <a:cs typeface="Times New Roman"/>
                      </a:defRPr>
                    </a:pPr>
                    <a:r>
                      <a:rPr lang="ru-RU"/>
                      <a:t>3,7%</a:t>
                    </a:r>
                  </a:p>
                </c:rich>
              </c:tx>
              <c:spPr>
                <a:noFill/>
                <a:ln w="21480">
                  <a:noFill/>
                </a:ln>
              </c:spPr>
              <c:dLblPos val="bestFit"/>
            </c:dLbl>
            <c:dLbl>
              <c:idx val="7"/>
              <c:layout>
                <c:manualLayout>
                  <c:x val="-0.25127527834863267"/>
                  <c:y val="-0.14857633048162563"/>
                </c:manualLayout>
              </c:layout>
              <c:tx>
                <c:rich>
                  <a:bodyPr/>
                  <a:lstStyle/>
                  <a:p>
                    <a:pPr>
                      <a:defRPr sz="719" b="0" i="0" u="none" strike="noStrike" baseline="0">
                        <a:solidFill>
                          <a:srgbClr val="000000"/>
                        </a:solidFill>
                        <a:latin typeface="Times New Roman"/>
                        <a:ea typeface="Times New Roman"/>
                        <a:cs typeface="Times New Roman"/>
                      </a:defRPr>
                    </a:pPr>
                    <a:r>
                      <a:rPr lang="ru-RU"/>
                      <a:t>0,1%</a:t>
                    </a:r>
                  </a:p>
                </c:rich>
              </c:tx>
              <c:spPr>
                <a:noFill/>
                <a:ln w="21480">
                  <a:noFill/>
                </a:ln>
              </c:spPr>
              <c:dLblPos val="bestFit"/>
            </c:dLbl>
            <c:dLbl>
              <c:idx val="8"/>
              <c:layout>
                <c:manualLayout>
                  <c:x val="-0.12709046523509401"/>
                  <c:y val="-0.14572027120463152"/>
                </c:manualLayout>
              </c:layout>
              <c:dLblPos val="bestFit"/>
              <c:showVal val="1"/>
            </c:dLbl>
            <c:dLbl>
              <c:idx val="9"/>
              <c:layout>
                <c:manualLayout>
                  <c:x val="-3.0670213961633282E-2"/>
                  <c:y val="-0.13633383556413248"/>
                </c:manualLayout>
              </c:layout>
              <c:tx>
                <c:rich>
                  <a:bodyPr/>
                  <a:lstStyle/>
                  <a:p>
                    <a:pPr>
                      <a:defRPr sz="719" b="0" i="0" u="none" strike="noStrike" baseline="0">
                        <a:solidFill>
                          <a:srgbClr val="000000"/>
                        </a:solidFill>
                        <a:latin typeface="Times New Roman"/>
                        <a:ea typeface="Times New Roman"/>
                        <a:cs typeface="Times New Roman"/>
                      </a:defRPr>
                    </a:pPr>
                    <a:r>
                      <a:rPr lang="ru-RU"/>
                      <a:t>1,9%</a:t>
                    </a:r>
                  </a:p>
                </c:rich>
              </c:tx>
              <c:spPr>
                <a:noFill/>
                <a:ln w="21480">
                  <a:noFill/>
                </a:ln>
              </c:spPr>
              <c:dLblPos val="bestFit"/>
            </c:dLbl>
            <c:dLbl>
              <c:idx val="10"/>
              <c:layout>
                <c:manualLayout>
                  <c:x val="5.1875405897113216E-2"/>
                  <c:y val="-0.13779063167562772"/>
                </c:manualLayout>
              </c:layout>
              <c:tx>
                <c:rich>
                  <a:bodyPr/>
                  <a:lstStyle/>
                  <a:p>
                    <a:pPr>
                      <a:defRPr sz="719" b="0" i="0" u="none" strike="noStrike" baseline="0">
                        <a:solidFill>
                          <a:srgbClr val="000000"/>
                        </a:solidFill>
                        <a:latin typeface="Times New Roman"/>
                        <a:ea typeface="Times New Roman"/>
                        <a:cs typeface="Times New Roman"/>
                      </a:defRPr>
                    </a:pPr>
                    <a:r>
                      <a:rPr lang="ru-RU"/>
                      <a:t>1,3%</a:t>
                    </a:r>
                  </a:p>
                </c:rich>
              </c:tx>
              <c:spPr>
                <a:noFill/>
                <a:ln w="21480">
                  <a:noFill/>
                </a:ln>
              </c:spPr>
              <c:dLblPos val="bestFit"/>
            </c:dLbl>
            <c:dLbl>
              <c:idx val="11"/>
              <c:layout>
                <c:manualLayout>
                  <c:x val="0.12218040155079571"/>
                  <c:y val="-0.13207634596134199"/>
                </c:manualLayout>
              </c:layout>
              <c:tx>
                <c:rich>
                  <a:bodyPr/>
                  <a:lstStyle/>
                  <a:p>
                    <a:pPr>
                      <a:defRPr sz="719" b="0" i="0" u="none" strike="noStrike" baseline="0">
                        <a:solidFill>
                          <a:srgbClr val="000000"/>
                        </a:solidFill>
                        <a:latin typeface="Times New Roman"/>
                        <a:ea typeface="Times New Roman"/>
                        <a:cs typeface="Times New Roman"/>
                      </a:defRPr>
                    </a:pPr>
                    <a:r>
                      <a:rPr lang="ru-RU"/>
                      <a:t>1,4%</a:t>
                    </a:r>
                  </a:p>
                </c:rich>
              </c:tx>
              <c:spPr>
                <a:noFill/>
                <a:ln w="21480">
                  <a:noFill/>
                </a:ln>
              </c:spPr>
              <c:dLblPos val="bestFit"/>
            </c:dLbl>
            <c:numFmt formatCode="0.0%" sourceLinked="0"/>
            <c:spPr>
              <a:noFill/>
              <a:ln w="21480">
                <a:noFill/>
              </a:ln>
            </c:spPr>
            <c:txPr>
              <a:bodyPr/>
              <a:lstStyle/>
              <a:p>
                <a:pPr>
                  <a:defRPr sz="719" b="0" i="0" u="none" strike="noStrike" baseline="0">
                    <a:solidFill>
                      <a:srgbClr val="000000"/>
                    </a:solidFill>
                    <a:latin typeface="Times New Roman"/>
                    <a:ea typeface="Times New Roman"/>
                    <a:cs typeface="Times New Roman"/>
                  </a:defRPr>
                </a:pPr>
                <a:endParaRPr lang="ru-RU"/>
              </a:p>
            </c:txPr>
            <c:showVal val="1"/>
            <c:showLeaderLines val="1"/>
          </c:dLbls>
          <c:cat>
            <c:strRef>
              <c:f>Sheet1!$B$1:$M$1</c:f>
              <c:strCache>
                <c:ptCount val="12"/>
                <c:pt idx="0">
                  <c:v>Imobilizări necorporale</c:v>
                </c:pt>
                <c:pt idx="1">
                  <c:v>Imobilizări corporale în curs de execuţie</c:v>
                </c:pt>
                <c:pt idx="2">
                  <c:v>Terenuri</c:v>
                </c:pt>
                <c:pt idx="3">
                  <c:v>Mijloace fixe</c:v>
                </c:pt>
                <c:pt idx="4">
                  <c:v>Active biologice imobilizate</c:v>
                </c:pt>
                <c:pt idx="5">
                  <c:v>Alte active imobilizate</c:v>
                </c:pt>
                <c:pt idx="6">
                  <c:v>Materiale</c:v>
                </c:pt>
                <c:pt idx="7">
                  <c:v>Active biologice circulante</c:v>
                </c:pt>
                <c:pt idx="8">
                  <c:v>Obiecte de mică valoare şi scurtă durată</c:v>
                </c:pt>
                <c:pt idx="9">
                  <c:v>Producţia în curs de execuţie şi produse</c:v>
                </c:pt>
                <c:pt idx="10">
                  <c:v>Mărfuri</c:v>
                </c:pt>
                <c:pt idx="11">
                  <c:v>Alte active circulante</c:v>
                </c:pt>
              </c:strCache>
            </c:strRef>
          </c:cat>
          <c:val>
            <c:numRef>
              <c:f>Sheet1!$B$2:$M$2</c:f>
              <c:numCache>
                <c:formatCode>0.00%</c:formatCode>
                <c:ptCount val="12"/>
                <c:pt idx="0">
                  <c:v>9.0000000000000028E-3</c:v>
                </c:pt>
                <c:pt idx="1">
                  <c:v>0.20400000000000001</c:v>
                </c:pt>
                <c:pt idx="2">
                  <c:v>3.6999999999999998E-2</c:v>
                </c:pt>
                <c:pt idx="3">
                  <c:v>0.65300000000000058</c:v>
                </c:pt>
                <c:pt idx="4">
                  <c:v>2.0000000000000018E-3</c:v>
                </c:pt>
                <c:pt idx="5">
                  <c:v>7.0000000000000036E-3</c:v>
                </c:pt>
                <c:pt idx="6">
                  <c:v>3.6999999999999998E-2</c:v>
                </c:pt>
                <c:pt idx="7">
                  <c:v>1.0000000000000009E-3</c:v>
                </c:pt>
                <c:pt idx="8">
                  <c:v>3.0000000000000018E-3</c:v>
                </c:pt>
                <c:pt idx="9">
                  <c:v>1.9000000000000013E-2</c:v>
                </c:pt>
                <c:pt idx="10">
                  <c:v>1.2999999999999998E-2</c:v>
                </c:pt>
                <c:pt idx="11">
                  <c:v>1.4E-2</c:v>
                </c:pt>
              </c:numCache>
            </c:numRef>
          </c:val>
        </c:ser>
        <c:dLbls>
          <c:showVal val="1"/>
        </c:dLbls>
      </c:pie3DChart>
      <c:spPr>
        <a:solidFill>
          <a:srgbClr val="FFFFFF"/>
        </a:solidFill>
        <a:ln w="10740">
          <a:solidFill>
            <a:srgbClr val="FFFFFF"/>
          </a:solidFill>
          <a:prstDash val="solid"/>
        </a:ln>
      </c:spPr>
    </c:plotArea>
    <c:legend>
      <c:legendPos val="b"/>
      <c:spPr>
        <a:noFill/>
        <a:ln w="2685">
          <a:solidFill>
            <a:srgbClr val="000000"/>
          </a:solidFill>
          <a:prstDash val="solid"/>
        </a:ln>
      </c:spPr>
      <c:txPr>
        <a:bodyPr/>
        <a:lstStyle/>
        <a:p>
          <a:pPr>
            <a:defRPr sz="698"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677" b="0" i="0" u="none" strike="noStrike" baseline="0">
          <a:solidFill>
            <a:srgbClr val="000000"/>
          </a:solidFill>
          <a:latin typeface="Times New Roman"/>
          <a:ea typeface="Times New Roman"/>
          <a:cs typeface="Times New Roman"/>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3"/>
      <c:depthPercent val="10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1.4144271570014145E-3"/>
          <c:y val="0.11299435028248594"/>
          <c:w val="0.67892503536068005"/>
          <c:h val="0.74011299435028244"/>
        </c:manualLayout>
      </c:layout>
      <c:bar3DChart>
        <c:barDir val="col"/>
        <c:grouping val="clustered"/>
        <c:ser>
          <c:idx val="0"/>
          <c:order val="0"/>
          <c:tx>
            <c:strRef>
              <c:f>Sheet1!$A$2</c:f>
              <c:strCache>
                <c:ptCount val="1"/>
                <c:pt idx="0">
                  <c:v>capital social şi suplimentar</c:v>
                </c:pt>
              </c:strCache>
            </c:strRef>
          </c:tx>
          <c:spPr>
            <a:solidFill>
              <a:srgbClr val="9999FF"/>
            </a:solidFill>
            <a:ln w="12701">
              <a:solidFill>
                <a:srgbClr val="000000"/>
              </a:solidFill>
              <a:prstDash val="solid"/>
            </a:ln>
          </c:spPr>
          <c:dLbls>
            <c:dLbl>
              <c:idx val="0"/>
              <c:layout>
                <c:manualLayout>
                  <c:x val="-1.0505974073039511E-2"/>
                  <c:y val="-7.6376604402418932E-2"/>
                </c:manualLayout>
              </c:layout>
              <c:showVal val="1"/>
            </c:dLbl>
            <c:dLbl>
              <c:idx val="1"/>
              <c:layout>
                <c:manualLayout>
                  <c:x val="-9.3294026024005623E-3"/>
                  <c:y val="-7.1481184929940225E-2"/>
                </c:manualLayout>
              </c:layout>
              <c:showVal val="1"/>
            </c:dLbl>
            <c:spPr>
              <a:noFill/>
              <a:ln w="25403">
                <a:noFill/>
              </a:ln>
            </c:spPr>
            <c:txPr>
              <a:bodyPr/>
              <a:lstStyle/>
              <a:p>
                <a:pPr>
                  <a:defRPr sz="850" b="0" i="0" u="none" strike="noStrike" baseline="0">
                    <a:solidFill>
                      <a:srgbClr val="000000"/>
                    </a:solidFill>
                    <a:latin typeface="Times New Roman"/>
                    <a:ea typeface="Times New Roman"/>
                    <a:cs typeface="Times New Roman"/>
                  </a:defRPr>
                </a:pPr>
                <a:endParaRPr lang="ru-RU"/>
              </a:p>
            </c:txPr>
            <c:showVal val="1"/>
          </c:dLbls>
          <c:cat>
            <c:strRef>
              <c:f>Sheet1!$B$1:$C$1</c:f>
              <c:strCache>
                <c:ptCount val="2"/>
                <c:pt idx="0">
                  <c:v>la 01.01.2015</c:v>
                </c:pt>
                <c:pt idx="1">
                  <c:v>la 31.12.2015</c:v>
                </c:pt>
              </c:strCache>
            </c:strRef>
          </c:cat>
          <c:val>
            <c:numRef>
              <c:f>Sheet1!$B$2:$C$2</c:f>
              <c:numCache>
                <c:formatCode>General</c:formatCode>
                <c:ptCount val="2"/>
                <c:pt idx="0">
                  <c:v>6110.2</c:v>
                </c:pt>
                <c:pt idx="1">
                  <c:v>6225.9</c:v>
                </c:pt>
              </c:numCache>
            </c:numRef>
          </c:val>
        </c:ser>
        <c:ser>
          <c:idx val="1"/>
          <c:order val="1"/>
          <c:tx>
            <c:strRef>
              <c:f>Sheet1!$A$3</c:f>
              <c:strCache>
                <c:ptCount val="1"/>
                <c:pt idx="0">
                  <c:v>capital propriu</c:v>
                </c:pt>
              </c:strCache>
            </c:strRef>
          </c:tx>
          <c:spPr>
            <a:pattFill prst="wdDnDiag">
              <a:fgClr>
                <a:srgbClr val="993366"/>
              </a:fgClr>
              <a:bgClr>
                <a:srgbClr val="FFFFFF"/>
              </a:bgClr>
            </a:pattFill>
            <a:ln w="12701">
              <a:solidFill>
                <a:srgbClr val="000000"/>
              </a:solidFill>
              <a:prstDash val="solid"/>
            </a:ln>
          </c:spPr>
          <c:dLbls>
            <c:dLbl>
              <c:idx val="0"/>
              <c:layout>
                <c:manualLayout>
                  <c:x val="3.3335422844134634E-2"/>
                  <c:y val="-9.5748443568409197E-2"/>
                </c:manualLayout>
              </c:layout>
              <c:showVal val="1"/>
            </c:dLbl>
            <c:dLbl>
              <c:idx val="1"/>
              <c:layout>
                <c:manualLayout>
                  <c:x val="3.3097385162724188E-2"/>
                  <c:y val="-7.2802194972030609E-2"/>
                </c:manualLayout>
              </c:layout>
              <c:showVal val="1"/>
            </c:dLbl>
            <c:spPr>
              <a:noFill/>
              <a:ln w="25403">
                <a:noFill/>
              </a:ln>
            </c:spPr>
            <c:txPr>
              <a:bodyPr/>
              <a:lstStyle/>
              <a:p>
                <a:pPr>
                  <a:defRPr sz="850" b="0" i="0" u="none" strike="noStrike" baseline="0">
                    <a:solidFill>
                      <a:srgbClr val="000000"/>
                    </a:solidFill>
                    <a:latin typeface="Times New Roman"/>
                    <a:ea typeface="Times New Roman"/>
                    <a:cs typeface="Times New Roman"/>
                  </a:defRPr>
                </a:pPr>
                <a:endParaRPr lang="ru-RU"/>
              </a:p>
            </c:txPr>
            <c:showVal val="1"/>
          </c:dLbls>
          <c:cat>
            <c:strRef>
              <c:f>Sheet1!$B$1:$C$1</c:f>
              <c:strCache>
                <c:ptCount val="2"/>
                <c:pt idx="0">
                  <c:v>la 01.01.2015</c:v>
                </c:pt>
                <c:pt idx="1">
                  <c:v>la 31.12.2015</c:v>
                </c:pt>
              </c:strCache>
            </c:strRef>
          </c:cat>
          <c:val>
            <c:numRef>
              <c:f>Sheet1!$B$3:$C$3</c:f>
              <c:numCache>
                <c:formatCode>General</c:formatCode>
                <c:ptCount val="2"/>
                <c:pt idx="0">
                  <c:v>14331.3</c:v>
                </c:pt>
                <c:pt idx="1">
                  <c:v>14873.6</c:v>
                </c:pt>
              </c:numCache>
            </c:numRef>
          </c:val>
        </c:ser>
        <c:gapDepth val="0"/>
        <c:shape val="box"/>
        <c:axId val="305648768"/>
        <c:axId val="305650304"/>
        <c:axId val="0"/>
      </c:bar3DChart>
      <c:catAx>
        <c:axId val="305648768"/>
        <c:scaling>
          <c:orientation val="minMax"/>
        </c:scaling>
        <c:axPos val="b"/>
        <c:numFmt formatCode="General" sourceLinked="1"/>
        <c:tickLblPos val="low"/>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305650304"/>
        <c:crosses val="autoZero"/>
        <c:auto val="1"/>
        <c:lblAlgn val="ctr"/>
        <c:lblOffset val="100"/>
        <c:tickLblSkip val="1"/>
        <c:tickMarkSkip val="1"/>
      </c:catAx>
      <c:valAx>
        <c:axId val="305650304"/>
        <c:scaling>
          <c:orientation val="minMax"/>
        </c:scaling>
        <c:delete val="1"/>
        <c:axPos val="l"/>
        <c:numFmt formatCode="General" sourceLinked="1"/>
        <c:tickLblPos val="nextTo"/>
        <c:crossAx val="305648768"/>
        <c:crosses val="autoZero"/>
        <c:crossBetween val="between"/>
      </c:valAx>
      <c:spPr>
        <a:noFill/>
        <a:ln w="25403">
          <a:noFill/>
        </a:ln>
      </c:spPr>
    </c:plotArea>
    <c:legend>
      <c:legendPos val="r"/>
      <c:layout>
        <c:manualLayout>
          <c:xMode val="edge"/>
          <c:yMode val="edge"/>
          <c:x val="0.64639321074964662"/>
          <c:y val="0.32768361581920952"/>
          <c:w val="0.3210749646393215"/>
          <c:h val="0.27118644067796632"/>
        </c:manualLayout>
      </c:layout>
      <c:spPr>
        <a:noFill/>
        <a:ln w="3175">
          <a:solidFill>
            <a:srgbClr val="000000"/>
          </a:solidFill>
          <a:prstDash val="solid"/>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1.4285714285714294E-3"/>
          <c:y val="7.8651685393258425E-2"/>
          <c:w val="0.76571428571428579"/>
          <c:h val="0.70224719101123556"/>
        </c:manualLayout>
      </c:layout>
      <c:barChart>
        <c:barDir val="col"/>
        <c:grouping val="clustered"/>
        <c:ser>
          <c:idx val="1"/>
          <c:order val="0"/>
          <c:tx>
            <c:strRef>
              <c:f>Sheet1!$A$2</c:f>
              <c:strCache>
                <c:ptCount val="1"/>
                <c:pt idx="0">
                  <c:v>venituri din vânzări</c:v>
                </c:pt>
              </c:strCache>
            </c:strRef>
          </c:tx>
          <c:spPr>
            <a:pattFill prst="wdDnDiag">
              <a:fgClr>
                <a:srgbClr val="993366"/>
              </a:fgClr>
              <a:bgClr>
                <a:srgbClr val="FFFFFF"/>
              </a:bgClr>
            </a:pattFill>
            <a:ln w="12640">
              <a:solidFill>
                <a:srgbClr val="000000"/>
              </a:solidFill>
              <a:prstDash val="solid"/>
            </a:ln>
          </c:spPr>
          <c:dLbls>
            <c:dLbl>
              <c:idx val="0"/>
              <c:layout>
                <c:manualLayout>
                  <c:x val="-1.5750887200588232E-2"/>
                  <c:y val="3.0425485146701802E-2"/>
                </c:manualLayout>
              </c:layout>
              <c:dLblPos val="outEnd"/>
              <c:showVal val="1"/>
            </c:dLbl>
            <c:dLbl>
              <c:idx val="1"/>
              <c:layout>
                <c:manualLayout>
                  <c:x val="4.2489975232657996E-3"/>
                  <c:y val="-1.0878709938841567E-3"/>
                </c:manualLayout>
              </c:layout>
              <c:dLblPos val="outEnd"/>
              <c:showVal val="1"/>
            </c:dLbl>
            <c:spPr>
              <a:noFill/>
              <a:ln w="25280">
                <a:noFill/>
              </a:ln>
            </c:spPr>
            <c:txPr>
              <a:bodyPr/>
              <a:lstStyle/>
              <a:p>
                <a:pPr>
                  <a:defRPr sz="871" b="0" i="0" u="none" strike="noStrike" baseline="0">
                    <a:solidFill>
                      <a:srgbClr val="000000"/>
                    </a:solidFill>
                    <a:latin typeface="Times New Roman"/>
                    <a:ea typeface="Times New Roman"/>
                    <a:cs typeface="Times New Roman"/>
                  </a:defRPr>
                </a:pPr>
                <a:endParaRPr lang="ru-RU"/>
              </a:p>
            </c:txPr>
            <c:showVal val="1"/>
          </c:dLbls>
          <c:cat>
            <c:numRef>
              <c:f>Sheet1!$B$1:$C$1</c:f>
              <c:numCache>
                <c:formatCode>General</c:formatCode>
                <c:ptCount val="2"/>
                <c:pt idx="0">
                  <c:v>2014</c:v>
                </c:pt>
                <c:pt idx="1">
                  <c:v>2015</c:v>
                </c:pt>
              </c:numCache>
            </c:numRef>
          </c:cat>
          <c:val>
            <c:numRef>
              <c:f>Sheet1!$B$2:$C$2</c:f>
              <c:numCache>
                <c:formatCode>General</c:formatCode>
                <c:ptCount val="2"/>
                <c:pt idx="0">
                  <c:v>6755.3</c:v>
                </c:pt>
                <c:pt idx="1">
                  <c:v>7292.3</c:v>
                </c:pt>
              </c:numCache>
            </c:numRef>
          </c:val>
        </c:ser>
        <c:ser>
          <c:idx val="2"/>
          <c:order val="1"/>
          <c:tx>
            <c:strRef>
              <c:f>Sheet1!$A$3</c:f>
              <c:strCache>
                <c:ptCount val="1"/>
                <c:pt idx="0">
                  <c:v>costul vânzărilor</c:v>
                </c:pt>
              </c:strCache>
            </c:strRef>
          </c:tx>
          <c:spPr>
            <a:solidFill>
              <a:srgbClr val="FFFFCC"/>
            </a:solidFill>
            <a:ln w="12640">
              <a:solidFill>
                <a:srgbClr val="000000"/>
              </a:solidFill>
              <a:prstDash val="solid"/>
            </a:ln>
          </c:spPr>
          <c:dLbls>
            <c:dLbl>
              <c:idx val="0"/>
              <c:spPr>
                <a:noFill/>
                <a:ln w="25280">
                  <a:noFill/>
                </a:ln>
              </c:spPr>
              <c:txPr>
                <a:bodyPr/>
                <a:lstStyle/>
                <a:p>
                  <a:pPr>
                    <a:defRPr sz="796" b="0" i="0" u="none" strike="noStrike" baseline="0">
                      <a:solidFill>
                        <a:srgbClr val="000000"/>
                      </a:solidFill>
                      <a:latin typeface="Times New Roman"/>
                      <a:ea typeface="Times New Roman"/>
                      <a:cs typeface="Times New Roman"/>
                    </a:defRPr>
                  </a:pPr>
                  <a:endParaRPr lang="ru-RU"/>
                </a:p>
              </c:txPr>
            </c:dLbl>
            <c:dLbl>
              <c:idx val="1"/>
              <c:layout>
                <c:manualLayout>
                  <c:x val="3.7741076152601083E-2"/>
                  <c:y val="1.1894707490174988E-2"/>
                </c:manualLayout>
              </c:layout>
              <c:dLblPos val="outEnd"/>
              <c:showVal val="1"/>
            </c:dLbl>
            <c:spPr>
              <a:noFill/>
              <a:ln w="25280">
                <a:noFill/>
              </a:ln>
            </c:spPr>
            <c:txPr>
              <a:bodyPr/>
              <a:lstStyle/>
              <a:p>
                <a:pPr>
                  <a:defRPr sz="871" b="0" i="0" u="none" strike="noStrike" baseline="0">
                    <a:solidFill>
                      <a:srgbClr val="000000"/>
                    </a:solidFill>
                    <a:latin typeface="Times New Roman"/>
                    <a:ea typeface="Times New Roman"/>
                    <a:cs typeface="Times New Roman"/>
                  </a:defRPr>
                </a:pPr>
                <a:endParaRPr lang="ru-RU"/>
              </a:p>
            </c:txPr>
            <c:showVal val="1"/>
          </c:dLbls>
          <c:cat>
            <c:numRef>
              <c:f>Sheet1!$B$1:$C$1</c:f>
              <c:numCache>
                <c:formatCode>General</c:formatCode>
                <c:ptCount val="2"/>
                <c:pt idx="0">
                  <c:v>2014</c:v>
                </c:pt>
                <c:pt idx="1">
                  <c:v>2015</c:v>
                </c:pt>
              </c:numCache>
            </c:numRef>
          </c:cat>
          <c:val>
            <c:numRef>
              <c:f>Sheet1!$B$3:$C$3</c:f>
              <c:numCache>
                <c:formatCode>General</c:formatCode>
                <c:ptCount val="2"/>
                <c:pt idx="0">
                  <c:v>5803.6</c:v>
                </c:pt>
                <c:pt idx="1">
                  <c:v>6416.2</c:v>
                </c:pt>
              </c:numCache>
            </c:numRef>
          </c:val>
        </c:ser>
        <c:ser>
          <c:idx val="3"/>
          <c:order val="2"/>
          <c:tx>
            <c:strRef>
              <c:f>Sheet1!$A$4</c:f>
              <c:strCache>
                <c:ptCount val="1"/>
                <c:pt idx="0">
                  <c:v>profit brut</c:v>
                </c:pt>
              </c:strCache>
            </c:strRef>
          </c:tx>
          <c:spPr>
            <a:solidFill>
              <a:srgbClr val="3366FF"/>
            </a:solidFill>
            <a:ln w="12640">
              <a:solidFill>
                <a:srgbClr val="000000"/>
              </a:solidFill>
              <a:prstDash val="solid"/>
            </a:ln>
          </c:spPr>
          <c:dLbls>
            <c:dLbl>
              <c:idx val="0"/>
              <c:tx>
                <c:rich>
                  <a:bodyPr/>
                  <a:lstStyle/>
                  <a:p>
                    <a:pPr>
                      <a:defRPr sz="796" b="0" i="0" u="none" strike="noStrike" baseline="0">
                        <a:solidFill>
                          <a:srgbClr val="000000"/>
                        </a:solidFill>
                        <a:latin typeface="Times New Roman"/>
                        <a:ea typeface="Times New Roman"/>
                        <a:cs typeface="Times New Roman"/>
                      </a:defRPr>
                    </a:pPr>
                    <a:r>
                      <a:rPr lang="ru-RU"/>
                      <a:t>951,7</a:t>
                    </a:r>
                  </a:p>
                </c:rich>
              </c:tx>
              <c:spPr>
                <a:noFill/>
                <a:ln w="25280">
                  <a:noFill/>
                </a:ln>
              </c:spPr>
            </c:dLbl>
            <c:dLbl>
              <c:idx val="1"/>
              <c:layout>
                <c:manualLayout>
                  <c:x val="3.1875866454156847E-2"/>
                  <c:y val="-1.9363846724674619E-2"/>
                </c:manualLayout>
              </c:layout>
              <c:dLblPos val="outEnd"/>
              <c:showVal val="1"/>
            </c:dLbl>
            <c:spPr>
              <a:noFill/>
              <a:ln w="25280">
                <a:noFill/>
              </a:ln>
            </c:spPr>
            <c:txPr>
              <a:bodyPr/>
              <a:lstStyle/>
              <a:p>
                <a:pPr>
                  <a:defRPr sz="871" b="0" i="0" u="none" strike="noStrike" baseline="0">
                    <a:solidFill>
                      <a:srgbClr val="000000"/>
                    </a:solidFill>
                    <a:latin typeface="Times New Roman"/>
                    <a:ea typeface="Times New Roman"/>
                    <a:cs typeface="Times New Roman"/>
                  </a:defRPr>
                </a:pPr>
                <a:endParaRPr lang="ru-RU"/>
              </a:p>
            </c:txPr>
            <c:showVal val="1"/>
          </c:dLbls>
          <c:cat>
            <c:numRef>
              <c:f>Sheet1!$B$1:$C$1</c:f>
              <c:numCache>
                <c:formatCode>General</c:formatCode>
                <c:ptCount val="2"/>
                <c:pt idx="0">
                  <c:v>2014</c:v>
                </c:pt>
                <c:pt idx="1">
                  <c:v>2015</c:v>
                </c:pt>
              </c:numCache>
            </c:numRef>
          </c:cat>
          <c:val>
            <c:numRef>
              <c:f>Sheet1!$B$4:$C$4</c:f>
              <c:numCache>
                <c:formatCode>General</c:formatCode>
                <c:ptCount val="2"/>
                <c:pt idx="0">
                  <c:v>951.7</c:v>
                </c:pt>
                <c:pt idx="1">
                  <c:v>876.1</c:v>
                </c:pt>
              </c:numCache>
            </c:numRef>
          </c:val>
        </c:ser>
        <c:axId val="305845760"/>
        <c:axId val="305847296"/>
      </c:barChart>
      <c:catAx>
        <c:axId val="305845760"/>
        <c:scaling>
          <c:orientation val="minMax"/>
        </c:scaling>
        <c:axPos val="b"/>
        <c:numFmt formatCode="General" sourceLinked="1"/>
        <c:tickLblPos val="nextTo"/>
        <c:spPr>
          <a:ln w="9480">
            <a:noFill/>
          </a:ln>
        </c:spPr>
        <c:txPr>
          <a:bodyPr rot="0" vert="horz"/>
          <a:lstStyle/>
          <a:p>
            <a:pPr>
              <a:defRPr sz="946" b="0" i="0" u="none" strike="noStrike" baseline="0">
                <a:solidFill>
                  <a:srgbClr val="000000"/>
                </a:solidFill>
                <a:latin typeface="Times New Roman"/>
                <a:ea typeface="Times New Roman"/>
                <a:cs typeface="Times New Roman"/>
              </a:defRPr>
            </a:pPr>
            <a:endParaRPr lang="ru-RU"/>
          </a:p>
        </c:txPr>
        <c:crossAx val="305847296"/>
        <c:crosses val="autoZero"/>
        <c:auto val="1"/>
        <c:lblAlgn val="ctr"/>
        <c:lblOffset val="100"/>
        <c:tickLblSkip val="1"/>
        <c:tickMarkSkip val="1"/>
      </c:catAx>
      <c:valAx>
        <c:axId val="305847296"/>
        <c:scaling>
          <c:orientation val="minMax"/>
        </c:scaling>
        <c:delete val="1"/>
        <c:axPos val="l"/>
        <c:numFmt formatCode="General" sourceLinked="1"/>
        <c:tickLblPos val="nextTo"/>
        <c:crossAx val="305845760"/>
        <c:crosses val="autoZero"/>
        <c:crossBetween val="between"/>
      </c:valAx>
      <c:spPr>
        <a:noFill/>
        <a:ln w="25280">
          <a:noFill/>
        </a:ln>
      </c:spPr>
    </c:plotArea>
    <c:legend>
      <c:legendPos val="r"/>
      <c:layout>
        <c:manualLayout>
          <c:xMode val="edge"/>
          <c:yMode val="edge"/>
          <c:x val="0.75857142857142901"/>
          <c:y val="0.26966292134831482"/>
          <c:w val="0.22142857142857131"/>
          <c:h val="0.38202247191011279"/>
        </c:manualLayout>
      </c:layout>
      <c:spPr>
        <a:noFill/>
        <a:ln w="3160">
          <a:solidFill>
            <a:srgbClr val="000000"/>
          </a:solidFill>
          <a:prstDash val="solid"/>
        </a:ln>
      </c:spPr>
      <c:txPr>
        <a:bodyPr/>
        <a:lstStyle/>
        <a:p>
          <a:pPr>
            <a:defRPr sz="916" b="0" i="0" u="none" strike="noStrike" baseline="0">
              <a:solidFill>
                <a:srgbClr val="000000"/>
              </a:solidFill>
              <a:latin typeface="Times New Roman"/>
              <a:ea typeface="Times New Roman"/>
              <a:cs typeface="Times New Roman"/>
            </a:defRPr>
          </a:pPr>
          <a:endParaRPr lang="ru-RU"/>
        </a:p>
      </c:txPr>
    </c:legend>
    <c:plotVisOnly val="1"/>
    <c:dispBlanksAs val="gap"/>
  </c:chart>
  <c:spPr>
    <a:noFill/>
    <a:ln w="12640">
      <a:solidFill>
        <a:srgbClr val="FFFFFF"/>
      </a:solidFill>
      <a:prstDash val="solid"/>
    </a:ln>
  </c:spPr>
  <c:txPr>
    <a:bodyPr/>
    <a:lstStyle/>
    <a:p>
      <a:pPr>
        <a:defRPr sz="796" b="1" i="0" u="none" strike="noStrike" baseline="0">
          <a:solidFill>
            <a:srgbClr val="000000"/>
          </a:solidFill>
          <a:latin typeface="Calibri"/>
          <a:ea typeface="Calibri"/>
          <a:cs typeface="Calibri"/>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0.27248677248677272"/>
          <c:y val="5.9459459459459463E-2"/>
          <c:w val="0.51058201058201058"/>
          <c:h val="0.41621621621621635"/>
        </c:manualLayout>
      </c:layout>
      <c:pie3DChart>
        <c:varyColors val="1"/>
        <c:ser>
          <c:idx val="0"/>
          <c:order val="0"/>
          <c:tx>
            <c:strRef>
              <c:f>Sheet1!$A$2</c:f>
              <c:strCache>
                <c:ptCount val="1"/>
                <c:pt idx="0">
                  <c:v>Восток</c:v>
                </c:pt>
              </c:strCache>
            </c:strRef>
          </c:tx>
          <c:spPr>
            <a:solidFill>
              <a:srgbClr val="9999FF"/>
            </a:solidFill>
            <a:ln w="12695">
              <a:solidFill>
                <a:srgbClr val="000000"/>
              </a:solidFill>
              <a:prstDash val="solid"/>
            </a:ln>
          </c:spPr>
          <c:explosion val="6"/>
          <c:dPt>
            <c:idx val="1"/>
            <c:spPr>
              <a:pattFill prst="sphere">
                <a:fgClr>
                  <a:srgbClr val="993366"/>
                </a:fgClr>
                <a:bgClr>
                  <a:srgbClr val="FFFFFF"/>
                </a:bgClr>
              </a:pattFill>
              <a:ln w="12695">
                <a:solidFill>
                  <a:srgbClr val="000000"/>
                </a:solidFill>
                <a:prstDash val="solid"/>
              </a:ln>
            </c:spPr>
          </c:dPt>
          <c:dPt>
            <c:idx val="2"/>
            <c:spPr>
              <a:pattFill prst="wdUpDiag">
                <a:fgClr>
                  <a:srgbClr val="FF9900"/>
                </a:fgClr>
                <a:bgClr>
                  <a:srgbClr val="FFFFFF"/>
                </a:bgClr>
              </a:pattFill>
              <a:ln w="12695">
                <a:solidFill>
                  <a:srgbClr val="000000"/>
                </a:solidFill>
                <a:prstDash val="solid"/>
              </a:ln>
            </c:spPr>
          </c:dPt>
          <c:dLbls>
            <c:dLbl>
              <c:idx val="0"/>
              <c:dLblPos val="bestFit"/>
              <c:showVal val="1"/>
            </c:dLbl>
            <c:dLbl>
              <c:idx val="1"/>
              <c:layout>
                <c:manualLayout>
                  <c:x val="5.2809651183659524E-2"/>
                  <c:y val="2.3820950414805207E-3"/>
                </c:manualLayout>
              </c:layout>
              <c:dLblPos val="bestFit"/>
              <c:showVal val="1"/>
            </c:dLbl>
            <c:dLbl>
              <c:idx val="2"/>
              <c:dLblPos val="bestFit"/>
              <c:showVal val="1"/>
            </c:dLbl>
            <c:dLbl>
              <c:idx val="3"/>
              <c:layout>
                <c:manualLayout>
                  <c:xMode val="edge"/>
                  <c:yMode val="edge"/>
                  <c:x val="0.3492063492063493"/>
                  <c:y val="0.14054054054054066"/>
                </c:manualLayout>
              </c:layout>
              <c:numFmt formatCode="0.0%" sourceLinked="0"/>
              <c:spPr>
                <a:noFill/>
                <a:ln w="25390">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Val val="1"/>
            </c:dLbl>
            <c:dLbl>
              <c:idx val="4"/>
              <c:layout>
                <c:manualLayout>
                  <c:xMode val="edge"/>
                  <c:yMode val="edge"/>
                  <c:x val="9.7883597883597837E-2"/>
                  <c:y val="0.20000000000000004"/>
                </c:manualLayout>
              </c:layout>
              <c:numFmt formatCode="0.0%" sourceLinked="0"/>
              <c:spPr>
                <a:noFill/>
                <a:ln w="25390">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Val val="1"/>
            </c:dLbl>
            <c:dLbl>
              <c:idx val="5"/>
              <c:layout>
                <c:manualLayout>
                  <c:xMode val="edge"/>
                  <c:yMode val="edge"/>
                  <c:x val="0.10582010582010588"/>
                  <c:y val="8.1081081081081086E-2"/>
                </c:manualLayout>
              </c:layout>
              <c:numFmt formatCode="0.0%" sourceLinked="0"/>
              <c:spPr>
                <a:noFill/>
                <a:ln w="25390">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Val val="1"/>
            </c:dLbl>
            <c:dLbl>
              <c:idx val="6"/>
              <c:layout>
                <c:manualLayout>
                  <c:xMode val="edge"/>
                  <c:yMode val="edge"/>
                  <c:x val="0.24338624338624354"/>
                  <c:y val="1.081081081081082E-2"/>
                </c:manualLayout>
              </c:layout>
              <c:numFmt formatCode="0.0%" sourceLinked="0"/>
              <c:spPr>
                <a:noFill/>
                <a:ln w="25390">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Val val="1"/>
            </c:dLbl>
            <c:numFmt formatCode="0.0%" sourceLinked="0"/>
            <c:spPr>
              <a:noFill/>
              <a:ln w="25390">
                <a:noFill/>
              </a:ln>
            </c:spPr>
            <c:txPr>
              <a:bodyPr/>
              <a:lstStyle/>
              <a:p>
                <a:pPr>
                  <a:defRPr sz="800" b="0" i="0" u="none" strike="noStrike" baseline="0">
                    <a:solidFill>
                      <a:srgbClr val="000000"/>
                    </a:solidFill>
                    <a:latin typeface="Times New Roman"/>
                    <a:ea typeface="Times New Roman"/>
                    <a:cs typeface="Times New Roman"/>
                  </a:defRPr>
                </a:pPr>
                <a:endParaRPr lang="ru-RU"/>
              </a:p>
            </c:txPr>
            <c:showVal val="1"/>
            <c:showLeaderLines val="1"/>
          </c:dLbls>
          <c:cat>
            <c:strRef>
              <c:f>Sheet1!$B$1:$D$1</c:f>
              <c:strCache>
                <c:ptCount val="3"/>
                <c:pt idx="0">
                  <c:v>Cheltuieli de distribuire</c:v>
                </c:pt>
                <c:pt idx="1">
                  <c:v>Cheltuieli administrative</c:v>
                </c:pt>
                <c:pt idx="2">
                  <c:v>Alte cheltuieli din activitatea operaţională</c:v>
                </c:pt>
              </c:strCache>
            </c:strRef>
          </c:cat>
          <c:val>
            <c:numRef>
              <c:f>Sheet1!$B$2:$D$2</c:f>
              <c:numCache>
                <c:formatCode>0.00%</c:formatCode>
                <c:ptCount val="3"/>
                <c:pt idx="0">
                  <c:v>9.8000000000000087E-2</c:v>
                </c:pt>
                <c:pt idx="1">
                  <c:v>0.65400000000000058</c:v>
                </c:pt>
                <c:pt idx="2">
                  <c:v>0.24800000000000011</c:v>
                </c:pt>
              </c:numCache>
            </c:numRef>
          </c:val>
        </c:ser>
        <c:dLbls>
          <c:showVal val="1"/>
        </c:dLbls>
      </c:pie3DChart>
      <c:spPr>
        <a:solidFill>
          <a:srgbClr val="FFFFFF"/>
        </a:solidFill>
        <a:ln w="12695">
          <a:solidFill>
            <a:srgbClr val="FFFFFF"/>
          </a:solidFill>
          <a:prstDash val="solid"/>
        </a:ln>
      </c:spPr>
    </c:plotArea>
    <c:legend>
      <c:legendPos val="b"/>
      <c:layout>
        <c:manualLayout>
          <c:xMode val="edge"/>
          <c:yMode val="edge"/>
          <c:x val="8.201058201058202E-2"/>
          <c:y val="0.57837837837837891"/>
          <c:w val="0.88095238095238027"/>
          <c:h val="0.40000000000000008"/>
        </c:manualLayout>
      </c:layout>
      <c:spPr>
        <a:noFill/>
        <a:ln w="12695">
          <a:solidFill>
            <a:srgbClr val="FFFFFF"/>
          </a:solidFill>
          <a:prstDash val="solid"/>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0.17789757412398918"/>
          <c:y val="6.0439560439560454E-2"/>
          <c:w val="0.58490566037735836"/>
          <c:h val="0.4725274725274729"/>
        </c:manualLayout>
      </c:layout>
      <c:pie3DChart>
        <c:varyColors val="1"/>
        <c:ser>
          <c:idx val="0"/>
          <c:order val="0"/>
          <c:tx>
            <c:strRef>
              <c:f>Sheet1!$A$2</c:f>
              <c:strCache>
                <c:ptCount val="1"/>
                <c:pt idx="0">
                  <c:v>Восток</c:v>
                </c:pt>
              </c:strCache>
            </c:strRef>
          </c:tx>
          <c:spPr>
            <a:solidFill>
              <a:srgbClr val="9999FF"/>
            </a:solidFill>
            <a:ln w="12674">
              <a:solidFill>
                <a:srgbClr val="000000"/>
              </a:solidFill>
              <a:prstDash val="solid"/>
            </a:ln>
          </c:spPr>
          <c:explosion val="6"/>
          <c:dPt>
            <c:idx val="1"/>
            <c:spPr>
              <a:pattFill prst="sphere">
                <a:fgClr>
                  <a:srgbClr val="993366"/>
                </a:fgClr>
                <a:bgClr>
                  <a:srgbClr val="FFFFFF"/>
                </a:bgClr>
              </a:pattFill>
              <a:ln w="12674">
                <a:solidFill>
                  <a:srgbClr val="000000"/>
                </a:solidFill>
                <a:prstDash val="solid"/>
              </a:ln>
            </c:spPr>
          </c:dPt>
          <c:dPt>
            <c:idx val="2"/>
            <c:spPr>
              <a:pattFill prst="wdUpDiag">
                <a:fgClr>
                  <a:srgbClr val="FF9900"/>
                </a:fgClr>
                <a:bgClr>
                  <a:srgbClr val="FFFFFF"/>
                </a:bgClr>
              </a:pattFill>
              <a:ln w="12674">
                <a:solidFill>
                  <a:srgbClr val="000000"/>
                </a:solidFill>
                <a:prstDash val="solid"/>
              </a:ln>
            </c:spPr>
          </c:dPt>
          <c:dLbls>
            <c:dLbl>
              <c:idx val="0"/>
              <c:dLblPos val="bestFit"/>
              <c:showVal val="1"/>
            </c:dLbl>
            <c:dLbl>
              <c:idx val="1"/>
              <c:layout>
                <c:manualLayout>
                  <c:x val="0.20286424462977054"/>
                  <c:y val="-0.15267992561203156"/>
                </c:manualLayout>
              </c:layout>
              <c:dLblPos val="bestFit"/>
              <c:showVal val="1"/>
            </c:dLbl>
            <c:dLbl>
              <c:idx val="2"/>
              <c:dLblPos val="bestFit"/>
              <c:showVal val="1"/>
            </c:dLbl>
            <c:dLbl>
              <c:idx val="3"/>
              <c:layout>
                <c:manualLayout>
                  <c:xMode val="edge"/>
                  <c:yMode val="edge"/>
                  <c:x val="0.35579514824797825"/>
                  <c:y val="0.14285714285714302"/>
                </c:manualLayout>
              </c:layout>
              <c:numFmt formatCode="0.0%" sourceLinked="0"/>
              <c:spPr>
                <a:noFill/>
                <a:ln w="25348">
                  <a:noFill/>
                </a:ln>
              </c:spPr>
              <c:txPr>
                <a:bodyPr/>
                <a:lstStyle/>
                <a:p>
                  <a:pPr>
                    <a:defRPr sz="973" b="0" i="0" u="none" strike="noStrike" baseline="0">
                      <a:solidFill>
                        <a:srgbClr val="000000"/>
                      </a:solidFill>
                      <a:latin typeface="Times New Roman"/>
                      <a:ea typeface="Times New Roman"/>
                      <a:cs typeface="Times New Roman"/>
                    </a:defRPr>
                  </a:pPr>
                  <a:endParaRPr lang="ru-RU"/>
                </a:p>
              </c:txPr>
              <c:dLblPos val="bestFit"/>
              <c:showVal val="1"/>
            </c:dLbl>
            <c:dLbl>
              <c:idx val="4"/>
              <c:layout>
                <c:manualLayout>
                  <c:xMode val="edge"/>
                  <c:yMode val="edge"/>
                  <c:x val="9.9730458221024332E-2"/>
                  <c:y val="0.20329670329670341"/>
                </c:manualLayout>
              </c:layout>
              <c:numFmt formatCode="0.0%" sourceLinked="0"/>
              <c:spPr>
                <a:noFill/>
                <a:ln w="25348">
                  <a:noFill/>
                </a:ln>
              </c:spPr>
              <c:txPr>
                <a:bodyPr/>
                <a:lstStyle/>
                <a:p>
                  <a:pPr>
                    <a:defRPr sz="973" b="0" i="0" u="none" strike="noStrike" baseline="0">
                      <a:solidFill>
                        <a:srgbClr val="000000"/>
                      </a:solidFill>
                      <a:latin typeface="Times New Roman"/>
                      <a:ea typeface="Times New Roman"/>
                      <a:cs typeface="Times New Roman"/>
                    </a:defRPr>
                  </a:pPr>
                  <a:endParaRPr lang="ru-RU"/>
                </a:p>
              </c:txPr>
              <c:dLblPos val="bestFit"/>
              <c:showVal val="1"/>
            </c:dLbl>
            <c:dLbl>
              <c:idx val="5"/>
              <c:layout>
                <c:manualLayout>
                  <c:xMode val="edge"/>
                  <c:yMode val="edge"/>
                  <c:x val="0.10781671159029649"/>
                  <c:y val="8.241758241758243E-2"/>
                </c:manualLayout>
              </c:layout>
              <c:numFmt formatCode="0.0%" sourceLinked="0"/>
              <c:spPr>
                <a:noFill/>
                <a:ln w="25348">
                  <a:noFill/>
                </a:ln>
              </c:spPr>
              <c:txPr>
                <a:bodyPr/>
                <a:lstStyle/>
                <a:p>
                  <a:pPr>
                    <a:defRPr sz="973" b="0" i="0" u="none" strike="noStrike" baseline="0">
                      <a:solidFill>
                        <a:srgbClr val="000000"/>
                      </a:solidFill>
                      <a:latin typeface="Times New Roman"/>
                      <a:ea typeface="Times New Roman"/>
                      <a:cs typeface="Times New Roman"/>
                    </a:defRPr>
                  </a:pPr>
                  <a:endParaRPr lang="ru-RU"/>
                </a:p>
              </c:txPr>
              <c:dLblPos val="bestFit"/>
              <c:showVal val="1"/>
            </c:dLbl>
            <c:dLbl>
              <c:idx val="6"/>
              <c:layout>
                <c:manualLayout>
                  <c:xMode val="edge"/>
                  <c:yMode val="edge"/>
                  <c:x val="0.24797843665768207"/>
                  <c:y val="1.0989010989010993E-2"/>
                </c:manualLayout>
              </c:layout>
              <c:numFmt formatCode="0.0%" sourceLinked="0"/>
              <c:spPr>
                <a:noFill/>
                <a:ln w="25348">
                  <a:noFill/>
                </a:ln>
              </c:spPr>
              <c:txPr>
                <a:bodyPr/>
                <a:lstStyle/>
                <a:p>
                  <a:pPr>
                    <a:defRPr sz="973" b="0" i="0" u="none" strike="noStrike" baseline="0">
                      <a:solidFill>
                        <a:srgbClr val="000000"/>
                      </a:solidFill>
                      <a:latin typeface="Times New Roman"/>
                      <a:ea typeface="Times New Roman"/>
                      <a:cs typeface="Times New Roman"/>
                    </a:defRPr>
                  </a:pPr>
                  <a:endParaRPr lang="ru-RU"/>
                </a:p>
              </c:txPr>
              <c:dLblPos val="bestFit"/>
              <c:showVal val="1"/>
            </c:dLbl>
            <c:numFmt formatCode="0.0%" sourceLinked="0"/>
            <c:spPr>
              <a:noFill/>
              <a:ln w="25348">
                <a:noFill/>
              </a:ln>
            </c:spPr>
            <c:txPr>
              <a:bodyPr/>
              <a:lstStyle/>
              <a:p>
                <a:pPr>
                  <a:defRPr sz="798" b="0" i="0" u="none" strike="noStrike" baseline="0">
                    <a:solidFill>
                      <a:srgbClr val="000000"/>
                    </a:solidFill>
                    <a:latin typeface="Times New Roman"/>
                    <a:ea typeface="Times New Roman"/>
                    <a:cs typeface="Times New Roman"/>
                  </a:defRPr>
                </a:pPr>
                <a:endParaRPr lang="ru-RU"/>
              </a:p>
            </c:txPr>
            <c:showVal val="1"/>
            <c:showLeaderLines val="1"/>
          </c:dLbls>
          <c:cat>
            <c:strRef>
              <c:f>Sheet1!$B$1:$D$1</c:f>
              <c:strCache>
                <c:ptCount val="3"/>
                <c:pt idx="0">
                  <c:v>Cheltuieli de distribuire</c:v>
                </c:pt>
                <c:pt idx="1">
                  <c:v>Cheltuieli administrative</c:v>
                </c:pt>
                <c:pt idx="2">
                  <c:v>Alte cheltuieli din activitatea operaţională</c:v>
                </c:pt>
              </c:strCache>
            </c:strRef>
          </c:cat>
          <c:val>
            <c:numRef>
              <c:f>Sheet1!$B$2:$D$2</c:f>
              <c:numCache>
                <c:formatCode>0.00%</c:formatCode>
                <c:ptCount val="3"/>
                <c:pt idx="0">
                  <c:v>0.114</c:v>
                </c:pt>
                <c:pt idx="1">
                  <c:v>0.6660000000000007</c:v>
                </c:pt>
                <c:pt idx="2">
                  <c:v>0.22</c:v>
                </c:pt>
              </c:numCache>
            </c:numRef>
          </c:val>
        </c:ser>
        <c:dLbls>
          <c:showVal val="1"/>
        </c:dLbls>
      </c:pie3DChart>
      <c:spPr>
        <a:solidFill>
          <a:srgbClr val="FFFFFF"/>
        </a:solidFill>
        <a:ln w="12674">
          <a:solidFill>
            <a:srgbClr val="FFFFFF"/>
          </a:solidFill>
          <a:prstDash val="solid"/>
        </a:ln>
      </c:spPr>
    </c:plotArea>
    <c:legend>
      <c:legendPos val="b"/>
      <c:layout>
        <c:manualLayout>
          <c:xMode val="edge"/>
          <c:yMode val="edge"/>
          <c:x val="3.7735849056603821E-2"/>
          <c:y val="0.57142857142857206"/>
          <c:w val="0.95148247978436606"/>
          <c:h val="0.43406593406593408"/>
        </c:manualLayout>
      </c:layout>
      <c:spPr>
        <a:noFill/>
        <a:ln w="12674">
          <a:solidFill>
            <a:srgbClr val="FFFFFF"/>
          </a:solidFill>
          <a:prstDash val="solid"/>
        </a:ln>
      </c:spPr>
      <c:txPr>
        <a:bodyPr/>
        <a:lstStyle/>
        <a:p>
          <a:pPr>
            <a:defRPr sz="918"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798" b="1" i="0" u="none" strike="noStrike" baseline="0">
          <a:solidFill>
            <a:srgbClr val="000000"/>
          </a:solidFill>
          <a:latin typeface="Calibri"/>
          <a:ea typeface="Calibri"/>
          <a:cs typeface="Calibri"/>
        </a:defRPr>
      </a:pPr>
      <a:endParaRPr lang="ru-RU"/>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039701-7D97-4510-AD0A-04920DB35BA3}" type="doc">
      <dgm:prSet loTypeId="urn:microsoft.com/office/officeart/2005/8/layout/cycle2" loCatId="cycle" qsTypeId="urn:microsoft.com/office/officeart/2005/8/quickstyle/simple2" qsCatId="simple" csTypeId="urn:microsoft.com/office/officeart/2005/8/colors/accent1_2" csCatId="accent1" phldr="1"/>
      <dgm:spPr/>
      <dgm:t>
        <a:bodyPr/>
        <a:lstStyle/>
        <a:p>
          <a:endParaRPr lang="ru-RU"/>
        </a:p>
      </dgm:t>
    </dgm:pt>
    <dgm:pt modelId="{7F456019-3981-46E2-93D9-E0037967719A}">
      <dgm:prSet phldrT="[Текст]"/>
      <dgm:spPr/>
      <dgm:t>
        <a:bodyPr/>
        <a:lstStyle/>
        <a:p>
          <a:r>
            <a:rPr lang="ro-RO" b="0">
              <a:solidFill>
                <a:schemeClr val="bg2"/>
              </a:solidFill>
              <a:latin typeface="Times New Roman" pitchFamily="18" charset="0"/>
              <a:cs typeface="Times New Roman" pitchFamily="18" charset="0"/>
            </a:rPr>
            <a:t>Vînzarea produselor </a:t>
          </a:r>
        </a:p>
        <a:p>
          <a:r>
            <a:rPr lang="ro-RO" b="0">
              <a:solidFill>
                <a:schemeClr val="bg2"/>
              </a:solidFill>
              <a:latin typeface="Times New Roman" pitchFamily="18" charset="0"/>
              <a:cs typeface="Times New Roman" pitchFamily="18" charset="0"/>
            </a:rPr>
            <a:t>12,2% - 225,1 mil.lei</a:t>
          </a:r>
          <a:endParaRPr lang="ru-RU" b="0">
            <a:solidFill>
              <a:schemeClr val="bg2"/>
            </a:solidFill>
            <a:latin typeface="Times New Roman" pitchFamily="18" charset="0"/>
            <a:cs typeface="Times New Roman" pitchFamily="18" charset="0"/>
          </a:endParaRPr>
        </a:p>
      </dgm:t>
    </dgm:pt>
    <dgm:pt modelId="{A1880B31-2F15-4F96-8AB9-8CB9FF75A44E}" type="parTrans" cxnId="{AC358A02-B1B6-4237-B6A6-EB3C559159F3}">
      <dgm:prSet/>
      <dgm:spPr/>
      <dgm:t>
        <a:bodyPr/>
        <a:lstStyle/>
        <a:p>
          <a:endParaRPr lang="ru-RU" b="0">
            <a:solidFill>
              <a:schemeClr val="bg2"/>
            </a:solidFill>
            <a:latin typeface="Times New Roman" pitchFamily="18" charset="0"/>
            <a:cs typeface="Times New Roman" pitchFamily="18" charset="0"/>
          </a:endParaRPr>
        </a:p>
      </dgm:t>
    </dgm:pt>
    <dgm:pt modelId="{66919A53-ADFB-4727-8EE8-7E935EA2E0C4}" type="sibTrans" cxnId="{AC358A02-B1B6-4237-B6A6-EB3C559159F3}">
      <dgm:prSet/>
      <dgm:spPr/>
      <dgm:t>
        <a:bodyPr/>
        <a:lstStyle/>
        <a:p>
          <a:endParaRPr lang="ru-RU" b="0">
            <a:solidFill>
              <a:schemeClr val="bg2"/>
            </a:solidFill>
            <a:latin typeface="Times New Roman" pitchFamily="18" charset="0"/>
            <a:cs typeface="Times New Roman" pitchFamily="18" charset="0"/>
          </a:endParaRPr>
        </a:p>
      </dgm:t>
    </dgm:pt>
    <dgm:pt modelId="{1867A9AC-E2F6-4BB8-827A-71E4E964F8B1}">
      <dgm:prSet phldrT="[Текст]"/>
      <dgm:spPr/>
      <dgm:t>
        <a:bodyPr/>
        <a:lstStyle/>
        <a:p>
          <a:r>
            <a:rPr lang="ro-RO" b="0">
              <a:solidFill>
                <a:schemeClr val="bg2"/>
              </a:solidFill>
              <a:latin typeface="Times New Roman" pitchFamily="18" charset="0"/>
              <a:cs typeface="Times New Roman" pitchFamily="18" charset="0"/>
            </a:rPr>
            <a:t>Vînzarea mărfurilor 2,1% - 37,9 mil.lei</a:t>
          </a:r>
          <a:endParaRPr lang="ru-RU" b="0">
            <a:solidFill>
              <a:schemeClr val="bg2"/>
            </a:solidFill>
            <a:latin typeface="Times New Roman" pitchFamily="18" charset="0"/>
            <a:cs typeface="Times New Roman" pitchFamily="18" charset="0"/>
          </a:endParaRPr>
        </a:p>
      </dgm:t>
    </dgm:pt>
    <dgm:pt modelId="{21AC2C77-0B06-4105-9928-802DEC2CC199}" type="parTrans" cxnId="{77745F70-9512-49A9-8AC6-4AFE393390AB}">
      <dgm:prSet/>
      <dgm:spPr/>
      <dgm:t>
        <a:bodyPr/>
        <a:lstStyle/>
        <a:p>
          <a:endParaRPr lang="ru-RU" b="0">
            <a:solidFill>
              <a:schemeClr val="bg2"/>
            </a:solidFill>
            <a:latin typeface="Times New Roman" pitchFamily="18" charset="0"/>
            <a:cs typeface="Times New Roman" pitchFamily="18" charset="0"/>
          </a:endParaRPr>
        </a:p>
      </dgm:t>
    </dgm:pt>
    <dgm:pt modelId="{EC54ECFF-79C5-4A19-B5D5-6EC775831F07}" type="sibTrans" cxnId="{77745F70-9512-49A9-8AC6-4AFE393390AB}">
      <dgm:prSet/>
      <dgm:spPr/>
      <dgm:t>
        <a:bodyPr/>
        <a:lstStyle/>
        <a:p>
          <a:endParaRPr lang="ru-RU" b="0">
            <a:solidFill>
              <a:schemeClr val="bg2"/>
            </a:solidFill>
            <a:latin typeface="Times New Roman" pitchFamily="18" charset="0"/>
            <a:cs typeface="Times New Roman" pitchFamily="18" charset="0"/>
          </a:endParaRPr>
        </a:p>
      </dgm:t>
    </dgm:pt>
    <dgm:pt modelId="{0F0A0BA6-64B2-42E3-8F52-45C5813C9176}">
      <dgm:prSet phldrT="[Текст]"/>
      <dgm:spPr/>
      <dgm:t>
        <a:bodyPr/>
        <a:lstStyle/>
        <a:p>
          <a:r>
            <a:rPr lang="ro-RO" b="0">
              <a:solidFill>
                <a:schemeClr val="bg2"/>
              </a:solidFill>
              <a:latin typeface="Times New Roman" pitchFamily="18" charset="0"/>
              <a:cs typeface="Times New Roman" pitchFamily="18" charset="0"/>
            </a:rPr>
            <a:t>Prestarea serviciilor 82,2% -           1 517,2 mil.lei</a:t>
          </a:r>
          <a:endParaRPr lang="ru-RU" b="0">
            <a:solidFill>
              <a:schemeClr val="bg2"/>
            </a:solidFill>
            <a:latin typeface="Times New Roman" pitchFamily="18" charset="0"/>
            <a:cs typeface="Times New Roman" pitchFamily="18" charset="0"/>
          </a:endParaRPr>
        </a:p>
      </dgm:t>
    </dgm:pt>
    <dgm:pt modelId="{C3713A86-3E25-41C6-B6C8-010301B24B09}" type="parTrans" cxnId="{B36569BA-4360-44E9-99BC-74B612A9BE9E}">
      <dgm:prSet/>
      <dgm:spPr/>
      <dgm:t>
        <a:bodyPr/>
        <a:lstStyle/>
        <a:p>
          <a:endParaRPr lang="ru-RU" b="0">
            <a:solidFill>
              <a:schemeClr val="bg2"/>
            </a:solidFill>
            <a:latin typeface="Times New Roman" pitchFamily="18" charset="0"/>
            <a:cs typeface="Times New Roman" pitchFamily="18" charset="0"/>
          </a:endParaRPr>
        </a:p>
      </dgm:t>
    </dgm:pt>
    <dgm:pt modelId="{2C85B37D-A1E1-469D-B697-0445AFB614F2}" type="sibTrans" cxnId="{B36569BA-4360-44E9-99BC-74B612A9BE9E}">
      <dgm:prSet/>
      <dgm:spPr/>
      <dgm:t>
        <a:bodyPr/>
        <a:lstStyle/>
        <a:p>
          <a:endParaRPr lang="ru-RU" b="0">
            <a:solidFill>
              <a:schemeClr val="bg2"/>
            </a:solidFill>
            <a:latin typeface="Times New Roman" pitchFamily="18" charset="0"/>
            <a:cs typeface="Times New Roman" pitchFamily="18" charset="0"/>
          </a:endParaRPr>
        </a:p>
      </dgm:t>
    </dgm:pt>
    <dgm:pt modelId="{C7439F33-04C8-4F9D-85A2-9DCAF22D961B}">
      <dgm:prSet phldrT="[Текст]"/>
      <dgm:spPr/>
      <dgm:t>
        <a:bodyPr/>
        <a:lstStyle/>
        <a:p>
          <a:r>
            <a:rPr lang="ro-RO" b="0">
              <a:solidFill>
                <a:schemeClr val="bg2"/>
              </a:solidFill>
              <a:latin typeface="Times New Roman" pitchFamily="18" charset="0"/>
              <a:cs typeface="Times New Roman" pitchFamily="18" charset="0"/>
            </a:rPr>
            <a:t>Contracte de costrucţie - 0,1% - 2,7 mil.lei</a:t>
          </a:r>
          <a:endParaRPr lang="ru-RU" b="0">
            <a:solidFill>
              <a:schemeClr val="bg2"/>
            </a:solidFill>
            <a:latin typeface="Times New Roman" pitchFamily="18" charset="0"/>
            <a:cs typeface="Times New Roman" pitchFamily="18" charset="0"/>
          </a:endParaRPr>
        </a:p>
      </dgm:t>
    </dgm:pt>
    <dgm:pt modelId="{4CA267EB-A239-442B-B4A6-9D6296C5467F}" type="parTrans" cxnId="{66AE0909-2BCD-4FE9-97A9-1EF37ED2D353}">
      <dgm:prSet/>
      <dgm:spPr/>
      <dgm:t>
        <a:bodyPr/>
        <a:lstStyle/>
        <a:p>
          <a:endParaRPr lang="ru-RU" b="0">
            <a:solidFill>
              <a:schemeClr val="bg2"/>
            </a:solidFill>
            <a:latin typeface="Times New Roman" pitchFamily="18" charset="0"/>
            <a:cs typeface="Times New Roman" pitchFamily="18" charset="0"/>
          </a:endParaRPr>
        </a:p>
      </dgm:t>
    </dgm:pt>
    <dgm:pt modelId="{BB6E901A-CF6E-4A2C-B070-C7BD8A157F27}" type="sibTrans" cxnId="{66AE0909-2BCD-4FE9-97A9-1EF37ED2D353}">
      <dgm:prSet/>
      <dgm:spPr/>
      <dgm:t>
        <a:bodyPr/>
        <a:lstStyle/>
        <a:p>
          <a:endParaRPr lang="ru-RU" b="0">
            <a:solidFill>
              <a:schemeClr val="bg2"/>
            </a:solidFill>
            <a:latin typeface="Times New Roman" pitchFamily="18" charset="0"/>
            <a:cs typeface="Times New Roman" pitchFamily="18" charset="0"/>
          </a:endParaRPr>
        </a:p>
      </dgm:t>
    </dgm:pt>
    <dgm:pt modelId="{66F253AC-A2E8-4413-ACFC-A71656E2C1D9}">
      <dgm:prSet phldrT="[Текст]"/>
      <dgm:spPr/>
      <dgm:t>
        <a:bodyPr/>
        <a:lstStyle/>
        <a:p>
          <a:r>
            <a:rPr lang="ro-RO" b="0">
              <a:solidFill>
                <a:schemeClr val="bg2"/>
              </a:solidFill>
              <a:latin typeface="Times New Roman" pitchFamily="18" charset="0"/>
              <a:cs typeface="Times New Roman" pitchFamily="18" charset="0"/>
            </a:rPr>
            <a:t>Locaţiune - 3,4% - 63,6 mil.lei</a:t>
          </a:r>
          <a:endParaRPr lang="ru-RU" b="0">
            <a:solidFill>
              <a:schemeClr val="bg2"/>
            </a:solidFill>
            <a:latin typeface="Times New Roman" pitchFamily="18" charset="0"/>
            <a:cs typeface="Times New Roman" pitchFamily="18" charset="0"/>
          </a:endParaRPr>
        </a:p>
      </dgm:t>
    </dgm:pt>
    <dgm:pt modelId="{B12C9765-7742-49C4-B433-4FC48D8F160F}" type="parTrans" cxnId="{C451ADCE-96E4-4629-8F67-4F0E8E3B06D6}">
      <dgm:prSet/>
      <dgm:spPr/>
      <dgm:t>
        <a:bodyPr/>
        <a:lstStyle/>
        <a:p>
          <a:endParaRPr lang="ru-RU" b="0">
            <a:solidFill>
              <a:schemeClr val="bg2"/>
            </a:solidFill>
            <a:latin typeface="Times New Roman" pitchFamily="18" charset="0"/>
            <a:cs typeface="Times New Roman" pitchFamily="18" charset="0"/>
          </a:endParaRPr>
        </a:p>
      </dgm:t>
    </dgm:pt>
    <dgm:pt modelId="{72159B5C-D1F5-43BE-9B30-1EBF6B1B3F27}" type="sibTrans" cxnId="{C451ADCE-96E4-4629-8F67-4F0E8E3B06D6}">
      <dgm:prSet/>
      <dgm:spPr/>
      <dgm:t>
        <a:bodyPr/>
        <a:lstStyle/>
        <a:p>
          <a:endParaRPr lang="ru-RU" b="0">
            <a:solidFill>
              <a:schemeClr val="bg2"/>
            </a:solidFill>
            <a:latin typeface="Times New Roman" pitchFamily="18" charset="0"/>
            <a:cs typeface="Times New Roman" pitchFamily="18" charset="0"/>
          </a:endParaRPr>
        </a:p>
      </dgm:t>
    </dgm:pt>
    <dgm:pt modelId="{67323350-7795-45F0-8390-504720C2AA48}" type="pres">
      <dgm:prSet presAssocID="{64039701-7D97-4510-AD0A-04920DB35BA3}" presName="cycle" presStyleCnt="0">
        <dgm:presLayoutVars>
          <dgm:dir/>
          <dgm:resizeHandles val="exact"/>
        </dgm:presLayoutVars>
      </dgm:prSet>
      <dgm:spPr/>
      <dgm:t>
        <a:bodyPr/>
        <a:lstStyle/>
        <a:p>
          <a:endParaRPr lang="ru-RU"/>
        </a:p>
      </dgm:t>
    </dgm:pt>
    <dgm:pt modelId="{C9AFE4FB-35F9-4906-B53E-DE2DEA2BAD83}" type="pres">
      <dgm:prSet presAssocID="{7F456019-3981-46E2-93D9-E0037967719A}" presName="node" presStyleLbl="node1" presStyleIdx="0" presStyleCnt="5">
        <dgm:presLayoutVars>
          <dgm:bulletEnabled val="1"/>
        </dgm:presLayoutVars>
      </dgm:prSet>
      <dgm:spPr/>
      <dgm:t>
        <a:bodyPr/>
        <a:lstStyle/>
        <a:p>
          <a:endParaRPr lang="ru-RU"/>
        </a:p>
      </dgm:t>
    </dgm:pt>
    <dgm:pt modelId="{757B03F3-C1D2-44BB-8B44-30E326B6C042}" type="pres">
      <dgm:prSet presAssocID="{66919A53-ADFB-4727-8EE8-7E935EA2E0C4}" presName="sibTrans" presStyleLbl="sibTrans2D1" presStyleIdx="0" presStyleCnt="5"/>
      <dgm:spPr/>
      <dgm:t>
        <a:bodyPr/>
        <a:lstStyle/>
        <a:p>
          <a:endParaRPr lang="ru-RU"/>
        </a:p>
      </dgm:t>
    </dgm:pt>
    <dgm:pt modelId="{A58FCE6C-3665-4DF5-BB73-5811127EDC03}" type="pres">
      <dgm:prSet presAssocID="{66919A53-ADFB-4727-8EE8-7E935EA2E0C4}" presName="connectorText" presStyleLbl="sibTrans2D1" presStyleIdx="0" presStyleCnt="5"/>
      <dgm:spPr/>
      <dgm:t>
        <a:bodyPr/>
        <a:lstStyle/>
        <a:p>
          <a:endParaRPr lang="ru-RU"/>
        </a:p>
      </dgm:t>
    </dgm:pt>
    <dgm:pt modelId="{567DD1CF-6906-4BD2-A6BA-0F6D0D3C2FB3}" type="pres">
      <dgm:prSet presAssocID="{1867A9AC-E2F6-4BB8-827A-71E4E964F8B1}" presName="node" presStyleLbl="node1" presStyleIdx="1" presStyleCnt="5">
        <dgm:presLayoutVars>
          <dgm:bulletEnabled val="1"/>
        </dgm:presLayoutVars>
      </dgm:prSet>
      <dgm:spPr/>
      <dgm:t>
        <a:bodyPr/>
        <a:lstStyle/>
        <a:p>
          <a:endParaRPr lang="ru-RU"/>
        </a:p>
      </dgm:t>
    </dgm:pt>
    <dgm:pt modelId="{5D7D57B6-9A68-4312-A081-E5AD3B0F9A3F}" type="pres">
      <dgm:prSet presAssocID="{EC54ECFF-79C5-4A19-B5D5-6EC775831F07}" presName="sibTrans" presStyleLbl="sibTrans2D1" presStyleIdx="1" presStyleCnt="5"/>
      <dgm:spPr/>
      <dgm:t>
        <a:bodyPr/>
        <a:lstStyle/>
        <a:p>
          <a:endParaRPr lang="ru-RU"/>
        </a:p>
      </dgm:t>
    </dgm:pt>
    <dgm:pt modelId="{B7E852FA-1667-414E-A55A-E00FBEAA3F8E}" type="pres">
      <dgm:prSet presAssocID="{EC54ECFF-79C5-4A19-B5D5-6EC775831F07}" presName="connectorText" presStyleLbl="sibTrans2D1" presStyleIdx="1" presStyleCnt="5"/>
      <dgm:spPr/>
      <dgm:t>
        <a:bodyPr/>
        <a:lstStyle/>
        <a:p>
          <a:endParaRPr lang="ru-RU"/>
        </a:p>
      </dgm:t>
    </dgm:pt>
    <dgm:pt modelId="{77094293-CDF3-4E2B-831E-8D554368E4E9}" type="pres">
      <dgm:prSet presAssocID="{0F0A0BA6-64B2-42E3-8F52-45C5813C9176}" presName="node" presStyleLbl="node1" presStyleIdx="2" presStyleCnt="5">
        <dgm:presLayoutVars>
          <dgm:bulletEnabled val="1"/>
        </dgm:presLayoutVars>
      </dgm:prSet>
      <dgm:spPr/>
      <dgm:t>
        <a:bodyPr/>
        <a:lstStyle/>
        <a:p>
          <a:endParaRPr lang="ru-RU"/>
        </a:p>
      </dgm:t>
    </dgm:pt>
    <dgm:pt modelId="{618406B6-56E5-4694-984A-CEC5E7F490A4}" type="pres">
      <dgm:prSet presAssocID="{2C85B37D-A1E1-469D-B697-0445AFB614F2}" presName="sibTrans" presStyleLbl="sibTrans2D1" presStyleIdx="2" presStyleCnt="5"/>
      <dgm:spPr/>
      <dgm:t>
        <a:bodyPr/>
        <a:lstStyle/>
        <a:p>
          <a:endParaRPr lang="ru-RU"/>
        </a:p>
      </dgm:t>
    </dgm:pt>
    <dgm:pt modelId="{F7344A76-70E3-4110-B2FF-05A5B975A86C}" type="pres">
      <dgm:prSet presAssocID="{2C85B37D-A1E1-469D-B697-0445AFB614F2}" presName="connectorText" presStyleLbl="sibTrans2D1" presStyleIdx="2" presStyleCnt="5"/>
      <dgm:spPr/>
      <dgm:t>
        <a:bodyPr/>
        <a:lstStyle/>
        <a:p>
          <a:endParaRPr lang="ru-RU"/>
        </a:p>
      </dgm:t>
    </dgm:pt>
    <dgm:pt modelId="{916F7404-F84A-4038-82D7-576F4FCD438F}" type="pres">
      <dgm:prSet presAssocID="{C7439F33-04C8-4F9D-85A2-9DCAF22D961B}" presName="node" presStyleLbl="node1" presStyleIdx="3" presStyleCnt="5">
        <dgm:presLayoutVars>
          <dgm:bulletEnabled val="1"/>
        </dgm:presLayoutVars>
      </dgm:prSet>
      <dgm:spPr/>
      <dgm:t>
        <a:bodyPr/>
        <a:lstStyle/>
        <a:p>
          <a:endParaRPr lang="ru-RU"/>
        </a:p>
      </dgm:t>
    </dgm:pt>
    <dgm:pt modelId="{CAA74AD9-71A8-4F75-B346-0F46FAC7414D}" type="pres">
      <dgm:prSet presAssocID="{BB6E901A-CF6E-4A2C-B070-C7BD8A157F27}" presName="sibTrans" presStyleLbl="sibTrans2D1" presStyleIdx="3" presStyleCnt="5"/>
      <dgm:spPr/>
      <dgm:t>
        <a:bodyPr/>
        <a:lstStyle/>
        <a:p>
          <a:endParaRPr lang="ru-RU"/>
        </a:p>
      </dgm:t>
    </dgm:pt>
    <dgm:pt modelId="{E2F967CC-042C-49F2-8AF0-379755F8B294}" type="pres">
      <dgm:prSet presAssocID="{BB6E901A-CF6E-4A2C-B070-C7BD8A157F27}" presName="connectorText" presStyleLbl="sibTrans2D1" presStyleIdx="3" presStyleCnt="5"/>
      <dgm:spPr/>
      <dgm:t>
        <a:bodyPr/>
        <a:lstStyle/>
        <a:p>
          <a:endParaRPr lang="ru-RU"/>
        </a:p>
      </dgm:t>
    </dgm:pt>
    <dgm:pt modelId="{421A0A91-5B46-4D55-893A-E864D7460BEA}" type="pres">
      <dgm:prSet presAssocID="{66F253AC-A2E8-4413-ACFC-A71656E2C1D9}" presName="node" presStyleLbl="node1" presStyleIdx="4" presStyleCnt="5">
        <dgm:presLayoutVars>
          <dgm:bulletEnabled val="1"/>
        </dgm:presLayoutVars>
      </dgm:prSet>
      <dgm:spPr/>
      <dgm:t>
        <a:bodyPr/>
        <a:lstStyle/>
        <a:p>
          <a:endParaRPr lang="ru-RU"/>
        </a:p>
      </dgm:t>
    </dgm:pt>
    <dgm:pt modelId="{DF7DAA0D-BE0E-4B9E-A27A-2D340F62CA4D}" type="pres">
      <dgm:prSet presAssocID="{72159B5C-D1F5-43BE-9B30-1EBF6B1B3F27}" presName="sibTrans" presStyleLbl="sibTrans2D1" presStyleIdx="4" presStyleCnt="5"/>
      <dgm:spPr/>
      <dgm:t>
        <a:bodyPr/>
        <a:lstStyle/>
        <a:p>
          <a:endParaRPr lang="ru-RU"/>
        </a:p>
      </dgm:t>
    </dgm:pt>
    <dgm:pt modelId="{AFF12FBF-D0AA-4D0E-8F95-F3E5211D1259}" type="pres">
      <dgm:prSet presAssocID="{72159B5C-D1F5-43BE-9B30-1EBF6B1B3F27}" presName="connectorText" presStyleLbl="sibTrans2D1" presStyleIdx="4" presStyleCnt="5"/>
      <dgm:spPr/>
      <dgm:t>
        <a:bodyPr/>
        <a:lstStyle/>
        <a:p>
          <a:endParaRPr lang="ru-RU"/>
        </a:p>
      </dgm:t>
    </dgm:pt>
  </dgm:ptLst>
  <dgm:cxnLst>
    <dgm:cxn modelId="{D4F30EFE-F4AE-4DD8-9F9B-74F0A33D0E73}" type="presOf" srcId="{66919A53-ADFB-4727-8EE8-7E935EA2E0C4}" destId="{A58FCE6C-3665-4DF5-BB73-5811127EDC03}" srcOrd="1" destOrd="0" presId="urn:microsoft.com/office/officeart/2005/8/layout/cycle2"/>
    <dgm:cxn modelId="{0D691B36-E47C-454A-98CB-90381DCE99BD}" type="presOf" srcId="{BB6E901A-CF6E-4A2C-B070-C7BD8A157F27}" destId="{CAA74AD9-71A8-4F75-B346-0F46FAC7414D}" srcOrd="0" destOrd="0" presId="urn:microsoft.com/office/officeart/2005/8/layout/cycle2"/>
    <dgm:cxn modelId="{AC358A02-B1B6-4237-B6A6-EB3C559159F3}" srcId="{64039701-7D97-4510-AD0A-04920DB35BA3}" destId="{7F456019-3981-46E2-93D9-E0037967719A}" srcOrd="0" destOrd="0" parTransId="{A1880B31-2F15-4F96-8AB9-8CB9FF75A44E}" sibTransId="{66919A53-ADFB-4727-8EE8-7E935EA2E0C4}"/>
    <dgm:cxn modelId="{6A692DC1-36D8-4BEA-BAF5-25F630C00125}" type="presOf" srcId="{2C85B37D-A1E1-469D-B697-0445AFB614F2}" destId="{F7344A76-70E3-4110-B2FF-05A5B975A86C}" srcOrd="1" destOrd="0" presId="urn:microsoft.com/office/officeart/2005/8/layout/cycle2"/>
    <dgm:cxn modelId="{B9269313-7E6D-4701-9690-BE6B65DD4B3B}" type="presOf" srcId="{1867A9AC-E2F6-4BB8-827A-71E4E964F8B1}" destId="{567DD1CF-6906-4BD2-A6BA-0F6D0D3C2FB3}" srcOrd="0" destOrd="0" presId="urn:microsoft.com/office/officeart/2005/8/layout/cycle2"/>
    <dgm:cxn modelId="{38E3F645-7062-47D5-841B-93F20E13DE3C}" type="presOf" srcId="{72159B5C-D1F5-43BE-9B30-1EBF6B1B3F27}" destId="{AFF12FBF-D0AA-4D0E-8F95-F3E5211D1259}" srcOrd="1" destOrd="0" presId="urn:microsoft.com/office/officeart/2005/8/layout/cycle2"/>
    <dgm:cxn modelId="{C451ADCE-96E4-4629-8F67-4F0E8E3B06D6}" srcId="{64039701-7D97-4510-AD0A-04920DB35BA3}" destId="{66F253AC-A2E8-4413-ACFC-A71656E2C1D9}" srcOrd="4" destOrd="0" parTransId="{B12C9765-7742-49C4-B433-4FC48D8F160F}" sibTransId="{72159B5C-D1F5-43BE-9B30-1EBF6B1B3F27}"/>
    <dgm:cxn modelId="{77745F70-9512-49A9-8AC6-4AFE393390AB}" srcId="{64039701-7D97-4510-AD0A-04920DB35BA3}" destId="{1867A9AC-E2F6-4BB8-827A-71E4E964F8B1}" srcOrd="1" destOrd="0" parTransId="{21AC2C77-0B06-4105-9928-802DEC2CC199}" sibTransId="{EC54ECFF-79C5-4A19-B5D5-6EC775831F07}"/>
    <dgm:cxn modelId="{85E70386-5A86-4CF9-8D15-ACC26855A5A0}" type="presOf" srcId="{66919A53-ADFB-4727-8EE8-7E935EA2E0C4}" destId="{757B03F3-C1D2-44BB-8B44-30E326B6C042}" srcOrd="0" destOrd="0" presId="urn:microsoft.com/office/officeart/2005/8/layout/cycle2"/>
    <dgm:cxn modelId="{B36569BA-4360-44E9-99BC-74B612A9BE9E}" srcId="{64039701-7D97-4510-AD0A-04920DB35BA3}" destId="{0F0A0BA6-64B2-42E3-8F52-45C5813C9176}" srcOrd="2" destOrd="0" parTransId="{C3713A86-3E25-41C6-B6C8-010301B24B09}" sibTransId="{2C85B37D-A1E1-469D-B697-0445AFB614F2}"/>
    <dgm:cxn modelId="{85093C25-F21E-42A0-A83C-3A512568A3D8}" type="presOf" srcId="{7F456019-3981-46E2-93D9-E0037967719A}" destId="{C9AFE4FB-35F9-4906-B53E-DE2DEA2BAD83}" srcOrd="0" destOrd="0" presId="urn:microsoft.com/office/officeart/2005/8/layout/cycle2"/>
    <dgm:cxn modelId="{66AE0909-2BCD-4FE9-97A9-1EF37ED2D353}" srcId="{64039701-7D97-4510-AD0A-04920DB35BA3}" destId="{C7439F33-04C8-4F9D-85A2-9DCAF22D961B}" srcOrd="3" destOrd="0" parTransId="{4CA267EB-A239-442B-B4A6-9D6296C5467F}" sibTransId="{BB6E901A-CF6E-4A2C-B070-C7BD8A157F27}"/>
    <dgm:cxn modelId="{1C590EFF-310B-48FC-BDF1-0F80CBDF44BF}" type="presOf" srcId="{66F253AC-A2E8-4413-ACFC-A71656E2C1D9}" destId="{421A0A91-5B46-4D55-893A-E864D7460BEA}" srcOrd="0" destOrd="0" presId="urn:microsoft.com/office/officeart/2005/8/layout/cycle2"/>
    <dgm:cxn modelId="{148A2132-D7F7-4C80-B2AC-D58521A729D9}" type="presOf" srcId="{2C85B37D-A1E1-469D-B697-0445AFB614F2}" destId="{618406B6-56E5-4694-984A-CEC5E7F490A4}" srcOrd="0" destOrd="0" presId="urn:microsoft.com/office/officeart/2005/8/layout/cycle2"/>
    <dgm:cxn modelId="{CEB95419-8E66-4670-98BE-C6EA9535D1F2}" type="presOf" srcId="{72159B5C-D1F5-43BE-9B30-1EBF6B1B3F27}" destId="{DF7DAA0D-BE0E-4B9E-A27A-2D340F62CA4D}" srcOrd="0" destOrd="0" presId="urn:microsoft.com/office/officeart/2005/8/layout/cycle2"/>
    <dgm:cxn modelId="{DB429832-18EA-46D2-BB52-AB9A4221CA44}" type="presOf" srcId="{EC54ECFF-79C5-4A19-B5D5-6EC775831F07}" destId="{B7E852FA-1667-414E-A55A-E00FBEAA3F8E}" srcOrd="1" destOrd="0" presId="urn:microsoft.com/office/officeart/2005/8/layout/cycle2"/>
    <dgm:cxn modelId="{C554B881-3899-4992-9B6D-7F40DE1F3DB0}" type="presOf" srcId="{64039701-7D97-4510-AD0A-04920DB35BA3}" destId="{67323350-7795-45F0-8390-504720C2AA48}" srcOrd="0" destOrd="0" presId="urn:microsoft.com/office/officeart/2005/8/layout/cycle2"/>
    <dgm:cxn modelId="{8543AD35-5674-4815-B1E5-587090BA88F2}" type="presOf" srcId="{BB6E901A-CF6E-4A2C-B070-C7BD8A157F27}" destId="{E2F967CC-042C-49F2-8AF0-379755F8B294}" srcOrd="1" destOrd="0" presId="urn:microsoft.com/office/officeart/2005/8/layout/cycle2"/>
    <dgm:cxn modelId="{3C96F973-BF80-45F2-B29C-C50E2F6E8141}" type="presOf" srcId="{EC54ECFF-79C5-4A19-B5D5-6EC775831F07}" destId="{5D7D57B6-9A68-4312-A081-E5AD3B0F9A3F}" srcOrd="0" destOrd="0" presId="urn:microsoft.com/office/officeart/2005/8/layout/cycle2"/>
    <dgm:cxn modelId="{BB4F3C17-7FC6-4581-9F56-3BDF88971062}" type="presOf" srcId="{C7439F33-04C8-4F9D-85A2-9DCAF22D961B}" destId="{916F7404-F84A-4038-82D7-576F4FCD438F}" srcOrd="0" destOrd="0" presId="urn:microsoft.com/office/officeart/2005/8/layout/cycle2"/>
    <dgm:cxn modelId="{E01570F3-B086-41B8-A863-6253137A0BC1}" type="presOf" srcId="{0F0A0BA6-64B2-42E3-8F52-45C5813C9176}" destId="{77094293-CDF3-4E2B-831E-8D554368E4E9}" srcOrd="0" destOrd="0" presId="urn:microsoft.com/office/officeart/2005/8/layout/cycle2"/>
    <dgm:cxn modelId="{EAE02758-720C-4987-97A3-F6E0E7C1A6A9}" type="presParOf" srcId="{67323350-7795-45F0-8390-504720C2AA48}" destId="{C9AFE4FB-35F9-4906-B53E-DE2DEA2BAD83}" srcOrd="0" destOrd="0" presId="urn:microsoft.com/office/officeart/2005/8/layout/cycle2"/>
    <dgm:cxn modelId="{F903EFEC-DB82-4AA2-AAB3-3C4B98B31401}" type="presParOf" srcId="{67323350-7795-45F0-8390-504720C2AA48}" destId="{757B03F3-C1D2-44BB-8B44-30E326B6C042}" srcOrd="1" destOrd="0" presId="urn:microsoft.com/office/officeart/2005/8/layout/cycle2"/>
    <dgm:cxn modelId="{B0D715A6-F3D8-4FE1-A639-0FAAC88A1157}" type="presParOf" srcId="{757B03F3-C1D2-44BB-8B44-30E326B6C042}" destId="{A58FCE6C-3665-4DF5-BB73-5811127EDC03}" srcOrd="0" destOrd="0" presId="urn:microsoft.com/office/officeart/2005/8/layout/cycle2"/>
    <dgm:cxn modelId="{207A4426-DD2B-44B1-8C35-2ACA4A0ED0FA}" type="presParOf" srcId="{67323350-7795-45F0-8390-504720C2AA48}" destId="{567DD1CF-6906-4BD2-A6BA-0F6D0D3C2FB3}" srcOrd="2" destOrd="0" presId="urn:microsoft.com/office/officeart/2005/8/layout/cycle2"/>
    <dgm:cxn modelId="{B07F4FCE-AF28-4A8B-82E8-3F27A9210AB1}" type="presParOf" srcId="{67323350-7795-45F0-8390-504720C2AA48}" destId="{5D7D57B6-9A68-4312-A081-E5AD3B0F9A3F}" srcOrd="3" destOrd="0" presId="urn:microsoft.com/office/officeart/2005/8/layout/cycle2"/>
    <dgm:cxn modelId="{67CD6165-7B95-4189-B1A6-300EA827BAE6}" type="presParOf" srcId="{5D7D57B6-9A68-4312-A081-E5AD3B0F9A3F}" destId="{B7E852FA-1667-414E-A55A-E00FBEAA3F8E}" srcOrd="0" destOrd="0" presId="urn:microsoft.com/office/officeart/2005/8/layout/cycle2"/>
    <dgm:cxn modelId="{EB070617-6957-4588-A7E2-16290692A231}" type="presParOf" srcId="{67323350-7795-45F0-8390-504720C2AA48}" destId="{77094293-CDF3-4E2B-831E-8D554368E4E9}" srcOrd="4" destOrd="0" presId="urn:microsoft.com/office/officeart/2005/8/layout/cycle2"/>
    <dgm:cxn modelId="{57CC29D2-DA34-45CA-AAD5-79D3B849580F}" type="presParOf" srcId="{67323350-7795-45F0-8390-504720C2AA48}" destId="{618406B6-56E5-4694-984A-CEC5E7F490A4}" srcOrd="5" destOrd="0" presId="urn:microsoft.com/office/officeart/2005/8/layout/cycle2"/>
    <dgm:cxn modelId="{CE06E60F-2060-4CCF-A744-D8AEEFA19C87}" type="presParOf" srcId="{618406B6-56E5-4694-984A-CEC5E7F490A4}" destId="{F7344A76-70E3-4110-B2FF-05A5B975A86C}" srcOrd="0" destOrd="0" presId="urn:microsoft.com/office/officeart/2005/8/layout/cycle2"/>
    <dgm:cxn modelId="{699DA0D4-E154-4F3C-B45C-4267B3C4DB35}" type="presParOf" srcId="{67323350-7795-45F0-8390-504720C2AA48}" destId="{916F7404-F84A-4038-82D7-576F4FCD438F}" srcOrd="6" destOrd="0" presId="urn:microsoft.com/office/officeart/2005/8/layout/cycle2"/>
    <dgm:cxn modelId="{10139D44-4770-45F7-BDA4-800D73E5D84A}" type="presParOf" srcId="{67323350-7795-45F0-8390-504720C2AA48}" destId="{CAA74AD9-71A8-4F75-B346-0F46FAC7414D}" srcOrd="7" destOrd="0" presId="urn:microsoft.com/office/officeart/2005/8/layout/cycle2"/>
    <dgm:cxn modelId="{8DAB3EA7-B62D-4A6C-91B8-F6680D65555A}" type="presParOf" srcId="{CAA74AD9-71A8-4F75-B346-0F46FAC7414D}" destId="{E2F967CC-042C-49F2-8AF0-379755F8B294}" srcOrd="0" destOrd="0" presId="urn:microsoft.com/office/officeart/2005/8/layout/cycle2"/>
    <dgm:cxn modelId="{3604370E-BF50-447D-B10E-839639EABA59}" type="presParOf" srcId="{67323350-7795-45F0-8390-504720C2AA48}" destId="{421A0A91-5B46-4D55-893A-E864D7460BEA}" srcOrd="8" destOrd="0" presId="urn:microsoft.com/office/officeart/2005/8/layout/cycle2"/>
    <dgm:cxn modelId="{C8FAAFE5-E4F8-4B13-A9A1-FCCA615FDC99}" type="presParOf" srcId="{67323350-7795-45F0-8390-504720C2AA48}" destId="{DF7DAA0D-BE0E-4B9E-A27A-2D340F62CA4D}" srcOrd="9" destOrd="0" presId="urn:microsoft.com/office/officeart/2005/8/layout/cycle2"/>
    <dgm:cxn modelId="{689DB2C6-BF10-4978-A373-4D0C54389645}" type="presParOf" srcId="{DF7DAA0D-BE0E-4B9E-A27A-2D340F62CA4D}" destId="{AFF12FBF-D0AA-4D0E-8F95-F3E5211D1259}" srcOrd="0" destOrd="0" presId="urn:microsoft.com/office/officeart/2005/8/layout/cycle2"/>
  </dgm:cxnLst>
  <dgm:bg/>
  <dgm:whole/>
</dgm:dataModel>
</file>

<file path=word/diagrams/data2.xml><?xml version="1.0" encoding="utf-8"?>
<dgm:dataModel xmlns:dgm="http://schemas.openxmlformats.org/drawingml/2006/diagram" xmlns:a="http://schemas.openxmlformats.org/drawingml/2006/main">
  <dgm:ptLst>
    <dgm:pt modelId="{ABFF53CC-3229-46F2-975D-048E1837CE14}" type="doc">
      <dgm:prSet loTypeId="urn:microsoft.com/office/officeart/2005/8/layout/radial1" loCatId="relationship" qsTypeId="urn:microsoft.com/office/officeart/2005/8/quickstyle/simple1" qsCatId="simple" csTypeId="urn:microsoft.com/office/officeart/2005/8/colors/accent2_1" csCatId="accent2" phldr="1"/>
      <dgm:spPr/>
    </dgm:pt>
    <dgm:pt modelId="{874F1D6B-635B-4AAD-AE7B-B6F46752C45D}">
      <dgm:prSet custT="1"/>
      <dgm:spPr/>
      <dgm:t>
        <a:bodyPr/>
        <a:lstStyle/>
        <a:p>
          <a:pPr marR="0" algn="ctr" rtl="0"/>
          <a:r>
            <a:rPr lang="vi-VN" sz="800" b="1" baseline="0" smtClean="0">
              <a:latin typeface="+mj-lt"/>
            </a:rPr>
            <a:t>Venituri din vînzări</a:t>
          </a:r>
        </a:p>
        <a:p>
          <a:pPr marR="0" algn="ctr" rtl="0"/>
          <a:r>
            <a:rPr lang="ru-RU" sz="800" b="1" baseline="0" smtClean="0">
              <a:latin typeface="Times New Roman" pitchFamily="18" charset="0"/>
              <a:cs typeface="Times New Roman" pitchFamily="18" charset="0"/>
            </a:rPr>
            <a:t>100%</a:t>
          </a:r>
        </a:p>
        <a:p>
          <a:pPr marR="0" algn="ctr" rtl="0"/>
          <a:r>
            <a:rPr lang="en-US" sz="800" b="1" baseline="0" smtClean="0">
              <a:latin typeface="Times New Roman" pitchFamily="18" charset="0"/>
              <a:cs typeface="Times New Roman" pitchFamily="18" charset="0"/>
            </a:rPr>
            <a:t>(</a:t>
          </a:r>
          <a:r>
            <a:rPr lang="ro-RO" sz="800" b="1" baseline="0" smtClean="0">
              <a:latin typeface="Times New Roman" pitchFamily="18" charset="0"/>
              <a:cs typeface="Times New Roman" pitchFamily="18" charset="0"/>
            </a:rPr>
            <a:t>2862</a:t>
          </a:r>
          <a:r>
            <a:rPr lang="en-US" sz="800" b="1" baseline="0" smtClean="0">
              <a:latin typeface="Times New Roman" pitchFamily="18" charset="0"/>
              <a:cs typeface="Times New Roman" pitchFamily="18" charset="0"/>
            </a:rPr>
            <a:t>,</a:t>
          </a:r>
          <a:r>
            <a:rPr lang="ro-RO" sz="800" b="1" baseline="0" smtClean="0">
              <a:latin typeface="Times New Roman" pitchFamily="18" charset="0"/>
              <a:cs typeface="Times New Roman" pitchFamily="18" charset="0"/>
            </a:rPr>
            <a:t>7</a:t>
          </a:r>
          <a:r>
            <a:rPr lang="en-US" sz="800" b="1" baseline="0" smtClean="0">
              <a:latin typeface="Times New Roman" pitchFamily="18" charset="0"/>
              <a:cs typeface="Times New Roman" pitchFamily="18" charset="0"/>
            </a:rPr>
            <a:t> mil. lei)</a:t>
          </a:r>
          <a:endParaRPr lang="ru-RU" sz="800" smtClean="0">
            <a:latin typeface="Times New Roman" pitchFamily="18" charset="0"/>
            <a:cs typeface="Times New Roman" pitchFamily="18" charset="0"/>
          </a:endParaRPr>
        </a:p>
      </dgm:t>
    </dgm:pt>
    <dgm:pt modelId="{1C4E0078-1847-4036-8CB2-25C1D36E3CD0}" type="parTrans" cxnId="{DBE3C878-DD2A-417F-8495-F92305F4553A}">
      <dgm:prSet/>
      <dgm:spPr/>
      <dgm:t>
        <a:bodyPr/>
        <a:lstStyle/>
        <a:p>
          <a:endParaRPr lang="ru-RU" sz="800"/>
        </a:p>
      </dgm:t>
    </dgm:pt>
    <dgm:pt modelId="{07FD2227-0F1F-4CED-85EF-6BAD6CE7ED6F}" type="sibTrans" cxnId="{DBE3C878-DD2A-417F-8495-F92305F4553A}">
      <dgm:prSet/>
      <dgm:spPr/>
      <dgm:t>
        <a:bodyPr/>
        <a:lstStyle/>
        <a:p>
          <a:endParaRPr lang="ru-RU" sz="800"/>
        </a:p>
      </dgm:t>
    </dgm:pt>
    <dgm:pt modelId="{DBADC5D9-9B49-4BAB-A4B8-17E47C4B9E32}">
      <dgm:prSet custT="1"/>
      <dgm:spPr/>
      <dgm:t>
        <a:bodyPr/>
        <a:lstStyle/>
        <a:p>
          <a:pPr marR="0" algn="ctr" rtl="0"/>
          <a:r>
            <a:rPr lang="en-US" sz="800" b="1" i="1" baseline="0" smtClean="0">
              <a:latin typeface="Times New Roman" pitchFamily="18" charset="0"/>
              <a:cs typeface="Times New Roman" pitchFamily="18" charset="0"/>
            </a:rPr>
            <a:t>din vînzarea produselor </a:t>
          </a:r>
        </a:p>
        <a:p>
          <a:pPr marR="0" algn="ctr" rtl="0"/>
          <a:r>
            <a:rPr lang="ru-RU" sz="800" b="1" baseline="0" smtClean="0">
              <a:latin typeface="Times New Roman" pitchFamily="18" charset="0"/>
              <a:cs typeface="Times New Roman" pitchFamily="18" charset="0"/>
            </a:rPr>
            <a:t>2</a:t>
          </a:r>
          <a:r>
            <a:rPr lang="ro-RO" sz="800" b="1" baseline="0" smtClean="0">
              <a:latin typeface="Times New Roman" pitchFamily="18" charset="0"/>
              <a:cs typeface="Times New Roman" pitchFamily="18" charset="0"/>
            </a:rPr>
            <a:t>5</a:t>
          </a:r>
          <a:r>
            <a:rPr lang="ru-RU" sz="800" b="1" baseline="0" smtClean="0">
              <a:latin typeface="Times New Roman" pitchFamily="18" charset="0"/>
              <a:cs typeface="Times New Roman" pitchFamily="18" charset="0"/>
            </a:rPr>
            <a:t>,</a:t>
          </a:r>
          <a:r>
            <a:rPr lang="ro-RO" sz="800" b="1" baseline="0" smtClean="0">
              <a:latin typeface="Times New Roman" pitchFamily="18" charset="0"/>
              <a:cs typeface="Times New Roman" pitchFamily="18" charset="0"/>
            </a:rPr>
            <a:t>4</a:t>
          </a:r>
          <a:r>
            <a:rPr lang="ru-RU" sz="800" b="1" baseline="0" smtClean="0">
              <a:latin typeface="Times New Roman" pitchFamily="18" charset="0"/>
              <a:cs typeface="Times New Roman" pitchFamily="18" charset="0"/>
            </a:rPr>
            <a:t>% </a:t>
          </a:r>
        </a:p>
        <a:p>
          <a:pPr marR="0" algn="ctr" rtl="0"/>
          <a:r>
            <a:rPr lang="en-US" sz="800" b="1" baseline="0" smtClean="0">
              <a:latin typeface="Times New Roman" pitchFamily="18" charset="0"/>
              <a:cs typeface="Times New Roman" pitchFamily="18" charset="0"/>
            </a:rPr>
            <a:t>(</a:t>
          </a:r>
          <a:r>
            <a:rPr lang="ro-RO" sz="800" b="1" baseline="0" smtClean="0">
              <a:latin typeface="Times New Roman" pitchFamily="18" charset="0"/>
              <a:cs typeface="Times New Roman" pitchFamily="18" charset="0"/>
            </a:rPr>
            <a:t>725</a:t>
          </a:r>
          <a:r>
            <a:rPr lang="en-US" sz="800" b="1" baseline="0" smtClean="0">
              <a:latin typeface="Times New Roman" pitchFamily="18" charset="0"/>
              <a:cs typeface="Times New Roman" pitchFamily="18" charset="0"/>
            </a:rPr>
            <a:t>,</a:t>
          </a:r>
          <a:r>
            <a:rPr lang="ro-RO" sz="800" b="1" baseline="0" smtClean="0">
              <a:latin typeface="Times New Roman" pitchFamily="18" charset="0"/>
              <a:cs typeface="Times New Roman" pitchFamily="18" charset="0"/>
            </a:rPr>
            <a:t>6</a:t>
          </a:r>
          <a:r>
            <a:rPr lang="en-US" sz="800" b="1" baseline="0" smtClean="0">
              <a:latin typeface="Times New Roman" pitchFamily="18" charset="0"/>
              <a:cs typeface="Times New Roman" pitchFamily="18" charset="0"/>
            </a:rPr>
            <a:t> mil. lei)</a:t>
          </a:r>
        </a:p>
      </dgm:t>
    </dgm:pt>
    <dgm:pt modelId="{3147B88B-4B74-4CD6-995E-D9EB29DA06C0}" type="parTrans" cxnId="{1BE2010A-44FF-4F41-ABE6-B88623E47B65}">
      <dgm:prSet custT="1"/>
      <dgm:spPr/>
      <dgm:t>
        <a:bodyPr/>
        <a:lstStyle/>
        <a:p>
          <a:endParaRPr lang="ru-RU" sz="800"/>
        </a:p>
      </dgm:t>
    </dgm:pt>
    <dgm:pt modelId="{4B79F0B4-F6CB-48DF-9C2C-3E8C69AAAA76}" type="sibTrans" cxnId="{1BE2010A-44FF-4F41-ABE6-B88623E47B65}">
      <dgm:prSet/>
      <dgm:spPr/>
      <dgm:t>
        <a:bodyPr/>
        <a:lstStyle/>
        <a:p>
          <a:endParaRPr lang="ru-RU" sz="800"/>
        </a:p>
      </dgm:t>
    </dgm:pt>
    <dgm:pt modelId="{81CF1CF8-FB9B-4671-A8B7-6E1847967AF0}">
      <dgm:prSet custT="1"/>
      <dgm:spPr/>
      <dgm:t>
        <a:bodyPr/>
        <a:lstStyle/>
        <a:p>
          <a:pPr marR="0" algn="ctr" rtl="0"/>
          <a:r>
            <a:rPr lang="vi-VN" sz="800" b="1" i="1" baseline="0" smtClean="0">
              <a:latin typeface="+mj-lt"/>
            </a:rPr>
            <a:t>din locaţiune (arendă</a:t>
          </a:r>
          <a:r>
            <a:rPr lang="vi-VN" sz="800" i="1" baseline="0" smtClean="0">
              <a:latin typeface="+mj-lt"/>
            </a:rPr>
            <a:t>)</a:t>
          </a:r>
        </a:p>
        <a:p>
          <a:pPr marR="0" algn="ctr" rtl="0"/>
          <a:r>
            <a:rPr lang="ru-RU" sz="800" b="1" baseline="0" smtClean="0">
              <a:latin typeface="Times New Roman" pitchFamily="18" charset="0"/>
              <a:cs typeface="Times New Roman" pitchFamily="18" charset="0"/>
            </a:rPr>
            <a:t>0,</a:t>
          </a:r>
          <a:r>
            <a:rPr lang="ro-RO" sz="800" b="1" baseline="0" smtClean="0">
              <a:latin typeface="Times New Roman" pitchFamily="18" charset="0"/>
              <a:cs typeface="Times New Roman" pitchFamily="18" charset="0"/>
            </a:rPr>
            <a:t>4</a:t>
          </a:r>
          <a:r>
            <a:rPr lang="ru-RU" sz="800" b="1" baseline="0" smtClean="0">
              <a:latin typeface="Times New Roman" pitchFamily="18" charset="0"/>
              <a:cs typeface="Times New Roman" pitchFamily="18" charset="0"/>
            </a:rPr>
            <a:t>% </a:t>
          </a:r>
        </a:p>
        <a:p>
          <a:pPr marR="0" algn="ctr" rtl="0"/>
          <a:r>
            <a:rPr lang="en-US" sz="800" b="1" baseline="0" smtClean="0">
              <a:latin typeface="Times New Roman" pitchFamily="18" charset="0"/>
              <a:cs typeface="Times New Roman" pitchFamily="18" charset="0"/>
            </a:rPr>
            <a:t>(1</a:t>
          </a:r>
          <a:r>
            <a:rPr lang="ro-RO" sz="800" b="1" baseline="0" smtClean="0">
              <a:latin typeface="Times New Roman" pitchFamily="18" charset="0"/>
              <a:cs typeface="Times New Roman" pitchFamily="18" charset="0"/>
            </a:rPr>
            <a:t>0</a:t>
          </a:r>
          <a:r>
            <a:rPr lang="en-US" sz="800" b="1" baseline="0" smtClean="0">
              <a:latin typeface="Times New Roman" pitchFamily="18" charset="0"/>
              <a:cs typeface="Times New Roman" pitchFamily="18" charset="0"/>
            </a:rPr>
            <a:t>,</a:t>
          </a:r>
          <a:r>
            <a:rPr lang="ro-RO" sz="800" b="1" baseline="0" smtClean="0">
              <a:latin typeface="Times New Roman" pitchFamily="18" charset="0"/>
              <a:cs typeface="Times New Roman" pitchFamily="18" charset="0"/>
            </a:rPr>
            <a:t>0</a:t>
          </a:r>
          <a:r>
            <a:rPr lang="en-US" sz="800" b="1" baseline="0" smtClean="0">
              <a:latin typeface="Times New Roman" pitchFamily="18" charset="0"/>
              <a:cs typeface="Times New Roman" pitchFamily="18" charset="0"/>
            </a:rPr>
            <a:t> mil. lei)</a:t>
          </a:r>
          <a:endParaRPr lang="ru-RU" sz="800" smtClean="0">
            <a:latin typeface="Times New Roman" pitchFamily="18" charset="0"/>
            <a:cs typeface="Times New Roman" pitchFamily="18" charset="0"/>
          </a:endParaRPr>
        </a:p>
      </dgm:t>
    </dgm:pt>
    <dgm:pt modelId="{4B32AD85-73D9-4E84-A262-30B1B48BA444}" type="parTrans" cxnId="{A591CE48-D892-45A2-A78B-32F0C6C17DAD}">
      <dgm:prSet custT="1"/>
      <dgm:spPr/>
      <dgm:t>
        <a:bodyPr/>
        <a:lstStyle/>
        <a:p>
          <a:endParaRPr lang="ru-RU" sz="800"/>
        </a:p>
      </dgm:t>
    </dgm:pt>
    <dgm:pt modelId="{25DA7F62-852A-44E3-9B31-A30F221364EE}" type="sibTrans" cxnId="{A591CE48-D892-45A2-A78B-32F0C6C17DAD}">
      <dgm:prSet/>
      <dgm:spPr/>
      <dgm:t>
        <a:bodyPr/>
        <a:lstStyle/>
        <a:p>
          <a:endParaRPr lang="ru-RU" sz="800"/>
        </a:p>
      </dgm:t>
    </dgm:pt>
    <dgm:pt modelId="{5A675274-49AA-46A2-B6AD-A6B2A4BC61EF}">
      <dgm:prSet custT="1"/>
      <dgm:spPr/>
      <dgm:t>
        <a:bodyPr/>
        <a:lstStyle/>
        <a:p>
          <a:pPr marR="0" algn="ctr" rtl="0"/>
          <a:r>
            <a:rPr lang="en-US" sz="800" b="1" i="1" baseline="0" smtClean="0">
              <a:latin typeface="Times New Roman" pitchFamily="18" charset="0"/>
              <a:cs typeface="Times New Roman" pitchFamily="18" charset="0"/>
            </a:rPr>
            <a:t>din contracte de construcţie</a:t>
          </a:r>
        </a:p>
        <a:p>
          <a:pPr marR="0" algn="ctr" rtl="0"/>
          <a:r>
            <a:rPr lang="ru-RU" sz="800" b="1" baseline="0" smtClean="0">
              <a:latin typeface="Times New Roman" pitchFamily="18" charset="0"/>
              <a:cs typeface="Times New Roman" pitchFamily="18" charset="0"/>
            </a:rPr>
            <a:t>1,</a:t>
          </a:r>
          <a:r>
            <a:rPr lang="ro-RO" sz="800" b="1" baseline="0" smtClean="0">
              <a:latin typeface="Times New Roman" pitchFamily="18" charset="0"/>
              <a:cs typeface="Times New Roman" pitchFamily="18" charset="0"/>
            </a:rPr>
            <a:t>6</a:t>
          </a:r>
          <a:r>
            <a:rPr lang="ru-RU" sz="800" b="1" baseline="0" smtClean="0">
              <a:latin typeface="Times New Roman" pitchFamily="18" charset="0"/>
              <a:cs typeface="Times New Roman" pitchFamily="18" charset="0"/>
            </a:rPr>
            <a:t>% </a:t>
          </a:r>
        </a:p>
        <a:p>
          <a:pPr marR="0" algn="ctr" rtl="0"/>
          <a:r>
            <a:rPr lang="en-US" sz="800" b="1" baseline="0" smtClean="0">
              <a:latin typeface="Times New Roman" pitchFamily="18" charset="0"/>
              <a:cs typeface="Times New Roman" pitchFamily="18" charset="0"/>
            </a:rPr>
            <a:t>(</a:t>
          </a:r>
          <a:r>
            <a:rPr lang="ro-RO" sz="800" b="1" baseline="0" smtClean="0">
              <a:latin typeface="Times New Roman" pitchFamily="18" charset="0"/>
              <a:cs typeface="Times New Roman" pitchFamily="18" charset="0"/>
            </a:rPr>
            <a:t>46</a:t>
          </a:r>
          <a:r>
            <a:rPr lang="en-US" sz="800" b="1" baseline="0" smtClean="0">
              <a:latin typeface="Times New Roman" pitchFamily="18" charset="0"/>
              <a:cs typeface="Times New Roman" pitchFamily="18" charset="0"/>
            </a:rPr>
            <a:t>,</a:t>
          </a:r>
          <a:r>
            <a:rPr lang="ro-RO" sz="800" b="1" baseline="0" smtClean="0">
              <a:latin typeface="Times New Roman" pitchFamily="18" charset="0"/>
              <a:cs typeface="Times New Roman" pitchFamily="18" charset="0"/>
            </a:rPr>
            <a:t>2</a:t>
          </a:r>
          <a:r>
            <a:rPr lang="en-US" sz="800" b="1" baseline="0" smtClean="0">
              <a:latin typeface="Times New Roman" pitchFamily="18" charset="0"/>
              <a:cs typeface="Times New Roman" pitchFamily="18" charset="0"/>
            </a:rPr>
            <a:t> mil. lei)</a:t>
          </a:r>
        </a:p>
      </dgm:t>
    </dgm:pt>
    <dgm:pt modelId="{95AB7737-E913-45E0-84A9-BA3E7B072DFD}" type="parTrans" cxnId="{8DD248D5-8725-4BEB-A723-0BAD35496B89}">
      <dgm:prSet custT="1"/>
      <dgm:spPr/>
      <dgm:t>
        <a:bodyPr/>
        <a:lstStyle/>
        <a:p>
          <a:endParaRPr lang="ru-RU" sz="800"/>
        </a:p>
      </dgm:t>
    </dgm:pt>
    <dgm:pt modelId="{72BCBDC2-88FA-4BEB-9117-A20602F2CA45}" type="sibTrans" cxnId="{8DD248D5-8725-4BEB-A723-0BAD35496B89}">
      <dgm:prSet/>
      <dgm:spPr/>
      <dgm:t>
        <a:bodyPr/>
        <a:lstStyle/>
        <a:p>
          <a:endParaRPr lang="ru-RU" sz="800"/>
        </a:p>
      </dgm:t>
    </dgm:pt>
    <dgm:pt modelId="{1F19ACDF-A3CC-45A1-A79B-C426F09C2F82}">
      <dgm:prSet custT="1"/>
      <dgm:spPr/>
      <dgm:t>
        <a:bodyPr/>
        <a:lstStyle/>
        <a:p>
          <a:pPr marR="0" algn="ctr" rtl="0"/>
          <a:r>
            <a:rPr lang="en-US" sz="800" b="1" i="1" baseline="0" smtClean="0">
              <a:latin typeface="Times New Roman" pitchFamily="18" charset="0"/>
              <a:cs typeface="Times New Roman" pitchFamily="18" charset="0"/>
            </a:rPr>
            <a:t>din prestarea serviciilor</a:t>
          </a:r>
        </a:p>
        <a:p>
          <a:pPr marR="0" algn="ctr" rtl="0"/>
          <a:r>
            <a:rPr lang="ru-RU" sz="800" b="1" baseline="0" smtClean="0">
              <a:latin typeface="Times New Roman" pitchFamily="18" charset="0"/>
              <a:cs typeface="Times New Roman" pitchFamily="18" charset="0"/>
            </a:rPr>
            <a:t>2</a:t>
          </a:r>
          <a:r>
            <a:rPr lang="ro-RO" sz="800" b="1" baseline="0" smtClean="0">
              <a:latin typeface="Times New Roman" pitchFamily="18" charset="0"/>
              <a:cs typeface="Times New Roman" pitchFamily="18" charset="0"/>
            </a:rPr>
            <a:t>9</a:t>
          </a:r>
          <a:r>
            <a:rPr lang="ru-RU" sz="800" b="1" baseline="0" smtClean="0">
              <a:latin typeface="Times New Roman" pitchFamily="18" charset="0"/>
              <a:cs typeface="Times New Roman" pitchFamily="18" charset="0"/>
            </a:rPr>
            <a:t>,</a:t>
          </a:r>
          <a:r>
            <a:rPr lang="ro-RO" sz="800" b="1" baseline="0" smtClean="0">
              <a:latin typeface="Times New Roman" pitchFamily="18" charset="0"/>
              <a:cs typeface="Times New Roman" pitchFamily="18" charset="0"/>
            </a:rPr>
            <a:t>2</a:t>
          </a:r>
          <a:r>
            <a:rPr lang="ru-RU" sz="800" b="1" baseline="0" smtClean="0">
              <a:latin typeface="Times New Roman" pitchFamily="18" charset="0"/>
              <a:cs typeface="Times New Roman" pitchFamily="18" charset="0"/>
            </a:rPr>
            <a:t>% </a:t>
          </a:r>
        </a:p>
        <a:p>
          <a:pPr marR="0" algn="ctr" rtl="0"/>
          <a:r>
            <a:rPr lang="en-US" sz="800" b="1" baseline="0" smtClean="0">
              <a:latin typeface="Times New Roman" pitchFamily="18" charset="0"/>
              <a:cs typeface="Times New Roman" pitchFamily="18" charset="0"/>
            </a:rPr>
            <a:t>(</a:t>
          </a:r>
          <a:r>
            <a:rPr lang="ro-RO" sz="800" b="1" baseline="0" smtClean="0">
              <a:latin typeface="Times New Roman" pitchFamily="18" charset="0"/>
              <a:cs typeface="Times New Roman" pitchFamily="18" charset="0"/>
            </a:rPr>
            <a:t>837</a:t>
          </a:r>
          <a:r>
            <a:rPr lang="en-US" sz="800" b="1" baseline="0" smtClean="0">
              <a:latin typeface="Times New Roman" pitchFamily="18" charset="0"/>
              <a:cs typeface="Times New Roman" pitchFamily="18" charset="0"/>
            </a:rPr>
            <a:t>,</a:t>
          </a:r>
          <a:r>
            <a:rPr lang="ro-RO" sz="800" b="1" baseline="0" smtClean="0">
              <a:latin typeface="Times New Roman" pitchFamily="18" charset="0"/>
              <a:cs typeface="Times New Roman" pitchFamily="18" charset="0"/>
            </a:rPr>
            <a:t>3</a:t>
          </a:r>
          <a:r>
            <a:rPr lang="en-US" sz="800" b="1" baseline="0" smtClean="0">
              <a:latin typeface="Times New Roman" pitchFamily="18" charset="0"/>
              <a:cs typeface="Times New Roman" pitchFamily="18" charset="0"/>
            </a:rPr>
            <a:t> mil. lei)</a:t>
          </a:r>
        </a:p>
      </dgm:t>
    </dgm:pt>
    <dgm:pt modelId="{94730F40-C1A3-4255-8537-4AB9C0778EE9}" type="parTrans" cxnId="{3747F2E5-F47D-431E-8476-37E05C3E3F14}">
      <dgm:prSet custT="1"/>
      <dgm:spPr/>
      <dgm:t>
        <a:bodyPr/>
        <a:lstStyle/>
        <a:p>
          <a:endParaRPr lang="ru-RU" sz="800"/>
        </a:p>
      </dgm:t>
    </dgm:pt>
    <dgm:pt modelId="{3942932A-6CEE-4C4F-A3CE-32C56519CE2F}" type="sibTrans" cxnId="{3747F2E5-F47D-431E-8476-37E05C3E3F14}">
      <dgm:prSet/>
      <dgm:spPr/>
      <dgm:t>
        <a:bodyPr/>
        <a:lstStyle/>
        <a:p>
          <a:endParaRPr lang="ru-RU" sz="800"/>
        </a:p>
      </dgm:t>
    </dgm:pt>
    <dgm:pt modelId="{87CBA56A-1DEC-43C4-AFD8-FCE0D077BDC4}">
      <dgm:prSet custT="1"/>
      <dgm:spPr/>
      <dgm:t>
        <a:bodyPr/>
        <a:lstStyle/>
        <a:p>
          <a:pPr marR="0" algn="ctr" rtl="0"/>
          <a:r>
            <a:rPr lang="vi-VN" sz="800" b="1" i="1" baseline="0" smtClean="0">
              <a:latin typeface="+mj-lt"/>
            </a:rPr>
            <a:t>din vînzarea mărfurilor</a:t>
          </a:r>
        </a:p>
        <a:p>
          <a:pPr marR="0" algn="ctr" rtl="0"/>
          <a:r>
            <a:rPr lang="ru-RU" sz="800" b="1" baseline="0" smtClean="0">
              <a:latin typeface="Times New Roman" pitchFamily="18" charset="0"/>
              <a:cs typeface="Times New Roman" pitchFamily="18" charset="0"/>
            </a:rPr>
            <a:t>4</a:t>
          </a:r>
          <a:r>
            <a:rPr lang="ro-RO" sz="800" b="1" baseline="0" smtClean="0">
              <a:latin typeface="Times New Roman" pitchFamily="18" charset="0"/>
              <a:cs typeface="Times New Roman" pitchFamily="18" charset="0"/>
            </a:rPr>
            <a:t>3</a:t>
          </a:r>
          <a:r>
            <a:rPr lang="ru-RU" sz="800" b="1" baseline="0" smtClean="0">
              <a:latin typeface="Times New Roman" pitchFamily="18" charset="0"/>
              <a:cs typeface="Times New Roman" pitchFamily="18" charset="0"/>
            </a:rPr>
            <a:t>,</a:t>
          </a:r>
          <a:r>
            <a:rPr lang="ro-RO" sz="800" b="1" baseline="0" smtClean="0">
              <a:latin typeface="Times New Roman" pitchFamily="18" charset="0"/>
              <a:cs typeface="Times New Roman" pitchFamily="18" charset="0"/>
            </a:rPr>
            <a:t>4</a:t>
          </a:r>
          <a:r>
            <a:rPr lang="ru-RU" sz="800" b="1" baseline="0" smtClean="0">
              <a:latin typeface="Times New Roman" pitchFamily="18" charset="0"/>
              <a:cs typeface="Times New Roman" pitchFamily="18" charset="0"/>
            </a:rPr>
            <a:t>% </a:t>
          </a:r>
          <a:endParaRPr lang="ro-RO" sz="800" b="1" baseline="0" smtClean="0">
            <a:latin typeface="Times New Roman" pitchFamily="18" charset="0"/>
            <a:cs typeface="Times New Roman" pitchFamily="18" charset="0"/>
          </a:endParaRPr>
        </a:p>
        <a:p>
          <a:pPr marR="0" algn="ctr" rtl="0"/>
          <a:r>
            <a:rPr lang="en-US" sz="800" b="1" baseline="0" smtClean="0">
              <a:latin typeface="Times New Roman" pitchFamily="18" charset="0"/>
              <a:cs typeface="Times New Roman" pitchFamily="18" charset="0"/>
            </a:rPr>
            <a:t>(1</a:t>
          </a:r>
          <a:r>
            <a:rPr lang="ro-RO" sz="800" b="1" baseline="0" smtClean="0">
              <a:latin typeface="Times New Roman" pitchFamily="18" charset="0"/>
              <a:cs typeface="Times New Roman" pitchFamily="18" charset="0"/>
            </a:rPr>
            <a:t>243</a:t>
          </a:r>
          <a:r>
            <a:rPr lang="en-US" sz="800" b="1" baseline="0" smtClean="0">
              <a:latin typeface="Times New Roman" pitchFamily="18" charset="0"/>
              <a:cs typeface="Times New Roman" pitchFamily="18" charset="0"/>
            </a:rPr>
            <a:t>,</a:t>
          </a:r>
          <a:r>
            <a:rPr lang="ro-RO" sz="800" b="1" baseline="0" smtClean="0">
              <a:latin typeface="Times New Roman" pitchFamily="18" charset="0"/>
              <a:cs typeface="Times New Roman" pitchFamily="18" charset="0"/>
            </a:rPr>
            <a:t>6</a:t>
          </a:r>
          <a:r>
            <a:rPr lang="en-US" sz="800" b="1" baseline="0" smtClean="0">
              <a:latin typeface="Times New Roman" pitchFamily="18" charset="0"/>
              <a:cs typeface="Times New Roman" pitchFamily="18" charset="0"/>
            </a:rPr>
            <a:t> mil. lei)</a:t>
          </a:r>
        </a:p>
      </dgm:t>
    </dgm:pt>
    <dgm:pt modelId="{A7552CF8-6D8A-4178-A210-F3B40E867F10}" type="parTrans" cxnId="{28522F68-5E8D-4B08-8C11-37CDDE8ABDD3}">
      <dgm:prSet custT="1"/>
      <dgm:spPr/>
      <dgm:t>
        <a:bodyPr/>
        <a:lstStyle/>
        <a:p>
          <a:endParaRPr lang="ru-RU" sz="800"/>
        </a:p>
      </dgm:t>
    </dgm:pt>
    <dgm:pt modelId="{1F4B3374-E65C-4ACF-91BD-E9192B744D7A}" type="sibTrans" cxnId="{28522F68-5E8D-4B08-8C11-37CDDE8ABDD3}">
      <dgm:prSet/>
      <dgm:spPr/>
      <dgm:t>
        <a:bodyPr/>
        <a:lstStyle/>
        <a:p>
          <a:endParaRPr lang="ru-RU" sz="800"/>
        </a:p>
      </dgm:t>
    </dgm:pt>
    <dgm:pt modelId="{29162CD2-626C-492C-9597-4859242C4E07}" type="pres">
      <dgm:prSet presAssocID="{ABFF53CC-3229-46F2-975D-048E1837CE14}" presName="cycle" presStyleCnt="0">
        <dgm:presLayoutVars>
          <dgm:chMax val="1"/>
          <dgm:dir/>
          <dgm:animLvl val="ctr"/>
          <dgm:resizeHandles val="exact"/>
        </dgm:presLayoutVars>
      </dgm:prSet>
      <dgm:spPr/>
    </dgm:pt>
    <dgm:pt modelId="{5E45629B-96F1-4A10-B126-9AB32B3449B8}" type="pres">
      <dgm:prSet presAssocID="{874F1D6B-635B-4AAD-AE7B-B6F46752C45D}" presName="centerShape" presStyleLbl="node0" presStyleIdx="0" presStyleCnt="1" custScaleX="159763" custScaleY="101796" custLinFactNeighborX="1645" custLinFactNeighborY="-5934"/>
      <dgm:spPr/>
      <dgm:t>
        <a:bodyPr/>
        <a:lstStyle/>
        <a:p>
          <a:endParaRPr lang="ru-RU"/>
        </a:p>
      </dgm:t>
    </dgm:pt>
    <dgm:pt modelId="{5C51371C-E36B-4752-B85D-EB20D5C448DB}" type="pres">
      <dgm:prSet presAssocID="{3147B88B-4B74-4CD6-995E-D9EB29DA06C0}" presName="Name9" presStyleLbl="parChTrans1D2" presStyleIdx="0" presStyleCnt="5"/>
      <dgm:spPr/>
      <dgm:t>
        <a:bodyPr/>
        <a:lstStyle/>
        <a:p>
          <a:endParaRPr lang="ru-RU"/>
        </a:p>
      </dgm:t>
    </dgm:pt>
    <dgm:pt modelId="{A15889E6-8313-442B-ACC7-248D1B2DBBEB}" type="pres">
      <dgm:prSet presAssocID="{3147B88B-4B74-4CD6-995E-D9EB29DA06C0}" presName="connTx" presStyleLbl="parChTrans1D2" presStyleIdx="0" presStyleCnt="5"/>
      <dgm:spPr/>
      <dgm:t>
        <a:bodyPr/>
        <a:lstStyle/>
        <a:p>
          <a:endParaRPr lang="ru-RU"/>
        </a:p>
      </dgm:t>
    </dgm:pt>
    <dgm:pt modelId="{1C351BFD-756F-4B4C-A2C3-613ECC0ECCBC}" type="pres">
      <dgm:prSet presAssocID="{DBADC5D9-9B49-4BAB-A4B8-17E47C4B9E32}" presName="node" presStyleLbl="node1" presStyleIdx="0" presStyleCnt="5" custScaleX="173519" custScaleY="91265" custRadScaleRad="100215" custRadScaleInc="-7412">
        <dgm:presLayoutVars>
          <dgm:bulletEnabled val="1"/>
        </dgm:presLayoutVars>
      </dgm:prSet>
      <dgm:spPr/>
      <dgm:t>
        <a:bodyPr/>
        <a:lstStyle/>
        <a:p>
          <a:endParaRPr lang="ru-RU"/>
        </a:p>
      </dgm:t>
    </dgm:pt>
    <dgm:pt modelId="{2D099F54-CC6B-4B33-B1A2-7B984D361F50}" type="pres">
      <dgm:prSet presAssocID="{4B32AD85-73D9-4E84-A262-30B1B48BA444}" presName="Name9" presStyleLbl="parChTrans1D2" presStyleIdx="1" presStyleCnt="5"/>
      <dgm:spPr/>
      <dgm:t>
        <a:bodyPr/>
        <a:lstStyle/>
        <a:p>
          <a:endParaRPr lang="ru-RU"/>
        </a:p>
      </dgm:t>
    </dgm:pt>
    <dgm:pt modelId="{8CE4C83F-AFEA-4436-A17E-7ADF9D05AC73}" type="pres">
      <dgm:prSet presAssocID="{4B32AD85-73D9-4E84-A262-30B1B48BA444}" presName="connTx" presStyleLbl="parChTrans1D2" presStyleIdx="1" presStyleCnt="5"/>
      <dgm:spPr/>
      <dgm:t>
        <a:bodyPr/>
        <a:lstStyle/>
        <a:p>
          <a:endParaRPr lang="ru-RU"/>
        </a:p>
      </dgm:t>
    </dgm:pt>
    <dgm:pt modelId="{E487582F-D55B-458B-9472-F23D13977AD3}" type="pres">
      <dgm:prSet presAssocID="{81CF1CF8-FB9B-4671-A8B7-6E1847967AF0}" presName="node" presStyleLbl="node1" presStyleIdx="1" presStyleCnt="5" custScaleX="160400" custScaleY="93553" custRadScaleRad="147618" custRadScaleInc="-27357">
        <dgm:presLayoutVars>
          <dgm:bulletEnabled val="1"/>
        </dgm:presLayoutVars>
      </dgm:prSet>
      <dgm:spPr/>
      <dgm:t>
        <a:bodyPr/>
        <a:lstStyle/>
        <a:p>
          <a:endParaRPr lang="ru-RU"/>
        </a:p>
      </dgm:t>
    </dgm:pt>
    <dgm:pt modelId="{AA209B31-AF37-48F3-B349-1BCBFD4A3411}" type="pres">
      <dgm:prSet presAssocID="{95AB7737-E913-45E0-84A9-BA3E7B072DFD}" presName="Name9" presStyleLbl="parChTrans1D2" presStyleIdx="2" presStyleCnt="5"/>
      <dgm:spPr/>
      <dgm:t>
        <a:bodyPr/>
        <a:lstStyle/>
        <a:p>
          <a:endParaRPr lang="ru-RU"/>
        </a:p>
      </dgm:t>
    </dgm:pt>
    <dgm:pt modelId="{01DB14DD-E639-4161-8298-5491D8FC1ACE}" type="pres">
      <dgm:prSet presAssocID="{95AB7737-E913-45E0-84A9-BA3E7B072DFD}" presName="connTx" presStyleLbl="parChTrans1D2" presStyleIdx="2" presStyleCnt="5"/>
      <dgm:spPr/>
      <dgm:t>
        <a:bodyPr/>
        <a:lstStyle/>
        <a:p>
          <a:endParaRPr lang="ru-RU"/>
        </a:p>
      </dgm:t>
    </dgm:pt>
    <dgm:pt modelId="{78457E1E-A423-4093-81DA-E3220B07A39E}" type="pres">
      <dgm:prSet presAssocID="{5A675274-49AA-46A2-B6AD-A6B2A4BC61EF}" presName="node" presStyleLbl="node1" presStyleIdx="2" presStyleCnt="5" custScaleX="158668" custScaleY="97688" custRadScaleRad="137777" custRadScaleInc="-87846">
        <dgm:presLayoutVars>
          <dgm:bulletEnabled val="1"/>
        </dgm:presLayoutVars>
      </dgm:prSet>
      <dgm:spPr/>
      <dgm:t>
        <a:bodyPr/>
        <a:lstStyle/>
        <a:p>
          <a:endParaRPr lang="ru-RU"/>
        </a:p>
      </dgm:t>
    </dgm:pt>
    <dgm:pt modelId="{FA02BEC3-791A-4B78-AD38-9F126EDD0882}" type="pres">
      <dgm:prSet presAssocID="{94730F40-C1A3-4255-8537-4AB9C0778EE9}" presName="Name9" presStyleLbl="parChTrans1D2" presStyleIdx="3" presStyleCnt="5"/>
      <dgm:spPr/>
      <dgm:t>
        <a:bodyPr/>
        <a:lstStyle/>
        <a:p>
          <a:endParaRPr lang="ru-RU"/>
        </a:p>
      </dgm:t>
    </dgm:pt>
    <dgm:pt modelId="{5ED46509-5648-4D1F-8FDC-056F9E991691}" type="pres">
      <dgm:prSet presAssocID="{94730F40-C1A3-4255-8537-4AB9C0778EE9}" presName="connTx" presStyleLbl="parChTrans1D2" presStyleIdx="3" presStyleCnt="5"/>
      <dgm:spPr/>
      <dgm:t>
        <a:bodyPr/>
        <a:lstStyle/>
        <a:p>
          <a:endParaRPr lang="ru-RU"/>
        </a:p>
      </dgm:t>
    </dgm:pt>
    <dgm:pt modelId="{F5488F8A-4984-4005-A9CD-D3E354EBEC1C}" type="pres">
      <dgm:prSet presAssocID="{1F19ACDF-A3CC-45A1-A79B-C426F09C2F82}" presName="node" presStyleLbl="node1" presStyleIdx="3" presStyleCnt="5" custScaleX="143591" custScaleY="93616" custRadScaleRad="132199" custRadScaleInc="85435">
        <dgm:presLayoutVars>
          <dgm:bulletEnabled val="1"/>
        </dgm:presLayoutVars>
      </dgm:prSet>
      <dgm:spPr/>
      <dgm:t>
        <a:bodyPr/>
        <a:lstStyle/>
        <a:p>
          <a:endParaRPr lang="ru-RU"/>
        </a:p>
      </dgm:t>
    </dgm:pt>
    <dgm:pt modelId="{FAC358E5-ED85-427C-8B9B-4C49E08908F8}" type="pres">
      <dgm:prSet presAssocID="{A7552CF8-6D8A-4178-A210-F3B40E867F10}" presName="Name9" presStyleLbl="parChTrans1D2" presStyleIdx="4" presStyleCnt="5"/>
      <dgm:spPr/>
      <dgm:t>
        <a:bodyPr/>
        <a:lstStyle/>
        <a:p>
          <a:endParaRPr lang="ru-RU"/>
        </a:p>
      </dgm:t>
    </dgm:pt>
    <dgm:pt modelId="{1F7CDDFF-0DD2-4DA7-A766-DDB2829A4A62}" type="pres">
      <dgm:prSet presAssocID="{A7552CF8-6D8A-4178-A210-F3B40E867F10}" presName="connTx" presStyleLbl="parChTrans1D2" presStyleIdx="4" presStyleCnt="5"/>
      <dgm:spPr/>
      <dgm:t>
        <a:bodyPr/>
        <a:lstStyle/>
        <a:p>
          <a:endParaRPr lang="ru-RU"/>
        </a:p>
      </dgm:t>
    </dgm:pt>
    <dgm:pt modelId="{7130E367-7F61-40C7-9DAA-596A50C46FED}" type="pres">
      <dgm:prSet presAssocID="{87CBA56A-1DEC-43C4-AFD8-FCE0D077BDC4}" presName="node" presStyleLbl="node1" presStyleIdx="4" presStyleCnt="5" custScaleX="160504" custScaleY="101552" custRadScaleRad="143949" custRadScaleInc="13123">
        <dgm:presLayoutVars>
          <dgm:bulletEnabled val="1"/>
        </dgm:presLayoutVars>
      </dgm:prSet>
      <dgm:spPr/>
      <dgm:t>
        <a:bodyPr/>
        <a:lstStyle/>
        <a:p>
          <a:endParaRPr lang="ru-RU"/>
        </a:p>
      </dgm:t>
    </dgm:pt>
  </dgm:ptLst>
  <dgm:cxnLst>
    <dgm:cxn modelId="{A591CE48-D892-45A2-A78B-32F0C6C17DAD}" srcId="{874F1D6B-635B-4AAD-AE7B-B6F46752C45D}" destId="{81CF1CF8-FB9B-4671-A8B7-6E1847967AF0}" srcOrd="1" destOrd="0" parTransId="{4B32AD85-73D9-4E84-A262-30B1B48BA444}" sibTransId="{25DA7F62-852A-44E3-9B31-A30F221364EE}"/>
    <dgm:cxn modelId="{A3832832-B723-44A5-A3B1-E71F5836D044}" type="presOf" srcId="{3147B88B-4B74-4CD6-995E-D9EB29DA06C0}" destId="{5C51371C-E36B-4752-B85D-EB20D5C448DB}" srcOrd="0" destOrd="0" presId="urn:microsoft.com/office/officeart/2005/8/layout/radial1"/>
    <dgm:cxn modelId="{BA7D91B3-AF50-48EA-8BDA-BB6F7086971F}" type="presOf" srcId="{874F1D6B-635B-4AAD-AE7B-B6F46752C45D}" destId="{5E45629B-96F1-4A10-B126-9AB32B3449B8}" srcOrd="0" destOrd="0" presId="urn:microsoft.com/office/officeart/2005/8/layout/radial1"/>
    <dgm:cxn modelId="{95DC5733-6CE7-44FF-96B9-DE9D566B6870}" type="presOf" srcId="{A7552CF8-6D8A-4178-A210-F3B40E867F10}" destId="{FAC358E5-ED85-427C-8B9B-4C49E08908F8}" srcOrd="0" destOrd="0" presId="urn:microsoft.com/office/officeart/2005/8/layout/radial1"/>
    <dgm:cxn modelId="{9EC6DA3C-4CC1-4616-97D3-A1548440F705}" type="presOf" srcId="{3147B88B-4B74-4CD6-995E-D9EB29DA06C0}" destId="{A15889E6-8313-442B-ACC7-248D1B2DBBEB}" srcOrd="1" destOrd="0" presId="urn:microsoft.com/office/officeart/2005/8/layout/radial1"/>
    <dgm:cxn modelId="{769E9446-1F5A-45F6-943E-E441384E301D}" type="presOf" srcId="{87CBA56A-1DEC-43C4-AFD8-FCE0D077BDC4}" destId="{7130E367-7F61-40C7-9DAA-596A50C46FED}" srcOrd="0" destOrd="0" presId="urn:microsoft.com/office/officeart/2005/8/layout/radial1"/>
    <dgm:cxn modelId="{C48FCBB6-DEE7-4E1C-8275-D7201987DCB2}" type="presOf" srcId="{4B32AD85-73D9-4E84-A262-30B1B48BA444}" destId="{2D099F54-CC6B-4B33-B1A2-7B984D361F50}" srcOrd="0" destOrd="0" presId="urn:microsoft.com/office/officeart/2005/8/layout/radial1"/>
    <dgm:cxn modelId="{7A07D7A9-E177-4FC1-BBD6-7D1CF70135CD}" type="presOf" srcId="{95AB7737-E913-45E0-84A9-BA3E7B072DFD}" destId="{AA209B31-AF37-48F3-B349-1BCBFD4A3411}" srcOrd="0" destOrd="0" presId="urn:microsoft.com/office/officeart/2005/8/layout/radial1"/>
    <dgm:cxn modelId="{3747F2E5-F47D-431E-8476-37E05C3E3F14}" srcId="{874F1D6B-635B-4AAD-AE7B-B6F46752C45D}" destId="{1F19ACDF-A3CC-45A1-A79B-C426F09C2F82}" srcOrd="3" destOrd="0" parTransId="{94730F40-C1A3-4255-8537-4AB9C0778EE9}" sibTransId="{3942932A-6CEE-4C4F-A3CE-32C56519CE2F}"/>
    <dgm:cxn modelId="{1BE2010A-44FF-4F41-ABE6-B88623E47B65}" srcId="{874F1D6B-635B-4AAD-AE7B-B6F46752C45D}" destId="{DBADC5D9-9B49-4BAB-A4B8-17E47C4B9E32}" srcOrd="0" destOrd="0" parTransId="{3147B88B-4B74-4CD6-995E-D9EB29DA06C0}" sibTransId="{4B79F0B4-F6CB-48DF-9C2C-3E8C69AAAA76}"/>
    <dgm:cxn modelId="{025DE172-9EEA-4DAF-B384-108FB8FC145D}" type="presOf" srcId="{95AB7737-E913-45E0-84A9-BA3E7B072DFD}" destId="{01DB14DD-E639-4161-8298-5491D8FC1ACE}" srcOrd="1" destOrd="0" presId="urn:microsoft.com/office/officeart/2005/8/layout/radial1"/>
    <dgm:cxn modelId="{D7FF7CAB-8433-46F3-8771-F40FE2474DA6}" type="presOf" srcId="{ABFF53CC-3229-46F2-975D-048E1837CE14}" destId="{29162CD2-626C-492C-9597-4859242C4E07}" srcOrd="0" destOrd="0" presId="urn:microsoft.com/office/officeart/2005/8/layout/radial1"/>
    <dgm:cxn modelId="{2799AEB9-595F-44BA-AB34-3C1F733E602A}" type="presOf" srcId="{81CF1CF8-FB9B-4671-A8B7-6E1847967AF0}" destId="{E487582F-D55B-458B-9472-F23D13977AD3}" srcOrd="0" destOrd="0" presId="urn:microsoft.com/office/officeart/2005/8/layout/radial1"/>
    <dgm:cxn modelId="{0F37FE8D-125E-40FB-972A-F117590C2AA5}" type="presOf" srcId="{94730F40-C1A3-4255-8537-4AB9C0778EE9}" destId="{5ED46509-5648-4D1F-8FDC-056F9E991691}" srcOrd="1" destOrd="0" presId="urn:microsoft.com/office/officeart/2005/8/layout/radial1"/>
    <dgm:cxn modelId="{A870184F-A3F0-4459-83E9-30FBFA006CA8}" type="presOf" srcId="{4B32AD85-73D9-4E84-A262-30B1B48BA444}" destId="{8CE4C83F-AFEA-4436-A17E-7ADF9D05AC73}" srcOrd="1" destOrd="0" presId="urn:microsoft.com/office/officeart/2005/8/layout/radial1"/>
    <dgm:cxn modelId="{883440CF-B247-4A01-A149-379B8F9A5E4A}" type="presOf" srcId="{5A675274-49AA-46A2-B6AD-A6B2A4BC61EF}" destId="{78457E1E-A423-4093-81DA-E3220B07A39E}" srcOrd="0" destOrd="0" presId="urn:microsoft.com/office/officeart/2005/8/layout/radial1"/>
    <dgm:cxn modelId="{28522F68-5E8D-4B08-8C11-37CDDE8ABDD3}" srcId="{874F1D6B-635B-4AAD-AE7B-B6F46752C45D}" destId="{87CBA56A-1DEC-43C4-AFD8-FCE0D077BDC4}" srcOrd="4" destOrd="0" parTransId="{A7552CF8-6D8A-4178-A210-F3B40E867F10}" sibTransId="{1F4B3374-E65C-4ACF-91BD-E9192B744D7A}"/>
    <dgm:cxn modelId="{AA90FF79-1009-4351-A3FA-6B5B24232762}" type="presOf" srcId="{DBADC5D9-9B49-4BAB-A4B8-17E47C4B9E32}" destId="{1C351BFD-756F-4B4C-A2C3-613ECC0ECCBC}" srcOrd="0" destOrd="0" presId="urn:microsoft.com/office/officeart/2005/8/layout/radial1"/>
    <dgm:cxn modelId="{C233E0F6-F408-4A0E-9F34-824CCACDCB89}" type="presOf" srcId="{A7552CF8-6D8A-4178-A210-F3B40E867F10}" destId="{1F7CDDFF-0DD2-4DA7-A766-DDB2829A4A62}" srcOrd="1" destOrd="0" presId="urn:microsoft.com/office/officeart/2005/8/layout/radial1"/>
    <dgm:cxn modelId="{DBE3C878-DD2A-417F-8495-F92305F4553A}" srcId="{ABFF53CC-3229-46F2-975D-048E1837CE14}" destId="{874F1D6B-635B-4AAD-AE7B-B6F46752C45D}" srcOrd="0" destOrd="0" parTransId="{1C4E0078-1847-4036-8CB2-25C1D36E3CD0}" sibTransId="{07FD2227-0F1F-4CED-85EF-6BAD6CE7ED6F}"/>
    <dgm:cxn modelId="{045E9264-C8C2-4D4B-96D2-E3881D156A21}" type="presOf" srcId="{94730F40-C1A3-4255-8537-4AB9C0778EE9}" destId="{FA02BEC3-791A-4B78-AD38-9F126EDD0882}" srcOrd="0" destOrd="0" presId="urn:microsoft.com/office/officeart/2005/8/layout/radial1"/>
    <dgm:cxn modelId="{8DD248D5-8725-4BEB-A723-0BAD35496B89}" srcId="{874F1D6B-635B-4AAD-AE7B-B6F46752C45D}" destId="{5A675274-49AA-46A2-B6AD-A6B2A4BC61EF}" srcOrd="2" destOrd="0" parTransId="{95AB7737-E913-45E0-84A9-BA3E7B072DFD}" sibTransId="{72BCBDC2-88FA-4BEB-9117-A20602F2CA45}"/>
    <dgm:cxn modelId="{C77AF270-FEA9-40F3-858A-7C7C8C507094}" type="presOf" srcId="{1F19ACDF-A3CC-45A1-A79B-C426F09C2F82}" destId="{F5488F8A-4984-4005-A9CD-D3E354EBEC1C}" srcOrd="0" destOrd="0" presId="urn:microsoft.com/office/officeart/2005/8/layout/radial1"/>
    <dgm:cxn modelId="{0FCBFF08-C2C8-4D27-B4C1-9247F9530A61}" type="presParOf" srcId="{29162CD2-626C-492C-9597-4859242C4E07}" destId="{5E45629B-96F1-4A10-B126-9AB32B3449B8}" srcOrd="0" destOrd="0" presId="urn:microsoft.com/office/officeart/2005/8/layout/radial1"/>
    <dgm:cxn modelId="{98A7CDBA-DA5B-4641-BB25-530DDE18A3F5}" type="presParOf" srcId="{29162CD2-626C-492C-9597-4859242C4E07}" destId="{5C51371C-E36B-4752-B85D-EB20D5C448DB}" srcOrd="1" destOrd="0" presId="urn:microsoft.com/office/officeart/2005/8/layout/radial1"/>
    <dgm:cxn modelId="{261913DD-493A-44D6-AABD-D9338597BBDB}" type="presParOf" srcId="{5C51371C-E36B-4752-B85D-EB20D5C448DB}" destId="{A15889E6-8313-442B-ACC7-248D1B2DBBEB}" srcOrd="0" destOrd="0" presId="urn:microsoft.com/office/officeart/2005/8/layout/radial1"/>
    <dgm:cxn modelId="{8541CEAD-982D-490C-91B0-F27AA8977F80}" type="presParOf" srcId="{29162CD2-626C-492C-9597-4859242C4E07}" destId="{1C351BFD-756F-4B4C-A2C3-613ECC0ECCBC}" srcOrd="2" destOrd="0" presId="urn:microsoft.com/office/officeart/2005/8/layout/radial1"/>
    <dgm:cxn modelId="{25CA684B-7460-4513-A323-55100B9744DA}" type="presParOf" srcId="{29162CD2-626C-492C-9597-4859242C4E07}" destId="{2D099F54-CC6B-4B33-B1A2-7B984D361F50}" srcOrd="3" destOrd="0" presId="urn:microsoft.com/office/officeart/2005/8/layout/radial1"/>
    <dgm:cxn modelId="{90BB96CE-2FAD-4BCE-9805-2222B0E26349}" type="presParOf" srcId="{2D099F54-CC6B-4B33-B1A2-7B984D361F50}" destId="{8CE4C83F-AFEA-4436-A17E-7ADF9D05AC73}" srcOrd="0" destOrd="0" presId="urn:microsoft.com/office/officeart/2005/8/layout/radial1"/>
    <dgm:cxn modelId="{B0B51CD4-77A3-4FC6-A9A8-D84E3ED2BB17}" type="presParOf" srcId="{29162CD2-626C-492C-9597-4859242C4E07}" destId="{E487582F-D55B-458B-9472-F23D13977AD3}" srcOrd="4" destOrd="0" presId="urn:microsoft.com/office/officeart/2005/8/layout/radial1"/>
    <dgm:cxn modelId="{19977F5B-A5B2-4A8E-A6CD-144B8C43EF33}" type="presParOf" srcId="{29162CD2-626C-492C-9597-4859242C4E07}" destId="{AA209B31-AF37-48F3-B349-1BCBFD4A3411}" srcOrd="5" destOrd="0" presId="urn:microsoft.com/office/officeart/2005/8/layout/radial1"/>
    <dgm:cxn modelId="{2780B382-6CD5-4A27-82D4-12D2553E1CE4}" type="presParOf" srcId="{AA209B31-AF37-48F3-B349-1BCBFD4A3411}" destId="{01DB14DD-E639-4161-8298-5491D8FC1ACE}" srcOrd="0" destOrd="0" presId="urn:microsoft.com/office/officeart/2005/8/layout/radial1"/>
    <dgm:cxn modelId="{549F8B9A-DBA4-4467-B088-F3028EACD8B6}" type="presParOf" srcId="{29162CD2-626C-492C-9597-4859242C4E07}" destId="{78457E1E-A423-4093-81DA-E3220B07A39E}" srcOrd="6" destOrd="0" presId="urn:microsoft.com/office/officeart/2005/8/layout/radial1"/>
    <dgm:cxn modelId="{C5D982F6-EC16-46D8-9602-D3C75CBCAA76}" type="presParOf" srcId="{29162CD2-626C-492C-9597-4859242C4E07}" destId="{FA02BEC3-791A-4B78-AD38-9F126EDD0882}" srcOrd="7" destOrd="0" presId="urn:microsoft.com/office/officeart/2005/8/layout/radial1"/>
    <dgm:cxn modelId="{B777997C-2951-4636-996D-650E1B2DFDC2}" type="presParOf" srcId="{FA02BEC3-791A-4B78-AD38-9F126EDD0882}" destId="{5ED46509-5648-4D1F-8FDC-056F9E991691}" srcOrd="0" destOrd="0" presId="urn:microsoft.com/office/officeart/2005/8/layout/radial1"/>
    <dgm:cxn modelId="{515DA59F-B9FD-4BB8-999F-0345E1B5E83E}" type="presParOf" srcId="{29162CD2-626C-492C-9597-4859242C4E07}" destId="{F5488F8A-4984-4005-A9CD-D3E354EBEC1C}" srcOrd="8" destOrd="0" presId="urn:microsoft.com/office/officeart/2005/8/layout/radial1"/>
    <dgm:cxn modelId="{51107A2A-D7BC-451D-B904-F4D4BEDC25D4}" type="presParOf" srcId="{29162CD2-626C-492C-9597-4859242C4E07}" destId="{FAC358E5-ED85-427C-8B9B-4C49E08908F8}" srcOrd="9" destOrd="0" presId="urn:microsoft.com/office/officeart/2005/8/layout/radial1"/>
    <dgm:cxn modelId="{2954E1D1-C6BD-4ADB-9637-2520AAFD6076}" type="presParOf" srcId="{FAC358E5-ED85-427C-8B9B-4C49E08908F8}" destId="{1F7CDDFF-0DD2-4DA7-A766-DDB2829A4A62}" srcOrd="0" destOrd="0" presId="urn:microsoft.com/office/officeart/2005/8/layout/radial1"/>
    <dgm:cxn modelId="{A268B7C5-95E8-4815-8456-1E33EA728EDF}" type="presParOf" srcId="{29162CD2-626C-492C-9597-4859242C4E07}" destId="{7130E367-7F61-40C7-9DAA-596A50C46FED}" srcOrd="10" destOrd="0" presId="urn:microsoft.com/office/officeart/2005/8/layout/radial1"/>
  </dgm:cxnLst>
  <dgm:bg/>
  <dgm:whole/>
</dgm:dataModel>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03B04-3F41-46DA-8296-BC057115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20203</Words>
  <Characters>115163</Characters>
  <Application>Microsoft Office Word</Application>
  <DocSecurity>0</DocSecurity>
  <Lines>959</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Notă analitică</vt:lpstr>
      <vt:lpstr>Notă analitică</vt:lpstr>
    </vt:vector>
  </TitlesOfParts>
  <Company>a</Company>
  <LinksUpToDate>false</LinksUpToDate>
  <CharactersWithSpaces>135096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analitică</dc:title>
  <dc:creator>VCOZMA</dc:creator>
  <cp:lastModifiedBy>balannadej</cp:lastModifiedBy>
  <cp:revision>2</cp:revision>
  <cp:lastPrinted>2016-11-23T15:14:00Z</cp:lastPrinted>
  <dcterms:created xsi:type="dcterms:W3CDTF">2017-07-28T08:59:00Z</dcterms:created>
  <dcterms:modified xsi:type="dcterms:W3CDTF">2017-07-28T08:59:00Z</dcterms:modified>
</cp:coreProperties>
</file>