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CB" w:rsidRPr="008978CA" w:rsidRDefault="008440CB" w:rsidP="008440CB">
      <w:pPr>
        <w:ind w:firstLine="709"/>
        <w:jc w:val="center"/>
        <w:rPr>
          <w:b/>
          <w:bCs/>
        </w:rPr>
      </w:pPr>
      <w:r w:rsidRPr="008978CA">
        <w:rPr>
          <w:b/>
          <w:bCs/>
        </w:rPr>
        <w:t>PROCEDURĂ DE MĂSURARE LEGALĂ.</w:t>
      </w:r>
    </w:p>
    <w:p w:rsidR="008440CB" w:rsidRPr="008978CA" w:rsidRDefault="008440CB" w:rsidP="008440CB">
      <w:pPr>
        <w:ind w:firstLine="709"/>
        <w:jc w:val="center"/>
        <w:rPr>
          <w:b/>
          <w:bCs/>
        </w:rPr>
      </w:pPr>
      <w:bookmarkStart w:id="0" w:name="_GoBack"/>
      <w:r w:rsidRPr="008978CA">
        <w:rPr>
          <w:b/>
          <w:bCs/>
        </w:rPr>
        <w:t>VERIFICĂRI PRIN MĂSURARE ȘI ANALIZĂ STATISTICĂ A STICLELOR UTILIZATE CA RECIPIENTE DE MĂSURĂ</w:t>
      </w:r>
    </w:p>
    <w:p w:rsidR="008440CB" w:rsidRPr="008978CA" w:rsidRDefault="008440CB" w:rsidP="008440CB">
      <w:pPr>
        <w:jc w:val="both"/>
      </w:pPr>
    </w:p>
    <w:bookmarkEnd w:id="0"/>
    <w:p w:rsidR="008440CB" w:rsidRPr="008978CA" w:rsidRDefault="008440CB" w:rsidP="008440CB">
      <w:pPr>
        <w:ind w:firstLine="709"/>
        <w:jc w:val="both"/>
      </w:pPr>
    </w:p>
    <w:p w:rsidR="008440CB" w:rsidRPr="008978CA" w:rsidRDefault="008440CB" w:rsidP="008440CB">
      <w:pPr>
        <w:pStyle w:val="2"/>
        <w:numPr>
          <w:ilvl w:val="0"/>
          <w:numId w:val="2"/>
        </w:numPr>
        <w:contextualSpacing/>
        <w:rPr>
          <w:color w:val="000000"/>
        </w:rPr>
      </w:pPr>
      <w:r w:rsidRPr="008978CA">
        <w:rPr>
          <w:b/>
          <w:bCs/>
          <w:color w:val="000000"/>
        </w:rPr>
        <w:t>OBIECTUL ŞI DOMENIUL DE APLICARE</w:t>
      </w:r>
    </w:p>
    <w:p w:rsidR="008440CB" w:rsidRPr="008978CA" w:rsidRDefault="008440CB" w:rsidP="008440CB">
      <w:pPr>
        <w:pStyle w:val="2"/>
        <w:ind w:left="1068"/>
        <w:contextualSpacing/>
        <w:rPr>
          <w:color w:val="000000"/>
        </w:rPr>
      </w:pPr>
    </w:p>
    <w:p w:rsidR="008440CB" w:rsidRPr="008978CA" w:rsidRDefault="008440CB" w:rsidP="008440CB">
      <w:pPr>
        <w:jc w:val="both"/>
        <w:rPr>
          <w:color w:val="000000"/>
        </w:rPr>
      </w:pPr>
      <w:r w:rsidRPr="008978CA">
        <w:rPr>
          <w:color w:val="000000"/>
        </w:rPr>
        <w:t>1. Prezenta procedură de măsurare legală stabileşte modul de efectuare a verificărilor capacității sticlelor utilizate ca recipiente de măsură și stabilește etapele care trebuie parcurse în cadrul acestor verificări.</w:t>
      </w:r>
    </w:p>
    <w:p w:rsidR="008440CB" w:rsidRPr="008978CA" w:rsidRDefault="008440CB" w:rsidP="008440CB">
      <w:pPr>
        <w:jc w:val="both"/>
      </w:pPr>
      <w:r w:rsidRPr="008978CA">
        <w:rPr>
          <w:color w:val="000000"/>
        </w:rPr>
        <w:t xml:space="preserve">2. </w:t>
      </w:r>
      <w:r w:rsidRPr="008978CA">
        <w:t xml:space="preserve"> </w:t>
      </w:r>
      <w:r w:rsidRPr="008978CA">
        <w:rPr>
          <w:lang w:eastAsia="ru-RU"/>
        </w:rPr>
        <w:t xml:space="preserve">Se supun controlului metrologic legal  sticlele utilizate ca recipient de măsură. </w:t>
      </w:r>
    </w:p>
    <w:p w:rsidR="008440CB" w:rsidRPr="008978CA" w:rsidRDefault="008440CB" w:rsidP="008440CB">
      <w:pPr>
        <w:pStyle w:val="2"/>
        <w:ind w:left="709"/>
        <w:contextualSpacing/>
        <w:rPr>
          <w:b/>
          <w:bCs/>
          <w:color w:val="000000"/>
        </w:rPr>
      </w:pPr>
    </w:p>
    <w:p w:rsidR="008440CB" w:rsidRPr="008978CA" w:rsidRDefault="008440CB" w:rsidP="008440CB">
      <w:pPr>
        <w:pStyle w:val="2"/>
        <w:numPr>
          <w:ilvl w:val="0"/>
          <w:numId w:val="2"/>
        </w:numPr>
        <w:contextualSpacing/>
        <w:rPr>
          <w:color w:val="000000"/>
        </w:rPr>
      </w:pPr>
      <w:r w:rsidRPr="008978CA">
        <w:rPr>
          <w:b/>
          <w:bCs/>
          <w:color w:val="000000"/>
        </w:rPr>
        <w:t>REFERINȚE</w:t>
      </w:r>
    </w:p>
    <w:p w:rsidR="008440CB" w:rsidRPr="008978CA" w:rsidRDefault="008440CB" w:rsidP="008440CB">
      <w:pPr>
        <w:pStyle w:val="2"/>
        <w:ind w:left="0" w:firstLine="709"/>
        <w:contextualSpacing/>
        <w:rPr>
          <w:color w:val="000000"/>
        </w:rPr>
      </w:pPr>
    </w:p>
    <w:p w:rsidR="008440CB" w:rsidRPr="008978CA" w:rsidRDefault="008440CB" w:rsidP="008440CB">
      <w:pPr>
        <w:ind w:left="284"/>
        <w:jc w:val="both"/>
        <w:rPr>
          <w:color w:val="000000"/>
        </w:rPr>
      </w:pPr>
      <w:r w:rsidRPr="008978CA">
        <w:rPr>
          <w:color w:val="000000"/>
        </w:rPr>
        <w:t xml:space="preserve">       Legea  metrologiei nr. 19 din 04 martie 2016.</w:t>
      </w:r>
    </w:p>
    <w:p w:rsidR="008440CB" w:rsidRPr="008978CA" w:rsidRDefault="008440CB" w:rsidP="008440CB">
      <w:pPr>
        <w:pStyle w:val="20"/>
        <w:spacing w:after="0" w:line="240" w:lineRule="auto"/>
        <w:ind w:firstLine="709"/>
        <w:jc w:val="both"/>
        <w:rPr>
          <w:color w:val="000000"/>
        </w:rPr>
      </w:pPr>
      <w:r w:rsidRPr="008978CA">
        <w:rPr>
          <w:color w:val="000000"/>
        </w:rPr>
        <w:t xml:space="preserve">Regulamentului General de Metrologie Legală de stabilire a normelor privind </w:t>
      </w:r>
      <w:r w:rsidRPr="008978CA">
        <w:rPr>
          <w:spacing w:val="-3"/>
        </w:rPr>
        <w:t xml:space="preserve">a cerinţelor privind sticlele utilizate ca recipiente de măsurare, </w:t>
      </w:r>
      <w:r w:rsidRPr="008978CA">
        <w:rPr>
          <w:color w:val="000000"/>
        </w:rPr>
        <w:t>aprobat prin Hotărîrea Guvernului RM  Nr. 881 din  21.10.2014.</w:t>
      </w:r>
    </w:p>
    <w:p w:rsidR="008440CB" w:rsidRPr="008978CA" w:rsidRDefault="008440CB" w:rsidP="008440CB">
      <w:pPr>
        <w:pStyle w:val="Default"/>
        <w:ind w:firstLine="709"/>
        <w:jc w:val="both"/>
        <w:rPr>
          <w:rFonts w:ascii="Times New Roman" w:hAnsi="Times New Roman" w:cs="Times New Roman"/>
          <w:color w:val="FF0000"/>
          <w:lang w:val="ro-RO"/>
        </w:rPr>
      </w:pPr>
      <w:r w:rsidRPr="008978CA">
        <w:rPr>
          <w:rFonts w:ascii="Times New Roman" w:hAnsi="Times New Roman" w:cs="Times New Roman"/>
          <w:color w:val="FF0000"/>
          <w:lang w:val="ro-RO"/>
        </w:rPr>
        <w:t>PML xxxx Măsurarea densității preambalatelor</w:t>
      </w:r>
    </w:p>
    <w:p w:rsidR="008440CB" w:rsidRPr="008978CA" w:rsidRDefault="008440CB" w:rsidP="008440CB">
      <w:pPr>
        <w:autoSpaceDE w:val="0"/>
        <w:autoSpaceDN w:val="0"/>
        <w:adjustRightInd w:val="0"/>
        <w:ind w:firstLine="709"/>
        <w:rPr>
          <w:bCs/>
        </w:rPr>
      </w:pPr>
      <w:r>
        <w:rPr>
          <w:bCs/>
        </w:rPr>
        <w:t>Ghid WELMEC 6.</w:t>
      </w:r>
      <w:r w:rsidRPr="008978CA">
        <w:rPr>
          <w:bCs/>
        </w:rPr>
        <w:t>12, revizia 1, privind directiva 75/107/CEE – sticlele utilizate ca recipiente de măsură .</w:t>
      </w:r>
    </w:p>
    <w:p w:rsidR="008440CB" w:rsidRPr="008978CA" w:rsidRDefault="008440CB" w:rsidP="008440CB">
      <w:pPr>
        <w:pStyle w:val="Default"/>
        <w:ind w:firstLine="709"/>
        <w:jc w:val="both"/>
        <w:rPr>
          <w:rFonts w:ascii="Times New Roman" w:hAnsi="Times New Roman" w:cs="Times New Roman"/>
          <w:color w:val="auto"/>
          <w:lang w:val="ro-RO"/>
        </w:rPr>
      </w:pPr>
    </w:p>
    <w:p w:rsidR="008440CB" w:rsidRPr="008978CA" w:rsidRDefault="008440CB" w:rsidP="008440CB">
      <w:pPr>
        <w:tabs>
          <w:tab w:val="left" w:pos="6732"/>
        </w:tabs>
        <w:ind w:firstLine="709"/>
        <w:jc w:val="both"/>
      </w:pPr>
    </w:p>
    <w:p w:rsidR="008440CB" w:rsidRPr="008978CA" w:rsidRDefault="008440CB" w:rsidP="008440CB">
      <w:pPr>
        <w:numPr>
          <w:ilvl w:val="0"/>
          <w:numId w:val="2"/>
        </w:numPr>
        <w:tabs>
          <w:tab w:val="left" w:pos="-810"/>
        </w:tabs>
        <w:spacing w:after="240"/>
        <w:rPr>
          <w:b/>
          <w:bCs/>
          <w:color w:val="000000"/>
        </w:rPr>
      </w:pPr>
      <w:r w:rsidRPr="008978CA">
        <w:rPr>
          <w:b/>
          <w:bCs/>
          <w:color w:val="000000"/>
        </w:rPr>
        <w:t>TERMINOLOGIE ȘI DEFINIȚII</w:t>
      </w:r>
    </w:p>
    <w:p w:rsidR="008440CB" w:rsidRPr="008978CA" w:rsidRDefault="008440CB" w:rsidP="008440CB">
      <w:pPr>
        <w:tabs>
          <w:tab w:val="left" w:pos="6732"/>
        </w:tabs>
        <w:ind w:firstLine="709"/>
        <w:jc w:val="both"/>
        <w:rPr>
          <w:color w:val="000000"/>
        </w:rPr>
      </w:pPr>
      <w:r w:rsidRPr="008978CA">
        <w:t>Termenii utilizați în prezenta procedură de măsurare legală sunt definiți în</w:t>
      </w:r>
      <w:r w:rsidRPr="008978CA">
        <w:rPr>
          <w:color w:val="000000"/>
        </w:rPr>
        <w:t>:</w:t>
      </w:r>
    </w:p>
    <w:p w:rsidR="008440CB" w:rsidRPr="008978CA" w:rsidRDefault="008440CB" w:rsidP="008440CB">
      <w:pPr>
        <w:tabs>
          <w:tab w:val="left" w:pos="6732"/>
        </w:tabs>
        <w:jc w:val="both"/>
        <w:rPr>
          <w:color w:val="000000"/>
        </w:rPr>
      </w:pPr>
      <w:r w:rsidRPr="008978CA">
        <w:rPr>
          <w:color w:val="000000"/>
        </w:rPr>
        <w:t xml:space="preserve">            Legea metrologiei nr. 19 din 04.03.2016; </w:t>
      </w:r>
    </w:p>
    <w:p w:rsidR="008440CB" w:rsidRPr="008978CA" w:rsidRDefault="008440CB" w:rsidP="008440CB">
      <w:pPr>
        <w:pStyle w:val="20"/>
        <w:spacing w:after="0" w:line="240" w:lineRule="auto"/>
        <w:ind w:firstLine="709"/>
        <w:jc w:val="both"/>
        <w:rPr>
          <w:color w:val="000000"/>
        </w:rPr>
      </w:pPr>
      <w:r w:rsidRPr="008978CA">
        <w:rPr>
          <w:color w:val="000000"/>
        </w:rPr>
        <w:t xml:space="preserve">Regulamentului General de Metrologie Legală de stabilire a normelor privind </w:t>
      </w:r>
      <w:r w:rsidRPr="008978CA">
        <w:rPr>
          <w:spacing w:val="-3"/>
        </w:rPr>
        <w:t xml:space="preserve">a cerinţelor privind sticlele utilizate ca recipiente de măsurare, </w:t>
      </w:r>
      <w:r w:rsidRPr="008978CA">
        <w:rPr>
          <w:color w:val="000000"/>
        </w:rPr>
        <w:t>aprobat prin Hotărîrea Guvernului RM  Nr. 881 din  21.10.2014.</w:t>
      </w:r>
    </w:p>
    <w:p w:rsidR="008440CB" w:rsidRPr="008978CA" w:rsidRDefault="008440CB" w:rsidP="008440CB">
      <w:pPr>
        <w:ind w:firstLine="709"/>
        <w:contextualSpacing/>
        <w:jc w:val="both"/>
      </w:pPr>
      <w:r w:rsidRPr="008978CA">
        <w:t>SM SR Ghid ISO/CEI 99:2012 Vocabular internaţional de metrologie. Concepte fundamentale şi generale şi termeni asociaţi (VIM).</w:t>
      </w:r>
    </w:p>
    <w:p w:rsidR="008440CB" w:rsidRPr="008978CA" w:rsidRDefault="008440CB" w:rsidP="008440CB">
      <w:pPr>
        <w:pStyle w:val="a8"/>
        <w:ind w:firstLine="708"/>
        <w:jc w:val="both"/>
        <w:rPr>
          <w:rFonts w:ascii="Times New Roman" w:hAnsi="Times New Roman"/>
          <w:b/>
          <w:bCs/>
          <w:color w:val="000000"/>
          <w:sz w:val="24"/>
          <w:szCs w:val="24"/>
          <w:lang w:val="ro-RO"/>
        </w:rPr>
      </w:pPr>
    </w:p>
    <w:p w:rsidR="008440CB" w:rsidRPr="008978CA" w:rsidRDefault="008440CB" w:rsidP="008440CB">
      <w:pPr>
        <w:jc w:val="center"/>
        <w:rPr>
          <w:b/>
          <w:bCs/>
          <w:color w:val="000000"/>
        </w:rPr>
      </w:pPr>
    </w:p>
    <w:p w:rsidR="008440CB" w:rsidRPr="008978CA" w:rsidRDefault="008440CB" w:rsidP="008440CB">
      <w:pPr>
        <w:numPr>
          <w:ilvl w:val="0"/>
          <w:numId w:val="2"/>
        </w:numPr>
        <w:rPr>
          <w:b/>
          <w:bCs/>
          <w:color w:val="000000"/>
        </w:rPr>
      </w:pPr>
      <w:r w:rsidRPr="008978CA">
        <w:rPr>
          <w:b/>
          <w:bCs/>
          <w:color w:val="000000"/>
        </w:rPr>
        <w:t>IV.GENERALITĂŢI</w:t>
      </w:r>
    </w:p>
    <w:p w:rsidR="008440CB" w:rsidRPr="008978CA" w:rsidRDefault="008440CB" w:rsidP="008440CB">
      <w:pPr>
        <w:ind w:left="1068"/>
        <w:rPr>
          <w:color w:val="000000"/>
        </w:rPr>
      </w:pPr>
    </w:p>
    <w:p w:rsidR="008440CB" w:rsidRPr="008978CA" w:rsidRDefault="008440CB" w:rsidP="008440CB">
      <w:pPr>
        <w:rPr>
          <w:color w:val="000000"/>
          <w:lang w:eastAsia="ru-RU"/>
        </w:rPr>
      </w:pPr>
      <w:r w:rsidRPr="008978CA">
        <w:rPr>
          <w:color w:val="000000"/>
          <w:lang w:eastAsia="ru-RU"/>
        </w:rPr>
        <w:t>3. Prezenta procedură se referă la verificări efectuate prin măsurare şi analiza statistică a loturilor de sticle utilizate ca recipiente de măsurar</w:t>
      </w:r>
      <w:r>
        <w:rPr>
          <w:color w:val="000000"/>
          <w:lang w:eastAsia="ru-RU"/>
        </w:rPr>
        <w:t>ă</w:t>
      </w:r>
      <w:r w:rsidRPr="008978CA">
        <w:rPr>
          <w:color w:val="000000"/>
          <w:lang w:eastAsia="ru-RU"/>
        </w:rPr>
        <w:t>, denumite în continuare sticle, în scopul evaluării respectării cerinţelor pe care trebuie să le satisfacă aceste sticle și care:</w:t>
      </w:r>
    </w:p>
    <w:p w:rsidR="008440CB" w:rsidRPr="008978CA" w:rsidRDefault="008440CB" w:rsidP="008440CB">
      <w:pPr>
        <w:jc w:val="both"/>
      </w:pPr>
      <w:r w:rsidRPr="008978CA">
        <w:t>- sunt fabricate dintr-un material rigid care permite obținerea și menținerea caracteristicilor metrologice prevăzute de RGML 881/2014;</w:t>
      </w:r>
    </w:p>
    <w:p w:rsidR="008440CB" w:rsidRPr="008978CA" w:rsidRDefault="008440CB" w:rsidP="008440CB">
      <w:pPr>
        <w:jc w:val="both"/>
      </w:pPr>
      <w:r w:rsidRPr="008978CA">
        <w:t>- sunt capsulate (închise) sau sunt proiectate pentru a fi capsulate (închise);</w:t>
      </w:r>
    </w:p>
    <w:p w:rsidR="008440CB" w:rsidRPr="008978CA" w:rsidRDefault="008440CB" w:rsidP="008440CB">
      <w:pPr>
        <w:jc w:val="both"/>
      </w:pPr>
      <w:r w:rsidRPr="008978CA">
        <w:t>- au capacitatea nominală cuprinsă între 50ml și 5l;</w:t>
      </w:r>
    </w:p>
    <w:p w:rsidR="008440CB" w:rsidRPr="008978CA" w:rsidRDefault="008440CB" w:rsidP="008440CB">
      <w:pPr>
        <w:jc w:val="both"/>
      </w:pPr>
      <w:r w:rsidRPr="008978CA">
        <w:t>- au asemenea caracteristici metrologice încât pot fi utilizate ca recipiente de măsurar</w:t>
      </w:r>
      <w:r>
        <w:t>ă</w:t>
      </w:r>
      <w:r w:rsidRPr="008978CA">
        <w:t xml:space="preserve"> (la umplerea lor pînă la nivelul specificat pe sticla sau la un procent specificat din capacitatea maximă de umplere conținutul lor poate fi măsurat cu exactitate); </w:t>
      </w:r>
    </w:p>
    <w:p w:rsidR="008440CB" w:rsidRPr="008978CA" w:rsidRDefault="008440CB" w:rsidP="008440CB">
      <w:pPr>
        <w:rPr>
          <w:color w:val="000000"/>
          <w:lang w:eastAsia="ru-RU"/>
        </w:rPr>
      </w:pPr>
      <w:r w:rsidRPr="008978CA">
        <w:rPr>
          <w:color w:val="000000"/>
          <w:lang w:eastAsia="ru-RU"/>
        </w:rPr>
        <w:t>Nu fac obiectul prezentei proceduri sticlele care nu poarta marcajul 3.</w:t>
      </w:r>
    </w:p>
    <w:p w:rsidR="008440CB" w:rsidRPr="008978CA" w:rsidRDefault="008440CB" w:rsidP="008440CB">
      <w:pPr>
        <w:rPr>
          <w:color w:val="000000"/>
        </w:rPr>
      </w:pPr>
    </w:p>
    <w:p w:rsidR="008440CB" w:rsidRPr="008978CA" w:rsidRDefault="008440CB" w:rsidP="008440CB">
      <w:pPr>
        <w:rPr>
          <w:color w:val="000000"/>
        </w:rPr>
      </w:pPr>
    </w:p>
    <w:p w:rsidR="008440CB" w:rsidRPr="008978CA" w:rsidRDefault="008440CB" w:rsidP="008440CB">
      <w:pPr>
        <w:numPr>
          <w:ilvl w:val="0"/>
          <w:numId w:val="2"/>
        </w:numPr>
        <w:rPr>
          <w:b/>
          <w:color w:val="000000"/>
        </w:rPr>
      </w:pPr>
      <w:r w:rsidRPr="008978CA">
        <w:rPr>
          <w:b/>
          <w:color w:val="000000"/>
        </w:rPr>
        <w:lastRenderedPageBreak/>
        <w:t>CERINȚE FAȚĂ DE INTERVALELE DE MĂSURARE, LIMITELE ERORI</w:t>
      </w:r>
      <w:r>
        <w:rPr>
          <w:b/>
          <w:color w:val="000000"/>
        </w:rPr>
        <w:t>LOR DE MĂSURARE MAXIME TOLERATE</w:t>
      </w:r>
    </w:p>
    <w:p w:rsidR="008440CB" w:rsidRPr="008978CA" w:rsidRDefault="008440CB" w:rsidP="008440CB">
      <w:pPr>
        <w:jc w:val="both"/>
        <w:rPr>
          <w:b/>
          <w:color w:val="000000"/>
        </w:rPr>
      </w:pPr>
    </w:p>
    <w:p w:rsidR="008440CB" w:rsidRPr="008978CA" w:rsidRDefault="008440CB" w:rsidP="008440CB">
      <w:pPr>
        <w:pStyle w:val="tt"/>
        <w:ind w:firstLine="720"/>
        <w:jc w:val="both"/>
        <w:rPr>
          <w:b w:val="0"/>
          <w:lang w:val="ro-RO" w:eastAsia="ro-RO"/>
        </w:rPr>
      </w:pPr>
      <w:r w:rsidRPr="008978CA">
        <w:rPr>
          <w:b w:val="0"/>
          <w:lang w:val="ro-RO"/>
        </w:rPr>
        <w:t>4. E</w:t>
      </w:r>
      <w:r w:rsidRPr="008978CA">
        <w:rPr>
          <w:b w:val="0"/>
          <w:lang w:val="ro-RO" w:eastAsia="ro-RO"/>
        </w:rPr>
        <w:t>rorile maxime acceptabile (pozitive sau negative) ale capacităţii unei sticle utilizate ca recipient de măsurar</w:t>
      </w:r>
      <w:r>
        <w:rPr>
          <w:b w:val="0"/>
          <w:lang w:val="ro-RO" w:eastAsia="ro-RO"/>
        </w:rPr>
        <w:t>ă</w:t>
      </w:r>
      <w:r w:rsidRPr="008978CA">
        <w:rPr>
          <w:b w:val="0"/>
          <w:lang w:val="ro-RO" w:eastAsia="ro-RO"/>
        </w:rPr>
        <w:t xml:space="preserve">, adică cele mai mari diferenţe permise (pozitive sau negative), la temperatura de </w:t>
      </w:r>
      <w:smartTag w:uri="urn:schemas-microsoft-com:office:smarttags" w:element="metricconverter">
        <w:smartTagPr>
          <w:attr w:name="ProductID" w:val="20 ﾰC"/>
        </w:smartTagPr>
        <w:r w:rsidRPr="008978CA">
          <w:rPr>
            <w:b w:val="0"/>
            <w:lang w:val="ro-RO" w:eastAsia="ro-RO"/>
          </w:rPr>
          <w:t>20 °C,</w:t>
        </w:r>
      </w:smartTag>
      <w:r w:rsidRPr="008978CA">
        <w:rPr>
          <w:b w:val="0"/>
          <w:lang w:val="ro-RO" w:eastAsia="ro-RO"/>
        </w:rPr>
        <w:t xml:space="preserve"> între capacitatea reală şi capacitatea nominală V</w:t>
      </w:r>
      <w:r w:rsidRPr="008978CA">
        <w:rPr>
          <w:b w:val="0"/>
          <w:vertAlign w:val="subscript"/>
          <w:lang w:val="ro-RO" w:eastAsia="ro-RO"/>
        </w:rPr>
        <w:t>n</w:t>
      </w:r>
      <w:r w:rsidRPr="008978CA">
        <w:rPr>
          <w:b w:val="0"/>
          <w:lang w:val="ro-RO" w:eastAsia="ro-RO"/>
        </w:rPr>
        <w:t>, trebuie să fie în conformitate cu următorul tabel:</w:t>
      </w:r>
    </w:p>
    <w:p w:rsidR="008440CB" w:rsidRPr="008978CA" w:rsidRDefault="008440CB" w:rsidP="008440CB">
      <w:pPr>
        <w:pStyle w:val="tt"/>
        <w:ind w:firstLine="720"/>
        <w:jc w:val="both"/>
        <w:rPr>
          <w:b w:val="0"/>
          <w:lang w:val="ro-RO" w:eastAsia="ro-RO"/>
        </w:rPr>
      </w:pPr>
    </w:p>
    <w:p w:rsidR="008440CB" w:rsidRPr="008978CA" w:rsidRDefault="008440CB" w:rsidP="008440CB">
      <w:pPr>
        <w:jc w:val="right"/>
      </w:pPr>
      <w:r w:rsidRPr="008978CA">
        <w:t>Tabel 1</w:t>
      </w:r>
    </w:p>
    <w:p w:rsidR="008440CB" w:rsidRPr="008978CA" w:rsidRDefault="008440CB" w:rsidP="008440CB">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8440CB" w:rsidRPr="008978CA" w:rsidTr="00800C04">
        <w:tc>
          <w:tcPr>
            <w:tcW w:w="3284" w:type="dxa"/>
            <w:vMerge w:val="restart"/>
            <w:tcBorders>
              <w:top w:val="single" w:sz="4" w:space="0" w:color="auto"/>
              <w:left w:val="single" w:sz="4" w:space="0" w:color="auto"/>
              <w:bottom w:val="single" w:sz="4" w:space="0" w:color="auto"/>
              <w:right w:val="single" w:sz="4" w:space="0" w:color="auto"/>
            </w:tcBorders>
          </w:tcPr>
          <w:p w:rsidR="008440CB" w:rsidRPr="008978CA" w:rsidRDefault="008440CB" w:rsidP="00800C04">
            <w:r w:rsidRPr="008978CA">
              <w:t>Capacitatea nominală V</w:t>
            </w:r>
            <w:r w:rsidRPr="008978CA">
              <w:rPr>
                <w:vertAlign w:val="subscript"/>
              </w:rPr>
              <w:t xml:space="preserve">n ,   </w:t>
            </w:r>
            <w:r w:rsidRPr="008978CA">
              <w:t>mililitri</w:t>
            </w:r>
          </w:p>
        </w:tc>
        <w:tc>
          <w:tcPr>
            <w:tcW w:w="6570" w:type="dxa"/>
            <w:gridSpan w:val="2"/>
            <w:tcBorders>
              <w:top w:val="single" w:sz="4" w:space="0" w:color="auto"/>
              <w:left w:val="single" w:sz="4" w:space="0" w:color="auto"/>
              <w:bottom w:val="single" w:sz="4" w:space="0" w:color="auto"/>
              <w:right w:val="single" w:sz="4" w:space="0" w:color="auto"/>
            </w:tcBorders>
          </w:tcPr>
          <w:p w:rsidR="008440CB" w:rsidRPr="008978CA" w:rsidRDefault="008440CB" w:rsidP="00800C04">
            <w:pPr>
              <w:jc w:val="center"/>
            </w:pPr>
            <w:r w:rsidRPr="008978CA">
              <w:t>Erori maxime tolerate</w:t>
            </w:r>
          </w:p>
        </w:tc>
      </w:tr>
      <w:tr w:rsidR="008440CB" w:rsidRPr="008978CA" w:rsidTr="00800C04">
        <w:tc>
          <w:tcPr>
            <w:tcW w:w="0" w:type="auto"/>
            <w:vMerge/>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p>
        </w:tc>
        <w:tc>
          <w:tcPr>
            <w:tcW w:w="3285" w:type="dxa"/>
            <w:tcBorders>
              <w:top w:val="single" w:sz="4" w:space="0" w:color="auto"/>
              <w:left w:val="single" w:sz="4" w:space="0" w:color="auto"/>
              <w:bottom w:val="single" w:sz="4" w:space="0" w:color="auto"/>
              <w:right w:val="single" w:sz="4" w:space="0" w:color="auto"/>
            </w:tcBorders>
          </w:tcPr>
          <w:p w:rsidR="008440CB" w:rsidRPr="008978CA" w:rsidRDefault="008440CB" w:rsidP="00800C04">
            <w:pPr>
              <w:jc w:val="center"/>
            </w:pPr>
            <w:r w:rsidRPr="008978CA">
              <w:t>% din V</w:t>
            </w:r>
            <w:r w:rsidRPr="008978CA">
              <w:rPr>
                <w:vertAlign w:val="subscript"/>
              </w:rPr>
              <w:t>n</w:t>
            </w:r>
          </w:p>
        </w:tc>
        <w:tc>
          <w:tcPr>
            <w:tcW w:w="3285" w:type="dxa"/>
            <w:tcBorders>
              <w:top w:val="single" w:sz="4" w:space="0" w:color="auto"/>
              <w:left w:val="single" w:sz="4" w:space="0" w:color="auto"/>
              <w:bottom w:val="single" w:sz="4" w:space="0" w:color="auto"/>
              <w:right w:val="single" w:sz="4" w:space="0" w:color="auto"/>
            </w:tcBorders>
          </w:tcPr>
          <w:p w:rsidR="008440CB" w:rsidRPr="008978CA" w:rsidRDefault="008440CB" w:rsidP="00800C04">
            <w:pPr>
              <w:jc w:val="center"/>
            </w:pPr>
            <w:r w:rsidRPr="008978CA">
              <w:t>în mililitri</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50 la 100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3</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100 la 200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3</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200 la 300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6</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300 la 500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2</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500 la 1 000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10</w:t>
            </w:r>
          </w:p>
        </w:tc>
      </w:tr>
      <w:tr w:rsidR="008440CB" w:rsidRPr="008978CA" w:rsidTr="00800C04">
        <w:tc>
          <w:tcPr>
            <w:tcW w:w="3284"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both"/>
            </w:pPr>
            <w:r w:rsidRPr="008978CA">
              <w:t>de la 1 000 la 5 000</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1</w:t>
            </w:r>
          </w:p>
        </w:tc>
        <w:tc>
          <w:tcPr>
            <w:tcW w:w="3285" w:type="dxa"/>
            <w:tcBorders>
              <w:top w:val="single" w:sz="4" w:space="0" w:color="auto"/>
              <w:left w:val="single" w:sz="4" w:space="0" w:color="auto"/>
              <w:bottom w:val="single" w:sz="4" w:space="0" w:color="auto"/>
              <w:right w:val="single" w:sz="4" w:space="0" w:color="auto"/>
            </w:tcBorders>
            <w:vAlign w:val="center"/>
          </w:tcPr>
          <w:p w:rsidR="008440CB" w:rsidRPr="008978CA" w:rsidRDefault="008440CB" w:rsidP="00800C04">
            <w:pPr>
              <w:jc w:val="center"/>
            </w:pPr>
            <w:r w:rsidRPr="008978CA">
              <w:t>-</w:t>
            </w:r>
          </w:p>
        </w:tc>
      </w:tr>
    </w:tbl>
    <w:p w:rsidR="008440CB" w:rsidRPr="008978CA" w:rsidRDefault="008440CB" w:rsidP="008440CB">
      <w:pPr>
        <w:ind w:firstLine="720"/>
        <w:jc w:val="both"/>
      </w:pPr>
    </w:p>
    <w:p w:rsidR="008440CB" w:rsidRPr="008978CA" w:rsidRDefault="008440CB" w:rsidP="008440CB">
      <w:pPr>
        <w:ind w:firstLine="720"/>
        <w:jc w:val="both"/>
      </w:pPr>
      <w:r w:rsidRPr="008978CA">
        <w:t xml:space="preserve">Eroarea maximă tolerată la capacitatea maximă de umplere trebuie să fie aceeaşi ca şi eroarea maximă admisă  la capacitatea nominală  corespunzătoare. </w:t>
      </w:r>
    </w:p>
    <w:p w:rsidR="008440CB" w:rsidRPr="008978CA" w:rsidRDefault="008440CB" w:rsidP="008440CB">
      <w:pPr>
        <w:ind w:firstLine="709"/>
        <w:jc w:val="both"/>
        <w:rPr>
          <w:b/>
          <w:color w:val="000000"/>
        </w:rPr>
      </w:pPr>
    </w:p>
    <w:p w:rsidR="008440CB" w:rsidRPr="008978CA" w:rsidRDefault="008440CB" w:rsidP="008440CB">
      <w:pPr>
        <w:numPr>
          <w:ilvl w:val="0"/>
          <w:numId w:val="2"/>
        </w:numPr>
      </w:pPr>
      <w:r w:rsidRPr="008978CA">
        <w:rPr>
          <w:b/>
          <w:color w:val="000000"/>
        </w:rPr>
        <w:t>EȘANTIONARE</w:t>
      </w:r>
    </w:p>
    <w:p w:rsidR="008440CB" w:rsidRPr="008978CA" w:rsidRDefault="008440CB" w:rsidP="008440CB">
      <w:pPr>
        <w:ind w:firstLine="720"/>
        <w:jc w:val="both"/>
      </w:pPr>
    </w:p>
    <w:p w:rsidR="008440CB" w:rsidRPr="008978CA" w:rsidRDefault="008440CB" w:rsidP="008440CB">
      <w:pPr>
        <w:ind w:hanging="720"/>
        <w:jc w:val="both"/>
      </w:pPr>
      <w:r w:rsidRPr="008978CA">
        <w:t xml:space="preserve">  </w:t>
      </w:r>
      <w:r w:rsidRPr="008978CA">
        <w:tab/>
        <w:t>5. În funcție de metoda de verificare utilizata se prelevează un eșantion de 35 de sticle în cazul metodei abaterii standard sau 40 de sticle în cazul metodei amplitudinii medii. Eșantionul trebuie prelevat din producția de sticle de același tip și aceeași fabricație. Prelevarea se efectuează din producția orară a producătorului de sticle.</w:t>
      </w:r>
    </w:p>
    <w:p w:rsidR="008440CB" w:rsidRPr="008978CA" w:rsidRDefault="008440CB" w:rsidP="008440CB">
      <w:pPr>
        <w:rPr>
          <w:b/>
          <w:bCs/>
        </w:rPr>
      </w:pPr>
    </w:p>
    <w:p w:rsidR="008440CB" w:rsidRPr="008978CA" w:rsidRDefault="008440CB" w:rsidP="008440CB">
      <w:pPr>
        <w:numPr>
          <w:ilvl w:val="0"/>
          <w:numId w:val="2"/>
        </w:numPr>
        <w:rPr>
          <w:b/>
          <w:bCs/>
        </w:rPr>
      </w:pPr>
      <w:r w:rsidRPr="008978CA">
        <w:rPr>
          <w:b/>
          <w:bCs/>
        </w:rPr>
        <w:t>METODA DE MĂSURARE</w:t>
      </w:r>
    </w:p>
    <w:p w:rsidR="008440CB" w:rsidRPr="008978CA" w:rsidRDefault="008440CB" w:rsidP="008440CB">
      <w:pPr>
        <w:tabs>
          <w:tab w:val="left" w:pos="0"/>
          <w:tab w:val="left" w:pos="540"/>
        </w:tabs>
        <w:ind w:firstLine="709"/>
        <w:jc w:val="both"/>
      </w:pPr>
    </w:p>
    <w:p w:rsidR="008440CB" w:rsidRPr="008978CA" w:rsidRDefault="008440CB" w:rsidP="008440CB">
      <w:pPr>
        <w:ind w:firstLine="720"/>
        <w:jc w:val="both"/>
      </w:pPr>
      <w:r w:rsidRPr="008978CA">
        <w:t>6. Măsurarea capacităţii reale a sticlelor utilizate ca recipiente de măsurar</w:t>
      </w:r>
      <w:r>
        <w:t>ă</w:t>
      </w:r>
      <w:r w:rsidRPr="008978CA">
        <w:t>, care constituie eşantionul, se efectuează după cum urmează:</w:t>
      </w:r>
    </w:p>
    <w:p w:rsidR="008440CB" w:rsidRPr="008978CA" w:rsidRDefault="008440CB" w:rsidP="008440CB">
      <w:pPr>
        <w:numPr>
          <w:ilvl w:val="0"/>
          <w:numId w:val="1"/>
        </w:numPr>
      </w:pPr>
      <w:r w:rsidRPr="008978CA">
        <w:t>sticlele curate și uscate se marchează în vederea identificării lor;</w:t>
      </w:r>
    </w:p>
    <w:p w:rsidR="008440CB" w:rsidRPr="008978CA" w:rsidRDefault="008440CB" w:rsidP="008440CB">
      <w:pPr>
        <w:numPr>
          <w:ilvl w:val="0"/>
          <w:numId w:val="1"/>
        </w:numPr>
      </w:pPr>
      <w:r w:rsidRPr="008978CA">
        <w:t>sticlele se cantaresc goale utilizand mijloace de masurare legale si adecvate masurarii ce se</w:t>
      </w:r>
    </w:p>
    <w:p w:rsidR="008440CB" w:rsidRPr="008978CA" w:rsidRDefault="008440CB" w:rsidP="008440CB">
      <w:pPr>
        <w:ind w:left="720" w:hanging="720"/>
      </w:pPr>
      <w:r w:rsidRPr="008978CA">
        <w:t>efectueaza, obtinand valorile m</w:t>
      </w:r>
      <w:r w:rsidRPr="008978CA">
        <w:rPr>
          <w:vertAlign w:val="subscript"/>
        </w:rPr>
        <w:t>ig</w:t>
      </w:r>
      <w:r w:rsidRPr="008978CA">
        <w:t xml:space="preserve"> ale greutatii sticlelor. Exactitatea mijloacelor de masurare</w:t>
      </w:r>
    </w:p>
    <w:p w:rsidR="008440CB" w:rsidRPr="008978CA" w:rsidRDefault="008440CB" w:rsidP="008440CB">
      <w:pPr>
        <w:ind w:left="720" w:hanging="720"/>
      </w:pPr>
      <w:r w:rsidRPr="008978CA">
        <w:t>utilizate trebuie astfel aleasa incat eroarea de masurare totala a capacitatii reale a sticlelor sa nu</w:t>
      </w:r>
    </w:p>
    <w:p w:rsidR="008440CB" w:rsidRPr="008978CA" w:rsidRDefault="008440CB" w:rsidP="008440CB">
      <w:pPr>
        <w:ind w:left="720" w:hanging="720"/>
      </w:pPr>
      <w:r w:rsidRPr="008978CA">
        <w:t>depaseasca 20% din valoarea erorii maxime tolerate corespunzatoare capacitatii nominale a</w:t>
      </w:r>
    </w:p>
    <w:p w:rsidR="008440CB" w:rsidRPr="008978CA" w:rsidRDefault="008440CB" w:rsidP="008440CB">
      <w:pPr>
        <w:ind w:left="720" w:hanging="720"/>
      </w:pPr>
      <w:r w:rsidRPr="008978CA">
        <w:t>sticlelor din esantion;</w:t>
      </w:r>
    </w:p>
    <w:p w:rsidR="008440CB" w:rsidRPr="008978CA" w:rsidRDefault="008440CB" w:rsidP="008440CB">
      <w:pPr>
        <w:numPr>
          <w:ilvl w:val="0"/>
          <w:numId w:val="1"/>
        </w:numPr>
        <w:rPr>
          <w:color w:val="000000"/>
          <w:lang w:eastAsia="ru-RU"/>
        </w:rPr>
      </w:pPr>
      <w:r w:rsidRPr="008978CA">
        <w:rPr>
          <w:color w:val="000000"/>
          <w:lang w:eastAsia="ru-RU"/>
        </w:rPr>
        <w:t>sticlele se umplu cu apa avand temperatura de 20</w:t>
      </w:r>
      <w:r w:rsidRPr="008978CA">
        <w:rPr>
          <w:color w:val="000000"/>
          <w:vertAlign w:val="superscript"/>
          <w:lang w:eastAsia="ru-RU"/>
        </w:rPr>
        <w:t>0</w:t>
      </w:r>
      <w:r w:rsidRPr="008978CA">
        <w:rPr>
          <w:color w:val="000000"/>
          <w:lang w:eastAsia="ru-RU"/>
        </w:rPr>
        <w:t>C, cu densitate cunoscuta, pana la nivelul de</w:t>
      </w:r>
    </w:p>
    <w:p w:rsidR="008440CB" w:rsidRPr="008978CA" w:rsidRDefault="008440CB" w:rsidP="008440CB">
      <w:pPr>
        <w:ind w:left="720" w:hanging="720"/>
        <w:rPr>
          <w:color w:val="000000"/>
          <w:lang w:eastAsia="ru-RU"/>
        </w:rPr>
      </w:pPr>
      <w:r w:rsidRPr="008978CA">
        <w:rPr>
          <w:color w:val="000000"/>
          <w:lang w:eastAsia="ru-RU"/>
        </w:rPr>
        <w:t>umplere corespunzator metodei de umplere aplicata (umplere la nivel constant sau umplere la gol</w:t>
      </w:r>
    </w:p>
    <w:p w:rsidR="008440CB" w:rsidRPr="008978CA" w:rsidRDefault="008440CB" w:rsidP="008440CB">
      <w:pPr>
        <w:ind w:left="720" w:hanging="720"/>
        <w:rPr>
          <w:color w:val="000000"/>
          <w:lang w:eastAsia="ru-RU"/>
        </w:rPr>
      </w:pPr>
      <w:r w:rsidRPr="008978CA">
        <w:rPr>
          <w:color w:val="000000"/>
          <w:lang w:eastAsia="ru-RU"/>
        </w:rPr>
        <w:t>constant);</w:t>
      </w:r>
    </w:p>
    <w:p w:rsidR="008440CB" w:rsidRPr="008978CA" w:rsidRDefault="008440CB" w:rsidP="008440CB">
      <w:pPr>
        <w:ind w:left="720" w:hanging="720"/>
        <w:rPr>
          <w:color w:val="000000"/>
          <w:lang w:eastAsia="ru-RU"/>
        </w:rPr>
      </w:pPr>
      <w:r w:rsidRPr="008978CA">
        <w:rPr>
          <w:color w:val="000000"/>
          <w:lang w:eastAsia="ru-RU"/>
        </w:rPr>
        <w:t>- sticlele umplute ca mai sus se cantaresc rezultand valorile m</w:t>
      </w:r>
      <w:r w:rsidRPr="008978CA">
        <w:rPr>
          <w:color w:val="000000"/>
          <w:vertAlign w:val="subscript"/>
          <w:lang w:eastAsia="ru-RU"/>
        </w:rPr>
        <w:t>ip</w:t>
      </w:r>
      <w:r w:rsidRPr="008978CA">
        <w:rPr>
          <w:color w:val="000000"/>
          <w:lang w:eastAsia="ru-RU"/>
        </w:rPr>
        <w:t>;</w:t>
      </w:r>
    </w:p>
    <w:p w:rsidR="008440CB" w:rsidRPr="008978CA" w:rsidRDefault="008440CB" w:rsidP="008440CB">
      <w:pPr>
        <w:ind w:left="720" w:hanging="720"/>
        <w:rPr>
          <w:color w:val="000000"/>
          <w:lang w:eastAsia="ru-RU"/>
        </w:rPr>
      </w:pPr>
      <w:r w:rsidRPr="008978CA">
        <w:rPr>
          <w:color w:val="000000"/>
          <w:lang w:eastAsia="ru-RU"/>
        </w:rPr>
        <w:t>- se determina greutatea cantitatii de apa din  fiecare sticla m</w:t>
      </w:r>
      <w:r w:rsidRPr="008978CA">
        <w:rPr>
          <w:color w:val="000000"/>
          <w:vertAlign w:val="subscript"/>
          <w:lang w:eastAsia="ru-RU"/>
        </w:rPr>
        <w:t>i</w:t>
      </w:r>
      <w:r w:rsidRPr="008978CA">
        <w:rPr>
          <w:color w:val="000000"/>
          <w:lang w:eastAsia="ru-RU"/>
        </w:rPr>
        <w:t>=m</w:t>
      </w:r>
      <w:r w:rsidRPr="008978CA">
        <w:rPr>
          <w:color w:val="000000"/>
          <w:vertAlign w:val="subscript"/>
          <w:lang w:eastAsia="ru-RU"/>
        </w:rPr>
        <w:t>ip</w:t>
      </w:r>
      <w:r w:rsidRPr="008978CA">
        <w:rPr>
          <w:color w:val="000000"/>
          <w:lang w:eastAsia="ru-RU"/>
        </w:rPr>
        <w:t>-m</w:t>
      </w:r>
      <w:r w:rsidRPr="008978CA">
        <w:rPr>
          <w:color w:val="000000"/>
          <w:vertAlign w:val="subscript"/>
          <w:lang w:eastAsia="ru-RU"/>
        </w:rPr>
        <w:t>ig</w:t>
      </w:r>
      <w:r w:rsidRPr="008978CA">
        <w:rPr>
          <w:color w:val="000000"/>
          <w:lang w:eastAsia="ru-RU"/>
        </w:rPr>
        <w:t>;</w:t>
      </w:r>
    </w:p>
    <w:p w:rsidR="008440CB" w:rsidRPr="008978CA" w:rsidRDefault="008440CB" w:rsidP="008440CB">
      <w:r w:rsidRPr="008978CA">
        <w:rPr>
          <w:b/>
        </w:rPr>
        <w:t xml:space="preserve">- </w:t>
      </w:r>
      <w:r w:rsidRPr="008978CA">
        <w:t>se determina capacitatile reale x</w:t>
      </w:r>
      <w:r w:rsidRPr="008978CA">
        <w:rPr>
          <w:vertAlign w:val="subscript"/>
        </w:rPr>
        <w:t>i</w:t>
      </w:r>
      <w:r w:rsidRPr="008978CA">
        <w:t xml:space="preserve"> ale sticlelor din esantion folosind relatia de definitie a densitatii;</w:t>
      </w:r>
    </w:p>
    <w:p w:rsidR="008440CB" w:rsidRPr="008978CA" w:rsidRDefault="008440CB" w:rsidP="008440CB"/>
    <w:p w:rsidR="008440CB" w:rsidRPr="008978CA" w:rsidRDefault="008440CB" w:rsidP="008440CB">
      <w:pPr>
        <w:tabs>
          <w:tab w:val="left" w:pos="0"/>
          <w:tab w:val="left" w:pos="540"/>
        </w:tabs>
        <w:ind w:firstLine="26"/>
        <w:jc w:val="center"/>
        <w:rPr>
          <w:b/>
        </w:rPr>
      </w:pPr>
    </w:p>
    <w:p w:rsidR="008440CB" w:rsidRPr="008978CA" w:rsidRDefault="008440CB" w:rsidP="008440CB">
      <w:pPr>
        <w:tabs>
          <w:tab w:val="left" w:pos="0"/>
          <w:tab w:val="left" w:pos="540"/>
        </w:tabs>
        <w:ind w:firstLine="26"/>
        <w:jc w:val="center"/>
        <w:rPr>
          <w:b/>
        </w:rPr>
      </w:pPr>
    </w:p>
    <w:p w:rsidR="008440CB" w:rsidRPr="008978CA" w:rsidRDefault="008440CB" w:rsidP="008440CB">
      <w:pPr>
        <w:tabs>
          <w:tab w:val="left" w:pos="0"/>
          <w:tab w:val="left" w:pos="540"/>
        </w:tabs>
        <w:ind w:firstLine="26"/>
        <w:jc w:val="center"/>
        <w:rPr>
          <w:b/>
        </w:rPr>
      </w:pPr>
    </w:p>
    <w:p w:rsidR="008440CB" w:rsidRPr="008978CA" w:rsidRDefault="008440CB" w:rsidP="008440CB">
      <w:pPr>
        <w:tabs>
          <w:tab w:val="left" w:pos="0"/>
          <w:tab w:val="left" w:pos="540"/>
        </w:tabs>
        <w:ind w:firstLine="26"/>
        <w:jc w:val="center"/>
        <w:rPr>
          <w:b/>
        </w:rPr>
      </w:pPr>
    </w:p>
    <w:p w:rsidR="008440CB" w:rsidRPr="008978CA" w:rsidRDefault="008440CB" w:rsidP="008440CB">
      <w:pPr>
        <w:numPr>
          <w:ilvl w:val="0"/>
          <w:numId w:val="2"/>
        </w:numPr>
        <w:rPr>
          <w:b/>
          <w:color w:val="000000"/>
        </w:rPr>
      </w:pPr>
      <w:r w:rsidRPr="008978CA">
        <w:rPr>
          <w:b/>
          <w:color w:val="000000"/>
        </w:rPr>
        <w:lastRenderedPageBreak/>
        <w:t>CERINȚE DE SECURITATE LA EFECTUAREA MĂSURĂRILOR</w:t>
      </w:r>
    </w:p>
    <w:p w:rsidR="008440CB" w:rsidRPr="008978CA" w:rsidRDefault="008440CB" w:rsidP="008440CB">
      <w:pPr>
        <w:ind w:left="1789"/>
        <w:jc w:val="both"/>
        <w:rPr>
          <w:b/>
          <w:color w:val="000000"/>
        </w:rPr>
      </w:pPr>
    </w:p>
    <w:p w:rsidR="008440CB" w:rsidRPr="008978CA" w:rsidRDefault="008440CB" w:rsidP="008440CB">
      <w:pPr>
        <w:pStyle w:val="2"/>
        <w:ind w:hanging="424"/>
        <w:rPr>
          <w:color w:val="000000"/>
        </w:rPr>
      </w:pPr>
      <w:r w:rsidRPr="008978CA">
        <w:rPr>
          <w:color w:val="000000"/>
        </w:rPr>
        <w:t>7. La efectuarea măsurărilor trebuie să fie respectate cerințele de securitate stabilite de ambalator.</w:t>
      </w:r>
    </w:p>
    <w:p w:rsidR="008440CB" w:rsidRPr="008978CA" w:rsidRDefault="008440CB" w:rsidP="008440CB">
      <w:pPr>
        <w:pStyle w:val="2"/>
        <w:rPr>
          <w:b/>
          <w:color w:val="000000"/>
        </w:rPr>
      </w:pPr>
    </w:p>
    <w:p w:rsidR="008440CB" w:rsidRPr="008978CA" w:rsidRDefault="008440CB" w:rsidP="008440CB">
      <w:pPr>
        <w:numPr>
          <w:ilvl w:val="0"/>
          <w:numId w:val="2"/>
        </w:numPr>
        <w:rPr>
          <w:b/>
          <w:color w:val="000000"/>
        </w:rPr>
      </w:pPr>
      <w:r w:rsidRPr="008978CA">
        <w:rPr>
          <w:b/>
        </w:rPr>
        <w:t xml:space="preserve">CERINȚE FAȚĂ DE CALIFICAREA </w:t>
      </w:r>
      <w:r>
        <w:rPr>
          <w:b/>
        </w:rPr>
        <w:t>AGENȚILOR ECONOMICI</w:t>
      </w:r>
    </w:p>
    <w:p w:rsidR="008440CB" w:rsidRPr="008978CA" w:rsidRDefault="008440CB" w:rsidP="008440CB">
      <w:pPr>
        <w:ind w:left="1789"/>
        <w:jc w:val="both"/>
        <w:rPr>
          <w:b/>
          <w:color w:val="000000"/>
        </w:rPr>
      </w:pPr>
    </w:p>
    <w:p w:rsidR="008440CB" w:rsidRPr="008978CA" w:rsidRDefault="008440CB" w:rsidP="008440CB">
      <w:pPr>
        <w:ind w:firstLine="284"/>
        <w:jc w:val="both"/>
        <w:rPr>
          <w:color w:val="FF0000"/>
        </w:rPr>
      </w:pPr>
      <w:r w:rsidRPr="008978CA">
        <w:t xml:space="preserve">8. La efectuarea măsurărilor şi prelucrarea rezultatelor se admit persoane competente pentru îndeplinirea lucrărilor respective. </w:t>
      </w:r>
    </w:p>
    <w:p w:rsidR="008440CB" w:rsidRPr="008978CA" w:rsidRDefault="008440CB" w:rsidP="008440CB">
      <w:pPr>
        <w:pStyle w:val="2"/>
        <w:rPr>
          <w:b/>
          <w:color w:val="000000"/>
        </w:rPr>
      </w:pPr>
    </w:p>
    <w:p w:rsidR="008440CB" w:rsidRPr="008978CA" w:rsidRDefault="008440CB" w:rsidP="008440CB">
      <w:pPr>
        <w:pStyle w:val="2"/>
        <w:rPr>
          <w:b/>
          <w:color w:val="000000"/>
        </w:rPr>
      </w:pPr>
    </w:p>
    <w:p w:rsidR="008440CB" w:rsidRPr="008978CA" w:rsidRDefault="008440CB" w:rsidP="008440CB">
      <w:pPr>
        <w:numPr>
          <w:ilvl w:val="0"/>
          <w:numId w:val="2"/>
        </w:numPr>
        <w:rPr>
          <w:b/>
        </w:rPr>
      </w:pPr>
      <w:r w:rsidRPr="008978CA">
        <w:rPr>
          <w:b/>
        </w:rPr>
        <w:t>PRELUCRAREA REZULTATELOR</w:t>
      </w:r>
    </w:p>
    <w:p w:rsidR="008440CB" w:rsidRPr="008978CA" w:rsidRDefault="008440CB" w:rsidP="008440CB">
      <w:pPr>
        <w:ind w:left="1571"/>
        <w:rPr>
          <w:b/>
        </w:rPr>
      </w:pPr>
    </w:p>
    <w:p w:rsidR="008440CB" w:rsidRPr="008978CA" w:rsidRDefault="008440CB" w:rsidP="008440CB">
      <w:pPr>
        <w:rPr>
          <w:i/>
        </w:rPr>
      </w:pPr>
      <w:r w:rsidRPr="008978CA">
        <w:rPr>
          <w:i/>
        </w:rPr>
        <w:t>9. Utilizarea metodei abaterii standard:</w:t>
      </w:r>
    </w:p>
    <w:p w:rsidR="008440CB" w:rsidRPr="008978CA" w:rsidRDefault="008440CB" w:rsidP="008440CB">
      <w:pPr>
        <w:ind w:firstLine="720"/>
        <w:jc w:val="both"/>
        <w:rPr>
          <w:lang w:eastAsia="ro-RO"/>
        </w:rPr>
      </w:pPr>
      <w:r w:rsidRPr="008978CA">
        <w:rPr>
          <w:lang w:eastAsia="ro-RO"/>
        </w:rPr>
        <w:t>Numărul de sticle utilizate ca recipiente de măsurar</w:t>
      </w:r>
      <w:r>
        <w:rPr>
          <w:lang w:eastAsia="ro-RO"/>
        </w:rPr>
        <w:t>ă</w:t>
      </w:r>
      <w:r w:rsidRPr="008978CA">
        <w:rPr>
          <w:lang w:eastAsia="ro-RO"/>
        </w:rPr>
        <w:t xml:space="preserve"> din eşantion este </w:t>
      </w:r>
      <w:r w:rsidRPr="008978CA">
        <w:rPr>
          <w:lang w:eastAsia="ro-RO"/>
        </w:rPr>
        <w:br/>
        <w:t>de 35.</w:t>
      </w:r>
    </w:p>
    <w:p w:rsidR="008440CB" w:rsidRPr="008978CA" w:rsidRDefault="008440CB" w:rsidP="008440CB">
      <w:pPr>
        <w:tabs>
          <w:tab w:val="left" w:pos="540"/>
          <w:tab w:val="left" w:pos="63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978CA">
        <w:t xml:space="preserve">Valoarea medie </w:t>
      </w:r>
      <w:r w:rsidRPr="008978CA">
        <w:rPr>
          <w:b/>
        </w:rPr>
        <w:fldChar w:fldCharType="begin"/>
      </w:r>
      <w:r w:rsidRPr="008978CA">
        <w:rPr>
          <w:b/>
        </w:rPr>
        <w:instrText xml:space="preserve"> QUOTE </w:instrText>
      </w:r>
      <w:r>
        <w:rPr>
          <w:b/>
          <w:noProof/>
          <w:position w:val="-6"/>
          <w:lang w:val="ru-RU" w:eastAsia="ru-RU"/>
        </w:rPr>
        <w:drawing>
          <wp:inline distT="0" distB="0" distL="0" distR="0" wp14:anchorId="0A14E60B" wp14:editId="5EC9E14A">
            <wp:extent cx="123825" cy="1809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rPr>
          <w:b/>
        </w:rPr>
        <w:instrText xml:space="preserve"> </w:instrText>
      </w:r>
      <w:r w:rsidRPr="008978CA">
        <w:rPr>
          <w:b/>
        </w:rPr>
        <w:fldChar w:fldCharType="separate"/>
      </w:r>
      <w:r>
        <w:rPr>
          <w:b/>
          <w:noProof/>
          <w:position w:val="-6"/>
          <w:lang w:val="ru-RU" w:eastAsia="ru-RU"/>
        </w:rPr>
        <w:drawing>
          <wp:inline distT="0" distB="0" distL="0" distR="0" wp14:anchorId="01D4B94D" wp14:editId="58D57FEF">
            <wp:extent cx="123825" cy="1809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rPr>
          <w:b/>
        </w:rPr>
        <w:fldChar w:fldCharType="end"/>
      </w:r>
      <w:r w:rsidRPr="008978CA">
        <w:t xml:space="preserve">a capacităţilor reale </w:t>
      </w:r>
      <w:r w:rsidRPr="008978CA">
        <w:rPr>
          <w:b/>
        </w:rPr>
        <w:t>x</w:t>
      </w:r>
      <w:r w:rsidRPr="008978CA">
        <w:rPr>
          <w:b/>
          <w:vertAlign w:val="subscript"/>
        </w:rPr>
        <w:t>i</w:t>
      </w:r>
      <w:r w:rsidRPr="008978CA">
        <w:rPr>
          <w:b/>
        </w:rPr>
        <w:t xml:space="preserve"> </w:t>
      </w:r>
      <w:r w:rsidRPr="008978CA">
        <w:t xml:space="preserve">ale sticlelor din eşantion şi abaterea standard estimată </w:t>
      </w:r>
      <w:r w:rsidRPr="008978CA">
        <w:rPr>
          <w:b/>
        </w:rPr>
        <w:t>s</w:t>
      </w:r>
      <w:r w:rsidRPr="008978CA">
        <w:t xml:space="preserve"> a capacită</w:t>
      </w:r>
      <w:r w:rsidRPr="008978CA">
        <w:rPr>
          <w:spacing w:val="-3"/>
        </w:rPr>
        <w:t>ţ</w:t>
      </w:r>
      <w:r w:rsidRPr="008978CA">
        <w:t xml:space="preserve">ilor reale </w:t>
      </w:r>
      <w:r w:rsidRPr="008978CA">
        <w:rPr>
          <w:b/>
        </w:rPr>
        <w:t>x</w:t>
      </w:r>
      <w:r w:rsidRPr="008978CA">
        <w:rPr>
          <w:b/>
          <w:vertAlign w:val="subscript"/>
        </w:rPr>
        <w:t>i</w:t>
      </w:r>
      <w:r w:rsidRPr="008978CA">
        <w:t xml:space="preserve"> ale sticlelor din lot, se calculează după cum urmează:</w:t>
      </w:r>
    </w:p>
    <w:p w:rsidR="008440CB" w:rsidRPr="008978CA" w:rsidRDefault="008440CB" w:rsidP="008440CB">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pPr>
    </w:p>
    <w:p w:rsidR="008440CB" w:rsidRPr="008978CA" w:rsidRDefault="008440CB" w:rsidP="008440CB">
      <w:pPr>
        <w:tabs>
          <w:tab w:val="left" w:pos="1170"/>
          <w:tab w:val="left" w:pos="1440"/>
          <w:tab w:val="left" w:pos="1530"/>
        </w:tabs>
        <w:ind w:firstLine="702"/>
        <w:jc w:val="both"/>
      </w:pPr>
      <w:r w:rsidRPr="008978CA">
        <w:t xml:space="preserve">- suma celor 35 de măsurări ale capacitaților reale: </w:t>
      </w:r>
      <m:oMath>
        <m:r>
          <w:rPr>
            <w:rFonts w:ascii="Cambria Math" w:eastAsia="Calibri" w:hAnsi="Cambria Math"/>
          </w:rPr>
          <m:t>x=</m:t>
        </m:r>
        <m:nary>
          <m:naryPr>
            <m:chr m:val="∑"/>
            <m:limLoc m:val="undOvr"/>
            <m:ctrlPr>
              <w:rPr>
                <w:rFonts w:ascii="Cambria Math" w:eastAsia="Calibri" w:hAnsi="Cambria Math"/>
                <w:i/>
              </w:rPr>
            </m:ctrlPr>
          </m:naryPr>
          <m:sub>
            <m:r>
              <w:rPr>
                <w:rFonts w:ascii="Cambria Math" w:eastAsia="Calibri" w:hAnsi="Cambria Math"/>
              </w:rPr>
              <m:t>i=1</m:t>
            </m:r>
          </m:sub>
          <m:sup>
            <m:r>
              <w:rPr>
                <w:rFonts w:ascii="Cambria Math" w:eastAsia="Calibri" w:hAnsi="Cambria Math"/>
              </w:rPr>
              <m:t>35</m:t>
            </m:r>
          </m:sup>
          <m:e>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i</m:t>
                </m:r>
              </m:sub>
            </m:sSub>
          </m:e>
        </m:nary>
      </m:oMath>
      <w:r w:rsidRPr="008978CA">
        <w:t>;</w:t>
      </w:r>
    </w:p>
    <w:p w:rsidR="008440CB" w:rsidRPr="008978CA" w:rsidRDefault="008440CB" w:rsidP="008440CB">
      <w:pPr>
        <w:tabs>
          <w:tab w:val="left" w:pos="1170"/>
          <w:tab w:val="left" w:pos="1440"/>
          <w:tab w:val="left" w:pos="1530"/>
        </w:tabs>
        <w:ind w:firstLine="702"/>
        <w:jc w:val="both"/>
      </w:pPr>
      <w:r>
        <w:rPr>
          <w:noProof/>
          <w:lang w:val="ru-RU" w:eastAsia="ru-RU"/>
        </w:rPr>
        <w:drawing>
          <wp:anchor distT="0" distB="0" distL="114300" distR="114300" simplePos="0" relativeHeight="251659264" behindDoc="1" locked="0" layoutInCell="1" allowOverlap="1" wp14:anchorId="1199E02D" wp14:editId="5739DB7D">
            <wp:simplePos x="0" y="0"/>
            <wp:positionH relativeFrom="column">
              <wp:posOffset>3521710</wp:posOffset>
            </wp:positionH>
            <wp:positionV relativeFrom="paragraph">
              <wp:posOffset>66675</wp:posOffset>
            </wp:positionV>
            <wp:extent cx="492760" cy="405765"/>
            <wp:effectExtent l="0" t="0" r="2540" b="0"/>
            <wp:wrapThrough wrapText="bothSides">
              <wp:wrapPolygon edited="0">
                <wp:start x="0" y="0"/>
                <wp:lineTo x="0" y="20282"/>
                <wp:lineTo x="20876" y="20282"/>
                <wp:lineTo x="20876" y="0"/>
                <wp:lineTo x="0" y="0"/>
              </wp:wrapPolygon>
            </wp:wrapThrough>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405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0CB" w:rsidRPr="008978CA" w:rsidRDefault="008440CB" w:rsidP="008440CB">
      <w:pPr>
        <w:tabs>
          <w:tab w:val="left" w:pos="1170"/>
          <w:tab w:val="left" w:pos="1440"/>
          <w:tab w:val="left" w:pos="1530"/>
        </w:tabs>
        <w:ind w:firstLine="702"/>
        <w:jc w:val="both"/>
      </w:pPr>
      <w:r w:rsidRPr="008978CA">
        <w:t xml:space="preserve">- valoarea medie a celor 35 de măsurări: </w:t>
      </w:r>
      <m:oMath>
        <m:bar>
          <m:barPr>
            <m:pos m:val="top"/>
            <m:ctrlPr>
              <w:rPr>
                <w:rFonts w:ascii="Cambria Math" w:hAnsi="Cambria Math"/>
                <w:i/>
              </w:rPr>
            </m:ctrlPr>
          </m:barPr>
          <m:e>
            <m:r>
              <w:rPr>
                <w:rFonts w:ascii="Cambria Math" w:hAnsi="Cambria Math"/>
              </w:rPr>
              <m:t>x</m:t>
            </m:r>
          </m:e>
        </m:ba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35</m:t>
                </m:r>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35</m:t>
            </m:r>
          </m:den>
        </m:f>
      </m:oMath>
    </w:p>
    <w:p w:rsidR="008440CB" w:rsidRPr="008978CA" w:rsidRDefault="008440CB" w:rsidP="008440CB">
      <w:pPr>
        <w:tabs>
          <w:tab w:val="left" w:pos="1170"/>
          <w:tab w:val="left" w:pos="1440"/>
          <w:tab w:val="left" w:pos="1530"/>
        </w:tabs>
        <w:ind w:firstLine="702"/>
        <w:jc w:val="both"/>
      </w:pPr>
    </w:p>
    <w:p w:rsidR="008440CB" w:rsidRPr="008978CA" w:rsidRDefault="008440CB" w:rsidP="008440CB">
      <w:pPr>
        <w:tabs>
          <w:tab w:val="left" w:pos="1170"/>
          <w:tab w:val="left" w:pos="1440"/>
          <w:tab w:val="left" w:pos="1530"/>
        </w:tabs>
        <w:ind w:firstLine="702"/>
        <w:jc w:val="both"/>
      </w:pPr>
      <w:r w:rsidRPr="008978CA">
        <w:t>- suma pătratelor celor 35 de măsurări:</w:t>
      </w:r>
      <m:oMath>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35</m:t>
            </m:r>
          </m:sup>
          <m:e>
            <m:sSubSup>
              <m:sSubSupPr>
                <m:ctrlPr>
                  <w:rPr>
                    <w:rFonts w:ascii="Cambria Math" w:eastAsia="Calibri" w:hAnsi="Cambria Math"/>
                    <w:i/>
                  </w:rPr>
                </m:ctrlPr>
              </m:sSubSupPr>
              <m:e>
                <m:r>
                  <w:rPr>
                    <w:rFonts w:ascii="Cambria Math" w:eastAsia="Calibri" w:hAnsi="Cambria Math"/>
                  </w:rPr>
                  <m:t>x</m:t>
                </m:r>
              </m:e>
              <m:sub>
                <m:r>
                  <w:rPr>
                    <w:rFonts w:ascii="Cambria Math" w:eastAsia="Calibri" w:hAnsi="Cambria Math"/>
                  </w:rPr>
                  <m:t>i</m:t>
                </m:r>
              </m:sub>
              <m:sup>
                <m:r>
                  <w:rPr>
                    <w:rFonts w:ascii="Cambria Math" w:eastAsia="Calibri" w:hAnsi="Cambria Math"/>
                  </w:rPr>
                  <m:t>2</m:t>
                </m:r>
              </m:sup>
            </m:sSubSup>
          </m:e>
        </m:nary>
      </m:oMath>
      <w:r w:rsidRPr="008978CA">
        <w:t>;</w:t>
      </w:r>
    </w:p>
    <w:p w:rsidR="008440CB" w:rsidRPr="008978CA" w:rsidRDefault="008440CB" w:rsidP="008440CB">
      <w:pPr>
        <w:tabs>
          <w:tab w:val="left" w:pos="1170"/>
          <w:tab w:val="left" w:pos="1440"/>
          <w:tab w:val="left" w:pos="1530"/>
        </w:tabs>
        <w:ind w:firstLine="702"/>
        <w:jc w:val="both"/>
        <w:rPr>
          <w:vertAlign w:val="superscript"/>
        </w:rPr>
      </w:pPr>
    </w:p>
    <w:p w:rsidR="008440CB" w:rsidRPr="008978CA" w:rsidRDefault="008440CB" w:rsidP="008440CB">
      <w:pPr>
        <w:pStyle w:val="10"/>
        <w:tabs>
          <w:tab w:val="left" w:pos="900"/>
          <w:tab w:val="left" w:pos="1170"/>
          <w:tab w:val="left" w:pos="1440"/>
          <w:tab w:val="left" w:pos="1530"/>
        </w:tabs>
        <w:ind w:firstLine="702"/>
        <w:jc w:val="both"/>
        <w:rPr>
          <w:rFonts w:ascii="Times New Roman" w:hAnsi="Times New Roman"/>
          <w:sz w:val="24"/>
          <w:szCs w:val="24"/>
          <w:lang w:val="ro-RO"/>
        </w:rPr>
      </w:pPr>
      <w:r w:rsidRPr="008978CA">
        <w:rPr>
          <w:rFonts w:ascii="Times New Roman" w:hAnsi="Times New Roman"/>
          <w:sz w:val="24"/>
          <w:szCs w:val="24"/>
          <w:lang w:val="ro-RO"/>
        </w:rPr>
        <w:t xml:space="preserve">- pătratul sumei celor 35 de măsurări:   </w:t>
      </w:r>
      <m:oMath>
        <m:sSup>
          <m:sSupPr>
            <m:ctrlPr>
              <w:rPr>
                <w:rFonts w:ascii="Cambria Math" w:hAnsi="Cambria Math"/>
                <w:i/>
                <w:sz w:val="24"/>
                <w:szCs w:val="24"/>
                <w:lang w:val="ro-RO" w:eastAsia="en-US"/>
              </w:rPr>
            </m:ctrlPr>
          </m:sSupPr>
          <m:e>
            <m:r>
              <w:rPr>
                <w:rFonts w:ascii="Cambria Math" w:hAnsi="Cambria Math"/>
                <w:sz w:val="24"/>
                <w:szCs w:val="24"/>
                <w:lang w:val="ro-RO" w:eastAsia="en-US"/>
              </w:rPr>
              <m:t>(</m:t>
            </m:r>
            <m:nary>
              <m:naryPr>
                <m:chr m:val="∑"/>
                <m:limLoc m:val="undOvr"/>
                <m:ctrlPr>
                  <w:rPr>
                    <w:rFonts w:ascii="Cambria Math" w:hAnsi="Cambria Math"/>
                    <w:i/>
                    <w:sz w:val="24"/>
                    <w:szCs w:val="24"/>
                    <w:lang w:val="ro-RO" w:eastAsia="en-US"/>
                  </w:rPr>
                </m:ctrlPr>
              </m:naryPr>
              <m:sub>
                <m:r>
                  <w:rPr>
                    <w:rFonts w:ascii="Cambria Math" w:hAnsi="Cambria Math"/>
                    <w:sz w:val="24"/>
                    <w:szCs w:val="24"/>
                    <w:lang w:val="ro-RO" w:eastAsia="en-US"/>
                  </w:rPr>
                  <m:t>i=1</m:t>
                </m:r>
              </m:sub>
              <m:sup>
                <m:r>
                  <w:rPr>
                    <w:rFonts w:ascii="Cambria Math" w:hAnsi="Cambria Math"/>
                    <w:sz w:val="24"/>
                    <w:szCs w:val="24"/>
                    <w:lang w:val="ro-RO" w:eastAsia="en-US"/>
                  </w:rPr>
                  <m:t>35</m:t>
                </m:r>
              </m:sup>
              <m:e>
                <m:sSub>
                  <m:sSubPr>
                    <m:ctrlPr>
                      <w:rPr>
                        <w:rFonts w:ascii="Cambria Math" w:eastAsia="Calibri" w:hAnsi="Cambria Math"/>
                        <w:i/>
                        <w:sz w:val="24"/>
                        <w:szCs w:val="24"/>
                        <w:lang w:val="ro-RO" w:eastAsia="en-US"/>
                      </w:rPr>
                    </m:ctrlPr>
                  </m:sSubPr>
                  <m:e>
                    <m:r>
                      <w:rPr>
                        <w:rFonts w:ascii="Cambria Math" w:eastAsia="Calibri" w:hAnsi="Cambria Math"/>
                        <w:sz w:val="24"/>
                        <w:szCs w:val="24"/>
                        <w:lang w:val="ro-RO" w:eastAsia="en-US"/>
                      </w:rPr>
                      <m:t>x</m:t>
                    </m:r>
                  </m:e>
                  <m:sub>
                    <m:r>
                      <w:rPr>
                        <w:rFonts w:ascii="Cambria Math" w:eastAsia="Calibri" w:hAnsi="Cambria Math"/>
                        <w:sz w:val="24"/>
                        <w:szCs w:val="24"/>
                        <w:lang w:val="ro-RO" w:eastAsia="en-US"/>
                      </w:rPr>
                      <m:t>i</m:t>
                    </m:r>
                  </m:sub>
                </m:sSub>
              </m:e>
            </m:nary>
            <m:r>
              <w:rPr>
                <w:rFonts w:ascii="Cambria Math" w:hAnsi="Cambria Math"/>
                <w:sz w:val="24"/>
                <w:szCs w:val="24"/>
                <w:lang w:val="ro-RO" w:eastAsia="en-US"/>
              </w:rPr>
              <m:t>)</m:t>
            </m:r>
          </m:e>
          <m:sup>
            <m:r>
              <w:rPr>
                <w:rFonts w:ascii="Cambria Math" w:hAnsi="Cambria Math"/>
                <w:sz w:val="24"/>
                <w:szCs w:val="24"/>
                <w:lang w:val="ro-RO" w:eastAsia="en-US"/>
              </w:rPr>
              <m:t>2</m:t>
            </m:r>
          </m:sup>
        </m:sSup>
      </m:oMath>
      <w:r w:rsidRPr="008978CA">
        <w:rPr>
          <w:rFonts w:ascii="Times New Roman" w:hAnsi="Times New Roman"/>
          <w:color w:val="000000"/>
          <w:sz w:val="24"/>
          <w:szCs w:val="24"/>
          <w:lang w:val="ro-RO"/>
        </w:rPr>
        <w:t xml:space="preserve">apoi  </w:t>
      </w:r>
      <m:oMath>
        <m:r>
          <w:rPr>
            <w:rFonts w:ascii="Cambria Math" w:hAnsi="Cambria Math"/>
            <w:sz w:val="24"/>
            <w:szCs w:val="24"/>
            <w:lang w:val="ro-RO" w:eastAsia="en-US"/>
          </w:rPr>
          <m:t>(</m:t>
        </m:r>
        <m:nary>
          <m:naryPr>
            <m:chr m:val="∑"/>
            <m:limLoc m:val="undOvr"/>
            <m:ctrlPr>
              <w:rPr>
                <w:rFonts w:ascii="Cambria Math" w:hAnsi="Cambria Math"/>
                <w:i/>
                <w:sz w:val="24"/>
                <w:szCs w:val="24"/>
                <w:lang w:val="ro-RO" w:eastAsia="en-US"/>
              </w:rPr>
            </m:ctrlPr>
          </m:naryPr>
          <m:sub>
            <m:r>
              <w:rPr>
                <w:rFonts w:ascii="Cambria Math" w:hAnsi="Cambria Math"/>
                <w:sz w:val="24"/>
                <w:szCs w:val="24"/>
                <w:lang w:val="ro-RO" w:eastAsia="en-US"/>
              </w:rPr>
              <m:t>i=1</m:t>
            </m:r>
          </m:sub>
          <m:sup>
            <m:r>
              <w:rPr>
                <w:rFonts w:ascii="Cambria Math" w:hAnsi="Cambria Math"/>
                <w:sz w:val="24"/>
                <w:szCs w:val="24"/>
                <w:lang w:val="ro-RO" w:eastAsia="en-US"/>
              </w:rPr>
              <m:t>35</m:t>
            </m:r>
          </m:sup>
          <m:e>
            <m:sSubSup>
              <m:sSubSupPr>
                <m:ctrlPr>
                  <w:rPr>
                    <w:rFonts w:ascii="Cambria Math" w:eastAsia="Calibri" w:hAnsi="Cambria Math"/>
                    <w:i/>
                    <w:sz w:val="24"/>
                    <w:szCs w:val="24"/>
                    <w:lang w:val="ro-RO" w:eastAsia="en-US"/>
                  </w:rPr>
                </m:ctrlPr>
              </m:sSubSupPr>
              <m:e>
                <m:r>
                  <w:rPr>
                    <w:rFonts w:ascii="Cambria Math" w:eastAsia="Calibri" w:hAnsi="Cambria Math"/>
                    <w:sz w:val="24"/>
                    <w:szCs w:val="24"/>
                    <w:lang w:val="ro-RO" w:eastAsia="en-US"/>
                  </w:rPr>
                  <m:t>x</m:t>
                </m:r>
              </m:e>
              <m:sub>
                <m:r>
                  <w:rPr>
                    <w:rFonts w:ascii="Cambria Math" w:eastAsia="Calibri" w:hAnsi="Cambria Math"/>
                    <w:sz w:val="24"/>
                    <w:szCs w:val="24"/>
                    <w:lang w:val="ro-RO" w:eastAsia="en-US"/>
                  </w:rPr>
                  <m:t>i</m:t>
                </m:r>
              </m:sub>
              <m:sup>
                <m:r>
                  <w:rPr>
                    <w:rFonts w:ascii="Cambria Math" w:eastAsia="Calibri" w:hAnsi="Cambria Math"/>
                    <w:sz w:val="24"/>
                    <w:szCs w:val="24"/>
                    <w:lang w:val="ro-RO" w:eastAsia="en-US"/>
                  </w:rPr>
                  <m:t>2</m:t>
                </m:r>
              </m:sup>
            </m:sSubSup>
          </m:e>
        </m:nary>
        <m:r>
          <w:rPr>
            <w:rFonts w:ascii="Cambria Math" w:eastAsia="Calibri" w:hAnsi="Cambria Math"/>
            <w:sz w:val="24"/>
            <w:szCs w:val="24"/>
            <w:lang w:val="ro-RO" w:eastAsia="en-US"/>
          </w:rPr>
          <m:t>)/35</m:t>
        </m:r>
      </m:oMath>
      <w:r w:rsidRPr="008978CA">
        <w:rPr>
          <w:rFonts w:ascii="Times New Roman" w:hAnsi="Times New Roman"/>
          <w:color w:val="000000"/>
          <w:sz w:val="24"/>
          <w:szCs w:val="24"/>
          <w:lang w:val="ro-RO"/>
        </w:rPr>
        <w:t xml:space="preserve">;                  </w:t>
      </w:r>
    </w:p>
    <w:p w:rsidR="008440CB" w:rsidRPr="008978CA" w:rsidRDefault="008440CB" w:rsidP="008440CB">
      <w:pPr>
        <w:pStyle w:val="10"/>
        <w:tabs>
          <w:tab w:val="left" w:pos="900"/>
          <w:tab w:val="left" w:pos="1170"/>
          <w:tab w:val="left" w:pos="1440"/>
          <w:tab w:val="left" w:pos="1530"/>
        </w:tabs>
        <w:ind w:firstLine="702"/>
        <w:jc w:val="both"/>
        <w:rPr>
          <w:rFonts w:ascii="Times New Roman" w:hAnsi="Times New Roman"/>
          <w:sz w:val="24"/>
          <w:szCs w:val="24"/>
          <w:lang w:val="ro-RO"/>
        </w:rPr>
      </w:pPr>
    </w:p>
    <w:p w:rsidR="008440CB" w:rsidRPr="008978CA" w:rsidRDefault="008440CB" w:rsidP="008440CB">
      <w:pPr>
        <w:pStyle w:val="10"/>
        <w:tabs>
          <w:tab w:val="left" w:pos="900"/>
          <w:tab w:val="left" w:pos="1170"/>
          <w:tab w:val="left" w:pos="1440"/>
          <w:tab w:val="left" w:pos="1530"/>
        </w:tabs>
        <w:ind w:firstLine="702"/>
        <w:jc w:val="both"/>
        <w:rPr>
          <w:rFonts w:ascii="Times New Roman" w:hAnsi="Times New Roman"/>
          <w:sz w:val="24"/>
          <w:szCs w:val="24"/>
          <w:lang w:val="ro-RO"/>
        </w:rPr>
      </w:pPr>
      <w:r w:rsidRPr="008978CA">
        <w:rPr>
          <w:rFonts w:ascii="Times New Roman" w:hAnsi="Times New Roman"/>
          <w:sz w:val="24"/>
          <w:szCs w:val="24"/>
          <w:lang w:val="ro-RO"/>
        </w:rPr>
        <w:t xml:space="preserve">- suma corectată:  </w:t>
      </w:r>
      <m:oMath>
        <m:r>
          <w:rPr>
            <w:rFonts w:ascii="Cambria Math" w:hAnsi="Cambria Math"/>
            <w:sz w:val="24"/>
            <w:szCs w:val="24"/>
            <w:lang w:val="ro-RO" w:eastAsia="en-US"/>
          </w:rPr>
          <m:t>SC=</m:t>
        </m:r>
        <m:nary>
          <m:naryPr>
            <m:chr m:val="∑"/>
            <m:limLoc m:val="undOvr"/>
            <m:ctrlPr>
              <w:rPr>
                <w:rFonts w:ascii="Cambria Math" w:hAnsi="Cambria Math"/>
                <w:i/>
                <w:sz w:val="24"/>
                <w:szCs w:val="24"/>
                <w:lang w:val="ro-RO" w:eastAsia="en-US"/>
              </w:rPr>
            </m:ctrlPr>
          </m:naryPr>
          <m:sub>
            <m:r>
              <w:rPr>
                <w:rFonts w:ascii="Cambria Math" w:hAnsi="Cambria Math"/>
                <w:sz w:val="24"/>
                <w:szCs w:val="24"/>
                <w:lang w:val="ro-RO" w:eastAsia="en-US"/>
              </w:rPr>
              <m:t>i=1</m:t>
            </m:r>
          </m:sub>
          <m:sup>
            <m:r>
              <w:rPr>
                <w:rFonts w:ascii="Cambria Math" w:hAnsi="Cambria Math"/>
                <w:sz w:val="24"/>
                <w:szCs w:val="24"/>
                <w:lang w:val="ro-RO" w:eastAsia="en-US"/>
              </w:rPr>
              <m:t>35</m:t>
            </m:r>
          </m:sup>
          <m:e>
            <m:sSubSup>
              <m:sSubSupPr>
                <m:ctrlPr>
                  <w:rPr>
                    <w:rFonts w:ascii="Cambria Math" w:eastAsia="Calibri" w:hAnsi="Cambria Math"/>
                    <w:i/>
                    <w:sz w:val="24"/>
                    <w:szCs w:val="24"/>
                    <w:lang w:val="ro-RO" w:eastAsia="en-US"/>
                  </w:rPr>
                </m:ctrlPr>
              </m:sSubSupPr>
              <m:e>
                <m:r>
                  <w:rPr>
                    <w:rFonts w:ascii="Cambria Math" w:eastAsia="Calibri" w:hAnsi="Cambria Math"/>
                    <w:sz w:val="24"/>
                    <w:szCs w:val="24"/>
                    <w:lang w:val="ro-RO" w:eastAsia="en-US"/>
                  </w:rPr>
                  <m:t>x</m:t>
                </m:r>
              </m:e>
              <m:sub>
                <m:r>
                  <w:rPr>
                    <w:rFonts w:ascii="Cambria Math" w:eastAsia="Calibri" w:hAnsi="Cambria Math"/>
                    <w:sz w:val="24"/>
                    <w:szCs w:val="24"/>
                    <w:lang w:val="ro-RO" w:eastAsia="en-US"/>
                  </w:rPr>
                  <m:t>i</m:t>
                </m:r>
              </m:sub>
              <m:sup>
                <m:r>
                  <w:rPr>
                    <w:rFonts w:ascii="Cambria Math" w:eastAsia="Calibri" w:hAnsi="Cambria Math"/>
                    <w:sz w:val="24"/>
                    <w:szCs w:val="24"/>
                    <w:lang w:val="ro-RO" w:eastAsia="en-US"/>
                  </w:rPr>
                  <m:t>2</m:t>
                </m:r>
              </m:sup>
            </m:sSubSup>
          </m:e>
        </m:nary>
        <m:r>
          <w:rPr>
            <w:rFonts w:ascii="Cambria Math" w:hAnsi="Cambria Math"/>
            <w:sz w:val="24"/>
            <w:szCs w:val="24"/>
            <w:lang w:val="ro-RO" w:eastAsia="en-US"/>
          </w:rPr>
          <m:t>-</m:t>
        </m:r>
        <m:f>
          <m:fPr>
            <m:ctrlPr>
              <w:rPr>
                <w:rFonts w:ascii="Cambria Math" w:eastAsia="Calibri" w:hAnsi="Cambria Math"/>
                <w:i/>
                <w:sz w:val="24"/>
                <w:szCs w:val="24"/>
                <w:lang w:val="ro-RO" w:eastAsia="en-US"/>
              </w:rPr>
            </m:ctrlPr>
          </m:fPr>
          <m:num>
            <m:r>
              <w:rPr>
                <w:rFonts w:ascii="Cambria Math" w:eastAsia="Calibri" w:hAnsi="Cambria Math"/>
                <w:sz w:val="24"/>
                <w:szCs w:val="24"/>
                <w:lang w:val="ro-RO" w:eastAsia="en-US"/>
              </w:rPr>
              <m:t>1</m:t>
            </m:r>
          </m:num>
          <m:den>
            <m:r>
              <w:rPr>
                <w:rFonts w:ascii="Cambria Math" w:eastAsia="Calibri" w:hAnsi="Cambria Math"/>
                <w:sz w:val="24"/>
                <w:szCs w:val="24"/>
                <w:lang w:val="ro-RO" w:eastAsia="en-US"/>
              </w:rPr>
              <m:t>35</m:t>
            </m:r>
          </m:den>
        </m:f>
        <m:sSup>
          <m:sSupPr>
            <m:ctrlPr>
              <w:rPr>
                <w:rFonts w:ascii="Cambria Math" w:hAnsi="Cambria Math"/>
                <w:i/>
                <w:sz w:val="24"/>
                <w:szCs w:val="24"/>
                <w:lang w:val="ro-RO" w:eastAsia="en-US"/>
              </w:rPr>
            </m:ctrlPr>
          </m:sSupPr>
          <m:e>
            <m:r>
              <w:rPr>
                <w:rFonts w:ascii="Cambria Math" w:hAnsi="Cambria Math"/>
                <w:sz w:val="24"/>
                <w:szCs w:val="24"/>
                <w:lang w:val="ro-RO" w:eastAsia="en-US"/>
              </w:rPr>
              <m:t>(</m:t>
            </m:r>
            <m:nary>
              <m:naryPr>
                <m:chr m:val="∑"/>
                <m:limLoc m:val="undOvr"/>
                <m:ctrlPr>
                  <w:rPr>
                    <w:rFonts w:ascii="Cambria Math" w:hAnsi="Cambria Math"/>
                    <w:i/>
                    <w:sz w:val="24"/>
                    <w:szCs w:val="24"/>
                    <w:lang w:val="ro-RO" w:eastAsia="en-US"/>
                  </w:rPr>
                </m:ctrlPr>
              </m:naryPr>
              <m:sub>
                <m:r>
                  <w:rPr>
                    <w:rFonts w:ascii="Cambria Math" w:hAnsi="Cambria Math"/>
                    <w:sz w:val="24"/>
                    <w:szCs w:val="24"/>
                    <w:lang w:val="ro-RO" w:eastAsia="en-US"/>
                  </w:rPr>
                  <m:t>i=1</m:t>
                </m:r>
              </m:sub>
              <m:sup>
                <m:r>
                  <w:rPr>
                    <w:rFonts w:ascii="Cambria Math" w:hAnsi="Cambria Math"/>
                    <w:sz w:val="24"/>
                    <w:szCs w:val="24"/>
                    <w:lang w:val="ro-RO" w:eastAsia="en-US"/>
                  </w:rPr>
                  <m:t>35</m:t>
                </m:r>
              </m:sup>
              <m:e>
                <m:sSub>
                  <m:sSubPr>
                    <m:ctrlPr>
                      <w:rPr>
                        <w:rFonts w:ascii="Cambria Math" w:eastAsia="Calibri" w:hAnsi="Cambria Math"/>
                        <w:i/>
                        <w:sz w:val="24"/>
                        <w:szCs w:val="24"/>
                        <w:lang w:val="ro-RO" w:eastAsia="en-US"/>
                      </w:rPr>
                    </m:ctrlPr>
                  </m:sSubPr>
                  <m:e>
                    <m:r>
                      <w:rPr>
                        <w:rFonts w:ascii="Cambria Math" w:eastAsia="Calibri" w:hAnsi="Cambria Math"/>
                        <w:sz w:val="24"/>
                        <w:szCs w:val="24"/>
                        <w:lang w:val="ro-RO" w:eastAsia="en-US"/>
                      </w:rPr>
                      <m:t>x</m:t>
                    </m:r>
                  </m:e>
                  <m:sub>
                    <m:r>
                      <w:rPr>
                        <w:rFonts w:ascii="Cambria Math" w:eastAsia="Calibri" w:hAnsi="Cambria Math"/>
                        <w:sz w:val="24"/>
                        <w:szCs w:val="24"/>
                        <w:lang w:val="ro-RO" w:eastAsia="en-US"/>
                      </w:rPr>
                      <m:t>i</m:t>
                    </m:r>
                  </m:sub>
                </m:sSub>
              </m:e>
            </m:nary>
            <m:r>
              <w:rPr>
                <w:rFonts w:ascii="Cambria Math" w:eastAsia="Calibri" w:hAnsi="Cambria Math"/>
                <w:sz w:val="24"/>
                <w:szCs w:val="24"/>
                <w:lang w:val="ro-RO" w:eastAsia="en-US"/>
              </w:rPr>
              <m:t>)</m:t>
            </m:r>
          </m:e>
          <m:sup>
            <m:r>
              <w:rPr>
                <w:rFonts w:ascii="Cambria Math" w:hAnsi="Cambria Math"/>
                <w:sz w:val="24"/>
                <w:szCs w:val="24"/>
                <w:lang w:val="ro-RO" w:eastAsia="en-US"/>
              </w:rPr>
              <m:t>2</m:t>
            </m:r>
          </m:sup>
        </m:sSup>
      </m:oMath>
      <w:r w:rsidRPr="008978CA">
        <w:rPr>
          <w:rFonts w:ascii="Times New Roman" w:hAnsi="Times New Roman"/>
          <w:sz w:val="24"/>
          <w:szCs w:val="24"/>
          <w:lang w:val="ro-RO"/>
        </w:rPr>
        <w:t>;</w:t>
      </w:r>
    </w:p>
    <w:p w:rsidR="008440CB" w:rsidRPr="008978CA" w:rsidRDefault="008440CB" w:rsidP="008440CB">
      <w:pPr>
        <w:tabs>
          <w:tab w:val="left" w:pos="1170"/>
          <w:tab w:val="left" w:pos="1440"/>
          <w:tab w:val="left" w:pos="1530"/>
        </w:tabs>
        <w:ind w:firstLine="702"/>
        <w:jc w:val="both"/>
      </w:pPr>
    </w:p>
    <w:p w:rsidR="008440CB" w:rsidRPr="008978CA" w:rsidRDefault="008440CB" w:rsidP="008440CB">
      <w:pPr>
        <w:tabs>
          <w:tab w:val="left" w:pos="1170"/>
          <w:tab w:val="left" w:pos="1440"/>
          <w:tab w:val="left" w:pos="1530"/>
        </w:tabs>
        <w:ind w:firstLine="702"/>
        <w:jc w:val="both"/>
      </w:pPr>
      <w:r w:rsidRPr="008978CA">
        <w:t>- dispersia estimată:  v =</w:t>
      </w:r>
      <w:r w:rsidRPr="008978CA">
        <w:fldChar w:fldCharType="begin"/>
      </w:r>
      <w:r w:rsidRPr="008978CA">
        <w:instrText xml:space="preserve"> QUOTE </w:instrText>
      </w:r>
      <w:r>
        <w:rPr>
          <w:noProof/>
          <w:position w:val="-11"/>
          <w:lang w:val="ru-RU" w:eastAsia="ru-RU"/>
        </w:rPr>
        <w:drawing>
          <wp:inline distT="0" distB="0" distL="0" distR="0" wp14:anchorId="61A62CA4" wp14:editId="3F0B6E70">
            <wp:extent cx="161925" cy="219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8978CA">
        <w:instrText xml:space="preserve"> </w:instrText>
      </w:r>
      <w:r w:rsidRPr="008978CA">
        <w:fldChar w:fldCharType="separate"/>
      </w:r>
      <w:r>
        <w:rPr>
          <w:noProof/>
          <w:position w:val="-11"/>
          <w:lang w:val="ru-RU" w:eastAsia="ru-RU"/>
        </w:rPr>
        <w:drawing>
          <wp:inline distT="0" distB="0" distL="0" distR="0" wp14:anchorId="349896E1" wp14:editId="5CE1078F">
            <wp:extent cx="161925" cy="2190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8978CA">
        <w:fldChar w:fldCharType="end"/>
      </w:r>
      <w:r w:rsidRPr="008978CA">
        <w:t>.</w:t>
      </w:r>
    </w:p>
    <w:p w:rsidR="008440CB" w:rsidRPr="008978CA" w:rsidRDefault="008440CB" w:rsidP="008440CB">
      <w:pPr>
        <w:tabs>
          <w:tab w:val="left" w:pos="1170"/>
          <w:tab w:val="left" w:pos="1440"/>
          <w:tab w:val="left" w:pos="1530"/>
        </w:tabs>
        <w:ind w:firstLine="702"/>
        <w:jc w:val="both"/>
      </w:pPr>
    </w:p>
    <w:p w:rsidR="008440CB" w:rsidRPr="008978CA" w:rsidRDefault="008440CB" w:rsidP="008440CB">
      <w:pPr>
        <w:tabs>
          <w:tab w:val="left" w:pos="1170"/>
          <w:tab w:val="left" w:pos="1440"/>
          <w:tab w:val="left" w:pos="1530"/>
        </w:tabs>
        <w:ind w:firstLine="702"/>
        <w:jc w:val="both"/>
      </w:pPr>
      <w:r w:rsidRPr="008978CA">
        <w:t>Abaterea standard estimată : s = √v</w:t>
      </w:r>
    </w:p>
    <w:p w:rsidR="008440CB" w:rsidRPr="008978CA" w:rsidRDefault="008440CB" w:rsidP="008440CB">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978CA">
        <w:t xml:space="preserve"> </w:t>
      </w:r>
    </w:p>
    <w:p w:rsidR="008440CB" w:rsidRPr="008978CA" w:rsidRDefault="008440CB" w:rsidP="008440CB">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ro-RO"/>
        </w:rPr>
      </w:pPr>
      <w:r w:rsidRPr="008978CA">
        <w:rPr>
          <w:lang w:eastAsia="ro-RO"/>
        </w:rPr>
        <w:t xml:space="preserve">Limita superioară </w:t>
      </w:r>
      <w:r w:rsidRPr="008978CA">
        <w:rPr>
          <w:b/>
          <w:lang w:eastAsia="ro-RO"/>
        </w:rPr>
        <w:t>T</w:t>
      </w:r>
      <w:r w:rsidRPr="008978CA">
        <w:rPr>
          <w:b/>
          <w:vertAlign w:val="subscript"/>
          <w:lang w:eastAsia="ro-RO"/>
        </w:rPr>
        <w:t>s</w:t>
      </w:r>
      <w:r w:rsidRPr="008978CA">
        <w:rPr>
          <w:lang w:eastAsia="ro-RO"/>
        </w:rPr>
        <w:t xml:space="preserve"> se calculează ca suma dintre capacitatea nominală marcată pe sticle din eșantion şi valoarea absoluta a erorii maxime tolerate corespunzătoare acestei capacităţi.</w:t>
      </w:r>
    </w:p>
    <w:p w:rsidR="008440CB" w:rsidRPr="008978CA" w:rsidRDefault="008440CB" w:rsidP="008440CB">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ro-RO"/>
        </w:rPr>
      </w:pPr>
      <w:r w:rsidRPr="008978CA">
        <w:rPr>
          <w:lang w:eastAsia="ro-RO"/>
        </w:rPr>
        <w:t xml:space="preserve">Limita inferioară </w:t>
      </w:r>
      <w:r w:rsidRPr="008978CA">
        <w:rPr>
          <w:b/>
          <w:lang w:eastAsia="ro-RO"/>
        </w:rPr>
        <w:t>T</w:t>
      </w:r>
      <w:r w:rsidRPr="008978CA">
        <w:rPr>
          <w:b/>
          <w:vertAlign w:val="subscript"/>
          <w:lang w:eastAsia="ro-RO"/>
        </w:rPr>
        <w:t>i</w:t>
      </w:r>
      <w:r w:rsidRPr="008978CA">
        <w:rPr>
          <w:lang w:eastAsia="ro-RO"/>
        </w:rPr>
        <w:t xml:space="preserve"> se calculează ca diferenţa dintre  capacitatea nominală marcată pe sticle din eșantion şi valoarea absolută a erorii maxime tolerate corespunzătoare acestei capacităţi.</w:t>
      </w:r>
    </w:p>
    <w:p w:rsidR="008440CB" w:rsidRPr="008978CA" w:rsidRDefault="008440CB" w:rsidP="008440CB">
      <w:pPr>
        <w:tabs>
          <w:tab w:val="left" w:pos="1170"/>
          <w:tab w:val="left" w:pos="1440"/>
          <w:tab w:val="left" w:pos="1530"/>
        </w:tabs>
        <w:ind w:firstLine="720"/>
        <w:jc w:val="both"/>
        <w:rPr>
          <w:lang w:eastAsia="ro-RO"/>
        </w:rPr>
      </w:pPr>
      <w:r w:rsidRPr="008978CA">
        <w:rPr>
          <w:lang w:eastAsia="ro-RO"/>
        </w:rPr>
        <w:t xml:space="preserve">Lotul este considerat corespunzător cu cerințele RGML nr.881/2014 dacă valorile </w:t>
      </w:r>
      <w:r w:rsidRPr="008978CA">
        <w:rPr>
          <w:b/>
          <w:lang w:eastAsia="ro-RO"/>
        </w:rPr>
        <w:fldChar w:fldCharType="begin"/>
      </w:r>
      <w:r w:rsidRPr="008978CA">
        <w:rPr>
          <w:b/>
          <w:lang w:eastAsia="ro-RO"/>
        </w:rPr>
        <w:instrText xml:space="preserve"> QUOTE </w:instrText>
      </w:r>
      <w:r>
        <w:rPr>
          <w:b/>
          <w:noProof/>
          <w:position w:val="-6"/>
          <w:lang w:val="ru-RU" w:eastAsia="ru-RU"/>
        </w:rPr>
        <w:drawing>
          <wp:inline distT="0" distB="0" distL="0" distR="0" wp14:anchorId="3FEBE047" wp14:editId="5707C9C6">
            <wp:extent cx="123825" cy="1809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rPr>
          <w:b/>
          <w:lang w:eastAsia="ro-RO"/>
        </w:rPr>
        <w:instrText xml:space="preserve"> </w:instrText>
      </w:r>
      <w:r w:rsidRPr="008978CA">
        <w:rPr>
          <w:b/>
          <w:lang w:eastAsia="ro-RO"/>
        </w:rPr>
        <w:fldChar w:fldCharType="separate"/>
      </w:r>
      <w:r>
        <w:rPr>
          <w:b/>
          <w:noProof/>
          <w:position w:val="-6"/>
          <w:lang w:val="ru-RU" w:eastAsia="ru-RU"/>
        </w:rPr>
        <w:drawing>
          <wp:inline distT="0" distB="0" distL="0" distR="0" wp14:anchorId="60D4A3CB" wp14:editId="589C8E0B">
            <wp:extent cx="123825" cy="1809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rPr>
          <w:b/>
          <w:lang w:eastAsia="ro-RO"/>
        </w:rPr>
        <w:fldChar w:fldCharType="end"/>
      </w:r>
      <w:r w:rsidRPr="008978CA">
        <w:rPr>
          <w:lang w:eastAsia="ro-RO"/>
        </w:rPr>
        <w:t xml:space="preserve">şi </w:t>
      </w:r>
      <w:r w:rsidRPr="008978CA">
        <w:rPr>
          <w:b/>
          <w:lang w:eastAsia="ro-RO"/>
        </w:rPr>
        <w:t>s</w:t>
      </w:r>
      <w:r w:rsidRPr="008978CA">
        <w:rPr>
          <w:lang w:eastAsia="ro-RO"/>
        </w:rPr>
        <w:t xml:space="preserve"> satisfac simultan următoarele trei inecuaţii:</w:t>
      </w:r>
    </w:p>
    <w:p w:rsidR="008440CB" w:rsidRPr="008978CA" w:rsidRDefault="008440CB" w:rsidP="008440CB">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ertAlign w:val="subscript"/>
        </w:rPr>
      </w:pPr>
      <w:r w:rsidRPr="008978CA">
        <w:fldChar w:fldCharType="begin"/>
      </w:r>
      <w:r w:rsidRPr="008978CA">
        <w:instrText xml:space="preserve"> QUOTE </w:instrText>
      </w:r>
      <w:r>
        <w:rPr>
          <w:noProof/>
          <w:position w:val="-6"/>
          <w:lang w:val="ru-RU" w:eastAsia="ru-RU"/>
        </w:rPr>
        <w:drawing>
          <wp:inline distT="0" distB="0" distL="0" distR="0" wp14:anchorId="09021A09" wp14:editId="30AD7D2C">
            <wp:extent cx="123825" cy="1809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instrText xml:space="preserve"> </w:instrText>
      </w:r>
      <w:r w:rsidRPr="008978CA">
        <w:fldChar w:fldCharType="separate"/>
      </w:r>
      <w:r>
        <w:rPr>
          <w:noProof/>
          <w:position w:val="-6"/>
          <w:lang w:val="ru-RU" w:eastAsia="ru-RU"/>
        </w:rPr>
        <w:drawing>
          <wp:inline distT="0" distB="0" distL="0" distR="0" wp14:anchorId="0AA7D9C7" wp14:editId="645A6422">
            <wp:extent cx="12382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fldChar w:fldCharType="end"/>
      </w:r>
      <w:r w:rsidRPr="008978CA">
        <w:t>+ k·s ≤T</w:t>
      </w:r>
      <w:r w:rsidRPr="008978CA">
        <w:rPr>
          <w:vertAlign w:val="subscript"/>
        </w:rPr>
        <w:t>s</w:t>
      </w:r>
    </w:p>
    <w:p w:rsidR="008440CB" w:rsidRPr="008978CA" w:rsidRDefault="008440CB" w:rsidP="008440CB">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978CA">
        <w:fldChar w:fldCharType="begin"/>
      </w:r>
      <w:r w:rsidRPr="008978CA">
        <w:instrText xml:space="preserve"> QUOTE </w:instrText>
      </w:r>
      <w:r>
        <w:rPr>
          <w:noProof/>
          <w:position w:val="-6"/>
          <w:lang w:val="ru-RU" w:eastAsia="ru-RU"/>
        </w:rPr>
        <w:drawing>
          <wp:inline distT="0" distB="0" distL="0" distR="0" wp14:anchorId="7AC05912" wp14:editId="4025F6E2">
            <wp:extent cx="1238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instrText xml:space="preserve"> </w:instrText>
      </w:r>
      <w:r w:rsidRPr="008978CA">
        <w:fldChar w:fldCharType="separate"/>
      </w:r>
      <w:r>
        <w:rPr>
          <w:noProof/>
          <w:position w:val="-6"/>
          <w:lang w:val="ru-RU" w:eastAsia="ru-RU"/>
        </w:rPr>
        <w:drawing>
          <wp:inline distT="0" distB="0" distL="0" distR="0" wp14:anchorId="0B7D12CC" wp14:editId="5846D5A7">
            <wp:extent cx="12382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fldChar w:fldCharType="end"/>
      </w:r>
      <w:r w:rsidRPr="008978CA">
        <w:t xml:space="preserve"> - k·s ≥ T</w:t>
      </w:r>
      <w:r w:rsidRPr="008978CA">
        <w:rPr>
          <w:vertAlign w:val="subscript"/>
        </w:rPr>
        <w:t>i</w:t>
      </w:r>
    </w:p>
    <w:p w:rsidR="008440CB" w:rsidRPr="008978CA" w:rsidRDefault="008440CB" w:rsidP="008440CB">
      <w:pPr>
        <w:tabs>
          <w:tab w:val="left" w:pos="916"/>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978CA">
        <w:t>s ≤ F (Ts - T</w:t>
      </w:r>
      <w:r w:rsidRPr="008978CA">
        <w:rPr>
          <w:vertAlign w:val="subscript"/>
        </w:rPr>
        <w:t>i</w:t>
      </w:r>
      <w:r w:rsidRPr="008978CA">
        <w:t>), unde: k = 1,57 şi F = 0,266.</w:t>
      </w:r>
    </w:p>
    <w:p w:rsidR="008440CB" w:rsidRPr="008978CA" w:rsidRDefault="008440CB" w:rsidP="008440CB">
      <w:pPr>
        <w:autoSpaceDE w:val="0"/>
        <w:autoSpaceDN w:val="0"/>
        <w:adjustRightInd w:val="0"/>
        <w:ind w:firstLine="702"/>
        <w:jc w:val="both"/>
        <w:rPr>
          <w:b/>
          <w:color w:val="000000"/>
        </w:rPr>
      </w:pPr>
    </w:p>
    <w:p w:rsidR="008440CB" w:rsidRPr="008978CA" w:rsidRDefault="008440CB" w:rsidP="008440CB">
      <w:pPr>
        <w:rPr>
          <w:i/>
        </w:rPr>
      </w:pPr>
      <w:r w:rsidRPr="008978CA">
        <w:rPr>
          <w:i/>
        </w:rPr>
        <w:t>10. Utilizarea metodei amplitudinii medii:</w:t>
      </w:r>
    </w:p>
    <w:p w:rsidR="008440CB" w:rsidRPr="008978CA" w:rsidRDefault="008440CB" w:rsidP="008440CB">
      <w:pPr>
        <w:tabs>
          <w:tab w:val="left" w:pos="2250"/>
          <w:tab w:val="left" w:pos="2430"/>
        </w:tabs>
        <w:ind w:firstLine="702"/>
        <w:jc w:val="both"/>
        <w:rPr>
          <w:lang w:eastAsia="ro-RO"/>
        </w:rPr>
      </w:pPr>
      <w:r w:rsidRPr="008978CA">
        <w:rPr>
          <w:lang w:eastAsia="ro-RO"/>
        </w:rPr>
        <w:t xml:space="preserve">Numărul de sticle utilizate ca recipiente de măsurare din eşantion este </w:t>
      </w:r>
      <w:r w:rsidRPr="008978CA">
        <w:rPr>
          <w:lang w:eastAsia="ro-RO"/>
        </w:rPr>
        <w:br/>
        <w:t>de 40.</w:t>
      </w:r>
    </w:p>
    <w:p w:rsidR="008440CB" w:rsidRPr="008978CA" w:rsidRDefault="008440CB" w:rsidP="008440CB">
      <w:pPr>
        <w:tabs>
          <w:tab w:val="left" w:pos="1080"/>
          <w:tab w:val="num" w:pos="1980"/>
          <w:tab w:val="left" w:pos="2160"/>
          <w:tab w:val="left" w:pos="2250"/>
          <w:tab w:val="left" w:pos="2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8978CA">
        <w:t xml:space="preserve">Valoarea medie </w:t>
      </w:r>
      <w:r w:rsidRPr="008978CA">
        <w:rPr>
          <w:b/>
        </w:rPr>
        <w:fldChar w:fldCharType="begin"/>
      </w:r>
      <w:r w:rsidRPr="008978CA">
        <w:rPr>
          <w:b/>
        </w:rPr>
        <w:instrText xml:space="preserve"> QUOTE </w:instrText>
      </w:r>
      <w:r>
        <w:rPr>
          <w:b/>
          <w:noProof/>
          <w:position w:val="-6"/>
          <w:lang w:val="ru-RU" w:eastAsia="ru-RU"/>
        </w:rPr>
        <w:drawing>
          <wp:inline distT="0" distB="0" distL="0" distR="0" wp14:anchorId="307F54B1" wp14:editId="1FE0C8CB">
            <wp:extent cx="123825" cy="1809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978CA">
        <w:rPr>
          <w:b/>
        </w:rPr>
        <w:instrText xml:space="preserve"> </w:instrText>
      </w:r>
      <w:r w:rsidRPr="008978CA">
        <w:rPr>
          <w:b/>
        </w:rPr>
        <w:fldChar w:fldCharType="separate"/>
      </w:r>
      <w:r>
        <w:rPr>
          <w:b/>
          <w:noProof/>
          <w:position w:val="-6"/>
          <w:lang w:val="ru-RU" w:eastAsia="ru-RU"/>
        </w:rPr>
        <w:drawing>
          <wp:inline distT="0" distB="0" distL="0" distR="0" wp14:anchorId="0D83D9F5" wp14:editId="164D470D">
            <wp:extent cx="123825" cy="190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8978CA">
        <w:rPr>
          <w:b/>
        </w:rPr>
        <w:fldChar w:fldCharType="end"/>
      </w:r>
      <w:r w:rsidRPr="008978CA">
        <w:t xml:space="preserve">a capacităţilor reale </w:t>
      </w:r>
      <w:r w:rsidRPr="008978CA">
        <w:rPr>
          <w:b/>
        </w:rPr>
        <w:t>x</w:t>
      </w:r>
      <w:r w:rsidRPr="008978CA">
        <w:rPr>
          <w:b/>
          <w:vertAlign w:val="subscript"/>
        </w:rPr>
        <w:t xml:space="preserve">i </w:t>
      </w:r>
      <w:r w:rsidRPr="008978CA">
        <w:t xml:space="preserve">ale sticlelor din eşantion şi amplitudinea medie </w:t>
      </w:r>
      <w:r w:rsidRPr="008978CA">
        <w:fldChar w:fldCharType="begin"/>
      </w:r>
      <w:r w:rsidRPr="008978CA">
        <w:instrText xml:space="preserve"> QUOTE </w:instrText>
      </w:r>
      <w:r>
        <w:rPr>
          <w:noProof/>
          <w:position w:val="-6"/>
          <w:lang w:val="ru-RU" w:eastAsia="ru-RU"/>
        </w:rPr>
        <w:drawing>
          <wp:inline distT="0" distB="0" distL="0" distR="0" wp14:anchorId="2DAB764C" wp14:editId="25E5FA68">
            <wp:extent cx="104775" cy="1809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8978CA">
        <w:instrText xml:space="preserve"> </w:instrText>
      </w:r>
      <w:r w:rsidRPr="008978CA">
        <w:fldChar w:fldCharType="separate"/>
      </w:r>
      <w:r>
        <w:rPr>
          <w:noProof/>
          <w:position w:val="-6"/>
          <w:lang w:val="ru-RU" w:eastAsia="ru-RU"/>
        </w:rPr>
        <w:drawing>
          <wp:inline distT="0" distB="0" distL="0" distR="0" wp14:anchorId="02C4357C" wp14:editId="3C449763">
            <wp:extent cx="104775" cy="1809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8978CA">
        <w:fldChar w:fldCharType="end"/>
      </w:r>
      <w:r w:rsidRPr="008978CA">
        <w:t xml:space="preserve"> a capacităţilor reale</w:t>
      </w:r>
      <w:r w:rsidRPr="008978CA">
        <w:rPr>
          <w:b/>
        </w:rPr>
        <w:t xml:space="preserve"> x</w:t>
      </w:r>
      <w:r w:rsidRPr="008978CA">
        <w:rPr>
          <w:b/>
          <w:vertAlign w:val="subscript"/>
        </w:rPr>
        <w:t>i</w:t>
      </w:r>
      <w:r w:rsidRPr="008978CA">
        <w:rPr>
          <w:vertAlign w:val="subscript"/>
        </w:rPr>
        <w:t xml:space="preserve"> </w:t>
      </w:r>
      <w:r w:rsidRPr="008978CA">
        <w:t>ale sticlelor din eşantion se calculează după cu urmează:</w:t>
      </w:r>
    </w:p>
    <w:p w:rsidR="008440CB" w:rsidRPr="008978CA" w:rsidRDefault="008440CB" w:rsidP="008440CB">
      <w:pPr>
        <w:ind w:firstLine="630"/>
        <w:jc w:val="both"/>
        <w:rPr>
          <w:lang w:eastAsia="ro-RO"/>
        </w:rPr>
      </w:pPr>
      <w:r w:rsidRPr="008978CA">
        <w:rPr>
          <w:lang w:eastAsia="ro-RO"/>
        </w:rPr>
        <w:t xml:space="preserve">pentru a obţine pe </w:t>
      </w:r>
      <w:r w:rsidRPr="008978CA">
        <w:rPr>
          <w:lang w:eastAsia="ro-RO"/>
        </w:rPr>
        <w:fldChar w:fldCharType="begin"/>
      </w:r>
      <w:r w:rsidRPr="008978CA">
        <w:rPr>
          <w:lang w:eastAsia="ro-RO"/>
        </w:rPr>
        <w:instrText xml:space="preserve"> QUOTE </w:instrText>
      </w:r>
      <w:r>
        <w:rPr>
          <w:noProof/>
          <w:position w:val="-5"/>
          <w:lang w:val="ru-RU" w:eastAsia="ru-RU"/>
        </w:rPr>
        <w:drawing>
          <wp:inline distT="0" distB="0" distL="0" distR="0" wp14:anchorId="2E70736E" wp14:editId="2B0911DD">
            <wp:extent cx="9525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8978CA">
        <w:rPr>
          <w:lang w:eastAsia="ro-RO"/>
        </w:rPr>
        <w:instrText xml:space="preserve"> </w:instrText>
      </w:r>
      <w:r w:rsidRPr="008978CA">
        <w:rPr>
          <w:lang w:eastAsia="ro-RO"/>
        </w:rPr>
        <w:fldChar w:fldCharType="separate"/>
      </w:r>
      <w:r>
        <w:rPr>
          <w:noProof/>
          <w:position w:val="-5"/>
          <w:lang w:val="ru-RU" w:eastAsia="ru-RU"/>
        </w:rPr>
        <w:drawing>
          <wp:inline distT="0" distB="0" distL="0" distR="0" wp14:anchorId="15FF0907" wp14:editId="740A1ECB">
            <wp:extent cx="142875" cy="152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8978CA">
        <w:rPr>
          <w:lang w:eastAsia="ro-RO"/>
        </w:rPr>
        <w:fldChar w:fldCharType="end"/>
      </w:r>
      <w:r w:rsidRPr="008978CA">
        <w:rPr>
          <w:lang w:eastAsia="ro-RO"/>
        </w:rPr>
        <w:t>:</w:t>
      </w:r>
    </w:p>
    <w:p w:rsidR="008440CB" w:rsidRPr="008978CA" w:rsidRDefault="008440CB" w:rsidP="008440CB">
      <w:pPr>
        <w:ind w:firstLine="630"/>
        <w:jc w:val="both"/>
        <w:rPr>
          <w:lang w:eastAsia="ro-RO"/>
        </w:rPr>
      </w:pPr>
      <w:r w:rsidRPr="008978CA">
        <w:rPr>
          <w:lang w:eastAsia="ro-RO"/>
        </w:rPr>
        <w:lastRenderedPageBreak/>
        <w:t xml:space="preserve">suma celor 40 de măsurări ale capacităţii reale </w:t>
      </w:r>
      <m:oMath>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i</m:t>
            </m:r>
          </m:sub>
        </m:sSub>
        <m:r>
          <w:rPr>
            <w:rFonts w:ascii="Cambria Math" w:eastAsia="Calibri" w:hAnsi="Cambria Math"/>
          </w:rPr>
          <m:t>=</m:t>
        </m:r>
        <m:nary>
          <m:naryPr>
            <m:chr m:val="∑"/>
            <m:limLoc m:val="undOvr"/>
            <m:ctrlPr>
              <w:rPr>
                <w:rFonts w:ascii="Cambria Math" w:eastAsia="Calibri" w:hAnsi="Cambria Math"/>
                <w:i/>
              </w:rPr>
            </m:ctrlPr>
          </m:naryPr>
          <m:sub>
            <m:r>
              <w:rPr>
                <w:rFonts w:ascii="Cambria Math" w:eastAsia="Calibri" w:hAnsi="Cambria Math"/>
              </w:rPr>
              <m:t>i=1</m:t>
            </m:r>
          </m:sub>
          <m:sup>
            <m:r>
              <w:rPr>
                <w:rFonts w:ascii="Cambria Math" w:eastAsia="Calibri" w:hAnsi="Cambria Math"/>
              </w:rPr>
              <m:t>40</m:t>
            </m:r>
          </m:sup>
          <m:e>
            <m:sSub>
              <m:sSubPr>
                <m:ctrlPr>
                  <w:rPr>
                    <w:rFonts w:ascii="Cambria Math" w:eastAsia="Calibri" w:hAnsi="Cambria Math"/>
                    <w:i/>
                  </w:rPr>
                </m:ctrlPr>
              </m:sSubPr>
              <m:e>
                <m:r>
                  <w:rPr>
                    <w:rFonts w:ascii="Cambria Math" w:eastAsia="Calibri" w:hAnsi="Cambria Math"/>
                  </w:rPr>
                  <m:t>x</m:t>
                </m:r>
              </m:e>
              <m:sub>
                <m:r>
                  <w:rPr>
                    <w:rFonts w:ascii="Cambria Math" w:eastAsia="Calibri" w:hAnsi="Cambria Math"/>
                  </w:rPr>
                  <m:t>i</m:t>
                </m:r>
              </m:sub>
            </m:sSub>
          </m:e>
        </m:nary>
      </m:oMath>
      <w:r w:rsidRPr="008978CA">
        <w:rPr>
          <w:lang w:eastAsia="ro-RO"/>
        </w:rPr>
        <w:t>;</w:t>
      </w:r>
    </w:p>
    <w:p w:rsidR="008440CB" w:rsidRPr="008978CA" w:rsidRDefault="008440CB" w:rsidP="008440CB">
      <w:pPr>
        <w:ind w:firstLine="630"/>
        <w:jc w:val="both"/>
        <w:rPr>
          <w:lang w:eastAsia="ro-RO"/>
        </w:rPr>
      </w:pPr>
      <w:r w:rsidRPr="008978CA">
        <w:rPr>
          <w:lang w:eastAsia="ro-RO"/>
        </w:rPr>
        <w:t xml:space="preserve">valoarea medie a acestor 40 de măsurări: </w:t>
      </w:r>
      <w:r w:rsidRPr="008978CA">
        <w:rPr>
          <w:lang w:eastAsia="ro-RO"/>
        </w:rPr>
        <w:fldChar w:fldCharType="begin"/>
      </w:r>
      <w:r w:rsidRPr="008978CA">
        <w:rPr>
          <w:lang w:eastAsia="ro-RO"/>
        </w:rPr>
        <w:instrText xml:space="preserve"> QUOTE </w:instrText>
      </w:r>
      <w:r>
        <w:rPr>
          <w:noProof/>
          <w:position w:val="-11"/>
          <w:lang w:val="ru-RU" w:eastAsia="ru-RU"/>
        </w:rPr>
        <w:drawing>
          <wp:inline distT="0" distB="0" distL="0" distR="0" wp14:anchorId="434C3600" wp14:editId="5DC07930">
            <wp:extent cx="3810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8978CA">
        <w:rPr>
          <w:lang w:eastAsia="ro-RO"/>
        </w:rPr>
        <w:instrText xml:space="preserve"> </w:instrText>
      </w:r>
      <w:r w:rsidRPr="008978CA">
        <w:rPr>
          <w:lang w:eastAsia="ro-RO"/>
        </w:rPr>
        <w:fldChar w:fldCharType="separate"/>
      </w:r>
      <m:oMath>
        <m:bar>
          <m:barPr>
            <m:pos m:val="top"/>
            <m:ctrlPr>
              <w:rPr>
                <w:rFonts w:ascii="Cambria Math" w:hAnsi="Cambria Math"/>
                <w:i/>
              </w:rPr>
            </m:ctrlPr>
          </m:barPr>
          <m:e>
            <m:r>
              <m:rPr>
                <m:sty m:val="p"/>
              </m:rPr>
              <w:rPr>
                <w:rFonts w:ascii="Cambria Math" w:hAnsi="Cambria Math"/>
              </w:rPr>
              <m:t>x</m:t>
            </m:r>
          </m:e>
        </m:bar>
        <m:r>
          <m:rPr>
            <m:sty m:val="p"/>
          </m:rPr>
          <w:rPr>
            <w:rFonts w:ascii="Cambria Math" w:hAnsi="Cambria Math"/>
          </w:rPr>
          <m:t>=</m:t>
        </m:r>
        <m:f>
          <m:fPr>
            <m:ctrlPr>
              <w:rPr>
                <w:rFonts w:ascii="Cambria Math" w:hAnsi="Cambria Math"/>
                <w:i/>
              </w:rPr>
            </m:ctrlPr>
          </m:fPr>
          <m:num>
            <m:nary>
              <m:naryPr>
                <m:chr m:val="∑"/>
                <m:limLoc m:val="undOvr"/>
                <m:ctrlPr>
                  <w:rPr>
                    <w:rFonts w:ascii="Cambria Math" w:eastAsia="Calibri" w:hAnsi="Cambria Math"/>
                    <w:i/>
                  </w:rPr>
                </m:ctrlPr>
              </m:naryPr>
              <m:sub>
                <m:r>
                  <m:rPr>
                    <m:sty m:val="p"/>
                  </m:rPr>
                  <w:rPr>
                    <w:rFonts w:ascii="Cambria Math" w:eastAsia="Calibri" w:hAnsi="Cambria Math"/>
                  </w:rPr>
                  <m:t>i=1</m:t>
                </m:r>
              </m:sub>
              <m:sup>
                <m:r>
                  <m:rPr>
                    <m:sty m:val="p"/>
                  </m:rPr>
                  <w:rPr>
                    <w:rFonts w:ascii="Cambria Math" w:eastAsia="Calibri" w:hAnsi="Cambria Math"/>
                  </w:rPr>
                  <m:t>40</m:t>
                </m:r>
              </m:sup>
              <m:e>
                <m:sSub>
                  <m:sSubPr>
                    <m:ctrlPr>
                      <w:rPr>
                        <w:rFonts w:ascii="Cambria Math" w:eastAsia="Calibri" w:hAnsi="Cambria Math"/>
                        <w:i/>
                      </w:rPr>
                    </m:ctrlPr>
                  </m:sSubPr>
                  <m:e>
                    <m:r>
                      <m:rPr>
                        <m:sty m:val="p"/>
                      </m:rPr>
                      <w:rPr>
                        <w:rFonts w:ascii="Cambria Math" w:eastAsia="Calibri" w:hAnsi="Cambria Math"/>
                      </w:rPr>
                      <m:t>x</m:t>
                    </m:r>
                  </m:e>
                  <m:sub>
                    <m:r>
                      <m:rPr>
                        <m:sty m:val="p"/>
                      </m:rPr>
                      <w:rPr>
                        <w:rFonts w:ascii="Cambria Math" w:eastAsia="Calibri" w:hAnsi="Cambria Math"/>
                      </w:rPr>
                      <m:t>i</m:t>
                    </m:r>
                  </m:sub>
                </m:sSub>
              </m:e>
            </m:nary>
          </m:num>
          <m:den>
            <m:r>
              <m:rPr>
                <m:sty m:val="p"/>
              </m:rPr>
              <w:rPr>
                <w:rFonts w:ascii="Cambria Math" w:hAnsi="Cambria Math"/>
              </w:rPr>
              <m:t>40</m:t>
            </m:r>
          </m:den>
        </m:f>
      </m:oMath>
      <w:r>
        <w:rPr>
          <w:noProof/>
          <w:position w:val="-11"/>
          <w:lang w:val="ru-RU" w:eastAsia="ru-RU"/>
        </w:rPr>
        <w:drawing>
          <wp:inline distT="0" distB="0" distL="0" distR="0" wp14:anchorId="3BF60273" wp14:editId="67C8D1B6">
            <wp:extent cx="3810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8978CA">
        <w:rPr>
          <w:lang w:eastAsia="ro-RO"/>
        </w:rPr>
        <w:fldChar w:fldCharType="end"/>
      </w:r>
      <w:r w:rsidRPr="008978CA">
        <w:rPr>
          <w:lang w:eastAsia="ro-RO"/>
        </w:rPr>
        <w:t>;</w:t>
      </w:r>
    </w:p>
    <w:p w:rsidR="008440CB" w:rsidRPr="008978CA" w:rsidRDefault="008440CB" w:rsidP="008440CB">
      <w:pPr>
        <w:pStyle w:val="1"/>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630"/>
        <w:jc w:val="both"/>
        <w:rPr>
          <w:lang w:val="ro-RO"/>
        </w:rPr>
      </w:pPr>
      <w:r w:rsidRPr="008978CA">
        <w:rPr>
          <w:lang w:val="ro-RO"/>
        </w:rPr>
        <w:t xml:space="preserve">pentru a obţine pe </w:t>
      </w:r>
      <w:r w:rsidRPr="008978CA">
        <w:rPr>
          <w:lang w:val="ro-RO"/>
        </w:rPr>
        <w:fldChar w:fldCharType="begin"/>
      </w:r>
      <w:r w:rsidRPr="008978CA">
        <w:rPr>
          <w:lang w:val="ro-RO"/>
        </w:rPr>
        <w:instrText xml:space="preserve"> QUOTE </w:instrText>
      </w:r>
      <w:r>
        <w:rPr>
          <w:noProof/>
          <w:position w:val="-6"/>
        </w:rPr>
        <w:drawing>
          <wp:inline distT="0" distB="0" distL="0" distR="0" wp14:anchorId="1E222E74" wp14:editId="205CCADF">
            <wp:extent cx="142875" cy="18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rPr>
          <w:lang w:val="ro-RO"/>
        </w:rPr>
        <w:instrText xml:space="preserve"> </w:instrText>
      </w:r>
      <w:r w:rsidRPr="008978CA">
        <w:rPr>
          <w:lang w:val="ro-RO"/>
        </w:rPr>
        <w:fldChar w:fldCharType="separate"/>
      </w:r>
      <w:r>
        <w:rPr>
          <w:noProof/>
          <w:position w:val="-6"/>
        </w:rPr>
        <w:drawing>
          <wp:inline distT="0" distB="0" distL="0" distR="0" wp14:anchorId="22DF7F5E" wp14:editId="7325EF05">
            <wp:extent cx="142875" cy="180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rPr>
          <w:lang w:val="ro-RO"/>
        </w:rPr>
        <w:fldChar w:fldCharType="end"/>
      </w:r>
      <w:r w:rsidRPr="008978CA">
        <w:rPr>
          <w:lang w:val="ro-RO"/>
        </w:rPr>
        <w:t>:</w:t>
      </w:r>
    </w:p>
    <w:p w:rsidR="008440CB" w:rsidRPr="008978CA" w:rsidRDefault="008440CB" w:rsidP="008440CB">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lang w:eastAsia="ro-RO"/>
        </w:rPr>
      </w:pPr>
      <w:r w:rsidRPr="008978CA">
        <w:rPr>
          <w:lang w:eastAsia="ro-RO"/>
        </w:rPr>
        <w:t>se împarte eşantionul, în ordinea cronologică a selectării, în opt subeşantioane a cîte cinci sticle utilizate ca recipiente de măsurare.</w:t>
      </w:r>
    </w:p>
    <w:p w:rsidR="008440CB" w:rsidRPr="008978CA" w:rsidRDefault="008440CB" w:rsidP="008440CB">
      <w:pPr>
        <w:ind w:firstLine="720"/>
        <w:jc w:val="both"/>
        <w:rPr>
          <w:lang w:eastAsia="ro-RO"/>
        </w:rPr>
      </w:pPr>
      <w:r w:rsidRPr="008978CA">
        <w:rPr>
          <w:lang w:eastAsia="ro-RO"/>
        </w:rPr>
        <w:t>Se calculează:</w:t>
      </w:r>
    </w:p>
    <w:p w:rsidR="008440CB" w:rsidRPr="008978CA" w:rsidRDefault="008440CB" w:rsidP="008440CB">
      <w:pPr>
        <w:pStyle w:val="1"/>
        <w:tabs>
          <w:tab w:val="left" w:pos="630"/>
          <w:tab w:val="left" w:pos="720"/>
          <w:tab w:val="left" w:pos="900"/>
          <w:tab w:val="left" w:pos="7328"/>
          <w:tab w:val="left" w:pos="8244"/>
          <w:tab w:val="left" w:pos="9160"/>
          <w:tab w:val="left" w:pos="10076"/>
          <w:tab w:val="left" w:pos="10992"/>
          <w:tab w:val="left" w:pos="11908"/>
          <w:tab w:val="left" w:pos="12824"/>
          <w:tab w:val="left" w:pos="13740"/>
          <w:tab w:val="left" w:pos="14656"/>
        </w:tabs>
        <w:ind w:left="0" w:firstLine="720"/>
        <w:jc w:val="both"/>
        <w:rPr>
          <w:lang w:val="ro-RO"/>
        </w:rPr>
      </w:pPr>
      <w:r w:rsidRPr="008978CA">
        <w:rPr>
          <w:lang w:val="ro-RO"/>
        </w:rPr>
        <w:t>amplitudinea fiecărui subeşantion, adică diferenţa dintre valoarea maximă și valoarea minimă a capacității reale a celor cinci sticle din subeşantion. În acest mod se obţin opt valori: R</w:t>
      </w:r>
      <w:r w:rsidRPr="008978CA">
        <w:rPr>
          <w:vertAlign w:val="subscript"/>
          <w:lang w:val="ro-RO"/>
        </w:rPr>
        <w:t>1</w:t>
      </w:r>
      <w:r w:rsidRPr="008978CA">
        <w:rPr>
          <w:lang w:val="ro-RO"/>
        </w:rPr>
        <w:t>, R</w:t>
      </w:r>
      <w:r w:rsidRPr="008978CA">
        <w:rPr>
          <w:vertAlign w:val="subscript"/>
          <w:lang w:val="ro-RO"/>
        </w:rPr>
        <w:t>2</w:t>
      </w:r>
      <w:r w:rsidRPr="008978CA">
        <w:rPr>
          <w:lang w:val="ro-RO"/>
        </w:rPr>
        <w:t>, ......, R</w:t>
      </w:r>
      <w:r w:rsidRPr="008978CA">
        <w:rPr>
          <w:vertAlign w:val="subscript"/>
          <w:lang w:val="ro-RO"/>
        </w:rPr>
        <w:t>8</w:t>
      </w:r>
      <w:r w:rsidRPr="008978CA">
        <w:rPr>
          <w:lang w:val="ro-RO"/>
        </w:rPr>
        <w:t>;</w:t>
      </w:r>
    </w:p>
    <w:p w:rsidR="008440CB" w:rsidRPr="008978CA" w:rsidRDefault="008440CB" w:rsidP="008440CB">
      <w:pPr>
        <w:tabs>
          <w:tab w:val="left" w:pos="630"/>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contextualSpacing/>
        <w:jc w:val="both"/>
      </w:pPr>
      <w:r w:rsidRPr="008978CA">
        <w:t>suma amplitudinilor celor opt subeşantioane: ∑R</w:t>
      </w:r>
      <w:r w:rsidRPr="008978CA">
        <w:rPr>
          <w:vertAlign w:val="subscript"/>
        </w:rPr>
        <w:t>i</w:t>
      </w:r>
      <w:r w:rsidRPr="008978CA">
        <w:t xml:space="preserve"> = R</w:t>
      </w:r>
      <w:r w:rsidRPr="008978CA">
        <w:rPr>
          <w:vertAlign w:val="subscript"/>
        </w:rPr>
        <w:t>1</w:t>
      </w:r>
      <w:r w:rsidRPr="008978CA">
        <w:t>+R</w:t>
      </w:r>
      <w:r w:rsidRPr="008978CA">
        <w:rPr>
          <w:vertAlign w:val="subscript"/>
        </w:rPr>
        <w:t>2</w:t>
      </w:r>
      <w:r w:rsidRPr="008978CA">
        <w:t>+…+R</w:t>
      </w:r>
      <w:r w:rsidRPr="008978CA">
        <w:rPr>
          <w:vertAlign w:val="subscript"/>
        </w:rPr>
        <w:t>8.</w:t>
      </w:r>
    </w:p>
    <w:p w:rsidR="008440CB" w:rsidRPr="008978CA" w:rsidRDefault="008440CB" w:rsidP="008440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pPr>
      <w:r w:rsidRPr="008978CA">
        <w:tab/>
        <w:t xml:space="preserve">Amplitudinea medie </w:t>
      </w:r>
      <w:r w:rsidRPr="008978CA">
        <w:fldChar w:fldCharType="begin"/>
      </w:r>
      <w:r w:rsidRPr="008978CA">
        <w:instrText xml:space="preserve"> QUOTE </w:instrText>
      </w:r>
      <w:r>
        <w:rPr>
          <w:noProof/>
          <w:position w:val="-6"/>
          <w:lang w:val="ru-RU" w:eastAsia="ru-RU"/>
        </w:rPr>
        <w:drawing>
          <wp:inline distT="0" distB="0" distL="0" distR="0" wp14:anchorId="114F83A9" wp14:editId="327AB300">
            <wp:extent cx="142875" cy="1809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instrText xml:space="preserve"> </w:instrText>
      </w:r>
      <w:r w:rsidRPr="008978CA">
        <w:fldChar w:fldCharType="separate"/>
      </w:r>
      <w:r>
        <w:rPr>
          <w:noProof/>
          <w:position w:val="-6"/>
          <w:lang w:val="ru-RU" w:eastAsia="ru-RU"/>
        </w:rPr>
        <w:drawing>
          <wp:inline distT="0" distB="0" distL="0" distR="0" wp14:anchorId="2831E137" wp14:editId="1C99C922">
            <wp:extent cx="1428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fldChar w:fldCharType="end"/>
      </w:r>
      <w:r w:rsidRPr="008978CA">
        <w:t xml:space="preserve">a eşantionului este: </w:t>
      </w:r>
      <w:r w:rsidRPr="008978CA">
        <w:fldChar w:fldCharType="begin"/>
      </w:r>
      <w:r w:rsidRPr="008978CA">
        <w:instrText xml:space="preserve"> QUOTE </w:instrText>
      </w:r>
      <w:r>
        <w:rPr>
          <w:noProof/>
          <w:position w:val="-14"/>
          <w:lang w:val="ru-RU" w:eastAsia="ru-RU"/>
        </w:rPr>
        <w:drawing>
          <wp:inline distT="0" distB="0" distL="0" distR="0" wp14:anchorId="52C5E223" wp14:editId="0C8128D1">
            <wp:extent cx="48577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8978CA">
        <w:instrText xml:space="preserve"> </w:instrText>
      </w:r>
      <w:r w:rsidRPr="008978CA">
        <w:fldChar w:fldCharType="separate"/>
      </w:r>
      <w:r>
        <w:rPr>
          <w:noProof/>
          <w:position w:val="-14"/>
          <w:lang w:val="ru-RU" w:eastAsia="ru-RU"/>
        </w:rPr>
        <w:drawing>
          <wp:inline distT="0" distB="0" distL="0" distR="0" wp14:anchorId="52079412" wp14:editId="07C84E95">
            <wp:extent cx="48577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8978CA">
        <w:fldChar w:fldCharType="end"/>
      </w:r>
      <w:r w:rsidRPr="008978CA">
        <w:t>.</w:t>
      </w:r>
    </w:p>
    <w:p w:rsidR="008440CB" w:rsidRPr="008978CA" w:rsidRDefault="008440CB" w:rsidP="008440CB">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ro-RO"/>
        </w:rPr>
      </w:pPr>
      <w:r w:rsidRPr="008978CA">
        <w:rPr>
          <w:lang w:eastAsia="ro-RO"/>
        </w:rPr>
        <w:t xml:space="preserve">Limita superioară </w:t>
      </w:r>
      <w:r w:rsidRPr="008978CA">
        <w:rPr>
          <w:b/>
          <w:lang w:eastAsia="ro-RO"/>
        </w:rPr>
        <w:t>T</w:t>
      </w:r>
      <w:r w:rsidRPr="008978CA">
        <w:rPr>
          <w:b/>
          <w:vertAlign w:val="subscript"/>
          <w:lang w:eastAsia="ro-RO"/>
        </w:rPr>
        <w:t>s</w:t>
      </w:r>
      <w:r w:rsidRPr="008978CA">
        <w:rPr>
          <w:lang w:eastAsia="ro-RO"/>
        </w:rPr>
        <w:t xml:space="preserve"> se calculează ca suma dintre capacitatea nominală marcată pe sticle din eșantion şi valoarea absoluta a erorii maxime tolerate corespunzătoare acestei capacităţi;</w:t>
      </w:r>
    </w:p>
    <w:p w:rsidR="008440CB" w:rsidRPr="008978CA" w:rsidRDefault="008440CB" w:rsidP="008440CB">
      <w:pPr>
        <w:tabs>
          <w:tab w:val="left" w:pos="540"/>
          <w:tab w:val="left" w:pos="1170"/>
          <w:tab w:val="left" w:pos="1440"/>
          <w:tab w:val="left" w:pos="15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ro-RO"/>
        </w:rPr>
      </w:pPr>
      <w:r w:rsidRPr="008978CA">
        <w:rPr>
          <w:lang w:eastAsia="ro-RO"/>
        </w:rPr>
        <w:t xml:space="preserve">Limita inferioară </w:t>
      </w:r>
      <w:r w:rsidRPr="008978CA">
        <w:rPr>
          <w:b/>
          <w:lang w:eastAsia="ro-RO"/>
        </w:rPr>
        <w:t>T</w:t>
      </w:r>
      <w:r w:rsidRPr="008978CA">
        <w:rPr>
          <w:b/>
          <w:vertAlign w:val="subscript"/>
          <w:lang w:eastAsia="ro-RO"/>
        </w:rPr>
        <w:t>i</w:t>
      </w:r>
      <w:r w:rsidRPr="008978CA">
        <w:rPr>
          <w:lang w:eastAsia="ro-RO"/>
        </w:rPr>
        <w:t xml:space="preserve"> se calculează ca diferenţa dintre  capacitatea nominală marcată pe sticle din eșantion şi valoarea absolută a erorii maxime tolerate corespunzătoare acestei capacităţi.</w:t>
      </w:r>
    </w:p>
    <w:p w:rsidR="008440CB" w:rsidRPr="008978CA" w:rsidRDefault="008440CB" w:rsidP="008440CB">
      <w:pPr>
        <w:tabs>
          <w:tab w:val="left" w:pos="720"/>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contextualSpacing/>
        <w:jc w:val="both"/>
      </w:pPr>
    </w:p>
    <w:p w:rsidR="008440CB" w:rsidRPr="008978CA" w:rsidRDefault="008440CB" w:rsidP="008440CB">
      <w:pPr>
        <w:tabs>
          <w:tab w:val="left" w:pos="916"/>
          <w:tab w:val="left" w:pos="1832"/>
          <w:tab w:val="left" w:pos="2250"/>
          <w:tab w:val="left" w:pos="24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pPr>
      <w:r w:rsidRPr="008978CA">
        <w:t xml:space="preserve">Lotul este considerat în </w:t>
      </w:r>
      <w:r w:rsidRPr="008978CA">
        <w:rPr>
          <w:lang w:eastAsia="ro-RO"/>
        </w:rPr>
        <w:t xml:space="preserve">conformitate cu cerințele RGML nr.881/2014 </w:t>
      </w:r>
      <w:r w:rsidRPr="008978CA">
        <w:t xml:space="preserve">dacă valorile </w:t>
      </w:r>
      <w:r w:rsidRPr="008978CA">
        <w:fldChar w:fldCharType="begin"/>
      </w:r>
      <w:r w:rsidRPr="008978CA">
        <w:instrText xml:space="preserve"> QUOTE </w:instrText>
      </w:r>
      <w:r>
        <w:rPr>
          <w:noProof/>
          <w:position w:val="-6"/>
          <w:lang w:val="ru-RU" w:eastAsia="ru-RU"/>
        </w:rPr>
        <w:drawing>
          <wp:inline distT="0" distB="0" distL="0" distR="0" wp14:anchorId="2A7B6E04" wp14:editId="5C3858A8">
            <wp:extent cx="85725" cy="18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8978CA">
        <w:instrText xml:space="preserve"> </w:instrText>
      </w:r>
      <w:r w:rsidRPr="008978CA">
        <w:fldChar w:fldCharType="separate"/>
      </w:r>
      <w:r>
        <w:rPr>
          <w:noProof/>
          <w:position w:val="-6"/>
          <w:lang w:val="ru-RU" w:eastAsia="ru-RU"/>
        </w:rPr>
        <w:drawing>
          <wp:inline distT="0" distB="0" distL="0" distR="0" wp14:anchorId="78AE10A0" wp14:editId="48C0C408">
            <wp:extent cx="85725" cy="180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8978CA">
        <w:fldChar w:fldCharType="end"/>
      </w:r>
      <w:r w:rsidRPr="008978CA">
        <w:t xml:space="preserve"> şi </w:t>
      </w:r>
      <w:r w:rsidRPr="008978CA">
        <w:rPr>
          <w:b/>
        </w:rPr>
        <w:fldChar w:fldCharType="begin"/>
      </w:r>
      <w:r w:rsidRPr="008978CA">
        <w:rPr>
          <w:b/>
        </w:rPr>
        <w:instrText xml:space="preserve"> QUOTE </w:instrText>
      </w:r>
      <w:r>
        <w:rPr>
          <w:b/>
          <w:noProof/>
          <w:position w:val="-6"/>
          <w:lang w:val="ru-RU" w:eastAsia="ru-RU"/>
        </w:rPr>
        <w:drawing>
          <wp:inline distT="0" distB="0" distL="0" distR="0" wp14:anchorId="262D5521" wp14:editId="34278DE2">
            <wp:extent cx="14287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rPr>
          <w:b/>
        </w:rPr>
        <w:instrText xml:space="preserve"> </w:instrText>
      </w:r>
      <w:r w:rsidRPr="008978CA">
        <w:rPr>
          <w:b/>
        </w:rPr>
        <w:fldChar w:fldCharType="separate"/>
      </w:r>
      <w:r>
        <w:rPr>
          <w:b/>
          <w:noProof/>
          <w:position w:val="-6"/>
          <w:lang w:val="ru-RU" w:eastAsia="ru-RU"/>
        </w:rPr>
        <w:drawing>
          <wp:inline distT="0" distB="0" distL="0" distR="0" wp14:anchorId="6C7AE819" wp14:editId="4226EE7C">
            <wp:extent cx="142875" cy="18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978CA">
        <w:rPr>
          <w:b/>
        </w:rPr>
        <w:fldChar w:fldCharType="end"/>
      </w:r>
      <w:r w:rsidRPr="008978CA">
        <w:t>satisfac simultan următoarele trei inecuaţii:</w:t>
      </w:r>
    </w:p>
    <w:p w:rsidR="008440CB" w:rsidRPr="008978CA" w:rsidRDefault="008440CB" w:rsidP="008440CB">
      <w:pPr>
        <w:spacing w:line="276" w:lineRule="auto"/>
      </w:pPr>
      <m:oMathPara>
        <m:oMath>
          <m:acc>
            <m:accPr>
              <m:chr m:val="̅"/>
              <m:ctrlPr>
                <w:rPr>
                  <w:rFonts w:ascii="Cambria Math" w:eastAsia="Calibri" w:hAnsi="Cambria Math"/>
                  <w:i/>
                  <w:sz w:val="22"/>
                  <w:szCs w:val="22"/>
                </w:rPr>
              </m:ctrlPr>
            </m:accPr>
            <m:e>
              <m:r>
                <w:rPr>
                  <w:rFonts w:ascii="Cambria Math" w:hAnsi="Cambria Math"/>
                </w:rPr>
                <m:t>x</m:t>
              </m:r>
            </m:e>
          </m:acc>
          <m:r>
            <w:rPr>
              <w:rFonts w:ascii="Cambria Math" w:hAnsi="Cambria Math"/>
            </w:rPr>
            <m:t>+</m:t>
          </m:r>
          <m:sSup>
            <m:sSupPr>
              <m:ctrlPr>
                <w:rPr>
                  <w:rFonts w:ascii="Cambria Math" w:eastAsia="Calibri" w:hAnsi="Cambria Math"/>
                  <w:i/>
                  <w:sz w:val="22"/>
                  <w:szCs w:val="22"/>
                </w:rPr>
              </m:ctrlPr>
            </m:sSupPr>
            <m:e>
              <m:r>
                <w:rPr>
                  <w:rFonts w:ascii="Cambria Math" w:hAnsi="Cambria Math"/>
                </w:rPr>
                <m:t>k</m:t>
              </m:r>
            </m:e>
            <m:sup>
              <m:r>
                <w:rPr>
                  <w:rFonts w:ascii="Cambria Math" w:hAnsi="Cambria Math"/>
                </w:rPr>
                <m:t>'</m:t>
              </m:r>
            </m:sup>
          </m:sSup>
          <m:r>
            <w:rPr>
              <w:rFonts w:ascii="Cambria Math" w:hAnsi="Cambria Math"/>
            </w:rPr>
            <m:t>∙</m:t>
          </m:r>
          <m:acc>
            <m:accPr>
              <m:chr m:val="̅"/>
              <m:ctrlPr>
                <w:rPr>
                  <w:rFonts w:ascii="Cambria Math" w:eastAsia="Calibri" w:hAnsi="Cambria Math"/>
                  <w:i/>
                  <w:sz w:val="22"/>
                  <w:szCs w:val="22"/>
                </w:rPr>
              </m:ctrlPr>
            </m:accPr>
            <m:e>
              <m:r>
                <w:rPr>
                  <w:rFonts w:ascii="Cambria Math" w:hAnsi="Cambria Math"/>
                </w:rPr>
                <m:t>R</m:t>
              </m:r>
            </m:e>
          </m:acc>
          <m:r>
            <w:rPr>
              <w:rFonts w:ascii="Cambria Math" w:hAnsi="Cambria Math"/>
            </w:rPr>
            <m:t xml:space="preserve">≤ </m:t>
          </m:r>
          <m:sSub>
            <m:sSubPr>
              <m:ctrlPr>
                <w:rPr>
                  <w:rFonts w:ascii="Cambria Math" w:eastAsia="Calibri" w:hAnsi="Cambria Math"/>
                  <w:i/>
                  <w:sz w:val="22"/>
                  <w:szCs w:val="22"/>
                </w:rPr>
              </m:ctrlPr>
            </m:sSubPr>
            <m:e>
              <m:r>
                <w:rPr>
                  <w:rFonts w:ascii="Cambria Math" w:hAnsi="Cambria Math"/>
                </w:rPr>
                <m:t>T</m:t>
              </m:r>
            </m:e>
            <m:sub>
              <m:r>
                <w:rPr>
                  <w:rFonts w:ascii="Cambria Math" w:hAnsi="Cambria Math"/>
                </w:rPr>
                <m:t>s</m:t>
              </m:r>
            </m:sub>
          </m:sSub>
          <m:r>
            <m:rPr>
              <m:sty m:val="p"/>
            </m:rPr>
            <w:br/>
          </m:r>
        </m:oMath>
        <m:oMath>
          <m:acc>
            <m:accPr>
              <m:chr m:val="̅"/>
              <m:ctrlPr>
                <w:rPr>
                  <w:rFonts w:ascii="Cambria Math" w:eastAsia="Calibri" w:hAnsi="Cambria Math"/>
                  <w:i/>
                  <w:sz w:val="22"/>
                  <w:szCs w:val="22"/>
                </w:rPr>
              </m:ctrlPr>
            </m:accPr>
            <m:e>
              <m:r>
                <w:rPr>
                  <w:rFonts w:ascii="Cambria Math" w:hAnsi="Cambria Math"/>
                </w:rPr>
                <m:t>x</m:t>
              </m:r>
            </m:e>
          </m:acc>
          <m:r>
            <w:rPr>
              <w:rFonts w:ascii="Cambria Math" w:hAnsi="Cambria Math"/>
            </w:rPr>
            <m:t>-</m:t>
          </m:r>
          <m:sSup>
            <m:sSupPr>
              <m:ctrlPr>
                <w:rPr>
                  <w:rFonts w:ascii="Cambria Math" w:eastAsia="Calibri" w:hAnsi="Cambria Math"/>
                  <w:i/>
                  <w:sz w:val="22"/>
                  <w:szCs w:val="22"/>
                </w:rPr>
              </m:ctrlPr>
            </m:sSupPr>
            <m:e>
              <m:r>
                <w:rPr>
                  <w:rFonts w:ascii="Cambria Math" w:hAnsi="Cambria Math"/>
                </w:rPr>
                <m:t>k</m:t>
              </m:r>
            </m:e>
            <m:sup>
              <m:r>
                <w:rPr>
                  <w:rFonts w:ascii="Cambria Math" w:hAnsi="Cambria Math"/>
                </w:rPr>
                <m:t>'</m:t>
              </m:r>
            </m:sup>
          </m:sSup>
          <m:r>
            <w:rPr>
              <w:rFonts w:ascii="Cambria Math" w:hAnsi="Cambria Math"/>
            </w:rPr>
            <m:t>∙</m:t>
          </m:r>
          <m:acc>
            <m:accPr>
              <m:chr m:val="̅"/>
              <m:ctrlPr>
                <w:rPr>
                  <w:rFonts w:ascii="Cambria Math" w:eastAsia="Calibri" w:hAnsi="Cambria Math"/>
                  <w:i/>
                  <w:sz w:val="22"/>
                  <w:szCs w:val="22"/>
                </w:rPr>
              </m:ctrlPr>
            </m:accPr>
            <m:e>
              <m:r>
                <w:rPr>
                  <w:rFonts w:ascii="Cambria Math" w:hAnsi="Cambria Math"/>
                </w:rPr>
                <m:t>R</m:t>
              </m:r>
            </m:e>
          </m:acc>
          <m:r>
            <w:rPr>
              <w:rFonts w:ascii="Cambria Math" w:hAnsi="Cambria Math"/>
            </w:rPr>
            <m:t xml:space="preserve">≥ </m:t>
          </m:r>
          <m:sSub>
            <m:sSubPr>
              <m:ctrlPr>
                <w:rPr>
                  <w:rFonts w:ascii="Cambria Math" w:eastAsia="Calibri" w:hAnsi="Cambria Math"/>
                  <w:i/>
                  <w:sz w:val="22"/>
                  <w:szCs w:val="22"/>
                </w:rPr>
              </m:ctrlPr>
            </m:sSubPr>
            <m:e>
              <m:r>
                <w:rPr>
                  <w:rFonts w:ascii="Cambria Math" w:hAnsi="Cambria Math"/>
                </w:rPr>
                <m:t>T</m:t>
              </m:r>
            </m:e>
            <m:sub>
              <m:r>
                <w:rPr>
                  <w:rFonts w:ascii="Cambria Math" w:hAnsi="Cambria Math"/>
                </w:rPr>
                <m:t>i</m:t>
              </m:r>
            </m:sub>
          </m:sSub>
          <m:r>
            <m:rPr>
              <m:sty m:val="p"/>
            </m:rPr>
            <w:br/>
          </m:r>
        </m:oMath>
      </m:oMathPara>
      <m:oMath>
        <m:acc>
          <m:accPr>
            <m:chr m:val="̅"/>
            <m:ctrlPr>
              <w:rPr>
                <w:rFonts w:ascii="Cambria Math" w:hAnsi="Cambria Math"/>
                <w:i/>
                <w:sz w:val="22"/>
                <w:szCs w:val="22"/>
              </w:rPr>
            </m:ctrlPr>
          </m:accPr>
          <m:e>
            <m:r>
              <w:rPr>
                <w:rFonts w:ascii="Cambria Math" w:hAnsi="Cambria Math"/>
              </w:rPr>
              <m:t>R</m:t>
            </m:r>
          </m:e>
        </m:acc>
        <m:r>
          <w:rPr>
            <w:rFonts w:ascii="Cambria Math" w:hAnsi="Cambria Math"/>
          </w:rPr>
          <m:t xml:space="preserve">≤ </m:t>
        </m:r>
        <m:sSup>
          <m:sSupPr>
            <m:ctrlPr>
              <w:rPr>
                <w:rFonts w:ascii="Cambria Math" w:hAnsi="Cambria Math"/>
                <w:i/>
                <w:sz w:val="22"/>
                <w:szCs w:val="22"/>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i/>
                <w:sz w:val="22"/>
                <w:szCs w:val="22"/>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i/>
                <w:sz w:val="22"/>
                <w:szCs w:val="22"/>
              </w:rPr>
            </m:ctrlPr>
          </m:sSubPr>
          <m:e>
            <m:r>
              <w:rPr>
                <w:rFonts w:ascii="Cambria Math" w:hAnsi="Cambria Math"/>
              </w:rPr>
              <m:t>T</m:t>
            </m:r>
          </m:e>
          <m:sub>
            <m:r>
              <w:rPr>
                <w:rFonts w:ascii="Cambria Math" w:hAnsi="Cambria Math"/>
              </w:rPr>
              <m:t>i</m:t>
            </m:r>
          </m:sub>
        </m:sSub>
        <m:r>
          <w:rPr>
            <w:rFonts w:ascii="Cambria Math" w:hAnsi="Cambria Math"/>
          </w:rPr>
          <m:t>)</m:t>
        </m:r>
      </m:oMath>
      <w:r w:rsidRPr="008978CA">
        <w:t xml:space="preserve">  </w:t>
      </w:r>
      <w:r w:rsidRPr="008978CA">
        <w:rPr>
          <w:noProof/>
        </w:rPr>
        <w:t xml:space="preserve">, </w:t>
      </w:r>
      <w:r w:rsidRPr="008978CA">
        <w:t xml:space="preserve">unde: k’ = 0,668 şi  F’ = 0,628. </w:t>
      </w:r>
    </w:p>
    <w:p w:rsidR="008440CB" w:rsidRPr="008978CA" w:rsidRDefault="008440CB" w:rsidP="008440CB">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contextualSpacing/>
        <w:jc w:val="both"/>
      </w:pPr>
    </w:p>
    <w:p w:rsidR="008440CB" w:rsidRPr="008978CA" w:rsidRDefault="008440CB" w:rsidP="008440CB">
      <w:pPr>
        <w:pStyle w:val="2"/>
        <w:rPr>
          <w:b/>
          <w:color w:val="000000"/>
        </w:rPr>
      </w:pPr>
    </w:p>
    <w:p w:rsidR="008440CB" w:rsidRPr="008978CA" w:rsidRDefault="008440CB" w:rsidP="008440CB">
      <w:pPr>
        <w:pStyle w:val="Default"/>
        <w:widowControl/>
        <w:numPr>
          <w:ilvl w:val="0"/>
          <w:numId w:val="2"/>
        </w:numPr>
        <w:adjustRightInd/>
        <w:jc w:val="both"/>
        <w:rPr>
          <w:rFonts w:ascii="Times New Roman" w:hAnsi="Times New Roman" w:cs="Times New Roman"/>
          <w:b/>
          <w:color w:val="auto"/>
        </w:rPr>
      </w:pPr>
      <w:r w:rsidRPr="008978CA">
        <w:rPr>
          <w:rFonts w:ascii="Times New Roman" w:hAnsi="Times New Roman" w:cs="Times New Roman"/>
          <w:b/>
          <w:color w:val="auto"/>
        </w:rPr>
        <w:t>ÎNREGISTRAREA REZULTATELOR MĂSURĂRILOR</w:t>
      </w:r>
    </w:p>
    <w:p w:rsidR="008440CB" w:rsidRPr="008978CA" w:rsidRDefault="008440CB" w:rsidP="008440CB">
      <w:pPr>
        <w:pStyle w:val="Default"/>
        <w:widowControl/>
        <w:adjustRightInd/>
        <w:ind w:left="1571"/>
        <w:jc w:val="both"/>
        <w:rPr>
          <w:rFonts w:ascii="Times New Roman" w:hAnsi="Times New Roman" w:cs="Times New Roman"/>
          <w:color w:val="auto"/>
        </w:rPr>
      </w:pPr>
    </w:p>
    <w:p w:rsidR="008440CB" w:rsidRPr="008978CA" w:rsidRDefault="008440CB" w:rsidP="008440CB">
      <w:pPr>
        <w:pStyle w:val="Default"/>
        <w:widowControl/>
        <w:adjustRightInd/>
        <w:jc w:val="both"/>
        <w:rPr>
          <w:rFonts w:ascii="Times New Roman" w:hAnsi="Times New Roman" w:cs="Times New Roman"/>
          <w:color w:val="auto"/>
          <w:lang w:val="ro-RO"/>
        </w:rPr>
      </w:pPr>
      <w:r w:rsidRPr="008978CA">
        <w:rPr>
          <w:rFonts w:ascii="Times New Roman" w:hAnsi="Times New Roman" w:cs="Times New Roman"/>
          <w:color w:val="auto"/>
        </w:rPr>
        <w:t xml:space="preserve">Rezultatele măsurărilor se înregistrează în fișe de verificare în conformitate cu  anexele din         </w:t>
      </w:r>
      <w:r w:rsidRPr="008978CA">
        <w:rPr>
          <w:rFonts w:ascii="Times New Roman" w:hAnsi="Times New Roman" w:cs="Times New Roman"/>
          <w:color w:val="FF0000"/>
          <w:lang w:val="ro-RO"/>
        </w:rPr>
        <w:t>PML X-XX:2016 Verificări prin măsurare și analiză statistică a loturilor de preambalate.</w:t>
      </w:r>
      <w:r w:rsidRPr="008978CA">
        <w:rPr>
          <w:rFonts w:ascii="Times New Roman" w:hAnsi="Times New Roman" w:cs="Times New Roman"/>
          <w:color w:val="auto"/>
          <w:lang w:val="ro-RO"/>
        </w:rPr>
        <w:t xml:space="preserve"> </w:t>
      </w:r>
    </w:p>
    <w:p w:rsidR="008440CB" w:rsidRPr="008978CA" w:rsidRDefault="008440CB" w:rsidP="008440CB">
      <w:pPr>
        <w:spacing w:after="240"/>
        <w:ind w:firstLine="720"/>
        <w:jc w:val="both"/>
        <w:rPr>
          <w:color w:val="C0504D"/>
        </w:rPr>
      </w:pPr>
    </w:p>
    <w:p w:rsidR="008440CB" w:rsidRPr="008978CA" w:rsidRDefault="008440CB" w:rsidP="008440CB">
      <w:pPr>
        <w:spacing w:after="240"/>
        <w:jc w:val="both"/>
      </w:pPr>
      <w:r w:rsidRPr="008978CA">
        <w:tab/>
      </w:r>
    </w:p>
    <w:p w:rsidR="008440CB" w:rsidRDefault="008440CB" w:rsidP="008440CB"/>
    <w:p w:rsidR="001A2C73" w:rsidRDefault="001A2C73"/>
    <w:sectPr w:rsidR="001A2C73" w:rsidSect="000C5753">
      <w:headerReference w:type="default" r:id="rId15"/>
      <w:footerReference w:type="even" r:id="rId16"/>
      <w:footerReference w:type="default" r:id="rId17"/>
      <w:headerReference w:type="first" r:id="rId18"/>
      <w:footerReference w:type="first" r:id="rId19"/>
      <w:pgSz w:w="11907" w:h="16840" w:code="9"/>
      <w:pgMar w:top="1418" w:right="850" w:bottom="1418"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BB" w:rsidRDefault="008440CB" w:rsidP="002B79B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DA13BB" w:rsidRDefault="008440CB" w:rsidP="00961BE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BB" w:rsidRDefault="008440CB" w:rsidP="002B79B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A13BB" w:rsidRPr="0058139B" w:rsidRDefault="008440CB" w:rsidP="00961BEE">
    <w:pPr>
      <w:pStyle w:val="a5"/>
      <w:ind w:right="360" w:firstLine="360"/>
      <w:jc w:val="right"/>
      <w:rPr>
        <w:szCs w:val="16"/>
        <w:lang w:val="en-US"/>
      </w:rPr>
    </w:pPr>
    <w:r w:rsidRPr="002016DB">
      <w:rPr>
        <w:szCs w:val="16"/>
        <w:lang w:val="en-US"/>
      </w:rPr>
      <w:tab/>
      <w:t>-  -</w:t>
    </w:r>
    <w:r>
      <w:rPr>
        <w:szCs w:val="16"/>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BB" w:rsidRDefault="008440CB" w:rsidP="002B79B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A13BB" w:rsidRDefault="008440CB" w:rsidP="00961BEE">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BB" w:rsidRPr="00C4066E" w:rsidRDefault="008440CB" w:rsidP="00C4066E">
    <w:pPr>
      <w:pStyle w:val="a3"/>
    </w:pPr>
    <w:r>
      <w:rPr>
        <w:b/>
        <w:sz w:val="26"/>
        <w:szCs w:val="26"/>
      </w:rPr>
      <w:t xml:space="preserve">                                                                                                               </w:t>
    </w:r>
    <w:r w:rsidRPr="0020658E">
      <w:rPr>
        <w:b/>
        <w:sz w:val="26"/>
        <w:szCs w:val="26"/>
      </w:rPr>
      <w:t>PML X-XX:201</w:t>
    </w:r>
    <w:r>
      <w:rPr>
        <w:b/>
        <w:sz w:val="26"/>
        <w:szCs w:val="26"/>
      </w:rPr>
      <w:t>6</w:t>
    </w:r>
    <w:r w:rsidRPr="00C52CF8">
      <w:rPr>
        <w:b/>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BB" w:rsidRDefault="008440CB" w:rsidP="00961BEE">
    <w:pPr>
      <w:pStyle w:val="a3"/>
      <w:jc w:val="right"/>
    </w:pPr>
    <w:r>
      <w:t>NM 7-XX</w:t>
    </w:r>
    <w:r w:rsidRPr="005E1A7F">
      <w:t>:</w:t>
    </w:r>
    <w:r>
      <w:t xml:space="preserve">2005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8A7"/>
    <w:multiLevelType w:val="hybridMultilevel"/>
    <w:tmpl w:val="54580DC0"/>
    <w:lvl w:ilvl="0" w:tplc="AA86887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34301C"/>
    <w:multiLevelType w:val="hybridMultilevel"/>
    <w:tmpl w:val="45902A14"/>
    <w:lvl w:ilvl="0" w:tplc="256C284E">
      <w:start w:val="1"/>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CB"/>
    <w:rsid w:val="000047B7"/>
    <w:rsid w:val="00055EF8"/>
    <w:rsid w:val="00076085"/>
    <w:rsid w:val="000F15A5"/>
    <w:rsid w:val="0014083B"/>
    <w:rsid w:val="00150C4D"/>
    <w:rsid w:val="00153141"/>
    <w:rsid w:val="00191327"/>
    <w:rsid w:val="001966D0"/>
    <w:rsid w:val="001A2C73"/>
    <w:rsid w:val="00297097"/>
    <w:rsid w:val="002A3156"/>
    <w:rsid w:val="002C709E"/>
    <w:rsid w:val="002D0BF6"/>
    <w:rsid w:val="002E7348"/>
    <w:rsid w:val="00360AB6"/>
    <w:rsid w:val="003E5B92"/>
    <w:rsid w:val="00471D8B"/>
    <w:rsid w:val="004A4EB8"/>
    <w:rsid w:val="004B79E3"/>
    <w:rsid w:val="004D030D"/>
    <w:rsid w:val="00514D9E"/>
    <w:rsid w:val="00520EE0"/>
    <w:rsid w:val="005F4A77"/>
    <w:rsid w:val="005F6677"/>
    <w:rsid w:val="00611D84"/>
    <w:rsid w:val="006279A2"/>
    <w:rsid w:val="00651348"/>
    <w:rsid w:val="0066379D"/>
    <w:rsid w:val="006918C7"/>
    <w:rsid w:val="00732C91"/>
    <w:rsid w:val="007573DD"/>
    <w:rsid w:val="0076169E"/>
    <w:rsid w:val="00764731"/>
    <w:rsid w:val="007C6CC7"/>
    <w:rsid w:val="008156B9"/>
    <w:rsid w:val="0081755C"/>
    <w:rsid w:val="00817581"/>
    <w:rsid w:val="0083526B"/>
    <w:rsid w:val="008440CB"/>
    <w:rsid w:val="0084694A"/>
    <w:rsid w:val="0085390C"/>
    <w:rsid w:val="008871C7"/>
    <w:rsid w:val="00946E2D"/>
    <w:rsid w:val="009C5C27"/>
    <w:rsid w:val="009F51A9"/>
    <w:rsid w:val="00A03838"/>
    <w:rsid w:val="00A17899"/>
    <w:rsid w:val="00A5027C"/>
    <w:rsid w:val="00A758C0"/>
    <w:rsid w:val="00AA012D"/>
    <w:rsid w:val="00AB7865"/>
    <w:rsid w:val="00B006E1"/>
    <w:rsid w:val="00B56819"/>
    <w:rsid w:val="00B65A4E"/>
    <w:rsid w:val="00B74A4A"/>
    <w:rsid w:val="00BA17CD"/>
    <w:rsid w:val="00BE527C"/>
    <w:rsid w:val="00C2485F"/>
    <w:rsid w:val="00C4427A"/>
    <w:rsid w:val="00C66C2E"/>
    <w:rsid w:val="00CD6D85"/>
    <w:rsid w:val="00CE353B"/>
    <w:rsid w:val="00D120D3"/>
    <w:rsid w:val="00D833B2"/>
    <w:rsid w:val="00DC584C"/>
    <w:rsid w:val="00E220AB"/>
    <w:rsid w:val="00E46201"/>
    <w:rsid w:val="00E546CF"/>
    <w:rsid w:val="00E70233"/>
    <w:rsid w:val="00E83914"/>
    <w:rsid w:val="00EB6C33"/>
    <w:rsid w:val="00EE6547"/>
    <w:rsid w:val="00F014D6"/>
    <w:rsid w:val="00F1208B"/>
    <w:rsid w:val="00F16D49"/>
    <w:rsid w:val="00F21C09"/>
    <w:rsid w:val="00F440B9"/>
    <w:rsid w:val="00F62D2A"/>
    <w:rsid w:val="00F814E1"/>
    <w:rsid w:val="00F821A6"/>
    <w:rsid w:val="00FA0879"/>
    <w:rsid w:val="00FC11C6"/>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CB"/>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40CB"/>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a3">
    <w:name w:val="header"/>
    <w:basedOn w:val="a"/>
    <w:link w:val="a4"/>
    <w:uiPriority w:val="99"/>
    <w:rsid w:val="008440CB"/>
    <w:pPr>
      <w:tabs>
        <w:tab w:val="center" w:pos="4703"/>
        <w:tab w:val="right" w:pos="9406"/>
      </w:tabs>
    </w:pPr>
  </w:style>
  <w:style w:type="character" w:customStyle="1" w:styleId="a4">
    <w:name w:val="Верхний колонтитул Знак"/>
    <w:basedOn w:val="a0"/>
    <w:link w:val="a3"/>
    <w:uiPriority w:val="99"/>
    <w:rsid w:val="008440CB"/>
    <w:rPr>
      <w:rFonts w:ascii="Times New Roman" w:eastAsia="Times New Roman" w:hAnsi="Times New Roman" w:cs="Times New Roman"/>
      <w:sz w:val="24"/>
      <w:szCs w:val="24"/>
      <w:lang w:val="ro-RO"/>
    </w:rPr>
  </w:style>
  <w:style w:type="paragraph" w:styleId="a5">
    <w:name w:val="footer"/>
    <w:basedOn w:val="a"/>
    <w:link w:val="a6"/>
    <w:uiPriority w:val="99"/>
    <w:rsid w:val="008440CB"/>
    <w:pPr>
      <w:tabs>
        <w:tab w:val="center" w:pos="4703"/>
        <w:tab w:val="right" w:pos="9406"/>
      </w:tabs>
    </w:pPr>
  </w:style>
  <w:style w:type="character" w:customStyle="1" w:styleId="a6">
    <w:name w:val="Нижний колонтитул Знак"/>
    <w:basedOn w:val="a0"/>
    <w:link w:val="a5"/>
    <w:uiPriority w:val="99"/>
    <w:rsid w:val="008440CB"/>
    <w:rPr>
      <w:rFonts w:ascii="Times New Roman" w:eastAsia="Times New Roman" w:hAnsi="Times New Roman" w:cs="Times New Roman"/>
      <w:sz w:val="24"/>
      <w:szCs w:val="24"/>
      <w:lang w:val="ro-RO"/>
    </w:rPr>
  </w:style>
  <w:style w:type="character" w:styleId="a7">
    <w:name w:val="page number"/>
    <w:basedOn w:val="a0"/>
    <w:rsid w:val="008440CB"/>
  </w:style>
  <w:style w:type="paragraph" w:customStyle="1" w:styleId="2">
    <w:name w:val="Абзац списка2"/>
    <w:basedOn w:val="a"/>
    <w:uiPriority w:val="34"/>
    <w:qFormat/>
    <w:rsid w:val="008440CB"/>
    <w:pPr>
      <w:ind w:left="708"/>
    </w:pPr>
  </w:style>
  <w:style w:type="paragraph" w:styleId="a8">
    <w:name w:val="Plain Text"/>
    <w:basedOn w:val="a"/>
    <w:link w:val="a9"/>
    <w:rsid w:val="008440CB"/>
    <w:rPr>
      <w:rFonts w:ascii="Courier New" w:hAnsi="Courier New"/>
      <w:sz w:val="20"/>
      <w:szCs w:val="20"/>
      <w:lang w:val="x-none" w:eastAsia="x-none"/>
    </w:rPr>
  </w:style>
  <w:style w:type="character" w:customStyle="1" w:styleId="a9">
    <w:name w:val="Текст Знак"/>
    <w:basedOn w:val="a0"/>
    <w:link w:val="a8"/>
    <w:rsid w:val="008440CB"/>
    <w:rPr>
      <w:rFonts w:ascii="Courier New" w:eastAsia="Times New Roman" w:hAnsi="Courier New" w:cs="Times New Roman"/>
      <w:sz w:val="20"/>
      <w:szCs w:val="20"/>
      <w:lang w:val="x-none" w:eastAsia="x-none"/>
    </w:rPr>
  </w:style>
  <w:style w:type="paragraph" w:customStyle="1" w:styleId="1">
    <w:name w:val="Абзац списка1"/>
    <w:basedOn w:val="a"/>
    <w:rsid w:val="008440CB"/>
    <w:pPr>
      <w:ind w:left="720"/>
    </w:pPr>
    <w:rPr>
      <w:rFonts w:eastAsia="Calibri"/>
      <w:lang w:val="ru-RU" w:eastAsia="ru-RU"/>
    </w:rPr>
  </w:style>
  <w:style w:type="paragraph" w:styleId="20">
    <w:name w:val="Body Text 2"/>
    <w:basedOn w:val="a"/>
    <w:link w:val="21"/>
    <w:rsid w:val="008440CB"/>
    <w:pPr>
      <w:spacing w:after="120" w:line="480" w:lineRule="auto"/>
    </w:pPr>
  </w:style>
  <w:style w:type="character" w:customStyle="1" w:styleId="21">
    <w:name w:val="Основной текст 2 Знак"/>
    <w:basedOn w:val="a0"/>
    <w:link w:val="20"/>
    <w:rsid w:val="008440CB"/>
    <w:rPr>
      <w:rFonts w:ascii="Times New Roman" w:eastAsia="Times New Roman" w:hAnsi="Times New Roman" w:cs="Times New Roman"/>
      <w:sz w:val="24"/>
      <w:szCs w:val="24"/>
      <w:lang w:val="ro-RO"/>
    </w:rPr>
  </w:style>
  <w:style w:type="paragraph" w:customStyle="1" w:styleId="tt">
    <w:name w:val="tt"/>
    <w:basedOn w:val="a"/>
    <w:rsid w:val="008440CB"/>
    <w:pPr>
      <w:jc w:val="center"/>
    </w:pPr>
    <w:rPr>
      <w:b/>
      <w:bCs/>
      <w:lang w:val="ru-RU" w:eastAsia="ru-RU"/>
    </w:rPr>
  </w:style>
  <w:style w:type="paragraph" w:customStyle="1" w:styleId="10">
    <w:name w:val="Без интервала1"/>
    <w:rsid w:val="008440CB"/>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8440CB"/>
    <w:rPr>
      <w:rFonts w:ascii="Tahoma" w:hAnsi="Tahoma" w:cs="Tahoma"/>
      <w:sz w:val="16"/>
      <w:szCs w:val="16"/>
    </w:rPr>
  </w:style>
  <w:style w:type="character" w:customStyle="1" w:styleId="ab">
    <w:name w:val="Текст выноски Знак"/>
    <w:basedOn w:val="a0"/>
    <w:link w:val="aa"/>
    <w:uiPriority w:val="99"/>
    <w:semiHidden/>
    <w:rsid w:val="008440CB"/>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CB"/>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40CB"/>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a3">
    <w:name w:val="header"/>
    <w:basedOn w:val="a"/>
    <w:link w:val="a4"/>
    <w:uiPriority w:val="99"/>
    <w:rsid w:val="008440CB"/>
    <w:pPr>
      <w:tabs>
        <w:tab w:val="center" w:pos="4703"/>
        <w:tab w:val="right" w:pos="9406"/>
      </w:tabs>
    </w:pPr>
  </w:style>
  <w:style w:type="character" w:customStyle="1" w:styleId="a4">
    <w:name w:val="Верхний колонтитул Знак"/>
    <w:basedOn w:val="a0"/>
    <w:link w:val="a3"/>
    <w:uiPriority w:val="99"/>
    <w:rsid w:val="008440CB"/>
    <w:rPr>
      <w:rFonts w:ascii="Times New Roman" w:eastAsia="Times New Roman" w:hAnsi="Times New Roman" w:cs="Times New Roman"/>
      <w:sz w:val="24"/>
      <w:szCs w:val="24"/>
      <w:lang w:val="ro-RO"/>
    </w:rPr>
  </w:style>
  <w:style w:type="paragraph" w:styleId="a5">
    <w:name w:val="footer"/>
    <w:basedOn w:val="a"/>
    <w:link w:val="a6"/>
    <w:uiPriority w:val="99"/>
    <w:rsid w:val="008440CB"/>
    <w:pPr>
      <w:tabs>
        <w:tab w:val="center" w:pos="4703"/>
        <w:tab w:val="right" w:pos="9406"/>
      </w:tabs>
    </w:pPr>
  </w:style>
  <w:style w:type="character" w:customStyle="1" w:styleId="a6">
    <w:name w:val="Нижний колонтитул Знак"/>
    <w:basedOn w:val="a0"/>
    <w:link w:val="a5"/>
    <w:uiPriority w:val="99"/>
    <w:rsid w:val="008440CB"/>
    <w:rPr>
      <w:rFonts w:ascii="Times New Roman" w:eastAsia="Times New Roman" w:hAnsi="Times New Roman" w:cs="Times New Roman"/>
      <w:sz w:val="24"/>
      <w:szCs w:val="24"/>
      <w:lang w:val="ro-RO"/>
    </w:rPr>
  </w:style>
  <w:style w:type="character" w:styleId="a7">
    <w:name w:val="page number"/>
    <w:basedOn w:val="a0"/>
    <w:rsid w:val="008440CB"/>
  </w:style>
  <w:style w:type="paragraph" w:customStyle="1" w:styleId="2">
    <w:name w:val="Абзац списка2"/>
    <w:basedOn w:val="a"/>
    <w:uiPriority w:val="34"/>
    <w:qFormat/>
    <w:rsid w:val="008440CB"/>
    <w:pPr>
      <w:ind w:left="708"/>
    </w:pPr>
  </w:style>
  <w:style w:type="paragraph" w:styleId="a8">
    <w:name w:val="Plain Text"/>
    <w:basedOn w:val="a"/>
    <w:link w:val="a9"/>
    <w:rsid w:val="008440CB"/>
    <w:rPr>
      <w:rFonts w:ascii="Courier New" w:hAnsi="Courier New"/>
      <w:sz w:val="20"/>
      <w:szCs w:val="20"/>
      <w:lang w:val="x-none" w:eastAsia="x-none"/>
    </w:rPr>
  </w:style>
  <w:style w:type="character" w:customStyle="1" w:styleId="a9">
    <w:name w:val="Текст Знак"/>
    <w:basedOn w:val="a0"/>
    <w:link w:val="a8"/>
    <w:rsid w:val="008440CB"/>
    <w:rPr>
      <w:rFonts w:ascii="Courier New" w:eastAsia="Times New Roman" w:hAnsi="Courier New" w:cs="Times New Roman"/>
      <w:sz w:val="20"/>
      <w:szCs w:val="20"/>
      <w:lang w:val="x-none" w:eastAsia="x-none"/>
    </w:rPr>
  </w:style>
  <w:style w:type="paragraph" w:customStyle="1" w:styleId="1">
    <w:name w:val="Абзац списка1"/>
    <w:basedOn w:val="a"/>
    <w:rsid w:val="008440CB"/>
    <w:pPr>
      <w:ind w:left="720"/>
    </w:pPr>
    <w:rPr>
      <w:rFonts w:eastAsia="Calibri"/>
      <w:lang w:val="ru-RU" w:eastAsia="ru-RU"/>
    </w:rPr>
  </w:style>
  <w:style w:type="paragraph" w:styleId="20">
    <w:name w:val="Body Text 2"/>
    <w:basedOn w:val="a"/>
    <w:link w:val="21"/>
    <w:rsid w:val="008440CB"/>
    <w:pPr>
      <w:spacing w:after="120" w:line="480" w:lineRule="auto"/>
    </w:pPr>
  </w:style>
  <w:style w:type="character" w:customStyle="1" w:styleId="21">
    <w:name w:val="Основной текст 2 Знак"/>
    <w:basedOn w:val="a0"/>
    <w:link w:val="20"/>
    <w:rsid w:val="008440CB"/>
    <w:rPr>
      <w:rFonts w:ascii="Times New Roman" w:eastAsia="Times New Roman" w:hAnsi="Times New Roman" w:cs="Times New Roman"/>
      <w:sz w:val="24"/>
      <w:szCs w:val="24"/>
      <w:lang w:val="ro-RO"/>
    </w:rPr>
  </w:style>
  <w:style w:type="paragraph" w:customStyle="1" w:styleId="tt">
    <w:name w:val="tt"/>
    <w:basedOn w:val="a"/>
    <w:rsid w:val="008440CB"/>
    <w:pPr>
      <w:jc w:val="center"/>
    </w:pPr>
    <w:rPr>
      <w:b/>
      <w:bCs/>
      <w:lang w:val="ru-RU" w:eastAsia="ru-RU"/>
    </w:rPr>
  </w:style>
  <w:style w:type="paragraph" w:customStyle="1" w:styleId="10">
    <w:name w:val="Без интервала1"/>
    <w:rsid w:val="008440CB"/>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8440CB"/>
    <w:rPr>
      <w:rFonts w:ascii="Tahoma" w:hAnsi="Tahoma" w:cs="Tahoma"/>
      <w:sz w:val="16"/>
      <w:szCs w:val="16"/>
    </w:rPr>
  </w:style>
  <w:style w:type="character" w:customStyle="1" w:styleId="ab">
    <w:name w:val="Текст выноски Знак"/>
    <w:basedOn w:val="a0"/>
    <w:link w:val="aa"/>
    <w:uiPriority w:val="99"/>
    <w:semiHidden/>
    <w:rsid w:val="008440CB"/>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1</cp:revision>
  <dcterms:created xsi:type="dcterms:W3CDTF">2016-10-28T08:51:00Z</dcterms:created>
  <dcterms:modified xsi:type="dcterms:W3CDTF">2016-10-28T08:52:00Z</dcterms:modified>
</cp:coreProperties>
</file>