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DE187" w14:textId="77777777" w:rsidR="006269F6" w:rsidRPr="00B0122C" w:rsidRDefault="006269F6" w:rsidP="00907D7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Cs/>
          <w:sz w:val="30"/>
          <w:szCs w:val="30"/>
          <w:lang w:val="ro-RO"/>
        </w:rPr>
      </w:pPr>
      <w:r w:rsidRPr="00B0122C">
        <w:rPr>
          <w:rFonts w:ascii="Times New Roman" w:hAnsi="Times New Roman" w:cs="Times New Roman"/>
          <w:b/>
          <w:sz w:val="30"/>
          <w:szCs w:val="30"/>
          <w:lang w:val="ro-RO"/>
        </w:rPr>
        <w:t>Notă informativă</w:t>
      </w:r>
    </w:p>
    <w:p w14:paraId="4111CD3D" w14:textId="36919F82" w:rsidR="006269F6" w:rsidRPr="00B0122C" w:rsidRDefault="006269F6" w:rsidP="00907D7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0"/>
          <w:szCs w:val="30"/>
          <w:lang w:val="ro-RO"/>
        </w:rPr>
      </w:pPr>
      <w:r w:rsidRPr="00B0122C">
        <w:rPr>
          <w:rFonts w:ascii="Times New Roman" w:hAnsi="Times New Roman" w:cs="Times New Roman"/>
          <w:b/>
          <w:bCs/>
          <w:sz w:val="30"/>
          <w:szCs w:val="30"/>
          <w:lang w:val="ro-RO"/>
        </w:rPr>
        <w:t xml:space="preserve">la proiectul </w:t>
      </w:r>
      <w:r w:rsidR="009F0C8B" w:rsidRPr="00B0122C">
        <w:rPr>
          <w:rFonts w:ascii="Times New Roman" w:hAnsi="Times New Roman" w:cs="Times New Roman"/>
          <w:b/>
          <w:bCs/>
          <w:sz w:val="30"/>
          <w:szCs w:val="30"/>
          <w:lang w:val="ro-RO"/>
        </w:rPr>
        <w:t>de l</w:t>
      </w:r>
      <w:r w:rsidRPr="00B0122C">
        <w:rPr>
          <w:rFonts w:ascii="Times New Roman" w:hAnsi="Times New Roman" w:cs="Times New Roman"/>
          <w:b/>
          <w:bCs/>
          <w:sz w:val="30"/>
          <w:szCs w:val="30"/>
          <w:lang w:val="ro-RO"/>
        </w:rPr>
        <w:t>eg</w:t>
      </w:r>
      <w:r w:rsidR="009F0C8B" w:rsidRPr="00B0122C">
        <w:rPr>
          <w:rFonts w:ascii="Times New Roman" w:hAnsi="Times New Roman" w:cs="Times New Roman"/>
          <w:b/>
          <w:bCs/>
          <w:sz w:val="30"/>
          <w:szCs w:val="30"/>
          <w:lang w:val="ro-RO"/>
        </w:rPr>
        <w:t>e</w:t>
      </w:r>
      <w:r w:rsidRPr="00B0122C">
        <w:rPr>
          <w:rFonts w:ascii="Times New Roman" w:hAnsi="Times New Roman" w:cs="Times New Roman"/>
          <w:b/>
          <w:bCs/>
          <w:sz w:val="30"/>
          <w:szCs w:val="30"/>
          <w:lang w:val="ro-RO"/>
        </w:rPr>
        <w:t xml:space="preserve"> pentru modificarea </w:t>
      </w:r>
      <w:r w:rsidR="009F0C8B" w:rsidRPr="00B0122C">
        <w:rPr>
          <w:rFonts w:ascii="Times New Roman" w:hAnsi="Times New Roman" w:cs="Times New Roman"/>
          <w:b/>
          <w:bCs/>
          <w:sz w:val="30"/>
          <w:szCs w:val="30"/>
          <w:lang w:val="ro-RO"/>
        </w:rPr>
        <w:t xml:space="preserve">şi completarea unor </w:t>
      </w:r>
      <w:r w:rsidRPr="00B0122C">
        <w:rPr>
          <w:rFonts w:ascii="Times New Roman" w:hAnsi="Times New Roman" w:cs="Times New Roman"/>
          <w:b/>
          <w:bCs/>
          <w:sz w:val="30"/>
          <w:szCs w:val="30"/>
          <w:lang w:val="ro-RO"/>
        </w:rPr>
        <w:t>acte legislative</w:t>
      </w:r>
    </w:p>
    <w:p w14:paraId="67E26BE5" w14:textId="77777777" w:rsidR="009712E8" w:rsidRDefault="009712E8" w:rsidP="0089249A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30"/>
          <w:szCs w:val="30"/>
          <w:lang w:val="ro-RO"/>
        </w:rPr>
      </w:pPr>
    </w:p>
    <w:p w14:paraId="4B591CF8" w14:textId="77777777" w:rsidR="00B0122C" w:rsidRPr="00B0122C" w:rsidRDefault="00B0122C" w:rsidP="0089249A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30"/>
          <w:szCs w:val="30"/>
          <w:lang w:val="ro-RO"/>
        </w:rPr>
      </w:pPr>
    </w:p>
    <w:p w14:paraId="47A20130" w14:textId="4C68BF86" w:rsidR="00066BC2" w:rsidRPr="00B0122C" w:rsidRDefault="00300003" w:rsidP="0089249A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30"/>
          <w:szCs w:val="30"/>
          <w:lang w:val="ro-RO"/>
        </w:rPr>
      </w:pPr>
      <w:r w:rsidRPr="00B0122C">
        <w:rPr>
          <w:rFonts w:ascii="Times New Roman" w:hAnsi="Times New Roman" w:cs="Times New Roman"/>
          <w:iCs/>
          <w:sz w:val="30"/>
          <w:szCs w:val="30"/>
          <w:lang w:val="ro-RO"/>
        </w:rPr>
        <w:t xml:space="preserve">Proiectul </w:t>
      </w:r>
      <w:r w:rsidR="00A2310D" w:rsidRPr="00B0122C">
        <w:rPr>
          <w:rFonts w:ascii="Times New Roman" w:hAnsi="Times New Roman" w:cs="Times New Roman"/>
          <w:iCs/>
          <w:sz w:val="30"/>
          <w:szCs w:val="30"/>
          <w:lang w:val="ro-RO"/>
        </w:rPr>
        <w:t xml:space="preserve">de </w:t>
      </w:r>
      <w:r w:rsidRPr="00B0122C">
        <w:rPr>
          <w:rFonts w:ascii="Times New Roman" w:hAnsi="Times New Roman" w:cs="Times New Roman"/>
          <w:iCs/>
          <w:sz w:val="30"/>
          <w:szCs w:val="30"/>
          <w:lang w:val="ro-RO"/>
        </w:rPr>
        <w:t>leg</w:t>
      </w:r>
      <w:r w:rsidR="00A2310D" w:rsidRPr="00B0122C">
        <w:rPr>
          <w:rFonts w:ascii="Times New Roman" w:hAnsi="Times New Roman" w:cs="Times New Roman"/>
          <w:iCs/>
          <w:sz w:val="30"/>
          <w:szCs w:val="30"/>
          <w:lang w:val="ro-RO"/>
        </w:rPr>
        <w:t xml:space="preserve">e </w:t>
      </w:r>
      <w:r w:rsidRPr="00B0122C">
        <w:rPr>
          <w:rFonts w:ascii="Times New Roman" w:hAnsi="Times New Roman" w:cs="Times New Roman"/>
          <w:iCs/>
          <w:sz w:val="30"/>
          <w:szCs w:val="30"/>
          <w:lang w:val="ro-RO"/>
        </w:rPr>
        <w:t xml:space="preserve">pentru modificarea și completarea unor acte legislative are ca scop înlăturarea </w:t>
      </w:r>
      <w:r w:rsidR="00066BC2" w:rsidRPr="00B0122C">
        <w:rPr>
          <w:rFonts w:ascii="Times New Roman" w:hAnsi="Times New Roman" w:cs="Times New Roman"/>
          <w:iCs/>
          <w:sz w:val="30"/>
          <w:szCs w:val="30"/>
          <w:lang w:val="ro-RO"/>
        </w:rPr>
        <w:t>d</w:t>
      </w:r>
      <w:r w:rsidRPr="00B0122C">
        <w:rPr>
          <w:rFonts w:ascii="Times New Roman" w:hAnsi="Times New Roman" w:cs="Times New Roman"/>
          <w:iCs/>
          <w:sz w:val="30"/>
          <w:szCs w:val="30"/>
          <w:lang w:val="ro-RO"/>
        </w:rPr>
        <w:t>eficiențelor</w:t>
      </w:r>
      <w:r w:rsidR="00066BC2" w:rsidRPr="00B0122C">
        <w:rPr>
          <w:rFonts w:ascii="Times New Roman" w:hAnsi="Times New Roman" w:cs="Times New Roman"/>
          <w:iCs/>
          <w:sz w:val="30"/>
          <w:szCs w:val="30"/>
          <w:lang w:val="ro-RO"/>
        </w:rPr>
        <w:t xml:space="preserve"> ce țin de lichidarea întreprinderilor</w:t>
      </w:r>
      <w:r w:rsidRPr="00B0122C">
        <w:rPr>
          <w:rFonts w:ascii="Times New Roman" w:hAnsi="Times New Roman" w:cs="Times New Roman"/>
          <w:iCs/>
          <w:sz w:val="30"/>
          <w:szCs w:val="30"/>
          <w:lang w:val="ro-RO"/>
        </w:rPr>
        <w:t xml:space="preserve">, care, conform </w:t>
      </w:r>
      <w:r w:rsidRPr="00B0122C">
        <w:rPr>
          <w:rFonts w:ascii="Times New Roman" w:hAnsi="Times New Roman" w:cs="Times New Roman"/>
          <w:i/>
          <w:iCs/>
          <w:sz w:val="30"/>
          <w:szCs w:val="30"/>
          <w:lang w:val="ro-RO"/>
        </w:rPr>
        <w:t>Strategiei na</w:t>
      </w:r>
      <w:r w:rsidR="00907D74" w:rsidRPr="00B0122C">
        <w:rPr>
          <w:rFonts w:ascii="Times New Roman" w:hAnsi="Times New Roman" w:cs="Times New Roman"/>
          <w:i/>
          <w:iCs/>
          <w:sz w:val="30"/>
          <w:szCs w:val="30"/>
          <w:lang w:val="ro-RO"/>
        </w:rPr>
        <w:t>ț</w:t>
      </w:r>
      <w:r w:rsidRPr="00B0122C">
        <w:rPr>
          <w:rFonts w:ascii="Times New Roman" w:hAnsi="Times New Roman" w:cs="Times New Roman"/>
          <w:i/>
          <w:iCs/>
          <w:sz w:val="30"/>
          <w:szCs w:val="30"/>
          <w:lang w:val="ro-RO"/>
        </w:rPr>
        <w:t>ionale de dezvoltare: 8 solu</w:t>
      </w:r>
      <w:r w:rsidR="00907D74" w:rsidRPr="00B0122C">
        <w:rPr>
          <w:rFonts w:ascii="Times New Roman" w:hAnsi="Times New Roman" w:cs="Times New Roman"/>
          <w:i/>
          <w:iCs/>
          <w:sz w:val="30"/>
          <w:szCs w:val="30"/>
          <w:lang w:val="ro-RO"/>
        </w:rPr>
        <w:t>ț</w:t>
      </w:r>
      <w:r w:rsidRPr="00B0122C">
        <w:rPr>
          <w:rFonts w:ascii="Times New Roman" w:hAnsi="Times New Roman" w:cs="Times New Roman"/>
          <w:i/>
          <w:iCs/>
          <w:sz w:val="30"/>
          <w:szCs w:val="30"/>
          <w:lang w:val="ro-RO"/>
        </w:rPr>
        <w:t>ii pentru creşterea economică şi reducerea sărăciei</w:t>
      </w:r>
      <w:r w:rsidRPr="00B0122C">
        <w:rPr>
          <w:rFonts w:ascii="Times New Roman" w:hAnsi="Times New Roman" w:cs="Times New Roman"/>
          <w:iCs/>
          <w:sz w:val="30"/>
          <w:szCs w:val="30"/>
          <w:lang w:val="ro-RO"/>
        </w:rPr>
        <w:t xml:space="preserve"> </w:t>
      </w:r>
      <w:r w:rsidR="006D70B2" w:rsidRPr="00B0122C">
        <w:rPr>
          <w:rFonts w:ascii="Times New Roman" w:hAnsi="Times New Roman" w:cs="Times New Roman"/>
          <w:iCs/>
          <w:sz w:val="30"/>
          <w:szCs w:val="30"/>
          <w:lang w:val="ro-RO"/>
        </w:rPr>
        <w:t>aprobată prin L</w:t>
      </w:r>
      <w:r w:rsidRPr="00B0122C">
        <w:rPr>
          <w:rFonts w:ascii="Times New Roman" w:hAnsi="Times New Roman" w:cs="Times New Roman"/>
          <w:iCs/>
          <w:sz w:val="30"/>
          <w:szCs w:val="30"/>
          <w:lang w:val="ro-RO"/>
        </w:rPr>
        <w:t xml:space="preserve">egea nr.166 din 11.07.2012, </w:t>
      </w:r>
      <w:proofErr w:type="spellStart"/>
      <w:r w:rsidR="00066BC2" w:rsidRPr="00B0122C">
        <w:rPr>
          <w:rFonts w:ascii="Times New Roman" w:hAnsi="Times New Roman" w:cs="Times New Roman"/>
          <w:iCs/>
          <w:sz w:val="30"/>
          <w:szCs w:val="30"/>
          <w:lang w:val="ro-RO"/>
        </w:rPr>
        <w:t>sînt</w:t>
      </w:r>
      <w:proofErr w:type="spellEnd"/>
      <w:r w:rsidR="00066BC2" w:rsidRPr="00B0122C">
        <w:rPr>
          <w:rFonts w:ascii="Times New Roman" w:hAnsi="Times New Roman" w:cs="Times New Roman"/>
          <w:iCs/>
          <w:sz w:val="30"/>
          <w:szCs w:val="30"/>
          <w:lang w:val="ro-RO"/>
        </w:rPr>
        <w:t xml:space="preserve"> considerate un impediment în dezvoltarea afacerilor în Republica Moldova.</w:t>
      </w:r>
    </w:p>
    <w:p w14:paraId="35B44A2A" w14:textId="1A25F965" w:rsidR="00066BC2" w:rsidRPr="00B0122C" w:rsidRDefault="00066BC2" w:rsidP="0089249A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30"/>
          <w:szCs w:val="30"/>
          <w:lang w:val="ro-RO"/>
        </w:rPr>
      </w:pPr>
      <w:r w:rsidRPr="00B0122C">
        <w:rPr>
          <w:rFonts w:ascii="Times New Roman" w:hAnsi="Times New Roman" w:cs="Times New Roman"/>
          <w:iCs/>
          <w:sz w:val="30"/>
          <w:szCs w:val="30"/>
          <w:lang w:val="ro-RO"/>
        </w:rPr>
        <w:t xml:space="preserve">Proiectul </w:t>
      </w:r>
      <w:r w:rsidR="00D83603" w:rsidRPr="00B0122C">
        <w:rPr>
          <w:rFonts w:ascii="Times New Roman" w:hAnsi="Times New Roman" w:cs="Times New Roman"/>
          <w:iCs/>
          <w:sz w:val="30"/>
          <w:szCs w:val="30"/>
          <w:lang w:val="ro-RO"/>
        </w:rPr>
        <w:t xml:space="preserve">de </w:t>
      </w:r>
      <w:r w:rsidRPr="00B0122C">
        <w:rPr>
          <w:rFonts w:ascii="Times New Roman" w:hAnsi="Times New Roman" w:cs="Times New Roman"/>
          <w:iCs/>
          <w:sz w:val="30"/>
          <w:szCs w:val="30"/>
          <w:lang w:val="ro-RO"/>
        </w:rPr>
        <w:t>leg</w:t>
      </w:r>
      <w:r w:rsidR="00D83603" w:rsidRPr="00B0122C">
        <w:rPr>
          <w:rFonts w:ascii="Times New Roman" w:hAnsi="Times New Roman" w:cs="Times New Roman"/>
          <w:iCs/>
          <w:sz w:val="30"/>
          <w:szCs w:val="30"/>
          <w:lang w:val="ro-RO"/>
        </w:rPr>
        <w:t>e</w:t>
      </w:r>
      <w:r w:rsidRPr="00B0122C">
        <w:rPr>
          <w:rFonts w:ascii="Times New Roman" w:hAnsi="Times New Roman" w:cs="Times New Roman"/>
          <w:iCs/>
          <w:sz w:val="30"/>
          <w:szCs w:val="30"/>
          <w:lang w:val="ro-RO"/>
        </w:rPr>
        <w:t xml:space="preserve"> constituie o măsură de executare a pct.2.1. din Foaia de parcurs pentru ameliorarea competitivită</w:t>
      </w:r>
      <w:r w:rsidR="00907D74" w:rsidRPr="00B0122C">
        <w:rPr>
          <w:rFonts w:ascii="Times New Roman" w:hAnsi="Times New Roman" w:cs="Times New Roman"/>
          <w:iCs/>
          <w:sz w:val="30"/>
          <w:szCs w:val="30"/>
          <w:lang w:val="ro-RO"/>
        </w:rPr>
        <w:t>ț</w:t>
      </w:r>
      <w:r w:rsidRPr="00B0122C">
        <w:rPr>
          <w:rFonts w:ascii="Times New Roman" w:hAnsi="Times New Roman" w:cs="Times New Roman"/>
          <w:iCs/>
          <w:sz w:val="30"/>
          <w:szCs w:val="30"/>
          <w:lang w:val="ro-RO"/>
        </w:rPr>
        <w:t>ii Republicii Moldova</w:t>
      </w:r>
      <w:r w:rsidR="00D83603" w:rsidRPr="00B0122C">
        <w:rPr>
          <w:rFonts w:ascii="Times New Roman" w:hAnsi="Times New Roman" w:cs="Times New Roman"/>
          <w:iCs/>
          <w:sz w:val="30"/>
          <w:szCs w:val="30"/>
          <w:lang w:val="ro-RO"/>
        </w:rPr>
        <w:t xml:space="preserve"> aprobată prin </w:t>
      </w:r>
      <w:proofErr w:type="spellStart"/>
      <w:r w:rsidRPr="00B0122C">
        <w:rPr>
          <w:rFonts w:ascii="Times New Roman" w:hAnsi="Times New Roman" w:cs="Times New Roman"/>
          <w:iCs/>
          <w:sz w:val="30"/>
          <w:szCs w:val="30"/>
          <w:lang w:val="ro-RO"/>
        </w:rPr>
        <w:t>Hotărîrea</w:t>
      </w:r>
      <w:proofErr w:type="spellEnd"/>
      <w:r w:rsidRPr="00B0122C">
        <w:rPr>
          <w:rFonts w:ascii="Times New Roman" w:hAnsi="Times New Roman" w:cs="Times New Roman"/>
          <w:iCs/>
          <w:sz w:val="30"/>
          <w:szCs w:val="30"/>
          <w:lang w:val="ro-RO"/>
        </w:rPr>
        <w:t xml:space="preserve"> Guvernului nr.4 din 14 ianuarie 2014, </w:t>
      </w:r>
      <w:r w:rsidR="00ED335E" w:rsidRPr="00B0122C">
        <w:rPr>
          <w:rFonts w:ascii="Times New Roman" w:hAnsi="Times New Roman" w:cs="Times New Roman"/>
          <w:iCs/>
          <w:sz w:val="30"/>
          <w:szCs w:val="30"/>
          <w:lang w:val="ro-RO"/>
        </w:rPr>
        <w:t xml:space="preserve">care prevede </w:t>
      </w:r>
      <w:r w:rsidR="00E92314" w:rsidRPr="00B0122C">
        <w:rPr>
          <w:rFonts w:ascii="Times New Roman" w:hAnsi="Times New Roman" w:cs="Times New Roman"/>
          <w:iCs/>
          <w:sz w:val="30"/>
          <w:szCs w:val="30"/>
          <w:lang w:val="ro-RO"/>
        </w:rPr>
        <w:t>„</w:t>
      </w:r>
      <w:r w:rsidRPr="00B0122C">
        <w:rPr>
          <w:rFonts w:ascii="Times New Roman" w:hAnsi="Times New Roman" w:cs="Times New Roman"/>
          <w:iCs/>
          <w:sz w:val="30"/>
          <w:szCs w:val="30"/>
          <w:lang w:val="ro-RO"/>
        </w:rPr>
        <w:t xml:space="preserve">optimizarea procedurilor şi a perioadei de timp necesare unui agent economic pentru </w:t>
      </w:r>
      <w:r w:rsidR="00ED335E" w:rsidRPr="00B0122C">
        <w:rPr>
          <w:rFonts w:ascii="Times New Roman" w:hAnsi="Times New Roman" w:cs="Times New Roman"/>
          <w:iCs/>
          <w:sz w:val="30"/>
          <w:szCs w:val="30"/>
          <w:lang w:val="ro-RO"/>
        </w:rPr>
        <w:t xml:space="preserve">lansarea, desfăşurarea şi </w:t>
      </w:r>
      <w:r w:rsidRPr="00B0122C">
        <w:rPr>
          <w:rFonts w:ascii="Times New Roman" w:hAnsi="Times New Roman" w:cs="Times New Roman"/>
          <w:iCs/>
          <w:sz w:val="30"/>
          <w:szCs w:val="30"/>
          <w:lang w:val="ro-RO"/>
        </w:rPr>
        <w:t xml:space="preserve">lichidarea afacerii </w:t>
      </w:r>
      <w:r w:rsidR="00ED335E" w:rsidRPr="00B0122C">
        <w:rPr>
          <w:rFonts w:ascii="Times New Roman" w:hAnsi="Times New Roman" w:cs="Times New Roman"/>
          <w:iCs/>
          <w:sz w:val="30"/>
          <w:szCs w:val="30"/>
          <w:lang w:val="ro-RO"/>
        </w:rPr>
        <w:t>prin aplicarea unor inovaţionale în reglem</w:t>
      </w:r>
      <w:r w:rsidR="00601A0D" w:rsidRPr="00B0122C">
        <w:rPr>
          <w:rFonts w:ascii="Times New Roman" w:hAnsi="Times New Roman" w:cs="Times New Roman"/>
          <w:iCs/>
          <w:sz w:val="30"/>
          <w:szCs w:val="30"/>
          <w:lang w:val="ro-RO"/>
        </w:rPr>
        <w:t>en</w:t>
      </w:r>
      <w:r w:rsidR="00ED335E" w:rsidRPr="00B0122C">
        <w:rPr>
          <w:rFonts w:ascii="Times New Roman" w:hAnsi="Times New Roman" w:cs="Times New Roman"/>
          <w:iCs/>
          <w:sz w:val="30"/>
          <w:szCs w:val="30"/>
          <w:lang w:val="ro-RO"/>
        </w:rPr>
        <w:t>t</w:t>
      </w:r>
      <w:r w:rsidR="00601A0D" w:rsidRPr="00B0122C">
        <w:rPr>
          <w:rFonts w:ascii="Times New Roman" w:hAnsi="Times New Roman" w:cs="Times New Roman"/>
          <w:iCs/>
          <w:sz w:val="30"/>
          <w:szCs w:val="30"/>
          <w:lang w:val="ro-RO"/>
        </w:rPr>
        <w:t>a</w:t>
      </w:r>
      <w:r w:rsidR="00ED335E" w:rsidRPr="00B0122C">
        <w:rPr>
          <w:rFonts w:ascii="Times New Roman" w:hAnsi="Times New Roman" w:cs="Times New Roman"/>
          <w:iCs/>
          <w:sz w:val="30"/>
          <w:szCs w:val="30"/>
          <w:lang w:val="ro-RO"/>
        </w:rPr>
        <w:t xml:space="preserve">rea afacerilor” a </w:t>
      </w:r>
      <w:r w:rsidRPr="00B0122C">
        <w:rPr>
          <w:rFonts w:ascii="Times New Roman" w:hAnsi="Times New Roman" w:cs="Times New Roman"/>
          <w:iCs/>
          <w:sz w:val="30"/>
          <w:szCs w:val="30"/>
          <w:lang w:val="ro-RO"/>
        </w:rPr>
        <w:t>obiectiv</w:t>
      </w:r>
      <w:r w:rsidR="00ED335E" w:rsidRPr="00B0122C">
        <w:rPr>
          <w:rFonts w:ascii="Times New Roman" w:hAnsi="Times New Roman" w:cs="Times New Roman"/>
          <w:iCs/>
          <w:sz w:val="30"/>
          <w:szCs w:val="30"/>
          <w:lang w:val="ro-RO"/>
        </w:rPr>
        <w:t>ului</w:t>
      </w:r>
      <w:r w:rsidRPr="00B0122C">
        <w:rPr>
          <w:rFonts w:ascii="Times New Roman" w:hAnsi="Times New Roman" w:cs="Times New Roman"/>
          <w:iCs/>
          <w:sz w:val="30"/>
          <w:szCs w:val="30"/>
          <w:lang w:val="ro-RO"/>
        </w:rPr>
        <w:t xml:space="preserve"> </w:t>
      </w:r>
      <w:r w:rsidR="00ED335E" w:rsidRPr="00B0122C">
        <w:rPr>
          <w:rFonts w:ascii="Times New Roman" w:hAnsi="Times New Roman" w:cs="Times New Roman"/>
          <w:iCs/>
          <w:sz w:val="30"/>
          <w:szCs w:val="30"/>
          <w:lang w:val="ro-RO"/>
        </w:rPr>
        <w:t>2 Î</w:t>
      </w:r>
      <w:r w:rsidRPr="00B0122C">
        <w:rPr>
          <w:rFonts w:ascii="Times New Roman" w:hAnsi="Times New Roman" w:cs="Times New Roman"/>
          <w:iCs/>
          <w:sz w:val="30"/>
          <w:szCs w:val="30"/>
          <w:lang w:val="ro-RO"/>
        </w:rPr>
        <w:t>mbunătă</w:t>
      </w:r>
      <w:r w:rsidR="00907D74" w:rsidRPr="00B0122C">
        <w:rPr>
          <w:rFonts w:ascii="Times New Roman" w:hAnsi="Times New Roman" w:cs="Times New Roman"/>
          <w:iCs/>
          <w:sz w:val="30"/>
          <w:szCs w:val="30"/>
          <w:lang w:val="ro-RO"/>
        </w:rPr>
        <w:t>ț</w:t>
      </w:r>
      <w:r w:rsidRPr="00B0122C">
        <w:rPr>
          <w:rFonts w:ascii="Times New Roman" w:hAnsi="Times New Roman" w:cs="Times New Roman"/>
          <w:iCs/>
          <w:sz w:val="30"/>
          <w:szCs w:val="30"/>
          <w:lang w:val="ro-RO"/>
        </w:rPr>
        <w:t>irea şi simplificarea sistemelor fiscale na</w:t>
      </w:r>
      <w:r w:rsidR="00907D74" w:rsidRPr="00B0122C">
        <w:rPr>
          <w:rFonts w:ascii="Times New Roman" w:hAnsi="Times New Roman" w:cs="Times New Roman"/>
          <w:iCs/>
          <w:sz w:val="30"/>
          <w:szCs w:val="30"/>
          <w:lang w:val="ro-RO"/>
        </w:rPr>
        <w:t>ț</w:t>
      </w:r>
      <w:r w:rsidRPr="00B0122C">
        <w:rPr>
          <w:rFonts w:ascii="Times New Roman" w:hAnsi="Times New Roman" w:cs="Times New Roman"/>
          <w:iCs/>
          <w:sz w:val="30"/>
          <w:szCs w:val="30"/>
          <w:lang w:val="ro-RO"/>
        </w:rPr>
        <w:t>ionale</w:t>
      </w:r>
      <w:r w:rsidR="00ED335E" w:rsidRPr="00B0122C">
        <w:rPr>
          <w:rFonts w:ascii="Times New Roman" w:hAnsi="Times New Roman" w:cs="Times New Roman"/>
          <w:iCs/>
          <w:sz w:val="30"/>
          <w:szCs w:val="30"/>
          <w:lang w:val="ro-RO"/>
        </w:rPr>
        <w:t xml:space="preserve"> stabilit la</w:t>
      </w:r>
      <w:r w:rsidR="004362CE" w:rsidRPr="00B0122C">
        <w:rPr>
          <w:rFonts w:ascii="Times New Roman" w:hAnsi="Times New Roman" w:cs="Times New Roman"/>
          <w:iCs/>
          <w:sz w:val="30"/>
          <w:szCs w:val="30"/>
          <w:lang w:val="ro-RO"/>
        </w:rPr>
        <w:t xml:space="preserve"> Componenta VIII</w:t>
      </w:r>
      <w:r w:rsidRPr="00B0122C">
        <w:rPr>
          <w:rFonts w:ascii="Times New Roman" w:hAnsi="Times New Roman" w:cs="Times New Roman"/>
          <w:iCs/>
          <w:sz w:val="30"/>
          <w:szCs w:val="30"/>
          <w:lang w:val="ro-RO"/>
        </w:rPr>
        <w:t>.</w:t>
      </w:r>
      <w:r w:rsidR="004362CE" w:rsidRPr="00B0122C">
        <w:rPr>
          <w:rFonts w:ascii="Times New Roman" w:hAnsi="Times New Roman" w:cs="Times New Roman"/>
          <w:iCs/>
          <w:sz w:val="30"/>
          <w:szCs w:val="30"/>
          <w:lang w:val="ro-RO"/>
        </w:rPr>
        <w:t xml:space="preserve"> „Impozitarea şi administrarea fiscală”</w:t>
      </w:r>
    </w:p>
    <w:p w14:paraId="4DE013E2" w14:textId="42B69AC3" w:rsidR="00B26EC3" w:rsidRPr="00B0122C" w:rsidRDefault="00B26EC3" w:rsidP="0089249A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30"/>
          <w:szCs w:val="30"/>
          <w:lang w:val="ro-RO"/>
        </w:rPr>
      </w:pPr>
      <w:r w:rsidRPr="00B0122C">
        <w:rPr>
          <w:rFonts w:ascii="Times New Roman" w:hAnsi="Times New Roman" w:cs="Times New Roman"/>
          <w:iCs/>
          <w:sz w:val="30"/>
          <w:szCs w:val="30"/>
          <w:lang w:val="ro-RO"/>
        </w:rPr>
        <w:t>Prin Legea nr.90 din 29.05.2014</w:t>
      </w:r>
      <w:r w:rsidR="00204C9A" w:rsidRPr="00B0122C">
        <w:rPr>
          <w:rFonts w:ascii="Times New Roman" w:hAnsi="Times New Roman" w:cs="Times New Roman"/>
          <w:iCs/>
          <w:sz w:val="30"/>
          <w:szCs w:val="30"/>
          <w:lang w:val="ro-RO"/>
        </w:rPr>
        <w:t xml:space="preserve"> pentru modificarea şi completarea unor acte legislative </w:t>
      </w:r>
      <w:r w:rsidRPr="00B0122C">
        <w:rPr>
          <w:rFonts w:ascii="Times New Roman" w:hAnsi="Times New Roman" w:cs="Times New Roman"/>
          <w:iCs/>
          <w:sz w:val="30"/>
          <w:szCs w:val="30"/>
          <w:lang w:val="ro-RO"/>
        </w:rPr>
        <w:t xml:space="preserve">în legislație au fost introduse un șir de modificări care simplifică </w:t>
      </w:r>
      <w:r w:rsidR="00D42C36" w:rsidRPr="00B0122C">
        <w:rPr>
          <w:rFonts w:ascii="Times New Roman" w:hAnsi="Times New Roman" w:cs="Times New Roman"/>
          <w:iCs/>
          <w:sz w:val="30"/>
          <w:szCs w:val="30"/>
          <w:lang w:val="ro-RO"/>
        </w:rPr>
        <w:t>procesul</w:t>
      </w:r>
      <w:r w:rsidRPr="00B0122C">
        <w:rPr>
          <w:rFonts w:ascii="Times New Roman" w:hAnsi="Times New Roman" w:cs="Times New Roman"/>
          <w:iCs/>
          <w:sz w:val="30"/>
          <w:szCs w:val="30"/>
          <w:lang w:val="ro-RO"/>
        </w:rPr>
        <w:t xml:space="preserve"> de lichidare a întreprinderilor. În pofida acestor</w:t>
      </w:r>
      <w:r w:rsidR="00FD2D51" w:rsidRPr="00B0122C">
        <w:rPr>
          <w:rFonts w:ascii="Times New Roman" w:hAnsi="Times New Roman" w:cs="Times New Roman"/>
          <w:iCs/>
          <w:sz w:val="30"/>
          <w:szCs w:val="30"/>
          <w:lang w:val="ro-RO"/>
        </w:rPr>
        <w:t xml:space="preserve"> modificări</w:t>
      </w:r>
      <w:r w:rsidRPr="00B0122C">
        <w:rPr>
          <w:rFonts w:ascii="Times New Roman" w:hAnsi="Times New Roman" w:cs="Times New Roman"/>
          <w:iCs/>
          <w:sz w:val="30"/>
          <w:szCs w:val="30"/>
          <w:lang w:val="ro-RO"/>
        </w:rPr>
        <w:t xml:space="preserve">, procesul de lichidare </w:t>
      </w:r>
      <w:proofErr w:type="spellStart"/>
      <w:r w:rsidRPr="00B0122C">
        <w:rPr>
          <w:rFonts w:ascii="Times New Roman" w:hAnsi="Times New Roman" w:cs="Times New Roman"/>
          <w:iCs/>
          <w:sz w:val="30"/>
          <w:szCs w:val="30"/>
          <w:lang w:val="ro-RO"/>
        </w:rPr>
        <w:t>rămîne</w:t>
      </w:r>
      <w:proofErr w:type="spellEnd"/>
      <w:r w:rsidRPr="00B0122C">
        <w:rPr>
          <w:rFonts w:ascii="Times New Roman" w:hAnsi="Times New Roman" w:cs="Times New Roman"/>
          <w:iCs/>
          <w:sz w:val="30"/>
          <w:szCs w:val="30"/>
          <w:lang w:val="ro-RO"/>
        </w:rPr>
        <w:t xml:space="preserve"> a fi </w:t>
      </w:r>
      <w:r w:rsidR="00194E67" w:rsidRPr="00B0122C">
        <w:rPr>
          <w:rFonts w:ascii="Times New Roman" w:hAnsi="Times New Roman" w:cs="Times New Roman"/>
          <w:iCs/>
          <w:sz w:val="30"/>
          <w:szCs w:val="30"/>
          <w:lang w:val="ro-RO"/>
        </w:rPr>
        <w:t xml:space="preserve">unul </w:t>
      </w:r>
      <w:r w:rsidR="00AA3298" w:rsidRPr="00B0122C">
        <w:rPr>
          <w:rFonts w:ascii="Times New Roman" w:hAnsi="Times New Roman" w:cs="Times New Roman"/>
          <w:iCs/>
          <w:sz w:val="30"/>
          <w:szCs w:val="30"/>
          <w:lang w:val="ro-RO"/>
        </w:rPr>
        <w:t>împovărăto</w:t>
      </w:r>
      <w:r w:rsidRPr="00B0122C">
        <w:rPr>
          <w:rFonts w:ascii="Times New Roman" w:hAnsi="Times New Roman" w:cs="Times New Roman"/>
          <w:iCs/>
          <w:sz w:val="30"/>
          <w:szCs w:val="30"/>
          <w:lang w:val="ro-RO"/>
        </w:rPr>
        <w:t xml:space="preserve">r, și </w:t>
      </w:r>
      <w:r w:rsidR="00DD4188" w:rsidRPr="00B0122C">
        <w:rPr>
          <w:rFonts w:ascii="Times New Roman" w:hAnsi="Times New Roman" w:cs="Times New Roman"/>
          <w:iCs/>
          <w:sz w:val="30"/>
          <w:szCs w:val="30"/>
          <w:lang w:val="ro-RO"/>
        </w:rPr>
        <w:t xml:space="preserve">acesta </w:t>
      </w:r>
      <w:r w:rsidRPr="00B0122C">
        <w:rPr>
          <w:rFonts w:ascii="Times New Roman" w:hAnsi="Times New Roman" w:cs="Times New Roman"/>
          <w:iCs/>
          <w:sz w:val="30"/>
          <w:szCs w:val="30"/>
          <w:lang w:val="ro-RO"/>
        </w:rPr>
        <w:t xml:space="preserve">implică </w:t>
      </w:r>
      <w:r w:rsidR="003E476E" w:rsidRPr="00B0122C">
        <w:rPr>
          <w:rFonts w:ascii="Times New Roman" w:hAnsi="Times New Roman" w:cs="Times New Roman"/>
          <w:iCs/>
          <w:sz w:val="30"/>
          <w:szCs w:val="30"/>
          <w:lang w:val="ro-RO"/>
        </w:rPr>
        <w:t>o perioadă extinsă de timp și costuri pentru întreprinzători.</w:t>
      </w:r>
    </w:p>
    <w:p w14:paraId="24743614" w14:textId="40EF63C7" w:rsidR="002366DC" w:rsidRPr="00B0122C" w:rsidRDefault="006269F6" w:rsidP="008924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o-RO"/>
        </w:rPr>
      </w:pPr>
      <w:r w:rsidRPr="00B0122C">
        <w:rPr>
          <w:rFonts w:ascii="Times New Roman" w:hAnsi="Times New Roman" w:cs="Times New Roman"/>
          <w:iCs/>
          <w:sz w:val="30"/>
          <w:szCs w:val="30"/>
          <w:lang w:val="ro-RO"/>
        </w:rPr>
        <w:t xml:space="preserve">Proiectul de lege este elaborat </w:t>
      </w:r>
      <w:r w:rsidRPr="00B0122C">
        <w:rPr>
          <w:rFonts w:ascii="Times New Roman" w:hAnsi="Times New Roman" w:cs="Times New Roman"/>
          <w:sz w:val="30"/>
          <w:szCs w:val="30"/>
          <w:lang w:val="ro-RO"/>
        </w:rPr>
        <w:t>în vederea stabilirii unor norme transparente</w:t>
      </w:r>
      <w:r w:rsidR="004A6A96" w:rsidRPr="00B0122C">
        <w:rPr>
          <w:rFonts w:ascii="Times New Roman" w:hAnsi="Times New Roman" w:cs="Times New Roman"/>
          <w:sz w:val="30"/>
          <w:szCs w:val="30"/>
          <w:lang w:val="ro-RO"/>
        </w:rPr>
        <w:t xml:space="preserve"> și </w:t>
      </w:r>
      <w:r w:rsidR="0096665B" w:rsidRPr="00B0122C">
        <w:rPr>
          <w:rFonts w:ascii="Times New Roman" w:hAnsi="Times New Roman" w:cs="Times New Roman"/>
          <w:sz w:val="30"/>
          <w:szCs w:val="30"/>
          <w:lang w:val="ro-RO"/>
        </w:rPr>
        <w:t>clare</w:t>
      </w:r>
      <w:r w:rsidR="00DD4188" w:rsidRPr="00B0122C">
        <w:rPr>
          <w:rFonts w:ascii="Times New Roman" w:hAnsi="Times New Roman" w:cs="Times New Roman"/>
          <w:sz w:val="30"/>
          <w:szCs w:val="30"/>
          <w:lang w:val="ro-RO"/>
        </w:rPr>
        <w:t>, ce ţin de</w:t>
      </w:r>
      <w:r w:rsidR="0096665B" w:rsidRPr="00B0122C">
        <w:rPr>
          <w:rFonts w:ascii="Times New Roman" w:hAnsi="Times New Roman" w:cs="Times New Roman"/>
          <w:sz w:val="30"/>
          <w:szCs w:val="30"/>
          <w:lang w:val="ro-RO"/>
        </w:rPr>
        <w:t xml:space="preserve"> </w:t>
      </w:r>
      <w:r w:rsidRPr="00B0122C">
        <w:rPr>
          <w:rFonts w:ascii="Times New Roman" w:hAnsi="Times New Roman" w:cs="Times New Roman"/>
          <w:sz w:val="30"/>
          <w:szCs w:val="30"/>
          <w:lang w:val="ro-RO"/>
        </w:rPr>
        <w:t>aspectul fiscal</w:t>
      </w:r>
      <w:r w:rsidR="004A6A96" w:rsidRPr="00B0122C">
        <w:rPr>
          <w:rFonts w:ascii="Times New Roman" w:hAnsi="Times New Roman" w:cs="Times New Roman"/>
          <w:sz w:val="30"/>
          <w:szCs w:val="30"/>
          <w:lang w:val="ro-RO"/>
        </w:rPr>
        <w:t xml:space="preserve"> și </w:t>
      </w:r>
      <w:r w:rsidRPr="00B0122C">
        <w:rPr>
          <w:rFonts w:ascii="Times New Roman" w:hAnsi="Times New Roman" w:cs="Times New Roman"/>
          <w:sz w:val="30"/>
          <w:szCs w:val="30"/>
          <w:lang w:val="ro-RO"/>
        </w:rPr>
        <w:t xml:space="preserve">contabil </w:t>
      </w:r>
      <w:r w:rsidR="00555EFB" w:rsidRPr="00B0122C">
        <w:rPr>
          <w:rFonts w:ascii="Times New Roman" w:hAnsi="Times New Roman" w:cs="Times New Roman"/>
          <w:sz w:val="30"/>
          <w:szCs w:val="30"/>
          <w:lang w:val="ro-RO"/>
        </w:rPr>
        <w:t xml:space="preserve">în procesul de </w:t>
      </w:r>
      <w:r w:rsidRPr="00B0122C">
        <w:rPr>
          <w:rFonts w:ascii="Times New Roman" w:hAnsi="Times New Roman" w:cs="Times New Roman"/>
          <w:sz w:val="30"/>
          <w:szCs w:val="30"/>
          <w:lang w:val="ro-RO"/>
        </w:rPr>
        <w:t>lichidare</w:t>
      </w:r>
      <w:r w:rsidR="0096665B" w:rsidRPr="00B0122C">
        <w:rPr>
          <w:rFonts w:ascii="Times New Roman" w:hAnsi="Times New Roman" w:cs="Times New Roman"/>
          <w:sz w:val="30"/>
          <w:szCs w:val="30"/>
          <w:lang w:val="ro-RO"/>
        </w:rPr>
        <w:t>a</w:t>
      </w:r>
      <w:r w:rsidRPr="00B0122C">
        <w:rPr>
          <w:rFonts w:ascii="Times New Roman" w:hAnsi="Times New Roman" w:cs="Times New Roman"/>
          <w:sz w:val="30"/>
          <w:szCs w:val="30"/>
          <w:lang w:val="ro-RO"/>
        </w:rPr>
        <w:t xml:space="preserve"> a </w:t>
      </w:r>
      <w:r w:rsidR="00537320" w:rsidRPr="00B0122C">
        <w:rPr>
          <w:rFonts w:ascii="Times New Roman" w:hAnsi="Times New Roman" w:cs="Times New Roman"/>
          <w:sz w:val="30"/>
          <w:szCs w:val="30"/>
          <w:lang w:val="ro-RO"/>
        </w:rPr>
        <w:t>persoanelor</w:t>
      </w:r>
      <w:r w:rsidR="00555EFB" w:rsidRPr="00B0122C">
        <w:rPr>
          <w:rFonts w:ascii="Times New Roman" w:hAnsi="Times New Roman" w:cs="Times New Roman"/>
          <w:sz w:val="30"/>
          <w:szCs w:val="30"/>
          <w:lang w:val="ro-RO"/>
        </w:rPr>
        <w:t xml:space="preserve"> juridice, </w:t>
      </w:r>
      <w:r w:rsidR="00537320" w:rsidRPr="00B0122C">
        <w:rPr>
          <w:rFonts w:ascii="Times New Roman" w:hAnsi="Times New Roman" w:cs="Times New Roman"/>
          <w:sz w:val="30"/>
          <w:szCs w:val="30"/>
          <w:lang w:val="ro-RO"/>
        </w:rPr>
        <w:t>reprezentanțelor permanente și formelor</w:t>
      </w:r>
      <w:r w:rsidR="00555EFB" w:rsidRPr="00B0122C">
        <w:rPr>
          <w:rFonts w:ascii="Times New Roman" w:hAnsi="Times New Roman" w:cs="Times New Roman"/>
          <w:sz w:val="30"/>
          <w:szCs w:val="30"/>
          <w:lang w:val="ro-RO"/>
        </w:rPr>
        <w:t xml:space="preserve"> organizatorice cu statut de persoană fizică</w:t>
      </w:r>
      <w:r w:rsidR="002366DC" w:rsidRPr="00B0122C">
        <w:rPr>
          <w:rFonts w:ascii="Times New Roman" w:hAnsi="Times New Roman" w:cs="Times New Roman"/>
          <w:sz w:val="30"/>
          <w:szCs w:val="30"/>
          <w:lang w:val="ro-RO"/>
        </w:rPr>
        <w:t>.</w:t>
      </w:r>
    </w:p>
    <w:p w14:paraId="3307A20C" w14:textId="2315D565" w:rsidR="00FE0BAB" w:rsidRPr="00B0122C" w:rsidRDefault="0096665B" w:rsidP="008924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o-RO"/>
        </w:rPr>
      </w:pPr>
      <w:r w:rsidRPr="00B0122C">
        <w:rPr>
          <w:rFonts w:ascii="Times New Roman" w:hAnsi="Times New Roman" w:cs="Times New Roman"/>
          <w:sz w:val="30"/>
          <w:szCs w:val="30"/>
          <w:lang w:val="ro-RO"/>
        </w:rPr>
        <w:t>M</w:t>
      </w:r>
      <w:r w:rsidR="006269F6" w:rsidRPr="00B0122C">
        <w:rPr>
          <w:rFonts w:ascii="Times New Roman" w:hAnsi="Times New Roman" w:cs="Times New Roman"/>
          <w:sz w:val="30"/>
          <w:szCs w:val="30"/>
          <w:lang w:val="ro-RO"/>
        </w:rPr>
        <w:t xml:space="preserve">odificările propuse stabilesc </w:t>
      </w:r>
      <w:r w:rsidR="002366DC" w:rsidRPr="00B0122C">
        <w:rPr>
          <w:rFonts w:ascii="Times New Roman" w:hAnsi="Times New Roman" w:cs="Times New Roman"/>
          <w:sz w:val="30"/>
          <w:szCs w:val="30"/>
          <w:lang w:val="ro-RO"/>
        </w:rPr>
        <w:t xml:space="preserve">cerințe privind </w:t>
      </w:r>
      <w:r w:rsidR="00537320" w:rsidRPr="00B0122C">
        <w:rPr>
          <w:rFonts w:ascii="Times New Roman" w:hAnsi="Times New Roman" w:cs="Times New Roman"/>
          <w:sz w:val="30"/>
          <w:szCs w:val="30"/>
          <w:lang w:val="ro-RO"/>
        </w:rPr>
        <w:t xml:space="preserve">modul de </w:t>
      </w:r>
      <w:r w:rsidR="006269F6" w:rsidRPr="00B0122C">
        <w:rPr>
          <w:rFonts w:ascii="Times New Roman" w:hAnsi="Times New Roman" w:cs="Times New Roman"/>
          <w:sz w:val="30"/>
          <w:szCs w:val="30"/>
          <w:lang w:val="ro-RO"/>
        </w:rPr>
        <w:t>inițiere</w:t>
      </w:r>
      <w:r w:rsidR="00537320" w:rsidRPr="00B0122C">
        <w:rPr>
          <w:rFonts w:ascii="Times New Roman" w:hAnsi="Times New Roman" w:cs="Times New Roman"/>
          <w:sz w:val="30"/>
          <w:szCs w:val="30"/>
          <w:lang w:val="ro-RO"/>
        </w:rPr>
        <w:t xml:space="preserve"> </w:t>
      </w:r>
      <w:r w:rsidR="006269F6" w:rsidRPr="00B0122C">
        <w:rPr>
          <w:rFonts w:ascii="Times New Roman" w:hAnsi="Times New Roman" w:cs="Times New Roman"/>
          <w:sz w:val="30"/>
          <w:szCs w:val="30"/>
          <w:lang w:val="ro-RO"/>
        </w:rPr>
        <w:t xml:space="preserve">a </w:t>
      </w:r>
      <w:r w:rsidR="00D42C36" w:rsidRPr="00B0122C">
        <w:rPr>
          <w:rFonts w:ascii="Times New Roman" w:hAnsi="Times New Roman" w:cs="Times New Roman"/>
          <w:sz w:val="30"/>
          <w:szCs w:val="30"/>
          <w:lang w:val="ro-RO"/>
        </w:rPr>
        <w:t>procesului</w:t>
      </w:r>
      <w:r w:rsidR="006269F6" w:rsidRPr="00B0122C">
        <w:rPr>
          <w:rFonts w:ascii="Times New Roman" w:hAnsi="Times New Roman" w:cs="Times New Roman"/>
          <w:sz w:val="30"/>
          <w:szCs w:val="30"/>
          <w:lang w:val="ro-RO"/>
        </w:rPr>
        <w:t xml:space="preserve"> de </w:t>
      </w:r>
      <w:r w:rsidR="007A0163" w:rsidRPr="00B0122C">
        <w:rPr>
          <w:rFonts w:ascii="Times New Roman" w:hAnsi="Times New Roman" w:cs="Times New Roman"/>
          <w:sz w:val="30"/>
          <w:szCs w:val="30"/>
          <w:lang w:val="ro-RO"/>
        </w:rPr>
        <w:t>lichidare</w:t>
      </w:r>
      <w:r w:rsidR="006269F6" w:rsidRPr="00B0122C">
        <w:rPr>
          <w:rFonts w:ascii="Times New Roman" w:hAnsi="Times New Roman" w:cs="Times New Roman"/>
          <w:sz w:val="30"/>
          <w:szCs w:val="30"/>
          <w:lang w:val="ro-RO"/>
        </w:rPr>
        <w:t xml:space="preserve">, </w:t>
      </w:r>
      <w:r w:rsidR="005109E0" w:rsidRPr="00B0122C">
        <w:rPr>
          <w:rFonts w:ascii="Times New Roman" w:hAnsi="Times New Roman" w:cs="Times New Roman"/>
          <w:sz w:val="30"/>
          <w:szCs w:val="30"/>
          <w:lang w:val="ro-RO"/>
        </w:rPr>
        <w:t xml:space="preserve">de </w:t>
      </w:r>
      <w:r w:rsidR="00537320" w:rsidRPr="00B0122C">
        <w:rPr>
          <w:rFonts w:ascii="Times New Roman" w:hAnsi="Times New Roman" w:cs="Times New Roman"/>
          <w:sz w:val="30"/>
          <w:szCs w:val="30"/>
          <w:lang w:val="ro-RO"/>
        </w:rPr>
        <w:t xml:space="preserve">prezentare a informației </w:t>
      </w:r>
      <w:r w:rsidR="005109E0" w:rsidRPr="00B0122C">
        <w:rPr>
          <w:rFonts w:ascii="Times New Roman" w:hAnsi="Times New Roman" w:cs="Times New Roman"/>
          <w:sz w:val="30"/>
          <w:szCs w:val="30"/>
          <w:lang w:val="ro-RO"/>
        </w:rPr>
        <w:t xml:space="preserve">ce ţin de </w:t>
      </w:r>
      <w:r w:rsidR="006269F6" w:rsidRPr="00B0122C">
        <w:rPr>
          <w:rFonts w:ascii="Times New Roman" w:hAnsi="Times New Roman" w:cs="Times New Roman"/>
          <w:sz w:val="30"/>
          <w:szCs w:val="30"/>
          <w:lang w:val="ro-RO"/>
        </w:rPr>
        <w:t>r</w:t>
      </w:r>
      <w:r w:rsidR="00537320" w:rsidRPr="00B0122C">
        <w:rPr>
          <w:rFonts w:ascii="Times New Roman" w:hAnsi="Times New Roman" w:cs="Times New Roman"/>
          <w:sz w:val="30"/>
          <w:szCs w:val="30"/>
          <w:lang w:val="ro-RO"/>
        </w:rPr>
        <w:t>apoartel</w:t>
      </w:r>
      <w:r w:rsidR="005109E0" w:rsidRPr="00B0122C">
        <w:rPr>
          <w:rFonts w:ascii="Times New Roman" w:hAnsi="Times New Roman" w:cs="Times New Roman"/>
          <w:sz w:val="30"/>
          <w:szCs w:val="30"/>
          <w:lang w:val="ro-RO"/>
        </w:rPr>
        <w:t>e</w:t>
      </w:r>
      <w:r w:rsidR="00537320" w:rsidRPr="00B0122C">
        <w:rPr>
          <w:rFonts w:ascii="Times New Roman" w:hAnsi="Times New Roman" w:cs="Times New Roman"/>
          <w:sz w:val="30"/>
          <w:szCs w:val="30"/>
          <w:lang w:val="ro-RO"/>
        </w:rPr>
        <w:t xml:space="preserve"> fiscale de lichidare</w:t>
      </w:r>
      <w:r w:rsidR="006269F6" w:rsidRPr="00B0122C">
        <w:rPr>
          <w:rFonts w:ascii="Times New Roman" w:hAnsi="Times New Roman" w:cs="Times New Roman"/>
          <w:sz w:val="30"/>
          <w:szCs w:val="30"/>
          <w:lang w:val="ro-RO"/>
        </w:rPr>
        <w:t xml:space="preserve"> </w:t>
      </w:r>
      <w:r w:rsidR="004A6A96" w:rsidRPr="00B0122C">
        <w:rPr>
          <w:rFonts w:ascii="Times New Roman" w:hAnsi="Times New Roman" w:cs="Times New Roman"/>
          <w:sz w:val="30"/>
          <w:szCs w:val="30"/>
          <w:lang w:val="ro-RO"/>
        </w:rPr>
        <w:t xml:space="preserve">și </w:t>
      </w:r>
      <w:r w:rsidR="005109E0" w:rsidRPr="00B0122C">
        <w:rPr>
          <w:rFonts w:ascii="Times New Roman" w:hAnsi="Times New Roman" w:cs="Times New Roman"/>
          <w:sz w:val="30"/>
          <w:szCs w:val="30"/>
          <w:lang w:val="ro-RO"/>
        </w:rPr>
        <w:t xml:space="preserve">de </w:t>
      </w:r>
      <w:r w:rsidR="006269F6" w:rsidRPr="00B0122C">
        <w:rPr>
          <w:rFonts w:ascii="Times New Roman" w:hAnsi="Times New Roman" w:cs="Times New Roman"/>
          <w:sz w:val="30"/>
          <w:szCs w:val="30"/>
          <w:lang w:val="ro-RO"/>
        </w:rPr>
        <w:t>e</w:t>
      </w:r>
      <w:r w:rsidR="00FE0BAB" w:rsidRPr="00B0122C">
        <w:rPr>
          <w:rFonts w:ascii="Times New Roman" w:hAnsi="Times New Roman" w:cs="Times New Roman"/>
          <w:sz w:val="30"/>
          <w:szCs w:val="30"/>
          <w:lang w:val="ro-RO"/>
        </w:rPr>
        <w:t>fectuarea controalelor fiscale.</w:t>
      </w:r>
      <w:r w:rsidR="00C03CF6" w:rsidRPr="00B0122C">
        <w:rPr>
          <w:rFonts w:ascii="Times New Roman" w:hAnsi="Times New Roman" w:cs="Times New Roman"/>
          <w:sz w:val="30"/>
          <w:szCs w:val="30"/>
          <w:lang w:val="ro-RO"/>
        </w:rPr>
        <w:t xml:space="preserve"> </w:t>
      </w:r>
      <w:r w:rsidR="00832537" w:rsidRPr="00B0122C">
        <w:rPr>
          <w:rFonts w:ascii="Times New Roman" w:hAnsi="Times New Roman" w:cs="Times New Roman"/>
          <w:sz w:val="30"/>
          <w:szCs w:val="30"/>
          <w:lang w:val="ro-RO"/>
        </w:rPr>
        <w:t>Concomitent</w:t>
      </w:r>
      <w:r w:rsidR="005109E0" w:rsidRPr="00B0122C">
        <w:rPr>
          <w:rFonts w:ascii="Times New Roman" w:hAnsi="Times New Roman" w:cs="Times New Roman"/>
          <w:sz w:val="30"/>
          <w:szCs w:val="30"/>
          <w:lang w:val="ro-RO"/>
        </w:rPr>
        <w:t>,</w:t>
      </w:r>
      <w:r w:rsidR="00100CB8" w:rsidRPr="00B0122C">
        <w:rPr>
          <w:rFonts w:ascii="Times New Roman" w:hAnsi="Times New Roman" w:cs="Times New Roman"/>
          <w:sz w:val="30"/>
          <w:szCs w:val="30"/>
          <w:lang w:val="ro-RO"/>
        </w:rPr>
        <w:t xml:space="preserve"> sînt propuse un șir de modificări la legislația fiscală, </w:t>
      </w:r>
      <w:r w:rsidR="005109E0" w:rsidRPr="00B0122C">
        <w:rPr>
          <w:rFonts w:ascii="Times New Roman" w:hAnsi="Times New Roman" w:cs="Times New Roman"/>
          <w:sz w:val="30"/>
          <w:szCs w:val="30"/>
          <w:lang w:val="ro-RO"/>
        </w:rPr>
        <w:t>potrivit cărora urmează</w:t>
      </w:r>
      <w:r w:rsidR="00100CB8" w:rsidRPr="00B0122C">
        <w:rPr>
          <w:rFonts w:ascii="Times New Roman" w:hAnsi="Times New Roman" w:cs="Times New Roman"/>
          <w:sz w:val="30"/>
          <w:szCs w:val="30"/>
          <w:lang w:val="ro-RO"/>
        </w:rPr>
        <w:t xml:space="preserve"> </w:t>
      </w:r>
      <w:r w:rsidR="005109E0" w:rsidRPr="00B0122C">
        <w:rPr>
          <w:rFonts w:ascii="Times New Roman" w:hAnsi="Times New Roman" w:cs="Times New Roman"/>
          <w:sz w:val="30"/>
          <w:szCs w:val="30"/>
          <w:lang w:val="ro-RO"/>
        </w:rPr>
        <w:t xml:space="preserve">a fi </w:t>
      </w:r>
      <w:r w:rsidR="007F4F0D" w:rsidRPr="00B0122C">
        <w:rPr>
          <w:rFonts w:ascii="Times New Roman" w:hAnsi="Times New Roman" w:cs="Times New Roman"/>
          <w:sz w:val="30"/>
          <w:szCs w:val="30"/>
          <w:lang w:val="ro-RO"/>
        </w:rPr>
        <w:t>elimin</w:t>
      </w:r>
      <w:r w:rsidR="005109E0" w:rsidRPr="00B0122C">
        <w:rPr>
          <w:rFonts w:ascii="Times New Roman" w:hAnsi="Times New Roman" w:cs="Times New Roman"/>
          <w:sz w:val="30"/>
          <w:szCs w:val="30"/>
          <w:lang w:val="ro-RO"/>
        </w:rPr>
        <w:t>ate</w:t>
      </w:r>
      <w:r w:rsidR="007F4F0D" w:rsidRPr="00B0122C">
        <w:rPr>
          <w:rFonts w:ascii="Times New Roman" w:hAnsi="Times New Roman" w:cs="Times New Roman"/>
          <w:sz w:val="30"/>
          <w:szCs w:val="30"/>
          <w:lang w:val="ro-RO"/>
        </w:rPr>
        <w:t xml:space="preserve"> lacunele existente în privința procedurilor ce țin de lichidare (definirea </w:t>
      </w:r>
      <w:r w:rsidR="003F4305" w:rsidRPr="00B0122C">
        <w:rPr>
          <w:rFonts w:ascii="Times New Roman" w:hAnsi="Times New Roman" w:cs="Times New Roman"/>
          <w:sz w:val="30"/>
          <w:szCs w:val="30"/>
          <w:lang w:val="ro-RO"/>
        </w:rPr>
        <w:t>plății de lichidare</w:t>
      </w:r>
      <w:r w:rsidR="005109E0" w:rsidRPr="00B0122C">
        <w:rPr>
          <w:rFonts w:ascii="Times New Roman" w:hAnsi="Times New Roman" w:cs="Times New Roman"/>
          <w:sz w:val="30"/>
          <w:szCs w:val="30"/>
          <w:lang w:val="ro-RO"/>
        </w:rPr>
        <w:t>;</w:t>
      </w:r>
      <w:r w:rsidR="003F4305" w:rsidRPr="00B0122C">
        <w:rPr>
          <w:rFonts w:ascii="Times New Roman" w:hAnsi="Times New Roman" w:cs="Times New Roman"/>
          <w:sz w:val="30"/>
          <w:szCs w:val="30"/>
          <w:lang w:val="ro-RO"/>
        </w:rPr>
        <w:t xml:space="preserve"> </w:t>
      </w:r>
      <w:r w:rsidR="007F4F0D" w:rsidRPr="00B0122C">
        <w:rPr>
          <w:rFonts w:ascii="Times New Roman" w:hAnsi="Times New Roman" w:cs="Times New Roman"/>
          <w:sz w:val="30"/>
          <w:szCs w:val="30"/>
          <w:lang w:val="ro-RO"/>
        </w:rPr>
        <w:t>perioadei fiscale</w:t>
      </w:r>
      <w:r w:rsidR="005109E0" w:rsidRPr="00B0122C">
        <w:rPr>
          <w:rFonts w:ascii="Times New Roman" w:hAnsi="Times New Roman" w:cs="Times New Roman"/>
          <w:sz w:val="30"/>
          <w:szCs w:val="30"/>
          <w:lang w:val="ro-RO"/>
        </w:rPr>
        <w:t>;</w:t>
      </w:r>
      <w:r w:rsidR="007F4F0D" w:rsidRPr="00B0122C">
        <w:rPr>
          <w:rFonts w:ascii="Times New Roman" w:hAnsi="Times New Roman" w:cs="Times New Roman"/>
          <w:sz w:val="30"/>
          <w:szCs w:val="30"/>
          <w:lang w:val="ro-RO"/>
        </w:rPr>
        <w:t xml:space="preserve"> </w:t>
      </w:r>
      <w:r w:rsidR="003F4305" w:rsidRPr="00B0122C">
        <w:rPr>
          <w:rFonts w:ascii="Times New Roman" w:hAnsi="Times New Roman" w:cs="Times New Roman"/>
          <w:sz w:val="30"/>
          <w:szCs w:val="30"/>
          <w:lang w:val="ro-RO"/>
        </w:rPr>
        <w:t>stabilirea formelor</w:t>
      </w:r>
      <w:r w:rsidR="007F4F0D" w:rsidRPr="00B0122C">
        <w:rPr>
          <w:rFonts w:ascii="Times New Roman" w:hAnsi="Times New Roman" w:cs="Times New Roman"/>
          <w:sz w:val="30"/>
          <w:szCs w:val="30"/>
          <w:lang w:val="ro-RO"/>
        </w:rPr>
        <w:t xml:space="preserve"> de raportare fiscală etc.).</w:t>
      </w:r>
    </w:p>
    <w:p w14:paraId="7E28E697" w14:textId="77777777" w:rsidR="0089249A" w:rsidRDefault="0089249A" w:rsidP="00E92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137237C" w14:textId="77777777" w:rsidR="00B0122C" w:rsidRDefault="00B0122C" w:rsidP="00E92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4B93687" w14:textId="77777777" w:rsidR="00B0122C" w:rsidRDefault="00B0122C" w:rsidP="00E92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06DAA1E" w14:textId="77777777" w:rsidR="00B0122C" w:rsidRDefault="00B0122C" w:rsidP="00E92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A2408E7" w14:textId="77777777" w:rsidR="00B0122C" w:rsidRDefault="00B0122C" w:rsidP="00E92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DE017E2" w14:textId="540B5E9E" w:rsidR="00432CE0" w:rsidRDefault="00461B64" w:rsidP="009712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9249A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Proiectul </w:t>
      </w:r>
      <w:r w:rsidR="009712E8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Pr="0089249A">
        <w:rPr>
          <w:rFonts w:ascii="Times New Roman" w:hAnsi="Times New Roman" w:cs="Times New Roman"/>
          <w:sz w:val="28"/>
          <w:szCs w:val="28"/>
          <w:lang w:val="ro-RO"/>
        </w:rPr>
        <w:t>leg</w:t>
      </w:r>
      <w:r w:rsidR="009712E8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Pr="0089249A">
        <w:rPr>
          <w:rFonts w:ascii="Times New Roman" w:hAnsi="Times New Roman" w:cs="Times New Roman"/>
          <w:sz w:val="28"/>
          <w:szCs w:val="28"/>
          <w:lang w:val="ro-RO"/>
        </w:rPr>
        <w:t>propune următoarele măsuri:</w:t>
      </w:r>
    </w:p>
    <w:p w14:paraId="121891CC" w14:textId="77777777" w:rsidR="004407E8" w:rsidRPr="0089249A" w:rsidRDefault="004407E8" w:rsidP="009712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14:paraId="2AEAC3AF" w14:textId="662AF52B" w:rsidR="00432CE0" w:rsidRPr="0089249A" w:rsidRDefault="009712E8" w:rsidP="00095AE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095AEC" w:rsidRPr="0089249A">
        <w:rPr>
          <w:rFonts w:ascii="Times New Roman" w:hAnsi="Times New Roman" w:cs="Times New Roman"/>
          <w:b/>
          <w:sz w:val="28"/>
          <w:szCs w:val="28"/>
          <w:lang w:val="ro-RO"/>
        </w:rPr>
        <w:t xml:space="preserve">1. </w:t>
      </w:r>
      <w:r w:rsidR="00FE4692" w:rsidRPr="0089249A">
        <w:rPr>
          <w:rFonts w:ascii="Times New Roman" w:hAnsi="Times New Roman" w:cs="Times New Roman"/>
          <w:b/>
          <w:sz w:val="28"/>
          <w:szCs w:val="28"/>
          <w:lang w:val="ro-RO"/>
        </w:rPr>
        <w:t>Eliminarea unor proceduri care implică costuri și timp</w:t>
      </w:r>
    </w:p>
    <w:p w14:paraId="0D3CB7C2" w14:textId="77777777" w:rsidR="00642A46" w:rsidRPr="0089249A" w:rsidRDefault="00642A46" w:rsidP="00642A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3"/>
        <w:gridCol w:w="4678"/>
        <w:gridCol w:w="4506"/>
      </w:tblGrid>
      <w:tr w:rsidR="009965CB" w:rsidRPr="0089249A" w14:paraId="218B8F61" w14:textId="77777777" w:rsidTr="00490367">
        <w:trPr>
          <w:trHeight w:val="338"/>
        </w:trPr>
        <w:tc>
          <w:tcPr>
            <w:tcW w:w="392" w:type="dxa"/>
          </w:tcPr>
          <w:p w14:paraId="17A853F1" w14:textId="2FA90CA2" w:rsidR="00432CE0" w:rsidRPr="005109E0" w:rsidRDefault="00432CE0" w:rsidP="00E9231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5109E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</w:t>
            </w:r>
            <w:r w:rsidR="005109E0" w:rsidRPr="005109E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</w:t>
            </w:r>
          </w:p>
          <w:p w14:paraId="0B61CCBF" w14:textId="035672A7" w:rsidR="005109E0" w:rsidRPr="005109E0" w:rsidRDefault="005109E0" w:rsidP="00E9231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5109E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d/r</w:t>
            </w:r>
          </w:p>
        </w:tc>
        <w:tc>
          <w:tcPr>
            <w:tcW w:w="4678" w:type="dxa"/>
          </w:tcPr>
          <w:p w14:paraId="41F86965" w14:textId="789DAB33" w:rsidR="00432CE0" w:rsidRPr="005109E0" w:rsidRDefault="00D00845" w:rsidP="00E9231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5109E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Măsuri</w:t>
            </w:r>
            <w:r w:rsidR="00461B64" w:rsidRPr="005109E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propuse</w:t>
            </w:r>
          </w:p>
        </w:tc>
        <w:tc>
          <w:tcPr>
            <w:tcW w:w="4506" w:type="dxa"/>
          </w:tcPr>
          <w:p w14:paraId="71F00F65" w14:textId="4AC2B61E" w:rsidR="00432CE0" w:rsidRPr="005109E0" w:rsidRDefault="00F9250C" w:rsidP="00E9231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5109E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Descriere</w:t>
            </w:r>
          </w:p>
        </w:tc>
      </w:tr>
      <w:tr w:rsidR="009965CB" w:rsidRPr="0089249A" w14:paraId="5D01A172" w14:textId="77777777" w:rsidTr="00490367">
        <w:tc>
          <w:tcPr>
            <w:tcW w:w="392" w:type="dxa"/>
          </w:tcPr>
          <w:p w14:paraId="02082F1E" w14:textId="77777777" w:rsidR="00432CE0" w:rsidRPr="0089249A" w:rsidRDefault="00432CE0" w:rsidP="00E9231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4678" w:type="dxa"/>
          </w:tcPr>
          <w:p w14:paraId="0F045231" w14:textId="1F898215" w:rsidR="00432CE0" w:rsidRPr="0089249A" w:rsidRDefault="00D2169C" w:rsidP="00E9231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Eliminarea obligației de informare a organului fiscal</w:t>
            </w:r>
            <w:r w:rsidR="00E87EC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4506" w:type="dxa"/>
          </w:tcPr>
          <w:p w14:paraId="130FB78F" w14:textId="31C53D66" w:rsidR="00432CE0" w:rsidRPr="0089249A" w:rsidRDefault="00D2169C" w:rsidP="00B60B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Entitatea supusă lichidării va informa doar organul de înregistrare de stat, la </w:t>
            </w:r>
            <w:proofErr w:type="spellStart"/>
            <w:r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rîndul</w:t>
            </w:r>
            <w:proofErr w:type="spellEnd"/>
            <w:r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său organul înregistrării de stat</w:t>
            </w:r>
            <w:r w:rsidR="00270948"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în calitate de ghișeu unic,</w:t>
            </w:r>
            <w:r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va informa organele fiscale despre inițiere</w:t>
            </w:r>
            <w:r w:rsidR="00F9250C"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lichidării</w:t>
            </w:r>
            <w:r w:rsidR="008A79D7"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</w:tr>
      <w:tr w:rsidR="009965CB" w:rsidRPr="0089249A" w14:paraId="6CCD3C68" w14:textId="77777777" w:rsidTr="00490367">
        <w:tc>
          <w:tcPr>
            <w:tcW w:w="392" w:type="dxa"/>
          </w:tcPr>
          <w:p w14:paraId="229B6A9B" w14:textId="77777777" w:rsidR="00432CE0" w:rsidRPr="0089249A" w:rsidRDefault="00432CE0" w:rsidP="00E9231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4678" w:type="dxa"/>
          </w:tcPr>
          <w:p w14:paraId="3F558E21" w14:textId="79502216" w:rsidR="00432CE0" w:rsidRPr="0089249A" w:rsidRDefault="00E208E7" w:rsidP="00E9231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Eliminarea publicării avizului privind lichidarea în „Monitorul Oficial”</w:t>
            </w:r>
            <w:r w:rsidR="00E87EC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4506" w:type="dxa"/>
          </w:tcPr>
          <w:p w14:paraId="1238AA9E" w14:textId="77777777" w:rsidR="00E87EC5" w:rsidRDefault="00E208E7" w:rsidP="00B60B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 prezent, entitatea supusă lichidării este obligată să publice avizul privind inițierea lichidării în 2 publicații:</w:t>
            </w:r>
            <w:r w:rsidR="008A79D7"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14:paraId="5A8A5BAE" w14:textId="77777777" w:rsidR="00E87EC5" w:rsidRDefault="00E208E7" w:rsidP="00B60B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1) Monitorul Oficial</w:t>
            </w:r>
            <w:r w:rsidR="008A79D7"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și </w:t>
            </w:r>
          </w:p>
          <w:p w14:paraId="322D92CC" w14:textId="5287E12A" w:rsidR="00432CE0" w:rsidRPr="0089249A" w:rsidRDefault="00E208E7" w:rsidP="00B60B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2) Buletinul</w:t>
            </w:r>
            <w:r w:rsidR="003E1C11"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</w:t>
            </w:r>
            <w:r w:rsidR="00BA30C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amer</w:t>
            </w:r>
            <w:r w:rsidR="00B60BD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</w:t>
            </w:r>
            <w:r w:rsidR="00BA30C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 </w:t>
            </w:r>
            <w:r w:rsidR="003E1C11"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</w:t>
            </w:r>
            <w:r w:rsidR="00BA30C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nregistrării de </w:t>
            </w:r>
            <w:r w:rsidR="003E1C11"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</w:t>
            </w:r>
            <w:r w:rsidR="00BA30C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tat</w:t>
            </w:r>
            <w:r w:rsidR="00E61BB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(CÎS)</w:t>
            </w:r>
            <w:r w:rsidR="008A79D7"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14:paraId="503A6F50" w14:textId="7AAD93F8" w:rsidR="00E208E7" w:rsidRPr="0089249A" w:rsidRDefault="00E208E7" w:rsidP="00B60B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Modificările propun publicarea avizului doar în Buletinul CÎS, avînd în vedere funcțiile și rolul CÎS</w:t>
            </w:r>
            <w:r w:rsidR="008A79D7"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</w:tr>
      <w:tr w:rsidR="009965CB" w:rsidRPr="0089249A" w14:paraId="2B85AB52" w14:textId="77777777" w:rsidTr="00490367">
        <w:tc>
          <w:tcPr>
            <w:tcW w:w="392" w:type="dxa"/>
          </w:tcPr>
          <w:p w14:paraId="189354A6" w14:textId="196578CC" w:rsidR="00432CE0" w:rsidRPr="0089249A" w:rsidRDefault="00432CE0" w:rsidP="00E9231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4678" w:type="dxa"/>
          </w:tcPr>
          <w:p w14:paraId="67232950" w14:textId="72C2E9B8" w:rsidR="00432CE0" w:rsidRPr="0089249A" w:rsidRDefault="00C445C5" w:rsidP="00E9231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Eliminarea obligației entității supuse lichidării </w:t>
            </w:r>
            <w:r w:rsidR="007B5560"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 a colecta confirmări privind lipsa datoriilor față de buget și a situației privind raportările către CNAS, CNAM, Serviciu Vamal.</w:t>
            </w:r>
          </w:p>
        </w:tc>
        <w:tc>
          <w:tcPr>
            <w:tcW w:w="4506" w:type="dxa"/>
          </w:tcPr>
          <w:p w14:paraId="4AF4C711" w14:textId="520645A5" w:rsidR="00432CE0" w:rsidRPr="0089249A" w:rsidRDefault="00432CE0" w:rsidP="00B60B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r w:rsidR="007B5560"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nformaț</w:t>
            </w:r>
            <w:r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ia </w:t>
            </w:r>
            <w:r w:rsidR="007B5560"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privind lipsa datoriilor față de buget și a situației privind raportările va fi obținută de către organele fiscale de la CNAS, CNAM, Serviciu Vamal prin intermediul sistemul</w:t>
            </w:r>
            <w:r w:rsidR="009712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ui</w:t>
            </w:r>
            <w:r w:rsidR="007B5560"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informațional automatizat al Inspectoratului Fiscal Principal de Stat ,,Contul curent al contribuabilului”</w:t>
            </w:r>
            <w:r w:rsidR="008A79D7"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</w:tr>
      <w:tr w:rsidR="009965CB" w:rsidRPr="0089249A" w14:paraId="7D727EEB" w14:textId="77777777" w:rsidTr="00490367">
        <w:tc>
          <w:tcPr>
            <w:tcW w:w="392" w:type="dxa"/>
          </w:tcPr>
          <w:p w14:paraId="420A41F4" w14:textId="77777777" w:rsidR="00432CE0" w:rsidRPr="0089249A" w:rsidRDefault="00432CE0" w:rsidP="00E9231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</w:t>
            </w:r>
          </w:p>
        </w:tc>
        <w:tc>
          <w:tcPr>
            <w:tcW w:w="4678" w:type="dxa"/>
          </w:tcPr>
          <w:p w14:paraId="1E910D54" w14:textId="55AA993E" w:rsidR="00432CE0" w:rsidRPr="0089249A" w:rsidRDefault="004F0911" w:rsidP="00E9231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Eliminarea obligației entității supuse lichidării de a prezenta certificatul despre lipsa restantelor față</w:t>
            </w:r>
            <w:r w:rsidR="00432CE0"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buget către </w:t>
            </w:r>
            <w:r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organul înregistrării de stat</w:t>
            </w:r>
            <w:r w:rsidR="009712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4506" w:type="dxa"/>
          </w:tcPr>
          <w:p w14:paraId="3DB90145" w14:textId="3A45AB9C" w:rsidR="00432CE0" w:rsidRPr="0089249A" w:rsidRDefault="00432CE0" w:rsidP="009764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r w:rsidR="004F0911"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nformaț</w:t>
            </w:r>
            <w:r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ia </w:t>
            </w:r>
            <w:r w:rsidR="004F0911"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privind lipsa restan</w:t>
            </w:r>
            <w:r w:rsidR="006F14B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ţ</w:t>
            </w:r>
            <w:r w:rsidR="004F0911"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elor fa</w:t>
            </w:r>
            <w:r w:rsidR="0097646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ţă</w:t>
            </w:r>
            <w:r w:rsidR="004F0911"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buget va fi obținută direct de către organul înregistrării </w:t>
            </w:r>
            <w:r w:rsidR="009712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stat </w:t>
            </w:r>
            <w:r w:rsidR="004F0911"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prin intermediul sistemul</w:t>
            </w:r>
            <w:r w:rsidR="009712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ui</w:t>
            </w:r>
            <w:r w:rsidR="004F0911"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informațional automatizat al Inspectoratului Fiscal Principal de Stat ,,Contul curent al contribuabilului”</w:t>
            </w:r>
            <w:r w:rsidR="008A79D7"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</w:tr>
      <w:tr w:rsidR="009965CB" w:rsidRPr="0089249A" w14:paraId="41D71316" w14:textId="77777777" w:rsidTr="00490367">
        <w:tc>
          <w:tcPr>
            <w:tcW w:w="392" w:type="dxa"/>
          </w:tcPr>
          <w:p w14:paraId="2C7BE8D2" w14:textId="77777777" w:rsidR="00432CE0" w:rsidRPr="0089249A" w:rsidRDefault="00432CE0" w:rsidP="00E9231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</w:t>
            </w:r>
          </w:p>
        </w:tc>
        <w:tc>
          <w:tcPr>
            <w:tcW w:w="4678" w:type="dxa"/>
          </w:tcPr>
          <w:p w14:paraId="289F860D" w14:textId="37C52292" w:rsidR="00432CE0" w:rsidRPr="0089249A" w:rsidRDefault="005C69CA" w:rsidP="00E9231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Eliminarea obligației entității supuse lichidării de a prezenta declarația finală cu privire la impozitul pe venit</w:t>
            </w:r>
            <w:r w:rsidR="00503E2D"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 unele </w:t>
            </w:r>
            <w:r w:rsidR="00503E2D"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situații</w:t>
            </w:r>
            <w:r w:rsidR="009712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4506" w:type="dxa"/>
          </w:tcPr>
          <w:p w14:paraId="0AE65853" w14:textId="772AF2D8" w:rsidR="00432CE0" w:rsidRPr="0089249A" w:rsidRDefault="00F14B25" w:rsidP="00B60B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 xml:space="preserve">Dacă în rezultatul controlului fiscal se constată lipsa datoriilor față de creditori și buget, și lipsa activelor </w:t>
            </w:r>
            <w:r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pasibile repartizării, declarația prealabilă privind impozitul pe venit se consideră a fi finală.</w:t>
            </w:r>
          </w:p>
        </w:tc>
      </w:tr>
      <w:tr w:rsidR="009965CB" w:rsidRPr="0089249A" w14:paraId="56129C05" w14:textId="77777777" w:rsidTr="00490367">
        <w:tc>
          <w:tcPr>
            <w:tcW w:w="392" w:type="dxa"/>
          </w:tcPr>
          <w:p w14:paraId="73040FE7" w14:textId="77777777" w:rsidR="00432CE0" w:rsidRPr="0089249A" w:rsidRDefault="00432CE0" w:rsidP="00E9231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6.</w:t>
            </w:r>
          </w:p>
        </w:tc>
        <w:tc>
          <w:tcPr>
            <w:tcW w:w="4678" w:type="dxa"/>
          </w:tcPr>
          <w:p w14:paraId="7DE2F3BF" w14:textId="5488C43D" w:rsidR="00432CE0" w:rsidRPr="0089249A" w:rsidRDefault="00503E2D" w:rsidP="00E9231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Eliminarea celui de-al doilea controlul fiscal în unele situații</w:t>
            </w:r>
          </w:p>
        </w:tc>
        <w:tc>
          <w:tcPr>
            <w:tcW w:w="4506" w:type="dxa"/>
          </w:tcPr>
          <w:p w14:paraId="06ADD6B5" w14:textId="4E5B63A7" w:rsidR="00432CE0" w:rsidRPr="0089249A" w:rsidRDefault="00E92314" w:rsidP="00B60B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 cadrul procedurii de lichidare, al doilea control fiscal se efectuează doar dacă entitatea supus</w:t>
            </w:r>
            <w:r w:rsidR="009712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</w:t>
            </w:r>
            <w:r w:rsidRPr="0089249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lichidării dispune de active pasibile repartizării între asociați/acționari/membri.</w:t>
            </w:r>
          </w:p>
        </w:tc>
      </w:tr>
    </w:tbl>
    <w:p w14:paraId="22F8437C" w14:textId="77777777" w:rsidR="00432CE0" w:rsidRDefault="00432CE0" w:rsidP="00E923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2941B375" w14:textId="00750F6C" w:rsidR="00432CE0" w:rsidRPr="009712E8" w:rsidRDefault="009712E8" w:rsidP="00095AE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095AEC" w:rsidRPr="009712E8">
        <w:rPr>
          <w:rFonts w:ascii="Times New Roman" w:hAnsi="Times New Roman" w:cs="Times New Roman"/>
          <w:b/>
          <w:sz w:val="28"/>
          <w:szCs w:val="28"/>
          <w:lang w:val="ro-RO"/>
        </w:rPr>
        <w:t xml:space="preserve">2. </w:t>
      </w:r>
      <w:r w:rsidR="00E92314" w:rsidRPr="009712E8">
        <w:rPr>
          <w:rFonts w:ascii="Times New Roman" w:hAnsi="Times New Roman" w:cs="Times New Roman"/>
          <w:b/>
          <w:sz w:val="28"/>
          <w:szCs w:val="28"/>
          <w:lang w:val="ro-RO"/>
        </w:rPr>
        <w:t>Optimizarea procedurilor și perioadei de lichidare</w:t>
      </w:r>
    </w:p>
    <w:p w14:paraId="4FAE22B4" w14:textId="77777777" w:rsidR="001A6D06" w:rsidRPr="009712E8" w:rsidRDefault="001A6D06" w:rsidP="001A6D0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613"/>
        <w:gridCol w:w="4111"/>
        <w:gridCol w:w="5073"/>
      </w:tblGrid>
      <w:tr w:rsidR="009965CB" w:rsidRPr="009712E8" w14:paraId="5CF63D3F" w14:textId="77777777" w:rsidTr="000B7660">
        <w:tc>
          <w:tcPr>
            <w:tcW w:w="426" w:type="dxa"/>
          </w:tcPr>
          <w:p w14:paraId="230AE958" w14:textId="74A6891E" w:rsidR="009965CB" w:rsidRPr="009712E8" w:rsidRDefault="009965CB" w:rsidP="00E9231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712E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</w:t>
            </w:r>
            <w:r w:rsidR="009712E8" w:rsidRPr="009712E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</w:t>
            </w:r>
          </w:p>
          <w:p w14:paraId="588E46F3" w14:textId="33E72DEC" w:rsidR="009712E8" w:rsidRPr="009712E8" w:rsidRDefault="009712E8" w:rsidP="00E9231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712E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d/r</w:t>
            </w:r>
          </w:p>
        </w:tc>
        <w:tc>
          <w:tcPr>
            <w:tcW w:w="4111" w:type="dxa"/>
          </w:tcPr>
          <w:p w14:paraId="6544C200" w14:textId="70449130" w:rsidR="009965CB" w:rsidRPr="009712E8" w:rsidRDefault="009965CB" w:rsidP="00E9231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712E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Măsuri propuse</w:t>
            </w:r>
          </w:p>
        </w:tc>
        <w:tc>
          <w:tcPr>
            <w:tcW w:w="5073" w:type="dxa"/>
          </w:tcPr>
          <w:p w14:paraId="19D35F28" w14:textId="1182BFFF" w:rsidR="009965CB" w:rsidRPr="009712E8" w:rsidRDefault="009965CB" w:rsidP="00E9231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712E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Descriere</w:t>
            </w:r>
          </w:p>
        </w:tc>
      </w:tr>
      <w:tr w:rsidR="009965CB" w:rsidRPr="009712E8" w14:paraId="3F08CDCB" w14:textId="77777777" w:rsidTr="000B7660">
        <w:tc>
          <w:tcPr>
            <w:tcW w:w="426" w:type="dxa"/>
          </w:tcPr>
          <w:p w14:paraId="6D98912C" w14:textId="77777777" w:rsidR="009965CB" w:rsidRPr="009712E8" w:rsidRDefault="009965CB" w:rsidP="00E9231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712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4111" w:type="dxa"/>
          </w:tcPr>
          <w:p w14:paraId="1106256C" w14:textId="26A2818B" w:rsidR="009965CB" w:rsidRPr="009712E8" w:rsidRDefault="009965CB" w:rsidP="00E9231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712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Efectuarea controlului fiscal ce țin</w:t>
            </w:r>
            <w:r w:rsidR="009712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</w:t>
            </w:r>
            <w:r w:rsidRPr="009712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lichidare într-o perioadă prestabilită</w:t>
            </w:r>
            <w:r w:rsidR="009712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5073" w:type="dxa"/>
          </w:tcPr>
          <w:p w14:paraId="33D64B05" w14:textId="1457C8DA" w:rsidR="009965CB" w:rsidRPr="009712E8" w:rsidRDefault="009965CB" w:rsidP="00B60BD9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712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Controlul fiscal se va efectua de organul fiscal în termen de cel mult 20 zile calendaristice de la data prezentării declarației.</w:t>
            </w:r>
          </w:p>
        </w:tc>
      </w:tr>
      <w:tr w:rsidR="009965CB" w:rsidRPr="009712E8" w14:paraId="0D9ECB5A" w14:textId="77777777" w:rsidTr="000B7660">
        <w:tc>
          <w:tcPr>
            <w:tcW w:w="426" w:type="dxa"/>
          </w:tcPr>
          <w:p w14:paraId="4FCBA974" w14:textId="77777777" w:rsidR="009965CB" w:rsidRPr="009712E8" w:rsidRDefault="009965CB" w:rsidP="00E9231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712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4111" w:type="dxa"/>
          </w:tcPr>
          <w:p w14:paraId="5330B6A2" w14:textId="43507E73" w:rsidR="009965CB" w:rsidRPr="009712E8" w:rsidRDefault="009965CB" w:rsidP="00E9231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712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Aplicarea criteriilor de risc la efectuarea controlului fiscal</w:t>
            </w:r>
            <w:r w:rsidR="009712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5073" w:type="dxa"/>
          </w:tcPr>
          <w:p w14:paraId="0EDB497C" w14:textId="2ED50D72" w:rsidR="009965CB" w:rsidRPr="009712E8" w:rsidRDefault="009965CB" w:rsidP="00B60BD9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712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Controlul fiscal se va efectua de organul fiscal cu aplicarea criteriilor de risc.</w:t>
            </w:r>
          </w:p>
        </w:tc>
      </w:tr>
      <w:tr w:rsidR="009965CB" w:rsidRPr="009712E8" w14:paraId="34D30A19" w14:textId="77777777" w:rsidTr="000B7660">
        <w:tc>
          <w:tcPr>
            <w:tcW w:w="426" w:type="dxa"/>
          </w:tcPr>
          <w:p w14:paraId="5827CE9A" w14:textId="72307CAA" w:rsidR="009965CB" w:rsidRPr="009712E8" w:rsidRDefault="009965CB" w:rsidP="00E9231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712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4111" w:type="dxa"/>
          </w:tcPr>
          <w:p w14:paraId="0A2DC6EF" w14:textId="457A7D71" w:rsidR="009965CB" w:rsidRPr="009712E8" w:rsidRDefault="009965CB" w:rsidP="00E07E7F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712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Simplificarea procedurii de anulare a statutului de contribuabil al T.V.A.</w:t>
            </w:r>
          </w:p>
        </w:tc>
        <w:tc>
          <w:tcPr>
            <w:tcW w:w="5073" w:type="dxa"/>
          </w:tcPr>
          <w:p w14:paraId="19358243" w14:textId="3E71A003" w:rsidR="009965CB" w:rsidRPr="009712E8" w:rsidRDefault="009965CB" w:rsidP="00B60BD9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712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Anularea statutului de contribuabil al T.V.A. se va efectua atît la cererea entității supuse lichidării, </w:t>
            </w:r>
            <w:proofErr w:type="spellStart"/>
            <w:r w:rsidRPr="009712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cît</w:t>
            </w:r>
            <w:proofErr w:type="spellEnd"/>
            <w:r w:rsidRPr="009712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și de </w:t>
            </w:r>
            <w:r w:rsidR="009712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către </w:t>
            </w:r>
            <w:r w:rsidRPr="009712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organul fiscal din oficiu.</w:t>
            </w:r>
          </w:p>
        </w:tc>
      </w:tr>
      <w:tr w:rsidR="009965CB" w:rsidRPr="009712E8" w14:paraId="6E32FD5C" w14:textId="77777777" w:rsidTr="000B7660">
        <w:tc>
          <w:tcPr>
            <w:tcW w:w="426" w:type="dxa"/>
          </w:tcPr>
          <w:p w14:paraId="1F373F0B" w14:textId="1E5137C2" w:rsidR="009965CB" w:rsidRPr="009712E8" w:rsidRDefault="009965CB" w:rsidP="00E9231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712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</w:t>
            </w:r>
          </w:p>
        </w:tc>
        <w:tc>
          <w:tcPr>
            <w:tcW w:w="4111" w:type="dxa"/>
          </w:tcPr>
          <w:p w14:paraId="257A5A4C" w14:textId="020FCA2A" w:rsidR="009965CB" w:rsidRPr="009712E8" w:rsidRDefault="009965CB" w:rsidP="00907D74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712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Eliminarea normelor contradictorii din legislație privind impozitarea plăților de lichidare</w:t>
            </w:r>
            <w:r w:rsidR="009712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5073" w:type="dxa"/>
          </w:tcPr>
          <w:p w14:paraId="61E6CC28" w14:textId="56DE76D8" w:rsidR="009965CB" w:rsidRPr="009712E8" w:rsidRDefault="009965CB" w:rsidP="00B60BD9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712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Modificările propuse stabilesc că impozitarea plăților de lichidare urmează a fi efectuat</w:t>
            </w:r>
            <w:r w:rsidR="009712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</w:t>
            </w:r>
            <w:r w:rsidRPr="009712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nu de la suma brut</w:t>
            </w:r>
            <w:r w:rsidR="009712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</w:t>
            </w:r>
            <w:r w:rsidRPr="009712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 plații efectuate, ci de la suma diferenței dintre suma plăților de lichidare </w:t>
            </w:r>
            <w:r w:rsidR="009712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</w:t>
            </w:r>
            <w:r w:rsidRPr="009712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 suma contribuțiilor inițiale. O astfel de concretizare este necesară, </w:t>
            </w:r>
            <w:proofErr w:type="spellStart"/>
            <w:r w:rsidRPr="009712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avîndu-se</w:t>
            </w:r>
            <w:proofErr w:type="spellEnd"/>
            <w:r w:rsidRPr="009712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 vedere că art. 90 </w:t>
            </w:r>
            <w:r w:rsidR="009712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al Codului fiscal </w:t>
            </w:r>
            <w:r w:rsidRPr="009712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nu prevede o astfel de normă, deși conform legislației fiscal</w:t>
            </w:r>
            <w:r w:rsidR="009712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</w:t>
            </w:r>
            <w:r w:rsidRPr="009712E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 vigoare contribuțiile la capitalul social nu se supun impozitării.</w:t>
            </w:r>
          </w:p>
        </w:tc>
      </w:tr>
    </w:tbl>
    <w:p w14:paraId="50C11ED0" w14:textId="77777777" w:rsidR="002057EA" w:rsidRDefault="002057EA" w:rsidP="002907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D77FDEC" w14:textId="77777777" w:rsidR="009712E8" w:rsidRDefault="009712E8" w:rsidP="002907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05354A1" w14:textId="77777777" w:rsidR="009712E8" w:rsidRDefault="009712E8" w:rsidP="002907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ABDACC3" w14:textId="77777777" w:rsidR="00B0122C" w:rsidRDefault="00B0122C" w:rsidP="002907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9998815" w14:textId="77777777" w:rsidR="00B0122C" w:rsidRDefault="00B0122C" w:rsidP="002907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F550260" w14:textId="2C8BF56E" w:rsidR="009712E8" w:rsidRPr="00FC5AB8" w:rsidRDefault="009712E8" w:rsidP="002907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proofErr w:type="spellStart"/>
      <w:r w:rsidRPr="0089249A">
        <w:rPr>
          <w:rFonts w:ascii="Times New Roman" w:hAnsi="Times New Roman" w:cs="Times New Roman"/>
          <w:b/>
          <w:sz w:val="28"/>
          <w:szCs w:val="28"/>
          <w:lang w:val="ro-RO"/>
        </w:rPr>
        <w:t>Viceministru</w:t>
      </w:r>
      <w:proofErr w:type="spellEnd"/>
      <w:r w:rsidRPr="0089249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89249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89249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89249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89249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89249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89249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89249A">
        <w:rPr>
          <w:rFonts w:ascii="Times New Roman" w:hAnsi="Times New Roman" w:cs="Times New Roman"/>
          <w:b/>
          <w:sz w:val="28"/>
          <w:szCs w:val="28"/>
          <w:lang w:val="ro-RO"/>
        </w:rPr>
        <w:tab/>
        <w:t>Vitalie IURC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U</w:t>
      </w:r>
    </w:p>
    <w:sectPr w:rsidR="009712E8" w:rsidRPr="00FC5AB8" w:rsidSect="00B0122C">
      <w:footerReference w:type="default" r:id="rId9"/>
      <w:pgSz w:w="12240" w:h="15840"/>
      <w:pgMar w:top="1440" w:right="1183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3AF548" w14:textId="77777777" w:rsidR="008B683C" w:rsidRDefault="008B683C" w:rsidP="006269F6">
      <w:pPr>
        <w:spacing w:after="0" w:line="240" w:lineRule="auto"/>
      </w:pPr>
      <w:r>
        <w:separator/>
      </w:r>
    </w:p>
  </w:endnote>
  <w:endnote w:type="continuationSeparator" w:id="0">
    <w:p w14:paraId="6CC91CA8" w14:textId="77777777" w:rsidR="008B683C" w:rsidRDefault="008B683C" w:rsidP="0062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21379064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A488CB" w14:textId="77777777" w:rsidR="00D70B6F" w:rsidRPr="00432CE0" w:rsidRDefault="00D70B6F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32CE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2CE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32CE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07E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32CE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A2097A1" w14:textId="77777777" w:rsidR="00D70B6F" w:rsidRPr="00432CE0" w:rsidRDefault="00D70B6F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E66B8" w14:textId="77777777" w:rsidR="008B683C" w:rsidRDefault="008B683C" w:rsidP="006269F6">
      <w:pPr>
        <w:spacing w:after="0" w:line="240" w:lineRule="auto"/>
      </w:pPr>
      <w:r>
        <w:separator/>
      </w:r>
    </w:p>
  </w:footnote>
  <w:footnote w:type="continuationSeparator" w:id="0">
    <w:p w14:paraId="2FC732A9" w14:textId="77777777" w:rsidR="008B683C" w:rsidRDefault="008B683C" w:rsidP="00626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471D"/>
    <w:multiLevelType w:val="hybridMultilevel"/>
    <w:tmpl w:val="1B90C66C"/>
    <w:lvl w:ilvl="0" w:tplc="D1CABF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563C03"/>
    <w:multiLevelType w:val="hybridMultilevel"/>
    <w:tmpl w:val="D5B04D08"/>
    <w:lvl w:ilvl="0" w:tplc="E59406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690AD3"/>
    <w:multiLevelType w:val="hybridMultilevel"/>
    <w:tmpl w:val="6D084D60"/>
    <w:lvl w:ilvl="0" w:tplc="D4CEA4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3D09CA"/>
    <w:multiLevelType w:val="hybridMultilevel"/>
    <w:tmpl w:val="0B284086"/>
    <w:lvl w:ilvl="0" w:tplc="917CB2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B484A"/>
    <w:multiLevelType w:val="hybridMultilevel"/>
    <w:tmpl w:val="92E4B730"/>
    <w:lvl w:ilvl="0" w:tplc="5C3E2ABE">
      <w:start w:val="1"/>
      <w:numFmt w:val="lowerLetter"/>
      <w:lvlText w:val="%1)"/>
      <w:lvlJc w:val="left"/>
      <w:pPr>
        <w:ind w:left="180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D8F6875"/>
    <w:multiLevelType w:val="hybridMultilevel"/>
    <w:tmpl w:val="334EA0E8"/>
    <w:lvl w:ilvl="0" w:tplc="6AC0DCF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E660A83"/>
    <w:multiLevelType w:val="hybridMultilevel"/>
    <w:tmpl w:val="66E0044E"/>
    <w:lvl w:ilvl="0" w:tplc="499442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1379B4"/>
    <w:multiLevelType w:val="hybridMultilevel"/>
    <w:tmpl w:val="E91A3088"/>
    <w:lvl w:ilvl="0" w:tplc="881E63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B134E"/>
    <w:multiLevelType w:val="multilevel"/>
    <w:tmpl w:val="9EEC2C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287524C"/>
    <w:multiLevelType w:val="hybridMultilevel"/>
    <w:tmpl w:val="B7DCFA8A"/>
    <w:lvl w:ilvl="0" w:tplc="049C18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14D55"/>
    <w:multiLevelType w:val="hybridMultilevel"/>
    <w:tmpl w:val="EFA42F24"/>
    <w:lvl w:ilvl="0" w:tplc="110423CE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A047A0"/>
    <w:multiLevelType w:val="multilevel"/>
    <w:tmpl w:val="13645C78"/>
    <w:styleLink w:val="List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position w:val="0"/>
      </w:rPr>
    </w:lvl>
    <w:lvl w:ilvl="1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b/>
        <w:bCs/>
        <w:position w:val="0"/>
      </w:rPr>
    </w:lvl>
    <w:lvl w:ilvl="2">
      <w:start w:val="1"/>
      <w:numFmt w:val="decimal"/>
      <w:lvlText w:val="%1."/>
      <w:lvlJc w:val="left"/>
      <w:pPr>
        <w:tabs>
          <w:tab w:val="num" w:pos="1800"/>
        </w:tabs>
        <w:ind w:left="1080" w:hanging="360"/>
      </w:pPr>
      <w:rPr>
        <w:b/>
        <w:bCs/>
        <w:position w:val="0"/>
      </w:rPr>
    </w:lvl>
    <w:lvl w:ilvl="3">
      <w:start w:val="1"/>
      <w:numFmt w:val="decimal"/>
      <w:lvlText w:val="%1."/>
      <w:lvlJc w:val="left"/>
      <w:pPr>
        <w:tabs>
          <w:tab w:val="num" w:pos="2520"/>
        </w:tabs>
        <w:ind w:left="1440" w:hanging="360"/>
      </w:pPr>
      <w:rPr>
        <w:b/>
        <w:bCs/>
        <w:position w:val="0"/>
      </w:rPr>
    </w:lvl>
    <w:lvl w:ilvl="4">
      <w:start w:val="1"/>
      <w:numFmt w:val="decimal"/>
      <w:lvlText w:val="%1."/>
      <w:lvlJc w:val="left"/>
      <w:pPr>
        <w:tabs>
          <w:tab w:val="num" w:pos="3240"/>
        </w:tabs>
        <w:ind w:left="1800" w:hanging="360"/>
      </w:pPr>
      <w:rPr>
        <w:b/>
        <w:bCs/>
        <w:position w:val="0"/>
      </w:rPr>
    </w:lvl>
    <w:lvl w:ilvl="5">
      <w:start w:val="1"/>
      <w:numFmt w:val="decimal"/>
      <w:lvlText w:val="%1."/>
      <w:lvlJc w:val="left"/>
      <w:pPr>
        <w:tabs>
          <w:tab w:val="num" w:pos="3960"/>
        </w:tabs>
        <w:ind w:left="2160" w:hanging="360"/>
      </w:pPr>
      <w:rPr>
        <w:b/>
        <w:bCs/>
        <w:position w:val="0"/>
      </w:rPr>
    </w:lvl>
    <w:lvl w:ilvl="6">
      <w:start w:val="1"/>
      <w:numFmt w:val="decimal"/>
      <w:lvlText w:val="%1."/>
      <w:lvlJc w:val="left"/>
      <w:pPr>
        <w:tabs>
          <w:tab w:val="num" w:pos="4680"/>
        </w:tabs>
        <w:ind w:left="2520" w:hanging="360"/>
      </w:pPr>
      <w:rPr>
        <w:b/>
        <w:bCs/>
        <w:position w:val="0"/>
      </w:rPr>
    </w:lvl>
    <w:lvl w:ilvl="7">
      <w:start w:val="1"/>
      <w:numFmt w:val="decimal"/>
      <w:lvlText w:val="%1."/>
      <w:lvlJc w:val="left"/>
      <w:pPr>
        <w:tabs>
          <w:tab w:val="num" w:pos="5400"/>
        </w:tabs>
        <w:ind w:left="2880" w:hanging="360"/>
      </w:pPr>
      <w:rPr>
        <w:b/>
        <w:bCs/>
        <w:position w:val="0"/>
      </w:rPr>
    </w:lvl>
    <w:lvl w:ilvl="8">
      <w:start w:val="1"/>
      <w:numFmt w:val="decimal"/>
      <w:lvlText w:val="%1."/>
      <w:lvlJc w:val="left"/>
      <w:pPr>
        <w:tabs>
          <w:tab w:val="num" w:pos="6120"/>
        </w:tabs>
        <w:ind w:left="3240" w:hanging="360"/>
      </w:pPr>
      <w:rPr>
        <w:b/>
        <w:bCs/>
        <w:position w:val="0"/>
      </w:rPr>
    </w:lvl>
  </w:abstractNum>
  <w:abstractNum w:abstractNumId="12">
    <w:nsid w:val="41395D12"/>
    <w:multiLevelType w:val="hybridMultilevel"/>
    <w:tmpl w:val="25D49C3C"/>
    <w:lvl w:ilvl="0" w:tplc="DFD489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D90340"/>
    <w:multiLevelType w:val="hybridMultilevel"/>
    <w:tmpl w:val="31889AB8"/>
    <w:lvl w:ilvl="0" w:tplc="E466DC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CF0D20"/>
    <w:multiLevelType w:val="hybridMultilevel"/>
    <w:tmpl w:val="212E5F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B332A"/>
    <w:multiLevelType w:val="hybridMultilevel"/>
    <w:tmpl w:val="47C8562C"/>
    <w:lvl w:ilvl="0" w:tplc="1D5C95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95C0044"/>
    <w:multiLevelType w:val="hybridMultilevel"/>
    <w:tmpl w:val="1E46B7EA"/>
    <w:lvl w:ilvl="0" w:tplc="666218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963261E"/>
    <w:multiLevelType w:val="hybridMultilevel"/>
    <w:tmpl w:val="D14CCE98"/>
    <w:lvl w:ilvl="0" w:tplc="5FD0384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9A179D7"/>
    <w:multiLevelType w:val="hybridMultilevel"/>
    <w:tmpl w:val="A466528C"/>
    <w:lvl w:ilvl="0" w:tplc="3FA60E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8C220F"/>
    <w:multiLevelType w:val="hybridMultilevel"/>
    <w:tmpl w:val="7A5206E0"/>
    <w:lvl w:ilvl="0" w:tplc="9044E70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581C50"/>
    <w:multiLevelType w:val="multilevel"/>
    <w:tmpl w:val="E56A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E72314E"/>
    <w:multiLevelType w:val="hybridMultilevel"/>
    <w:tmpl w:val="52AC1CD6"/>
    <w:lvl w:ilvl="0" w:tplc="AD3694D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0714718"/>
    <w:multiLevelType w:val="hybridMultilevel"/>
    <w:tmpl w:val="DA22F610"/>
    <w:lvl w:ilvl="0" w:tplc="698225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10F7F9B"/>
    <w:multiLevelType w:val="hybridMultilevel"/>
    <w:tmpl w:val="1D3CF966"/>
    <w:lvl w:ilvl="0" w:tplc="341692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C756A5"/>
    <w:multiLevelType w:val="multilevel"/>
    <w:tmpl w:val="81EA8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position w:val="0"/>
      </w:rPr>
    </w:lvl>
    <w:lvl w:ilvl="1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b/>
        <w:bCs/>
        <w:position w:val="0"/>
      </w:rPr>
    </w:lvl>
    <w:lvl w:ilvl="2">
      <w:start w:val="1"/>
      <w:numFmt w:val="decimal"/>
      <w:lvlText w:val="%1."/>
      <w:lvlJc w:val="left"/>
      <w:pPr>
        <w:tabs>
          <w:tab w:val="num" w:pos="1800"/>
        </w:tabs>
        <w:ind w:left="1080" w:hanging="360"/>
      </w:pPr>
      <w:rPr>
        <w:b/>
        <w:bCs/>
        <w:position w:val="0"/>
      </w:rPr>
    </w:lvl>
    <w:lvl w:ilvl="3">
      <w:start w:val="1"/>
      <w:numFmt w:val="decimal"/>
      <w:lvlText w:val="%1."/>
      <w:lvlJc w:val="left"/>
      <w:pPr>
        <w:tabs>
          <w:tab w:val="num" w:pos="2520"/>
        </w:tabs>
        <w:ind w:left="1440" w:hanging="360"/>
      </w:pPr>
      <w:rPr>
        <w:b/>
        <w:bCs/>
        <w:position w:val="0"/>
      </w:rPr>
    </w:lvl>
    <w:lvl w:ilvl="4">
      <w:start w:val="1"/>
      <w:numFmt w:val="decimal"/>
      <w:lvlText w:val="%1."/>
      <w:lvlJc w:val="left"/>
      <w:pPr>
        <w:tabs>
          <w:tab w:val="num" w:pos="3240"/>
        </w:tabs>
        <w:ind w:left="1800" w:hanging="360"/>
      </w:pPr>
      <w:rPr>
        <w:b/>
        <w:bCs/>
        <w:position w:val="0"/>
      </w:rPr>
    </w:lvl>
    <w:lvl w:ilvl="5">
      <w:start w:val="1"/>
      <w:numFmt w:val="decimal"/>
      <w:lvlText w:val="%1."/>
      <w:lvlJc w:val="left"/>
      <w:pPr>
        <w:tabs>
          <w:tab w:val="num" w:pos="3960"/>
        </w:tabs>
        <w:ind w:left="2160" w:hanging="360"/>
      </w:pPr>
      <w:rPr>
        <w:b/>
        <w:bCs/>
        <w:position w:val="0"/>
      </w:rPr>
    </w:lvl>
    <w:lvl w:ilvl="6">
      <w:start w:val="1"/>
      <w:numFmt w:val="decimal"/>
      <w:lvlText w:val="%1."/>
      <w:lvlJc w:val="left"/>
      <w:pPr>
        <w:tabs>
          <w:tab w:val="num" w:pos="4680"/>
        </w:tabs>
        <w:ind w:left="2520" w:hanging="360"/>
      </w:pPr>
      <w:rPr>
        <w:b/>
        <w:bCs/>
        <w:position w:val="0"/>
      </w:rPr>
    </w:lvl>
    <w:lvl w:ilvl="7">
      <w:start w:val="1"/>
      <w:numFmt w:val="decimal"/>
      <w:lvlText w:val="%1."/>
      <w:lvlJc w:val="left"/>
      <w:pPr>
        <w:tabs>
          <w:tab w:val="num" w:pos="5400"/>
        </w:tabs>
        <w:ind w:left="2880" w:hanging="360"/>
      </w:pPr>
      <w:rPr>
        <w:b/>
        <w:bCs/>
        <w:position w:val="0"/>
      </w:rPr>
    </w:lvl>
    <w:lvl w:ilvl="8">
      <w:start w:val="1"/>
      <w:numFmt w:val="decimal"/>
      <w:lvlText w:val="%1."/>
      <w:lvlJc w:val="left"/>
      <w:pPr>
        <w:tabs>
          <w:tab w:val="num" w:pos="6120"/>
        </w:tabs>
        <w:ind w:left="3240" w:hanging="360"/>
      </w:pPr>
      <w:rPr>
        <w:b/>
        <w:bCs/>
        <w:position w:val="0"/>
      </w:rPr>
    </w:lvl>
  </w:abstractNum>
  <w:abstractNum w:abstractNumId="25">
    <w:nsid w:val="53301AA0"/>
    <w:multiLevelType w:val="hybridMultilevel"/>
    <w:tmpl w:val="432C651E"/>
    <w:lvl w:ilvl="0" w:tplc="5B6E21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5F3587"/>
    <w:multiLevelType w:val="hybridMultilevel"/>
    <w:tmpl w:val="19540E4C"/>
    <w:lvl w:ilvl="0" w:tplc="FB9EA1F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A1E7DCC"/>
    <w:multiLevelType w:val="hybridMultilevel"/>
    <w:tmpl w:val="0DD64840"/>
    <w:lvl w:ilvl="0" w:tplc="7996ED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8D7748"/>
    <w:multiLevelType w:val="hybridMultilevel"/>
    <w:tmpl w:val="7632F7CA"/>
    <w:lvl w:ilvl="0" w:tplc="0B68EF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9F73FD"/>
    <w:multiLevelType w:val="hybridMultilevel"/>
    <w:tmpl w:val="68EC8C6A"/>
    <w:lvl w:ilvl="0" w:tplc="094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25475FB"/>
    <w:multiLevelType w:val="multilevel"/>
    <w:tmpl w:val="BEAA1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1">
    <w:nsid w:val="67186010"/>
    <w:multiLevelType w:val="hybridMultilevel"/>
    <w:tmpl w:val="CF92C196"/>
    <w:lvl w:ilvl="0" w:tplc="0C80FD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1B61A2F"/>
    <w:multiLevelType w:val="hybridMultilevel"/>
    <w:tmpl w:val="3138A070"/>
    <w:lvl w:ilvl="0" w:tplc="FBC41D9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6626966"/>
    <w:multiLevelType w:val="hybridMultilevel"/>
    <w:tmpl w:val="F7C84022"/>
    <w:lvl w:ilvl="0" w:tplc="B9965BA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A20842"/>
    <w:multiLevelType w:val="hybridMultilevel"/>
    <w:tmpl w:val="2496DD9C"/>
    <w:lvl w:ilvl="0" w:tplc="82FEE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A445CF6"/>
    <w:multiLevelType w:val="hybridMultilevel"/>
    <w:tmpl w:val="5106EB76"/>
    <w:lvl w:ilvl="0" w:tplc="3E20D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7C1C28"/>
    <w:multiLevelType w:val="hybridMultilevel"/>
    <w:tmpl w:val="A1442A5E"/>
    <w:lvl w:ilvl="0" w:tplc="C46E55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3A7FE3"/>
    <w:multiLevelType w:val="multilevel"/>
    <w:tmpl w:val="DFE28F0E"/>
    <w:styleLink w:val="List2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position w:val="0"/>
      </w:rPr>
    </w:lvl>
    <w:lvl w:ilvl="1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b/>
        <w:bCs/>
        <w:position w:val="0"/>
      </w:rPr>
    </w:lvl>
    <w:lvl w:ilvl="2">
      <w:start w:val="1"/>
      <w:numFmt w:val="decimal"/>
      <w:lvlText w:val="%1."/>
      <w:lvlJc w:val="left"/>
      <w:pPr>
        <w:tabs>
          <w:tab w:val="num" w:pos="1800"/>
        </w:tabs>
        <w:ind w:left="1080" w:hanging="360"/>
      </w:pPr>
      <w:rPr>
        <w:b/>
        <w:bCs/>
        <w:position w:val="0"/>
      </w:rPr>
    </w:lvl>
    <w:lvl w:ilvl="3">
      <w:start w:val="1"/>
      <w:numFmt w:val="decimal"/>
      <w:lvlText w:val="%1."/>
      <w:lvlJc w:val="left"/>
      <w:pPr>
        <w:tabs>
          <w:tab w:val="num" w:pos="2520"/>
        </w:tabs>
        <w:ind w:left="1440" w:hanging="360"/>
      </w:pPr>
      <w:rPr>
        <w:b/>
        <w:bCs/>
        <w:position w:val="0"/>
      </w:rPr>
    </w:lvl>
    <w:lvl w:ilvl="4">
      <w:start w:val="1"/>
      <w:numFmt w:val="decimal"/>
      <w:lvlText w:val="%1."/>
      <w:lvlJc w:val="left"/>
      <w:pPr>
        <w:tabs>
          <w:tab w:val="num" w:pos="3240"/>
        </w:tabs>
        <w:ind w:left="1800" w:hanging="360"/>
      </w:pPr>
      <w:rPr>
        <w:b/>
        <w:bCs/>
        <w:position w:val="0"/>
      </w:rPr>
    </w:lvl>
    <w:lvl w:ilvl="5">
      <w:start w:val="1"/>
      <w:numFmt w:val="decimal"/>
      <w:lvlText w:val="%1."/>
      <w:lvlJc w:val="left"/>
      <w:pPr>
        <w:tabs>
          <w:tab w:val="num" w:pos="3960"/>
        </w:tabs>
        <w:ind w:left="2160" w:hanging="360"/>
      </w:pPr>
      <w:rPr>
        <w:b/>
        <w:bCs/>
        <w:position w:val="0"/>
      </w:rPr>
    </w:lvl>
    <w:lvl w:ilvl="6">
      <w:start w:val="1"/>
      <w:numFmt w:val="decimal"/>
      <w:lvlText w:val="%1."/>
      <w:lvlJc w:val="left"/>
      <w:pPr>
        <w:tabs>
          <w:tab w:val="num" w:pos="4680"/>
        </w:tabs>
        <w:ind w:left="2520" w:hanging="360"/>
      </w:pPr>
      <w:rPr>
        <w:b/>
        <w:bCs/>
        <w:position w:val="0"/>
      </w:rPr>
    </w:lvl>
    <w:lvl w:ilvl="7">
      <w:start w:val="1"/>
      <w:numFmt w:val="decimal"/>
      <w:lvlText w:val="%1."/>
      <w:lvlJc w:val="left"/>
      <w:pPr>
        <w:tabs>
          <w:tab w:val="num" w:pos="5400"/>
        </w:tabs>
        <w:ind w:left="2880" w:hanging="360"/>
      </w:pPr>
      <w:rPr>
        <w:b/>
        <w:bCs/>
        <w:position w:val="0"/>
      </w:rPr>
    </w:lvl>
    <w:lvl w:ilvl="8">
      <w:start w:val="1"/>
      <w:numFmt w:val="decimal"/>
      <w:lvlText w:val="%1."/>
      <w:lvlJc w:val="left"/>
      <w:pPr>
        <w:tabs>
          <w:tab w:val="num" w:pos="6120"/>
        </w:tabs>
        <w:ind w:left="3240" w:hanging="360"/>
      </w:pPr>
      <w:rPr>
        <w:b/>
        <w:bCs/>
        <w:position w:val="0"/>
      </w:rPr>
    </w:lvl>
  </w:abstractNum>
  <w:abstractNum w:abstractNumId="38">
    <w:nsid w:val="7CEF2B34"/>
    <w:multiLevelType w:val="hybridMultilevel"/>
    <w:tmpl w:val="0E04EED6"/>
    <w:lvl w:ilvl="0" w:tplc="E50828AE">
      <w:start w:val="1"/>
      <w:numFmt w:val="lowerLetter"/>
      <w:lvlText w:val="%1)"/>
      <w:lvlJc w:val="left"/>
      <w:pPr>
        <w:ind w:left="720" w:hanging="360"/>
      </w:pPr>
      <w:rPr>
        <w:rFonts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3"/>
  </w:num>
  <w:num w:numId="4">
    <w:abstractNumId w:val="20"/>
  </w:num>
  <w:num w:numId="5">
    <w:abstractNumId w:val="7"/>
  </w:num>
  <w:num w:numId="6">
    <w:abstractNumId w:val="18"/>
  </w:num>
  <w:num w:numId="7">
    <w:abstractNumId w:val="21"/>
  </w:num>
  <w:num w:numId="8">
    <w:abstractNumId w:val="23"/>
  </w:num>
  <w:num w:numId="9">
    <w:abstractNumId w:val="12"/>
  </w:num>
  <w:num w:numId="10">
    <w:abstractNumId w:val="26"/>
  </w:num>
  <w:num w:numId="11">
    <w:abstractNumId w:val="22"/>
  </w:num>
  <w:num w:numId="12">
    <w:abstractNumId w:val="19"/>
  </w:num>
  <w:num w:numId="13">
    <w:abstractNumId w:val="25"/>
  </w:num>
  <w:num w:numId="14">
    <w:abstractNumId w:val="36"/>
  </w:num>
  <w:num w:numId="15">
    <w:abstractNumId w:val="38"/>
  </w:num>
  <w:num w:numId="16">
    <w:abstractNumId w:val="27"/>
  </w:num>
  <w:num w:numId="17">
    <w:abstractNumId w:val="2"/>
  </w:num>
  <w:num w:numId="18">
    <w:abstractNumId w:val="0"/>
  </w:num>
  <w:num w:numId="19">
    <w:abstractNumId w:val="31"/>
  </w:num>
  <w:num w:numId="20">
    <w:abstractNumId w:val="6"/>
  </w:num>
  <w:num w:numId="21">
    <w:abstractNumId w:val="13"/>
  </w:num>
  <w:num w:numId="22">
    <w:abstractNumId w:val="17"/>
  </w:num>
  <w:num w:numId="23">
    <w:abstractNumId w:val="5"/>
  </w:num>
  <w:num w:numId="24">
    <w:abstractNumId w:val="33"/>
  </w:num>
  <w:num w:numId="25">
    <w:abstractNumId w:val="35"/>
  </w:num>
  <w:num w:numId="26">
    <w:abstractNumId w:val="32"/>
  </w:num>
  <w:num w:numId="27">
    <w:abstractNumId w:val="15"/>
  </w:num>
  <w:num w:numId="28">
    <w:abstractNumId w:val="29"/>
  </w:num>
  <w:num w:numId="29">
    <w:abstractNumId w:val="30"/>
  </w:num>
  <w:num w:numId="30">
    <w:abstractNumId w:val="4"/>
  </w:num>
  <w:num w:numId="31">
    <w:abstractNumId w:val="10"/>
  </w:num>
  <w:num w:numId="32">
    <w:abstractNumId w:val="16"/>
  </w:num>
  <w:num w:numId="33">
    <w:abstractNumId w:val="1"/>
  </w:num>
  <w:num w:numId="34">
    <w:abstractNumId w:val="14"/>
  </w:num>
  <w:num w:numId="35">
    <w:abstractNumId w:val="34"/>
  </w:num>
  <w:num w:numId="36">
    <w:abstractNumId w:val="24"/>
  </w:num>
  <w:num w:numId="37">
    <w:abstractNumId w:val="37"/>
  </w:num>
  <w:num w:numId="38">
    <w:abstractNumId w:val="8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08"/>
    <w:rsid w:val="0000017E"/>
    <w:rsid w:val="000040BF"/>
    <w:rsid w:val="00011E33"/>
    <w:rsid w:val="00036983"/>
    <w:rsid w:val="00040AEE"/>
    <w:rsid w:val="00043414"/>
    <w:rsid w:val="0005009C"/>
    <w:rsid w:val="00050120"/>
    <w:rsid w:val="0006099D"/>
    <w:rsid w:val="00060B6B"/>
    <w:rsid w:val="00066BC2"/>
    <w:rsid w:val="00070E05"/>
    <w:rsid w:val="00071728"/>
    <w:rsid w:val="000719DE"/>
    <w:rsid w:val="0007468F"/>
    <w:rsid w:val="00075435"/>
    <w:rsid w:val="000807E0"/>
    <w:rsid w:val="00081198"/>
    <w:rsid w:val="00090AE2"/>
    <w:rsid w:val="00091759"/>
    <w:rsid w:val="0009434F"/>
    <w:rsid w:val="00094EFD"/>
    <w:rsid w:val="00095AEC"/>
    <w:rsid w:val="000A0C48"/>
    <w:rsid w:val="000A32C9"/>
    <w:rsid w:val="000A3847"/>
    <w:rsid w:val="000A399F"/>
    <w:rsid w:val="000B517C"/>
    <w:rsid w:val="000B7660"/>
    <w:rsid w:val="000C1258"/>
    <w:rsid w:val="000D213B"/>
    <w:rsid w:val="000D2654"/>
    <w:rsid w:val="000D2B57"/>
    <w:rsid w:val="000E5652"/>
    <w:rsid w:val="000E7225"/>
    <w:rsid w:val="000E7DD6"/>
    <w:rsid w:val="000F3974"/>
    <w:rsid w:val="00100CB8"/>
    <w:rsid w:val="001117D9"/>
    <w:rsid w:val="0011360D"/>
    <w:rsid w:val="00124467"/>
    <w:rsid w:val="00134A8F"/>
    <w:rsid w:val="00137D1D"/>
    <w:rsid w:val="00140D86"/>
    <w:rsid w:val="00145FFA"/>
    <w:rsid w:val="0015023F"/>
    <w:rsid w:val="00152010"/>
    <w:rsid w:val="0016022B"/>
    <w:rsid w:val="00170A9A"/>
    <w:rsid w:val="001766E5"/>
    <w:rsid w:val="001802CA"/>
    <w:rsid w:val="00190213"/>
    <w:rsid w:val="0019023C"/>
    <w:rsid w:val="00194E67"/>
    <w:rsid w:val="001A39FC"/>
    <w:rsid w:val="001A5BD5"/>
    <w:rsid w:val="001A5CD1"/>
    <w:rsid w:val="001A6D06"/>
    <w:rsid w:val="001B10B6"/>
    <w:rsid w:val="001B2182"/>
    <w:rsid w:val="001B4544"/>
    <w:rsid w:val="001D357A"/>
    <w:rsid w:val="001D372F"/>
    <w:rsid w:val="001D4157"/>
    <w:rsid w:val="001D69F2"/>
    <w:rsid w:val="001E14DC"/>
    <w:rsid w:val="001E6374"/>
    <w:rsid w:val="002035FC"/>
    <w:rsid w:val="00203C52"/>
    <w:rsid w:val="00204C9A"/>
    <w:rsid w:val="002057EA"/>
    <w:rsid w:val="00215ECA"/>
    <w:rsid w:val="00221A35"/>
    <w:rsid w:val="002236D3"/>
    <w:rsid w:val="00234160"/>
    <w:rsid w:val="002366DC"/>
    <w:rsid w:val="00243D4D"/>
    <w:rsid w:val="00262832"/>
    <w:rsid w:val="002665D6"/>
    <w:rsid w:val="00270948"/>
    <w:rsid w:val="0027754B"/>
    <w:rsid w:val="002866F8"/>
    <w:rsid w:val="00290722"/>
    <w:rsid w:val="00292A64"/>
    <w:rsid w:val="0029789B"/>
    <w:rsid w:val="002A162A"/>
    <w:rsid w:val="002A4284"/>
    <w:rsid w:val="002B4EF7"/>
    <w:rsid w:val="002C23D1"/>
    <w:rsid w:val="002C485C"/>
    <w:rsid w:val="002D2E45"/>
    <w:rsid w:val="002F2274"/>
    <w:rsid w:val="002F4C5B"/>
    <w:rsid w:val="00300003"/>
    <w:rsid w:val="0030662E"/>
    <w:rsid w:val="0030685D"/>
    <w:rsid w:val="00316952"/>
    <w:rsid w:val="00322AE5"/>
    <w:rsid w:val="00325F14"/>
    <w:rsid w:val="00326D8A"/>
    <w:rsid w:val="00340554"/>
    <w:rsid w:val="00340E08"/>
    <w:rsid w:val="0035209D"/>
    <w:rsid w:val="0035584F"/>
    <w:rsid w:val="00361209"/>
    <w:rsid w:val="003821F3"/>
    <w:rsid w:val="003823E7"/>
    <w:rsid w:val="003904A9"/>
    <w:rsid w:val="003B6F59"/>
    <w:rsid w:val="003C6763"/>
    <w:rsid w:val="003D513D"/>
    <w:rsid w:val="003E1C11"/>
    <w:rsid w:val="003E476E"/>
    <w:rsid w:val="003E4E9B"/>
    <w:rsid w:val="003E7A46"/>
    <w:rsid w:val="003F20E4"/>
    <w:rsid w:val="003F4305"/>
    <w:rsid w:val="003F6C42"/>
    <w:rsid w:val="0040441F"/>
    <w:rsid w:val="004156BA"/>
    <w:rsid w:val="0041605D"/>
    <w:rsid w:val="00426F28"/>
    <w:rsid w:val="00432CE0"/>
    <w:rsid w:val="004362CE"/>
    <w:rsid w:val="004407E8"/>
    <w:rsid w:val="00452705"/>
    <w:rsid w:val="00461B64"/>
    <w:rsid w:val="00470F24"/>
    <w:rsid w:val="00471A80"/>
    <w:rsid w:val="00475FC7"/>
    <w:rsid w:val="0048750E"/>
    <w:rsid w:val="004932ED"/>
    <w:rsid w:val="004A2AF8"/>
    <w:rsid w:val="004A3315"/>
    <w:rsid w:val="004A33FA"/>
    <w:rsid w:val="004A6A96"/>
    <w:rsid w:val="004A7C63"/>
    <w:rsid w:val="004B1C5B"/>
    <w:rsid w:val="004B4243"/>
    <w:rsid w:val="004B7EC7"/>
    <w:rsid w:val="004D183C"/>
    <w:rsid w:val="004E4A3E"/>
    <w:rsid w:val="004E57F9"/>
    <w:rsid w:val="004E5DD1"/>
    <w:rsid w:val="004E62E3"/>
    <w:rsid w:val="004F0911"/>
    <w:rsid w:val="004F234A"/>
    <w:rsid w:val="004F4C1D"/>
    <w:rsid w:val="00503E2D"/>
    <w:rsid w:val="0050566A"/>
    <w:rsid w:val="005109E0"/>
    <w:rsid w:val="00513BE0"/>
    <w:rsid w:val="00522974"/>
    <w:rsid w:val="00534A93"/>
    <w:rsid w:val="00535FBA"/>
    <w:rsid w:val="00537320"/>
    <w:rsid w:val="00545EC6"/>
    <w:rsid w:val="00545EF2"/>
    <w:rsid w:val="00553192"/>
    <w:rsid w:val="00555EFB"/>
    <w:rsid w:val="00571134"/>
    <w:rsid w:val="00571A17"/>
    <w:rsid w:val="0057643D"/>
    <w:rsid w:val="005771EF"/>
    <w:rsid w:val="0057783D"/>
    <w:rsid w:val="00582D2F"/>
    <w:rsid w:val="00591538"/>
    <w:rsid w:val="00595FFC"/>
    <w:rsid w:val="005A08D1"/>
    <w:rsid w:val="005A45A1"/>
    <w:rsid w:val="005B2D90"/>
    <w:rsid w:val="005B38E4"/>
    <w:rsid w:val="005C69CA"/>
    <w:rsid w:val="005D46AD"/>
    <w:rsid w:val="005D5241"/>
    <w:rsid w:val="005E1032"/>
    <w:rsid w:val="005E52ED"/>
    <w:rsid w:val="005F1BC7"/>
    <w:rsid w:val="005F241F"/>
    <w:rsid w:val="00601A0D"/>
    <w:rsid w:val="00601AE3"/>
    <w:rsid w:val="00601B0D"/>
    <w:rsid w:val="00602D77"/>
    <w:rsid w:val="00606E7A"/>
    <w:rsid w:val="0060742B"/>
    <w:rsid w:val="006158D2"/>
    <w:rsid w:val="00626327"/>
    <w:rsid w:val="006264C4"/>
    <w:rsid w:val="006269F6"/>
    <w:rsid w:val="00635D9B"/>
    <w:rsid w:val="00637581"/>
    <w:rsid w:val="0064086E"/>
    <w:rsid w:val="00642A46"/>
    <w:rsid w:val="006455B9"/>
    <w:rsid w:val="00645665"/>
    <w:rsid w:val="00646C70"/>
    <w:rsid w:val="00650E29"/>
    <w:rsid w:val="0066396B"/>
    <w:rsid w:val="00663B41"/>
    <w:rsid w:val="00672093"/>
    <w:rsid w:val="0067243F"/>
    <w:rsid w:val="006725B3"/>
    <w:rsid w:val="006842B7"/>
    <w:rsid w:val="00690222"/>
    <w:rsid w:val="00692A1C"/>
    <w:rsid w:val="006A4F9B"/>
    <w:rsid w:val="006B574B"/>
    <w:rsid w:val="006C531A"/>
    <w:rsid w:val="006D0D5F"/>
    <w:rsid w:val="006D5AC3"/>
    <w:rsid w:val="006D70B2"/>
    <w:rsid w:val="006D7626"/>
    <w:rsid w:val="006E2EBF"/>
    <w:rsid w:val="006F0AF7"/>
    <w:rsid w:val="006F14BB"/>
    <w:rsid w:val="006F5C93"/>
    <w:rsid w:val="007002C9"/>
    <w:rsid w:val="00705026"/>
    <w:rsid w:val="00711BC7"/>
    <w:rsid w:val="007202AF"/>
    <w:rsid w:val="007238CB"/>
    <w:rsid w:val="00732F7D"/>
    <w:rsid w:val="00743A3B"/>
    <w:rsid w:val="007660FF"/>
    <w:rsid w:val="007731E5"/>
    <w:rsid w:val="00782AB3"/>
    <w:rsid w:val="00790E92"/>
    <w:rsid w:val="007A0163"/>
    <w:rsid w:val="007A37E6"/>
    <w:rsid w:val="007A48A7"/>
    <w:rsid w:val="007B5560"/>
    <w:rsid w:val="007B6DC8"/>
    <w:rsid w:val="007C07C6"/>
    <w:rsid w:val="007C5E01"/>
    <w:rsid w:val="007C7D56"/>
    <w:rsid w:val="007C7FC8"/>
    <w:rsid w:val="007D17C1"/>
    <w:rsid w:val="007F1DAA"/>
    <w:rsid w:val="007F2F17"/>
    <w:rsid w:val="007F4F0D"/>
    <w:rsid w:val="00811291"/>
    <w:rsid w:val="00817253"/>
    <w:rsid w:val="00825502"/>
    <w:rsid w:val="0082784C"/>
    <w:rsid w:val="00832537"/>
    <w:rsid w:val="00833043"/>
    <w:rsid w:val="00833CCD"/>
    <w:rsid w:val="008439CA"/>
    <w:rsid w:val="008456A5"/>
    <w:rsid w:val="00846621"/>
    <w:rsid w:val="00871423"/>
    <w:rsid w:val="0087345A"/>
    <w:rsid w:val="00875E48"/>
    <w:rsid w:val="008820A1"/>
    <w:rsid w:val="00883999"/>
    <w:rsid w:val="0089061A"/>
    <w:rsid w:val="0089249A"/>
    <w:rsid w:val="00896E48"/>
    <w:rsid w:val="008A14C0"/>
    <w:rsid w:val="008A7672"/>
    <w:rsid w:val="008A79D7"/>
    <w:rsid w:val="008B1F3B"/>
    <w:rsid w:val="008B683C"/>
    <w:rsid w:val="008B7051"/>
    <w:rsid w:val="008B7624"/>
    <w:rsid w:val="008C6997"/>
    <w:rsid w:val="008E6271"/>
    <w:rsid w:val="008E6469"/>
    <w:rsid w:val="008F3F2C"/>
    <w:rsid w:val="009060D2"/>
    <w:rsid w:val="00907D74"/>
    <w:rsid w:val="00913143"/>
    <w:rsid w:val="00915D7E"/>
    <w:rsid w:val="00932520"/>
    <w:rsid w:val="00933EA5"/>
    <w:rsid w:val="009370B2"/>
    <w:rsid w:val="00942906"/>
    <w:rsid w:val="00944F9A"/>
    <w:rsid w:val="00952D95"/>
    <w:rsid w:val="00953D83"/>
    <w:rsid w:val="00960544"/>
    <w:rsid w:val="0096665B"/>
    <w:rsid w:val="0096761B"/>
    <w:rsid w:val="009712E8"/>
    <w:rsid w:val="00973A0D"/>
    <w:rsid w:val="00976461"/>
    <w:rsid w:val="0097657B"/>
    <w:rsid w:val="00987A73"/>
    <w:rsid w:val="009965CB"/>
    <w:rsid w:val="009A0120"/>
    <w:rsid w:val="009A0318"/>
    <w:rsid w:val="009C6EFC"/>
    <w:rsid w:val="009D3FF8"/>
    <w:rsid w:val="009E10D4"/>
    <w:rsid w:val="009F0C8B"/>
    <w:rsid w:val="009F2CF2"/>
    <w:rsid w:val="009F567F"/>
    <w:rsid w:val="009F7CD8"/>
    <w:rsid w:val="00A02075"/>
    <w:rsid w:val="00A03FC8"/>
    <w:rsid w:val="00A04BC2"/>
    <w:rsid w:val="00A05622"/>
    <w:rsid w:val="00A2310D"/>
    <w:rsid w:val="00A269AB"/>
    <w:rsid w:val="00A2739C"/>
    <w:rsid w:val="00A30F64"/>
    <w:rsid w:val="00A333D7"/>
    <w:rsid w:val="00A33A0F"/>
    <w:rsid w:val="00A42802"/>
    <w:rsid w:val="00A542B8"/>
    <w:rsid w:val="00A54308"/>
    <w:rsid w:val="00A55A49"/>
    <w:rsid w:val="00A61385"/>
    <w:rsid w:val="00A61F38"/>
    <w:rsid w:val="00A75B78"/>
    <w:rsid w:val="00A92698"/>
    <w:rsid w:val="00A958A4"/>
    <w:rsid w:val="00AA2685"/>
    <w:rsid w:val="00AA3298"/>
    <w:rsid w:val="00AA58F8"/>
    <w:rsid w:val="00AA626C"/>
    <w:rsid w:val="00AA7171"/>
    <w:rsid w:val="00AC4A12"/>
    <w:rsid w:val="00AC4B76"/>
    <w:rsid w:val="00AD0116"/>
    <w:rsid w:val="00AD2C11"/>
    <w:rsid w:val="00AD46CA"/>
    <w:rsid w:val="00AE5236"/>
    <w:rsid w:val="00AF0FB0"/>
    <w:rsid w:val="00AF1546"/>
    <w:rsid w:val="00AF219C"/>
    <w:rsid w:val="00AF5E0A"/>
    <w:rsid w:val="00AF6707"/>
    <w:rsid w:val="00AF7D10"/>
    <w:rsid w:val="00B0122C"/>
    <w:rsid w:val="00B041C9"/>
    <w:rsid w:val="00B06A31"/>
    <w:rsid w:val="00B075AA"/>
    <w:rsid w:val="00B10B47"/>
    <w:rsid w:val="00B12AEC"/>
    <w:rsid w:val="00B132F6"/>
    <w:rsid w:val="00B167A8"/>
    <w:rsid w:val="00B26EC3"/>
    <w:rsid w:val="00B310F4"/>
    <w:rsid w:val="00B327EA"/>
    <w:rsid w:val="00B522DD"/>
    <w:rsid w:val="00B52AC5"/>
    <w:rsid w:val="00B54B7B"/>
    <w:rsid w:val="00B602E2"/>
    <w:rsid w:val="00B60BD9"/>
    <w:rsid w:val="00B8060C"/>
    <w:rsid w:val="00BA20B4"/>
    <w:rsid w:val="00BA30C3"/>
    <w:rsid w:val="00BA3877"/>
    <w:rsid w:val="00BD176A"/>
    <w:rsid w:val="00BE7431"/>
    <w:rsid w:val="00BE7EB6"/>
    <w:rsid w:val="00BF0473"/>
    <w:rsid w:val="00BF0B2A"/>
    <w:rsid w:val="00BF176E"/>
    <w:rsid w:val="00C03CF6"/>
    <w:rsid w:val="00C15A6D"/>
    <w:rsid w:val="00C16901"/>
    <w:rsid w:val="00C23AD2"/>
    <w:rsid w:val="00C240FE"/>
    <w:rsid w:val="00C30567"/>
    <w:rsid w:val="00C31645"/>
    <w:rsid w:val="00C33466"/>
    <w:rsid w:val="00C4117D"/>
    <w:rsid w:val="00C41B80"/>
    <w:rsid w:val="00C445C5"/>
    <w:rsid w:val="00C46E9C"/>
    <w:rsid w:val="00C47A5F"/>
    <w:rsid w:val="00C53A2A"/>
    <w:rsid w:val="00C543BB"/>
    <w:rsid w:val="00C63B54"/>
    <w:rsid w:val="00C71F14"/>
    <w:rsid w:val="00C73A6A"/>
    <w:rsid w:val="00C756CB"/>
    <w:rsid w:val="00C779D2"/>
    <w:rsid w:val="00C80767"/>
    <w:rsid w:val="00C83246"/>
    <w:rsid w:val="00C97FCF"/>
    <w:rsid w:val="00CB02F7"/>
    <w:rsid w:val="00CB12EF"/>
    <w:rsid w:val="00CB289B"/>
    <w:rsid w:val="00CC74DF"/>
    <w:rsid w:val="00CD0E33"/>
    <w:rsid w:val="00CD331A"/>
    <w:rsid w:val="00CD7C9E"/>
    <w:rsid w:val="00CE0A68"/>
    <w:rsid w:val="00CE62F7"/>
    <w:rsid w:val="00CF4731"/>
    <w:rsid w:val="00CF55AE"/>
    <w:rsid w:val="00CF7918"/>
    <w:rsid w:val="00D00845"/>
    <w:rsid w:val="00D030B0"/>
    <w:rsid w:val="00D0337A"/>
    <w:rsid w:val="00D05A8C"/>
    <w:rsid w:val="00D17154"/>
    <w:rsid w:val="00D17FE3"/>
    <w:rsid w:val="00D21209"/>
    <w:rsid w:val="00D2169C"/>
    <w:rsid w:val="00D3032B"/>
    <w:rsid w:val="00D42C36"/>
    <w:rsid w:val="00D43FC4"/>
    <w:rsid w:val="00D45437"/>
    <w:rsid w:val="00D515D1"/>
    <w:rsid w:val="00D568A2"/>
    <w:rsid w:val="00D63A40"/>
    <w:rsid w:val="00D70B6F"/>
    <w:rsid w:val="00D73ADF"/>
    <w:rsid w:val="00D83603"/>
    <w:rsid w:val="00D85316"/>
    <w:rsid w:val="00D87694"/>
    <w:rsid w:val="00D90567"/>
    <w:rsid w:val="00D94A03"/>
    <w:rsid w:val="00DB7748"/>
    <w:rsid w:val="00DD4188"/>
    <w:rsid w:val="00DD56F8"/>
    <w:rsid w:val="00DE6DF4"/>
    <w:rsid w:val="00DE7552"/>
    <w:rsid w:val="00DF4426"/>
    <w:rsid w:val="00E04EB8"/>
    <w:rsid w:val="00E07E7F"/>
    <w:rsid w:val="00E208E7"/>
    <w:rsid w:val="00E268DB"/>
    <w:rsid w:val="00E329A3"/>
    <w:rsid w:val="00E3709A"/>
    <w:rsid w:val="00E40975"/>
    <w:rsid w:val="00E473F9"/>
    <w:rsid w:val="00E61BB6"/>
    <w:rsid w:val="00E72564"/>
    <w:rsid w:val="00E80B60"/>
    <w:rsid w:val="00E80D1D"/>
    <w:rsid w:val="00E81DFC"/>
    <w:rsid w:val="00E84540"/>
    <w:rsid w:val="00E87EC5"/>
    <w:rsid w:val="00E92184"/>
    <w:rsid w:val="00E92314"/>
    <w:rsid w:val="00E937E8"/>
    <w:rsid w:val="00E95D40"/>
    <w:rsid w:val="00EA5B09"/>
    <w:rsid w:val="00EA7500"/>
    <w:rsid w:val="00EB09B6"/>
    <w:rsid w:val="00EC1060"/>
    <w:rsid w:val="00ED11D2"/>
    <w:rsid w:val="00ED335E"/>
    <w:rsid w:val="00EF7139"/>
    <w:rsid w:val="00F01A1A"/>
    <w:rsid w:val="00F02646"/>
    <w:rsid w:val="00F06202"/>
    <w:rsid w:val="00F128C1"/>
    <w:rsid w:val="00F14B25"/>
    <w:rsid w:val="00F220F9"/>
    <w:rsid w:val="00F222EB"/>
    <w:rsid w:val="00F228F9"/>
    <w:rsid w:val="00F34620"/>
    <w:rsid w:val="00F3683E"/>
    <w:rsid w:val="00F425D0"/>
    <w:rsid w:val="00F45EC8"/>
    <w:rsid w:val="00F516D2"/>
    <w:rsid w:val="00F61832"/>
    <w:rsid w:val="00F6465E"/>
    <w:rsid w:val="00F70199"/>
    <w:rsid w:val="00F70E48"/>
    <w:rsid w:val="00F73795"/>
    <w:rsid w:val="00F7522C"/>
    <w:rsid w:val="00F76A6D"/>
    <w:rsid w:val="00F8188C"/>
    <w:rsid w:val="00F9250C"/>
    <w:rsid w:val="00FA6A51"/>
    <w:rsid w:val="00FB22E3"/>
    <w:rsid w:val="00FB389E"/>
    <w:rsid w:val="00FB79CD"/>
    <w:rsid w:val="00FC231A"/>
    <w:rsid w:val="00FC5AB8"/>
    <w:rsid w:val="00FD2D51"/>
    <w:rsid w:val="00FE0BAB"/>
    <w:rsid w:val="00FE3B2F"/>
    <w:rsid w:val="00FE469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82E1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4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D37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2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A5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268DB"/>
  </w:style>
  <w:style w:type="character" w:customStyle="1" w:styleId="Heading3Char">
    <w:name w:val="Heading 3 Char"/>
    <w:basedOn w:val="DefaultParagraphFont"/>
    <w:link w:val="Heading3"/>
    <w:uiPriority w:val="9"/>
    <w:rsid w:val="001D372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nhideWhenUsed/>
    <w:rsid w:val="001D3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372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D372F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2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15">
    <w:name w:val="s_15"/>
    <w:basedOn w:val="Normal"/>
    <w:rsid w:val="00CB1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DefaultParagraphFont"/>
    <w:rsid w:val="00CB12EF"/>
  </w:style>
  <w:style w:type="paragraph" w:customStyle="1" w:styleId="s9">
    <w:name w:val="s_9"/>
    <w:basedOn w:val="Normal"/>
    <w:rsid w:val="00CB1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Normal"/>
    <w:rsid w:val="00CB1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Normal"/>
    <w:rsid w:val="00CB1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7E8"/>
    <w:rPr>
      <w:rFonts w:ascii="Tahoma" w:hAnsi="Tahoma" w:cs="Tahoma"/>
      <w:sz w:val="16"/>
      <w:szCs w:val="16"/>
    </w:rPr>
  </w:style>
  <w:style w:type="character" w:customStyle="1" w:styleId="docheader">
    <w:name w:val="doc_header"/>
    <w:basedOn w:val="DefaultParagraphFont"/>
    <w:rsid w:val="007731E5"/>
  </w:style>
  <w:style w:type="paragraph" w:customStyle="1" w:styleId="point">
    <w:name w:val="point"/>
    <w:basedOn w:val="Normal"/>
    <w:rsid w:val="0009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Normal"/>
    <w:rsid w:val="0009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B22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4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26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9F6"/>
  </w:style>
  <w:style w:type="paragraph" w:styleId="Footer">
    <w:name w:val="footer"/>
    <w:basedOn w:val="Normal"/>
    <w:link w:val="FooterChar"/>
    <w:uiPriority w:val="99"/>
    <w:unhideWhenUsed/>
    <w:rsid w:val="00626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9F6"/>
  </w:style>
  <w:style w:type="character" w:styleId="CommentReference">
    <w:name w:val="annotation reference"/>
    <w:basedOn w:val="DefaultParagraphFont"/>
    <w:uiPriority w:val="99"/>
    <w:semiHidden/>
    <w:unhideWhenUsed/>
    <w:rsid w:val="00A958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8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8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8A4"/>
    <w:rPr>
      <w:b/>
      <w:bCs/>
      <w:sz w:val="20"/>
      <w:szCs w:val="20"/>
    </w:rPr>
  </w:style>
  <w:style w:type="character" w:customStyle="1" w:styleId="s0">
    <w:name w:val="s0"/>
    <w:rsid w:val="00E80D1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styleId="TableGrid">
    <w:name w:val="Table Grid"/>
    <w:basedOn w:val="TableNormal"/>
    <w:uiPriority w:val="59"/>
    <w:rsid w:val="00432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21">
    <w:name w:val="List 21"/>
    <w:basedOn w:val="NoList"/>
    <w:rsid w:val="00B26EC3"/>
    <w:pPr>
      <w:numPr>
        <w:numId w:val="37"/>
      </w:numPr>
    </w:pPr>
  </w:style>
  <w:style w:type="paragraph" w:customStyle="1" w:styleId="Body">
    <w:name w:val="Body"/>
    <w:rsid w:val="002057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numbering" w:customStyle="1" w:styleId="List0">
    <w:name w:val="List 0"/>
    <w:basedOn w:val="NoList"/>
    <w:rsid w:val="002057EA"/>
    <w:pPr>
      <w:numPr>
        <w:numId w:val="3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4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D37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2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A5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268DB"/>
  </w:style>
  <w:style w:type="character" w:customStyle="1" w:styleId="Heading3Char">
    <w:name w:val="Heading 3 Char"/>
    <w:basedOn w:val="DefaultParagraphFont"/>
    <w:link w:val="Heading3"/>
    <w:uiPriority w:val="9"/>
    <w:rsid w:val="001D372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nhideWhenUsed/>
    <w:rsid w:val="001D3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372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D372F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2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15">
    <w:name w:val="s_15"/>
    <w:basedOn w:val="Normal"/>
    <w:rsid w:val="00CB1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DefaultParagraphFont"/>
    <w:rsid w:val="00CB12EF"/>
  </w:style>
  <w:style w:type="paragraph" w:customStyle="1" w:styleId="s9">
    <w:name w:val="s_9"/>
    <w:basedOn w:val="Normal"/>
    <w:rsid w:val="00CB1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Normal"/>
    <w:rsid w:val="00CB1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Normal"/>
    <w:rsid w:val="00CB1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7E8"/>
    <w:rPr>
      <w:rFonts w:ascii="Tahoma" w:hAnsi="Tahoma" w:cs="Tahoma"/>
      <w:sz w:val="16"/>
      <w:szCs w:val="16"/>
    </w:rPr>
  </w:style>
  <w:style w:type="character" w:customStyle="1" w:styleId="docheader">
    <w:name w:val="doc_header"/>
    <w:basedOn w:val="DefaultParagraphFont"/>
    <w:rsid w:val="007731E5"/>
  </w:style>
  <w:style w:type="paragraph" w:customStyle="1" w:styleId="point">
    <w:name w:val="point"/>
    <w:basedOn w:val="Normal"/>
    <w:rsid w:val="0009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Normal"/>
    <w:rsid w:val="0009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B22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4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26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9F6"/>
  </w:style>
  <w:style w:type="paragraph" w:styleId="Footer">
    <w:name w:val="footer"/>
    <w:basedOn w:val="Normal"/>
    <w:link w:val="FooterChar"/>
    <w:uiPriority w:val="99"/>
    <w:unhideWhenUsed/>
    <w:rsid w:val="00626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9F6"/>
  </w:style>
  <w:style w:type="character" w:styleId="CommentReference">
    <w:name w:val="annotation reference"/>
    <w:basedOn w:val="DefaultParagraphFont"/>
    <w:uiPriority w:val="99"/>
    <w:semiHidden/>
    <w:unhideWhenUsed/>
    <w:rsid w:val="00A958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8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8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8A4"/>
    <w:rPr>
      <w:b/>
      <w:bCs/>
      <w:sz w:val="20"/>
      <w:szCs w:val="20"/>
    </w:rPr>
  </w:style>
  <w:style w:type="character" w:customStyle="1" w:styleId="s0">
    <w:name w:val="s0"/>
    <w:rsid w:val="00E80D1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styleId="TableGrid">
    <w:name w:val="Table Grid"/>
    <w:basedOn w:val="TableNormal"/>
    <w:uiPriority w:val="59"/>
    <w:rsid w:val="00432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21">
    <w:name w:val="List 21"/>
    <w:basedOn w:val="NoList"/>
    <w:rsid w:val="00B26EC3"/>
    <w:pPr>
      <w:numPr>
        <w:numId w:val="37"/>
      </w:numPr>
    </w:pPr>
  </w:style>
  <w:style w:type="paragraph" w:customStyle="1" w:styleId="Body">
    <w:name w:val="Body"/>
    <w:rsid w:val="002057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numbering" w:customStyle="1" w:styleId="List0">
    <w:name w:val="List 0"/>
    <w:basedOn w:val="NoList"/>
    <w:rsid w:val="002057EA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41AEF-9FC7-4B58-B8C6-53A2E624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833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 Tapu</dc:creator>
  <cp:lastModifiedBy>Valentina Chiper</cp:lastModifiedBy>
  <cp:revision>38</cp:revision>
  <cp:lastPrinted>2013-08-06T06:45:00Z</cp:lastPrinted>
  <dcterms:created xsi:type="dcterms:W3CDTF">2016-05-08T15:33:00Z</dcterms:created>
  <dcterms:modified xsi:type="dcterms:W3CDTF">2016-05-11T07:40:00Z</dcterms:modified>
</cp:coreProperties>
</file>