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EF" w:rsidRPr="00DD689E" w:rsidRDefault="007D68EF" w:rsidP="00CD460C">
      <w:pPr>
        <w:pStyle w:val="tt"/>
        <w:jc w:val="right"/>
        <w:rPr>
          <w:b w:val="0"/>
          <w:bCs w:val="0"/>
          <w:i/>
          <w:iCs/>
          <w:sz w:val="20"/>
          <w:szCs w:val="20"/>
          <w:lang w:val="ro-RO"/>
        </w:rPr>
      </w:pPr>
      <w:r w:rsidRPr="00DD689E">
        <w:rPr>
          <w:b w:val="0"/>
          <w:bCs w:val="0"/>
          <w:i/>
          <w:iCs/>
          <w:sz w:val="20"/>
          <w:szCs w:val="20"/>
          <w:lang w:val="ro-RO"/>
        </w:rPr>
        <w:t>Proiect</w:t>
      </w:r>
    </w:p>
    <w:p w:rsidR="007D68EF" w:rsidRPr="00DD689E" w:rsidRDefault="007D68EF" w:rsidP="00CD460C">
      <w:pPr>
        <w:pStyle w:val="tt"/>
        <w:jc w:val="right"/>
        <w:rPr>
          <w:i/>
          <w:iCs/>
          <w:sz w:val="28"/>
          <w:szCs w:val="28"/>
          <w:lang w:val="ro-RO"/>
        </w:rPr>
      </w:pPr>
    </w:p>
    <w:p w:rsidR="007D68EF" w:rsidRPr="00DD689E" w:rsidRDefault="007D68EF" w:rsidP="00CD460C">
      <w:pPr>
        <w:pStyle w:val="tt"/>
        <w:jc w:val="right"/>
        <w:rPr>
          <w:sz w:val="28"/>
          <w:szCs w:val="28"/>
          <w:lang w:val="ro-RO"/>
        </w:rPr>
      </w:pPr>
    </w:p>
    <w:p w:rsidR="007D68EF" w:rsidRPr="00DD689E" w:rsidRDefault="007D68EF" w:rsidP="00CD460C">
      <w:pPr>
        <w:pStyle w:val="tt"/>
        <w:rPr>
          <w:sz w:val="28"/>
          <w:szCs w:val="28"/>
          <w:lang w:val="ro-RO"/>
        </w:rPr>
      </w:pPr>
    </w:p>
    <w:p w:rsidR="007D68EF" w:rsidRPr="00DD689E" w:rsidRDefault="007D68EF" w:rsidP="00CD460C">
      <w:pPr>
        <w:pStyle w:val="tt"/>
        <w:rPr>
          <w:sz w:val="28"/>
          <w:szCs w:val="28"/>
          <w:lang w:val="ro-RO"/>
        </w:rPr>
      </w:pPr>
    </w:p>
    <w:p w:rsidR="007D68EF" w:rsidRPr="00DD689E" w:rsidRDefault="007D68EF" w:rsidP="00CD460C">
      <w:pPr>
        <w:pStyle w:val="tt"/>
        <w:rPr>
          <w:sz w:val="28"/>
          <w:szCs w:val="28"/>
          <w:lang w:val="ro-RO"/>
        </w:rPr>
      </w:pPr>
      <w:r w:rsidRPr="00DD689E">
        <w:rPr>
          <w:sz w:val="28"/>
          <w:szCs w:val="28"/>
          <w:lang w:val="ro-RO"/>
        </w:rPr>
        <w:t xml:space="preserve">L E G E </w:t>
      </w:r>
    </w:p>
    <w:p w:rsidR="007D68EF" w:rsidRPr="00DD689E" w:rsidRDefault="007D68EF" w:rsidP="00CD460C">
      <w:pPr>
        <w:pStyle w:val="tt"/>
        <w:rPr>
          <w:sz w:val="28"/>
          <w:szCs w:val="28"/>
          <w:lang w:val="ro-RO"/>
        </w:rPr>
      </w:pPr>
    </w:p>
    <w:p w:rsidR="007D68EF" w:rsidRPr="00DD689E" w:rsidRDefault="007D68EF" w:rsidP="00C52D72">
      <w:pPr>
        <w:pStyle w:val="cn"/>
        <w:rPr>
          <w:b/>
          <w:bCs/>
          <w:sz w:val="28"/>
          <w:szCs w:val="28"/>
          <w:lang w:val="ro-RO"/>
        </w:rPr>
      </w:pPr>
      <w:r w:rsidRPr="00DD689E">
        <w:rPr>
          <w:b/>
          <w:bCs/>
          <w:sz w:val="28"/>
          <w:szCs w:val="28"/>
          <w:lang w:val="ro-RO"/>
        </w:rPr>
        <w:t xml:space="preserve">pentru modificarea </w:t>
      </w:r>
      <w:r w:rsidR="00C52D72">
        <w:rPr>
          <w:b/>
          <w:bCs/>
          <w:sz w:val="28"/>
          <w:szCs w:val="28"/>
          <w:lang w:val="ro-RO"/>
        </w:rPr>
        <w:t>și completarea unor acte legislative</w:t>
      </w:r>
    </w:p>
    <w:p w:rsidR="007D68EF" w:rsidRPr="00DD689E" w:rsidRDefault="007D68EF" w:rsidP="00CD460C">
      <w:pPr>
        <w:pStyle w:val="cn"/>
        <w:rPr>
          <w:b/>
          <w:bCs/>
          <w:sz w:val="28"/>
          <w:szCs w:val="28"/>
          <w:lang w:val="ro-RO"/>
        </w:rPr>
      </w:pPr>
      <w:r w:rsidRPr="00DD689E">
        <w:rPr>
          <w:b/>
          <w:bCs/>
          <w:sz w:val="28"/>
          <w:szCs w:val="28"/>
          <w:lang w:val="ro-RO"/>
        </w:rPr>
        <w:t> </w:t>
      </w:r>
    </w:p>
    <w:p w:rsidR="007D68EF" w:rsidRPr="00DD689E" w:rsidRDefault="007D68EF" w:rsidP="00CD460C">
      <w:pPr>
        <w:pStyle w:val="cn"/>
        <w:rPr>
          <w:b/>
          <w:bCs/>
          <w:sz w:val="28"/>
          <w:szCs w:val="28"/>
          <w:lang w:val="ro-RO"/>
        </w:rPr>
      </w:pPr>
      <w:r w:rsidRPr="00DD689E">
        <w:rPr>
          <w:b/>
          <w:bCs/>
          <w:sz w:val="28"/>
          <w:szCs w:val="28"/>
          <w:lang w:val="ro-RO"/>
        </w:rPr>
        <w:t xml:space="preserve">nr._____   din_______________  </w:t>
      </w:r>
    </w:p>
    <w:p w:rsidR="007D68EF" w:rsidRPr="00DD689E" w:rsidRDefault="007D68EF" w:rsidP="00CD460C">
      <w:pPr>
        <w:pStyle w:val="cn"/>
        <w:rPr>
          <w:sz w:val="28"/>
          <w:szCs w:val="28"/>
          <w:lang w:val="ro-RO"/>
        </w:rPr>
      </w:pPr>
    </w:p>
    <w:p w:rsidR="007D68EF" w:rsidRPr="00DD689E" w:rsidRDefault="007D68EF" w:rsidP="00CD460C">
      <w:pPr>
        <w:pStyle w:val="cn"/>
        <w:rPr>
          <w:sz w:val="28"/>
          <w:szCs w:val="28"/>
          <w:lang w:val="ro-RO"/>
        </w:rPr>
      </w:pPr>
      <w:r w:rsidRPr="00DD689E">
        <w:rPr>
          <w:sz w:val="28"/>
          <w:szCs w:val="28"/>
          <w:lang w:val="ro-RO"/>
        </w:rPr>
        <w:t> </w:t>
      </w:r>
    </w:p>
    <w:p w:rsidR="007D68EF" w:rsidRPr="00DD689E" w:rsidRDefault="007D68EF" w:rsidP="00CD460C">
      <w:pPr>
        <w:pStyle w:val="NormalWeb"/>
        <w:rPr>
          <w:sz w:val="28"/>
          <w:szCs w:val="28"/>
          <w:lang w:val="ro-RO"/>
        </w:rPr>
      </w:pPr>
      <w:r w:rsidRPr="00DD689E">
        <w:rPr>
          <w:sz w:val="28"/>
          <w:szCs w:val="28"/>
          <w:lang w:val="ro-RO"/>
        </w:rPr>
        <w:t>Parlamentul adoptă prezenta lege organică.</w:t>
      </w:r>
    </w:p>
    <w:p w:rsidR="007D68EF" w:rsidRPr="00DD689E" w:rsidRDefault="007D68EF" w:rsidP="00CD460C">
      <w:pPr>
        <w:pStyle w:val="NormalWeb"/>
        <w:rPr>
          <w:sz w:val="28"/>
          <w:szCs w:val="28"/>
          <w:lang w:val="ro-RO"/>
        </w:rPr>
      </w:pPr>
      <w:r w:rsidRPr="00DD689E">
        <w:rPr>
          <w:sz w:val="28"/>
          <w:szCs w:val="28"/>
          <w:lang w:val="ro-RO"/>
        </w:rPr>
        <w:t> </w:t>
      </w:r>
    </w:p>
    <w:p w:rsidR="007D68EF" w:rsidRPr="00DD689E" w:rsidRDefault="007D68EF" w:rsidP="00CD460C">
      <w:pPr>
        <w:pStyle w:val="ListParagraph1"/>
        <w:tabs>
          <w:tab w:val="left" w:pos="-284"/>
        </w:tabs>
        <w:spacing w:after="0" w:line="240" w:lineRule="auto"/>
        <w:ind w:left="-284"/>
        <w:jc w:val="both"/>
        <w:rPr>
          <w:rFonts w:ascii="Times New Roman" w:hAnsi="Times New Roman" w:cs="Times New Roman"/>
          <w:sz w:val="28"/>
          <w:szCs w:val="28"/>
          <w:lang w:val="ro-RO"/>
        </w:rPr>
      </w:pPr>
      <w:r w:rsidRPr="00DD689E">
        <w:rPr>
          <w:rFonts w:ascii="Times New Roman" w:hAnsi="Times New Roman" w:cs="Times New Roman"/>
          <w:b/>
          <w:bCs/>
          <w:sz w:val="28"/>
          <w:szCs w:val="28"/>
          <w:lang w:val="ro-RO"/>
        </w:rPr>
        <w:t>Art</w:t>
      </w:r>
      <w:r w:rsidR="00ED6417" w:rsidRPr="00DD689E">
        <w:rPr>
          <w:rFonts w:ascii="Times New Roman" w:hAnsi="Times New Roman" w:cs="Times New Roman"/>
          <w:b/>
          <w:bCs/>
          <w:sz w:val="28"/>
          <w:szCs w:val="28"/>
          <w:lang w:val="ro-RO"/>
        </w:rPr>
        <w:t xml:space="preserve">.I. </w:t>
      </w:r>
      <w:r w:rsidRPr="00DD689E">
        <w:rPr>
          <w:rFonts w:ascii="Times New Roman" w:hAnsi="Times New Roman" w:cs="Times New Roman"/>
          <w:b/>
          <w:bCs/>
          <w:sz w:val="28"/>
          <w:szCs w:val="28"/>
          <w:lang w:val="ro-RO"/>
        </w:rPr>
        <w:t xml:space="preserve">– </w:t>
      </w:r>
      <w:r w:rsidRPr="00DD689E">
        <w:rPr>
          <w:rFonts w:ascii="Times New Roman" w:hAnsi="Times New Roman" w:cs="Times New Roman"/>
          <w:sz w:val="28"/>
          <w:szCs w:val="28"/>
          <w:lang w:val="ro-RO"/>
        </w:rPr>
        <w:t xml:space="preserve">Legea Republicii Moldova nr.131 din 3.07.2015 privind achiziţiile publice (Monitorul Oficial al Republicii Moldova, 2015, nr.197-205, </w:t>
      </w:r>
      <w:r w:rsidR="008F5A7C" w:rsidRPr="00DD689E">
        <w:rPr>
          <w:rFonts w:ascii="Times New Roman" w:hAnsi="Times New Roman" w:cs="Times New Roman"/>
          <w:sz w:val="28"/>
          <w:szCs w:val="28"/>
          <w:lang w:val="ro-RO"/>
        </w:rPr>
        <w:t>art.</w:t>
      </w:r>
      <w:r w:rsidRPr="00DD689E">
        <w:rPr>
          <w:rFonts w:ascii="Times New Roman" w:hAnsi="Times New Roman" w:cs="Times New Roman"/>
          <w:sz w:val="28"/>
          <w:szCs w:val="28"/>
          <w:lang w:val="ro-RO"/>
        </w:rPr>
        <w:t>402)</w:t>
      </w:r>
      <w:r w:rsidR="004C7D80" w:rsidRPr="00DD689E">
        <w:rPr>
          <w:rFonts w:ascii="Times New Roman" w:hAnsi="Times New Roman" w:cs="Times New Roman"/>
          <w:sz w:val="28"/>
          <w:szCs w:val="28"/>
          <w:lang w:val="ro-RO"/>
        </w:rPr>
        <w:t>, se modifică după cum urmează:</w:t>
      </w:r>
    </w:p>
    <w:p w:rsidR="00022699" w:rsidRPr="00DD689E" w:rsidRDefault="00022699" w:rsidP="00CD460C">
      <w:pPr>
        <w:jc w:val="both"/>
        <w:rPr>
          <w:rFonts w:ascii="Times New Roman" w:hAnsi="Times New Roman"/>
          <w:sz w:val="28"/>
          <w:szCs w:val="28"/>
          <w:lang w:val="ro-RO"/>
        </w:rPr>
      </w:pPr>
    </w:p>
    <w:p w:rsidR="007D68EF" w:rsidRPr="00DD689E" w:rsidRDefault="00D05727" w:rsidP="00CD460C">
      <w:pPr>
        <w:jc w:val="both"/>
        <w:rPr>
          <w:rFonts w:ascii="Times New Roman" w:hAnsi="Times New Roman"/>
          <w:sz w:val="28"/>
          <w:szCs w:val="28"/>
          <w:lang w:val="ro-RO"/>
        </w:rPr>
      </w:pPr>
      <w:r w:rsidRPr="00DD689E">
        <w:rPr>
          <w:rFonts w:ascii="Times New Roman" w:hAnsi="Times New Roman"/>
          <w:b/>
          <w:sz w:val="28"/>
          <w:szCs w:val="28"/>
          <w:lang w:val="ro-RO"/>
        </w:rPr>
        <w:t xml:space="preserve">1. </w:t>
      </w:r>
      <w:r w:rsidR="00A64011"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 xml:space="preserve">articolul </w:t>
      </w:r>
      <w:r w:rsidR="00A64011" w:rsidRPr="00DD689E">
        <w:rPr>
          <w:rFonts w:ascii="Times New Roman" w:hAnsi="Times New Roman"/>
          <w:sz w:val="28"/>
          <w:szCs w:val="28"/>
          <w:lang w:val="ro-RO"/>
        </w:rPr>
        <w:t>1</w:t>
      </w:r>
      <w:r w:rsidR="007D68EF" w:rsidRPr="00DD689E">
        <w:rPr>
          <w:rFonts w:ascii="Times New Roman" w:hAnsi="Times New Roman"/>
          <w:sz w:val="28"/>
          <w:szCs w:val="28"/>
          <w:lang w:val="ro-RO"/>
        </w:rPr>
        <w:t>:</w:t>
      </w:r>
    </w:p>
    <w:p w:rsidR="00022699" w:rsidRPr="00DD689E" w:rsidRDefault="00A64011" w:rsidP="00CD460C">
      <w:pPr>
        <w:ind w:firstLine="720"/>
        <w:jc w:val="both"/>
        <w:rPr>
          <w:rFonts w:ascii="Times New Roman" w:hAnsi="Times New Roman"/>
          <w:sz w:val="28"/>
          <w:szCs w:val="28"/>
          <w:lang w:val="ro-RO"/>
        </w:rPr>
      </w:pPr>
      <w:r w:rsidRPr="00DD689E">
        <w:rPr>
          <w:rFonts w:ascii="Times New Roman" w:hAnsi="Times New Roman"/>
          <w:sz w:val="28"/>
          <w:szCs w:val="28"/>
          <w:lang w:val="ro-RO"/>
        </w:rPr>
        <w:t>definiția</w:t>
      </w:r>
      <w:r w:rsidR="00D05727" w:rsidRPr="00DD689E">
        <w:rPr>
          <w:rFonts w:ascii="Times New Roman" w:hAnsi="Times New Roman"/>
          <w:sz w:val="28"/>
          <w:szCs w:val="28"/>
          <w:lang w:val="ro-RO"/>
        </w:rPr>
        <w:t xml:space="preserve"> </w:t>
      </w:r>
      <w:r w:rsidR="007D68EF" w:rsidRPr="00DD689E">
        <w:rPr>
          <w:rFonts w:ascii="Times New Roman" w:hAnsi="Times New Roman"/>
          <w:sz w:val="28"/>
          <w:szCs w:val="28"/>
          <w:lang w:val="ro-RO"/>
        </w:rPr>
        <w:t>„Agenția de Soluționare a Contestațiilor</w:t>
      </w:r>
      <w:r w:rsidR="00CF60FA" w:rsidRPr="00DD689E">
        <w:rPr>
          <w:rFonts w:ascii="Times New Roman" w:hAnsi="Times New Roman"/>
          <w:sz w:val="28"/>
          <w:szCs w:val="28"/>
          <w:lang w:val="ro-RO"/>
        </w:rPr>
        <w:t xml:space="preserve">” </w:t>
      </w:r>
      <w:r w:rsidRPr="00DD689E">
        <w:rPr>
          <w:rFonts w:ascii="Times New Roman" w:hAnsi="Times New Roman"/>
          <w:sz w:val="28"/>
          <w:szCs w:val="28"/>
          <w:lang w:val="ro-RO"/>
        </w:rPr>
        <w:t xml:space="preserve">se modifică și va avea următorul </w:t>
      </w:r>
      <w:r w:rsidR="007D68EF" w:rsidRPr="00DD689E">
        <w:rPr>
          <w:rFonts w:ascii="Times New Roman" w:hAnsi="Times New Roman"/>
          <w:sz w:val="28"/>
          <w:szCs w:val="28"/>
          <w:lang w:val="ro-RO"/>
        </w:rPr>
        <w:t>cuprins</w:t>
      </w:r>
      <w:r w:rsidRPr="00DD689E">
        <w:rPr>
          <w:rFonts w:ascii="Times New Roman" w:hAnsi="Times New Roman"/>
          <w:sz w:val="28"/>
          <w:szCs w:val="28"/>
          <w:lang w:val="ro-RO"/>
        </w:rPr>
        <w:t>:</w:t>
      </w:r>
    </w:p>
    <w:p w:rsidR="00D05727" w:rsidRPr="00DD689E" w:rsidRDefault="00D05727"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 autoritate independentă, care soluţionează contestaţiile formulate în cadrul procedurilor de achiziţie publică</w:t>
      </w:r>
      <w:r w:rsidR="00D964DE" w:rsidRPr="00DD689E">
        <w:rPr>
          <w:rFonts w:ascii="Times New Roman" w:hAnsi="Times New Roman"/>
          <w:sz w:val="28"/>
          <w:szCs w:val="28"/>
          <w:lang w:val="ro-RO"/>
        </w:rPr>
        <w:t>”</w:t>
      </w:r>
      <w:r w:rsidRPr="00DD689E">
        <w:rPr>
          <w:rFonts w:ascii="Times New Roman" w:hAnsi="Times New Roman"/>
          <w:sz w:val="28"/>
          <w:szCs w:val="28"/>
          <w:lang w:val="ro-RO"/>
        </w:rPr>
        <w:t>;</w:t>
      </w:r>
    </w:p>
    <w:p w:rsidR="007D68EF" w:rsidRPr="00DD689E" w:rsidRDefault="007D68EF" w:rsidP="00CD460C">
      <w:pPr>
        <w:ind w:firstLine="720"/>
        <w:jc w:val="both"/>
        <w:rPr>
          <w:rFonts w:ascii="Times New Roman" w:hAnsi="Times New Roman"/>
          <w:sz w:val="28"/>
          <w:szCs w:val="28"/>
          <w:lang w:val="ro-RO"/>
        </w:rPr>
      </w:pPr>
      <w:r w:rsidRPr="00DD689E">
        <w:rPr>
          <w:rFonts w:ascii="Times New Roman" w:hAnsi="Times New Roman"/>
          <w:sz w:val="28"/>
          <w:szCs w:val="28"/>
          <w:lang w:val="ro-RO"/>
        </w:rPr>
        <w:t>definiția „contract de achiziţii publice de lucrări</w:t>
      </w:r>
      <w:r w:rsidR="00D964DE" w:rsidRPr="00DD689E">
        <w:rPr>
          <w:rFonts w:ascii="Times New Roman" w:hAnsi="Times New Roman"/>
          <w:sz w:val="28"/>
          <w:szCs w:val="28"/>
          <w:lang w:val="ro-RO"/>
        </w:rPr>
        <w:t>”</w:t>
      </w:r>
      <w:r w:rsidRPr="00DD689E">
        <w:rPr>
          <w:rFonts w:ascii="Times New Roman" w:hAnsi="Times New Roman"/>
          <w:sz w:val="28"/>
          <w:szCs w:val="28"/>
          <w:lang w:val="ro-RO"/>
        </w:rPr>
        <w:t xml:space="preserve"> se modifică și va avea următorul cuprins:</w:t>
      </w:r>
    </w:p>
    <w:p w:rsidR="00F1017F" w:rsidRPr="00DD689E" w:rsidRDefault="00D964DE"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contract de achiziţii publice de lucrări – contract de achiziţii publice avînd ca obiect fie execuţia, fie atît proiectarea, cît şi execuţia unor lucrări aferente activităţilor enumerate în Anexa 1 la această lege, sau a unei construcţii, fie realizarea, prin orice mijloace, a unei construcţii care să răspundă unor necesităţi precizate de autoritatea contractantă.</w:t>
      </w:r>
      <w:r w:rsidRPr="00DD689E">
        <w:rPr>
          <w:rFonts w:ascii="Times New Roman" w:hAnsi="Times New Roman"/>
          <w:sz w:val="28"/>
          <w:szCs w:val="28"/>
          <w:lang w:val="ro-RO"/>
        </w:rPr>
        <w:t>”</w:t>
      </w:r>
    </w:p>
    <w:p w:rsidR="00A64011" w:rsidRPr="00DD689E" w:rsidRDefault="00A64011" w:rsidP="00CD460C">
      <w:pPr>
        <w:jc w:val="both"/>
        <w:rPr>
          <w:rFonts w:ascii="Times New Roman" w:hAnsi="Times New Roman"/>
          <w:sz w:val="28"/>
          <w:szCs w:val="28"/>
          <w:lang w:val="ro-RO"/>
        </w:rPr>
      </w:pPr>
    </w:p>
    <w:p w:rsidR="00F1017F" w:rsidRPr="00DD689E" w:rsidRDefault="007D68EF" w:rsidP="00CD460C">
      <w:pPr>
        <w:jc w:val="both"/>
        <w:rPr>
          <w:rFonts w:ascii="Times New Roman" w:hAnsi="Times New Roman"/>
          <w:sz w:val="28"/>
          <w:szCs w:val="28"/>
          <w:lang w:val="ro-RO"/>
        </w:rPr>
      </w:pPr>
      <w:r w:rsidRPr="00DD689E">
        <w:rPr>
          <w:rFonts w:ascii="Times New Roman" w:hAnsi="Times New Roman"/>
          <w:b/>
          <w:sz w:val="28"/>
          <w:szCs w:val="28"/>
          <w:lang w:val="ro-RO"/>
        </w:rPr>
        <w:t xml:space="preserve">2. </w:t>
      </w:r>
      <w:r w:rsidR="00322702"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 xml:space="preserve">articolul </w:t>
      </w:r>
      <w:r w:rsidR="00322702" w:rsidRPr="00DD689E">
        <w:rPr>
          <w:rFonts w:ascii="Times New Roman" w:hAnsi="Times New Roman"/>
          <w:sz w:val="28"/>
          <w:szCs w:val="28"/>
          <w:lang w:val="ro-RO"/>
        </w:rPr>
        <w:t xml:space="preserve">4 </w:t>
      </w:r>
      <w:r w:rsidR="008F5A7C" w:rsidRPr="00DD689E">
        <w:rPr>
          <w:rFonts w:ascii="Times New Roman" w:hAnsi="Times New Roman"/>
          <w:sz w:val="28"/>
          <w:szCs w:val="28"/>
          <w:lang w:val="ro-RO"/>
        </w:rPr>
        <w:t xml:space="preserve">alineatul </w:t>
      </w:r>
      <w:r w:rsidR="00322702" w:rsidRPr="00DD689E">
        <w:rPr>
          <w:rFonts w:ascii="Times New Roman" w:hAnsi="Times New Roman"/>
          <w:sz w:val="28"/>
          <w:szCs w:val="28"/>
          <w:lang w:val="ro-RO"/>
        </w:rPr>
        <w:t xml:space="preserve">(1), </w:t>
      </w:r>
      <w:r w:rsidR="008F5A7C" w:rsidRPr="00DD689E">
        <w:rPr>
          <w:rFonts w:ascii="Times New Roman" w:hAnsi="Times New Roman"/>
          <w:sz w:val="28"/>
          <w:szCs w:val="28"/>
          <w:lang w:val="ro-RO"/>
        </w:rPr>
        <w:t>liteta</w:t>
      </w:r>
      <w:r w:rsidR="00322702" w:rsidRPr="00DD689E">
        <w:rPr>
          <w:rFonts w:ascii="Times New Roman" w:hAnsi="Times New Roman"/>
          <w:sz w:val="28"/>
          <w:szCs w:val="28"/>
          <w:lang w:val="ro-RO"/>
        </w:rPr>
        <w:t xml:space="preserve"> k) se exclude.</w:t>
      </w:r>
    </w:p>
    <w:p w:rsidR="00F1017F" w:rsidRPr="00DD689E" w:rsidRDefault="00F1017F" w:rsidP="00CD460C">
      <w:pPr>
        <w:jc w:val="both"/>
        <w:rPr>
          <w:rFonts w:ascii="Times New Roman" w:hAnsi="Times New Roman"/>
          <w:sz w:val="28"/>
          <w:szCs w:val="28"/>
          <w:lang w:val="ro-RO"/>
        </w:rPr>
      </w:pPr>
    </w:p>
    <w:p w:rsidR="00F1017F" w:rsidRPr="00DD689E" w:rsidRDefault="007D68EF" w:rsidP="00CD460C">
      <w:pPr>
        <w:jc w:val="both"/>
        <w:rPr>
          <w:rFonts w:ascii="Times New Roman" w:hAnsi="Times New Roman"/>
          <w:b/>
          <w:sz w:val="28"/>
          <w:szCs w:val="28"/>
          <w:lang w:val="ro-RO"/>
        </w:rPr>
      </w:pPr>
      <w:r w:rsidRPr="00DD689E">
        <w:rPr>
          <w:rFonts w:ascii="Times New Roman" w:hAnsi="Times New Roman"/>
          <w:b/>
          <w:sz w:val="28"/>
          <w:szCs w:val="28"/>
          <w:lang w:val="ro-RO"/>
        </w:rPr>
        <w:t xml:space="preserve">3. </w:t>
      </w:r>
      <w:r w:rsidR="00630BA8"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 xml:space="preserve">articolul </w:t>
      </w:r>
      <w:r w:rsidR="00630BA8" w:rsidRPr="00DD689E">
        <w:rPr>
          <w:rFonts w:ascii="Times New Roman" w:hAnsi="Times New Roman"/>
          <w:sz w:val="28"/>
          <w:szCs w:val="28"/>
          <w:lang w:val="ro-RO"/>
        </w:rPr>
        <w:t>45</w:t>
      </w:r>
      <w:r w:rsidR="00656A65" w:rsidRPr="00DD689E">
        <w:rPr>
          <w:rFonts w:ascii="Times New Roman" w:hAnsi="Times New Roman"/>
          <w:sz w:val="28"/>
          <w:szCs w:val="28"/>
          <w:lang w:val="ro-RO"/>
        </w:rPr>
        <w:t>,</w:t>
      </w:r>
      <w:r w:rsidR="00630BA8" w:rsidRPr="00DD689E">
        <w:rPr>
          <w:rFonts w:ascii="Times New Roman" w:hAnsi="Times New Roman"/>
          <w:sz w:val="28"/>
          <w:szCs w:val="28"/>
          <w:lang w:val="ro-RO"/>
        </w:rPr>
        <w:t xml:space="preserve"> alineatele (1)-(</w:t>
      </w:r>
      <w:r w:rsidR="00BC232E" w:rsidRPr="00DD689E">
        <w:rPr>
          <w:rFonts w:ascii="Times New Roman" w:hAnsi="Times New Roman"/>
          <w:sz w:val="28"/>
          <w:szCs w:val="28"/>
          <w:lang w:val="ro-RO"/>
        </w:rPr>
        <w:t>4</w:t>
      </w:r>
      <w:r w:rsidR="00630BA8" w:rsidRPr="00DD689E">
        <w:rPr>
          <w:rFonts w:ascii="Times New Roman" w:hAnsi="Times New Roman"/>
          <w:sz w:val="28"/>
          <w:szCs w:val="28"/>
          <w:lang w:val="ro-RO"/>
        </w:rPr>
        <w:t>) se modifică</w:t>
      </w:r>
      <w:r w:rsidR="00C80130" w:rsidRPr="00DD689E">
        <w:rPr>
          <w:rFonts w:ascii="Times New Roman" w:hAnsi="Times New Roman"/>
          <w:sz w:val="28"/>
          <w:szCs w:val="28"/>
          <w:lang w:val="ro-RO"/>
        </w:rPr>
        <w:t xml:space="preserve"> și vor avea următorul </w:t>
      </w:r>
      <w:r w:rsidRPr="00DD689E">
        <w:rPr>
          <w:rFonts w:ascii="Times New Roman" w:hAnsi="Times New Roman"/>
          <w:sz w:val="28"/>
          <w:szCs w:val="28"/>
          <w:lang w:val="ro-RO"/>
        </w:rPr>
        <w:t>cuprins</w:t>
      </w:r>
      <w:r w:rsidR="00C80130" w:rsidRPr="00DD689E">
        <w:rPr>
          <w:rFonts w:ascii="Times New Roman" w:hAnsi="Times New Roman"/>
          <w:sz w:val="28"/>
          <w:szCs w:val="28"/>
          <w:lang w:val="ro-RO"/>
        </w:rPr>
        <w:t>:</w:t>
      </w:r>
    </w:p>
    <w:p w:rsidR="00F1017F" w:rsidRPr="00DD689E" w:rsidRDefault="007D68EF"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 xml:space="preserve">(1) Procedura de licitaţie deschisă cuprinde oferte ale tuturor operatorilor economici care doresc să participe la licitaţie. Autoritatea contractantă publică, în prealabil, un anunț de participare la licitaţia deschisă pentru informarea potenţialilor participanţi, astfel încît aceştia să îşi poată pregăti ofertele. Anunțul de participare la licitația deschisă se publică conform </w:t>
      </w:r>
      <w:r w:rsidRPr="00DD689E">
        <w:rPr>
          <w:rFonts w:ascii="Times New Roman" w:hAnsi="Times New Roman"/>
          <w:sz w:val="28"/>
          <w:szCs w:val="28"/>
          <w:lang w:val="ro-RO"/>
        </w:rPr>
        <w:t>a</w:t>
      </w:r>
      <w:r w:rsidR="00F1017F" w:rsidRPr="00DD689E">
        <w:rPr>
          <w:rFonts w:ascii="Times New Roman" w:hAnsi="Times New Roman"/>
          <w:sz w:val="28"/>
          <w:szCs w:val="28"/>
          <w:lang w:val="ro-RO"/>
        </w:rPr>
        <w:t>rt</w:t>
      </w:r>
      <w:r w:rsidRPr="00DD689E">
        <w:rPr>
          <w:rFonts w:ascii="Times New Roman" w:hAnsi="Times New Roman"/>
          <w:sz w:val="28"/>
          <w:szCs w:val="28"/>
          <w:lang w:val="ro-RO"/>
        </w:rPr>
        <w:t>.</w:t>
      </w:r>
      <w:r w:rsidR="008F5A7C" w:rsidRPr="00DD689E">
        <w:rPr>
          <w:rFonts w:ascii="Times New Roman" w:hAnsi="Times New Roman"/>
          <w:sz w:val="28"/>
          <w:szCs w:val="28"/>
          <w:lang w:val="ro-RO"/>
        </w:rPr>
        <w:t xml:space="preserve"> </w:t>
      </w:r>
      <w:r w:rsidR="00F1017F" w:rsidRPr="00DD689E">
        <w:rPr>
          <w:rFonts w:ascii="Times New Roman" w:hAnsi="Times New Roman"/>
          <w:sz w:val="28"/>
          <w:szCs w:val="28"/>
          <w:lang w:val="ro-RO"/>
        </w:rPr>
        <w:t xml:space="preserve">28 </w:t>
      </w:r>
      <w:r w:rsidRPr="00DD689E">
        <w:rPr>
          <w:rFonts w:ascii="Times New Roman" w:hAnsi="Times New Roman"/>
          <w:sz w:val="28"/>
          <w:szCs w:val="28"/>
          <w:lang w:val="ro-RO"/>
        </w:rPr>
        <w:t xml:space="preserve">alin. </w:t>
      </w:r>
      <w:r w:rsidR="00F1017F" w:rsidRPr="00DD689E">
        <w:rPr>
          <w:rFonts w:ascii="Times New Roman" w:hAnsi="Times New Roman"/>
          <w:sz w:val="28"/>
          <w:szCs w:val="28"/>
          <w:lang w:val="ro-RO"/>
        </w:rPr>
        <w:t xml:space="preserve">(1). </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 În cazul achiziţiilor publice în care valoarea contractului care urmează să fie atribuit, estimată conform prevederilor </w:t>
      </w:r>
      <w:r w:rsidR="007D68EF" w:rsidRPr="00DD689E">
        <w:rPr>
          <w:rFonts w:ascii="Times New Roman" w:hAnsi="Times New Roman"/>
          <w:sz w:val="28"/>
          <w:szCs w:val="28"/>
          <w:lang w:val="ro-RO"/>
        </w:rPr>
        <w:t xml:space="preserve">art. </w:t>
      </w:r>
      <w:r w:rsidRPr="00DD689E">
        <w:rPr>
          <w:rFonts w:ascii="Times New Roman" w:hAnsi="Times New Roman"/>
          <w:sz w:val="28"/>
          <w:szCs w:val="28"/>
          <w:lang w:val="ro-RO"/>
        </w:rPr>
        <w:t xml:space="preserve">3, este egală cu sau mai mare decît pragurile prevăzute la </w:t>
      </w:r>
      <w:r w:rsidR="007D68EF"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7D68EF" w:rsidRPr="00DD689E">
        <w:rPr>
          <w:rFonts w:ascii="Times New Roman" w:hAnsi="Times New Roman"/>
          <w:sz w:val="28"/>
          <w:szCs w:val="28"/>
          <w:lang w:val="ro-RO"/>
        </w:rPr>
        <w:t>alin.</w:t>
      </w:r>
      <w:r w:rsidRPr="00DD689E">
        <w:rPr>
          <w:rFonts w:ascii="Times New Roman" w:hAnsi="Times New Roman"/>
          <w:sz w:val="28"/>
          <w:szCs w:val="28"/>
          <w:lang w:val="ro-RO"/>
        </w:rPr>
        <w:t xml:space="preserve"> (3), anunţul de participare va fi de asemenea publicat în Jurnalul Oficial al Uniunii Europene.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lastRenderedPageBreak/>
        <w:t xml:space="preserve">(3)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mai mică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7D68EF" w:rsidRPr="00DD689E">
        <w:rPr>
          <w:rFonts w:ascii="Times New Roman" w:hAnsi="Times New Roman"/>
          <w:sz w:val="28"/>
          <w:szCs w:val="28"/>
          <w:lang w:val="ro-RO"/>
        </w:rPr>
        <w:t>art</w:t>
      </w:r>
      <w:r w:rsidR="008F5A7C" w:rsidRPr="00DD689E">
        <w:rPr>
          <w:rFonts w:ascii="Times New Roman" w:hAnsi="Times New Roman"/>
          <w:sz w:val="28"/>
          <w:szCs w:val="28"/>
          <w:lang w:val="ro-RO"/>
        </w:rPr>
        <w:t>.</w:t>
      </w:r>
      <w:r w:rsidR="007D68EF" w:rsidRPr="00DD689E">
        <w:rPr>
          <w:rFonts w:ascii="Times New Roman" w:hAnsi="Times New Roman"/>
          <w:sz w:val="28"/>
          <w:szCs w:val="28"/>
          <w:lang w:val="ro-RO"/>
        </w:rPr>
        <w:t xml:space="preserve"> </w:t>
      </w:r>
      <w:r w:rsidRPr="00DD689E">
        <w:rPr>
          <w:rFonts w:ascii="Times New Roman" w:hAnsi="Times New Roman"/>
          <w:sz w:val="28"/>
          <w:szCs w:val="28"/>
          <w:lang w:val="ro-RO"/>
        </w:rPr>
        <w:t xml:space="preserve">2 </w:t>
      </w:r>
      <w:r w:rsidR="007D68EF" w:rsidRPr="00DD689E">
        <w:rPr>
          <w:rFonts w:ascii="Times New Roman" w:hAnsi="Times New Roman"/>
          <w:sz w:val="28"/>
          <w:szCs w:val="28"/>
          <w:lang w:val="ro-RO"/>
        </w:rPr>
        <w:t>alin</w:t>
      </w:r>
      <w:r w:rsidR="008F5A7C" w:rsidRPr="00DD689E">
        <w:rPr>
          <w:rFonts w:ascii="Times New Roman" w:hAnsi="Times New Roman"/>
          <w:sz w:val="28"/>
          <w:szCs w:val="28"/>
          <w:lang w:val="ro-RO"/>
        </w:rPr>
        <w:t>.</w:t>
      </w:r>
      <w:r w:rsidR="007D68EF" w:rsidRPr="00DD689E">
        <w:rPr>
          <w:rFonts w:ascii="Times New Roman" w:hAnsi="Times New Roman"/>
          <w:sz w:val="28"/>
          <w:szCs w:val="28"/>
          <w:lang w:val="ro-RO"/>
        </w:rPr>
        <w:t xml:space="preserve"> </w:t>
      </w:r>
      <w:r w:rsidRPr="00DD689E">
        <w:rPr>
          <w:rFonts w:ascii="Times New Roman" w:hAnsi="Times New Roman"/>
          <w:sz w:val="28"/>
          <w:szCs w:val="28"/>
          <w:lang w:val="ro-RO"/>
        </w:rPr>
        <w:t xml:space="preserve">(3), perioada cuprinsă între data transmiterii anunțului de participare spre publicare în </w:t>
      </w:r>
      <w:r w:rsidR="00BC232E" w:rsidRPr="00DD689E">
        <w:rPr>
          <w:rFonts w:ascii="Times New Roman" w:hAnsi="Times New Roman"/>
          <w:sz w:val="28"/>
          <w:szCs w:val="28"/>
          <w:lang w:val="ro-RO"/>
        </w:rPr>
        <w:t>Buletinul achizițiilor publice</w:t>
      </w:r>
      <w:r w:rsidRPr="00DD689E">
        <w:rPr>
          <w:rFonts w:ascii="Times New Roman" w:hAnsi="Times New Roman"/>
          <w:sz w:val="28"/>
          <w:szCs w:val="28"/>
          <w:lang w:val="ro-RO"/>
        </w:rPr>
        <w:t xml:space="preserve"> și </w:t>
      </w:r>
      <w:r w:rsidR="00BD72AE" w:rsidRPr="00DD689E">
        <w:rPr>
          <w:rFonts w:ascii="Times New Roman" w:hAnsi="Times New Roman"/>
          <w:sz w:val="28"/>
          <w:szCs w:val="28"/>
          <w:lang w:val="ro-RO"/>
        </w:rPr>
        <w:t xml:space="preserve">data-limită </w:t>
      </w:r>
      <w:r w:rsidRPr="00DD689E">
        <w:rPr>
          <w:rFonts w:ascii="Times New Roman" w:hAnsi="Times New Roman"/>
          <w:sz w:val="28"/>
          <w:szCs w:val="28"/>
          <w:lang w:val="ro-RO"/>
        </w:rPr>
        <w:t>de depunere a ofertelor trebuie să fie de cel puțin 20 de zile.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(4)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perioada cuprinsă între data transmiterii anunțului de participare spre publicare în </w:t>
      </w:r>
      <w:r w:rsidR="00BC232E" w:rsidRPr="00DD689E">
        <w:rPr>
          <w:rFonts w:ascii="Times New Roman" w:hAnsi="Times New Roman"/>
          <w:sz w:val="28"/>
          <w:szCs w:val="28"/>
          <w:lang w:val="ro-RO"/>
        </w:rPr>
        <w:t>Buletinul achizițiilor publice</w:t>
      </w:r>
      <w:r w:rsidRPr="00DD689E">
        <w:rPr>
          <w:rFonts w:ascii="Times New Roman" w:hAnsi="Times New Roman"/>
          <w:sz w:val="28"/>
          <w:szCs w:val="28"/>
          <w:lang w:val="ro-RO"/>
        </w:rPr>
        <w:t xml:space="preserve"> și, după caz, în Jurnalul Oficial al Uniunii Europene, </w:t>
      </w:r>
      <w:r w:rsidR="00BC232E" w:rsidRPr="00DD689E">
        <w:rPr>
          <w:rFonts w:ascii="Times New Roman" w:hAnsi="Times New Roman"/>
          <w:sz w:val="28"/>
          <w:szCs w:val="28"/>
          <w:lang w:val="ro-RO"/>
        </w:rPr>
        <w:t>și data-limită</w:t>
      </w:r>
      <w:r w:rsidRPr="00DD689E">
        <w:rPr>
          <w:rFonts w:ascii="Times New Roman" w:hAnsi="Times New Roman"/>
          <w:sz w:val="28"/>
          <w:szCs w:val="28"/>
          <w:lang w:val="ro-RO"/>
        </w:rPr>
        <w:t xml:space="preserve"> de depunere a ofertelor trebuie să fie de cel puțin 52 de zile.</w:t>
      </w:r>
      <w:r w:rsidR="00D964DE" w:rsidRPr="00DD689E">
        <w:rPr>
          <w:rFonts w:ascii="Times New Roman" w:hAnsi="Times New Roman"/>
          <w:sz w:val="28"/>
          <w:szCs w:val="28"/>
          <w:lang w:val="ro-RO"/>
        </w:rPr>
        <w:t>”</w:t>
      </w:r>
    </w:p>
    <w:p w:rsidR="00F1017F" w:rsidRPr="00DD689E" w:rsidRDefault="00F1017F" w:rsidP="00CD460C">
      <w:pPr>
        <w:jc w:val="both"/>
        <w:rPr>
          <w:rFonts w:ascii="Times New Roman" w:hAnsi="Times New Roman"/>
          <w:sz w:val="28"/>
          <w:szCs w:val="28"/>
          <w:u w:val="single"/>
          <w:lang w:val="ro-RO"/>
        </w:rPr>
      </w:pPr>
    </w:p>
    <w:p w:rsidR="00F1017F" w:rsidRPr="00DD689E" w:rsidRDefault="008F5A7C" w:rsidP="00CD460C">
      <w:pPr>
        <w:jc w:val="both"/>
        <w:rPr>
          <w:rFonts w:ascii="Times New Roman" w:hAnsi="Times New Roman"/>
          <w:sz w:val="28"/>
          <w:szCs w:val="28"/>
          <w:lang w:val="ro-RO"/>
        </w:rPr>
      </w:pPr>
      <w:r w:rsidRPr="00DD689E">
        <w:rPr>
          <w:rFonts w:ascii="Times New Roman" w:hAnsi="Times New Roman"/>
          <w:b/>
          <w:sz w:val="28"/>
          <w:szCs w:val="28"/>
          <w:lang w:val="ro-RO"/>
        </w:rPr>
        <w:t xml:space="preserve">4. </w:t>
      </w:r>
      <w:r w:rsidR="00C80130" w:rsidRPr="00DD689E">
        <w:rPr>
          <w:rFonts w:ascii="Times New Roman" w:hAnsi="Times New Roman"/>
          <w:sz w:val="28"/>
          <w:szCs w:val="28"/>
          <w:lang w:val="ro-RO"/>
        </w:rPr>
        <w:t xml:space="preserve">La </w:t>
      </w:r>
      <w:r w:rsidRPr="00DD689E">
        <w:rPr>
          <w:rFonts w:ascii="Times New Roman" w:hAnsi="Times New Roman"/>
          <w:sz w:val="28"/>
          <w:szCs w:val="28"/>
          <w:lang w:val="ro-RO"/>
        </w:rPr>
        <w:t>art</w:t>
      </w:r>
      <w:r w:rsidR="00656A65" w:rsidRPr="00DD689E">
        <w:rPr>
          <w:rFonts w:ascii="Times New Roman" w:hAnsi="Times New Roman"/>
          <w:sz w:val="28"/>
          <w:szCs w:val="28"/>
          <w:lang w:val="ro-RO"/>
        </w:rPr>
        <w:t xml:space="preserve">icolul </w:t>
      </w:r>
      <w:r w:rsidR="00C80130" w:rsidRPr="00DD689E">
        <w:rPr>
          <w:rFonts w:ascii="Times New Roman" w:hAnsi="Times New Roman"/>
          <w:sz w:val="28"/>
          <w:szCs w:val="28"/>
          <w:lang w:val="ro-RO"/>
        </w:rPr>
        <w:t>49</w:t>
      </w:r>
      <w:r w:rsidR="00656A65" w:rsidRPr="00DD689E">
        <w:rPr>
          <w:rFonts w:ascii="Times New Roman" w:hAnsi="Times New Roman"/>
          <w:sz w:val="28"/>
          <w:szCs w:val="28"/>
          <w:lang w:val="ro-RO"/>
        </w:rPr>
        <w:t>,</w:t>
      </w:r>
      <w:r w:rsidR="00C80130" w:rsidRPr="00DD689E">
        <w:rPr>
          <w:rFonts w:ascii="Times New Roman" w:hAnsi="Times New Roman"/>
          <w:sz w:val="28"/>
          <w:szCs w:val="28"/>
          <w:lang w:val="ro-RO"/>
        </w:rPr>
        <w:t xml:space="preserve"> alineatele (1)-(4) se modifică și vor avea următorul </w:t>
      </w:r>
      <w:r w:rsidR="007D68EF" w:rsidRPr="00DD689E">
        <w:rPr>
          <w:rFonts w:ascii="Times New Roman" w:hAnsi="Times New Roman"/>
          <w:sz w:val="28"/>
          <w:szCs w:val="28"/>
          <w:lang w:val="ro-RO"/>
        </w:rPr>
        <w:t>cuprins</w:t>
      </w:r>
      <w:r w:rsidR="00C80130" w:rsidRPr="00DD689E">
        <w:rPr>
          <w:rFonts w:ascii="Times New Roman" w:hAnsi="Times New Roman"/>
          <w:sz w:val="28"/>
          <w:szCs w:val="28"/>
          <w:lang w:val="ro-RO"/>
        </w:rPr>
        <w:t>:</w:t>
      </w:r>
    </w:p>
    <w:p w:rsidR="00F1017F" w:rsidRPr="00DD689E" w:rsidRDefault="00C80130"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(1) Licitaţia restrînsă se desfăşoară potrivit aceloraşi reguli prevăzute pentru licitaţia deschisă, cu condiţia aplicării unei proceduri de pre</w:t>
      </w:r>
      <w:r w:rsidRPr="00DD689E">
        <w:rPr>
          <w:rFonts w:ascii="Times New Roman" w:hAnsi="Times New Roman"/>
          <w:sz w:val="28"/>
          <w:szCs w:val="28"/>
          <w:lang w:val="ro-RO"/>
        </w:rPr>
        <w:t>selecție</w:t>
      </w:r>
      <w:r w:rsidR="00F1017F" w:rsidRPr="00DD689E">
        <w:rPr>
          <w:rFonts w:ascii="Times New Roman" w:hAnsi="Times New Roman"/>
          <w:sz w:val="28"/>
          <w:szCs w:val="28"/>
          <w:lang w:val="ro-RO"/>
        </w:rPr>
        <w:t xml:space="preserve"> precedate de publicarea unei invitaţii de participare la </w:t>
      </w:r>
      <w:r w:rsidRPr="00DD689E">
        <w:rPr>
          <w:rFonts w:ascii="Times New Roman" w:hAnsi="Times New Roman"/>
          <w:sz w:val="28"/>
          <w:szCs w:val="28"/>
          <w:lang w:val="ro-RO"/>
        </w:rPr>
        <w:t>preselecție</w:t>
      </w:r>
      <w:r w:rsidR="00F1017F" w:rsidRPr="00DD689E">
        <w:rPr>
          <w:rFonts w:ascii="Times New Roman" w:hAnsi="Times New Roman"/>
          <w:sz w:val="28"/>
          <w:szCs w:val="28"/>
          <w:lang w:val="ro-RO"/>
        </w:rPr>
        <w:t>. Procedura de licitaţie restrînsă se d</w:t>
      </w:r>
      <w:r w:rsidRPr="00DD689E">
        <w:rPr>
          <w:rFonts w:ascii="Times New Roman" w:hAnsi="Times New Roman"/>
          <w:sz w:val="28"/>
          <w:szCs w:val="28"/>
          <w:lang w:val="ro-RO"/>
        </w:rPr>
        <w:t>esfășoară</w:t>
      </w:r>
      <w:r w:rsidR="00F1017F" w:rsidRPr="00DD689E">
        <w:rPr>
          <w:rFonts w:ascii="Times New Roman" w:hAnsi="Times New Roman"/>
          <w:sz w:val="28"/>
          <w:szCs w:val="28"/>
          <w:lang w:val="ro-RO"/>
        </w:rPr>
        <w:t xml:space="preserve"> în două etape: </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a) etapa de selectare a candidaţilor, prin aplicarea criteriilor de </w:t>
      </w:r>
      <w:r w:rsidR="004D5991" w:rsidRPr="00DD689E">
        <w:rPr>
          <w:rFonts w:ascii="Times New Roman" w:hAnsi="Times New Roman"/>
          <w:sz w:val="28"/>
          <w:szCs w:val="28"/>
          <w:lang w:val="ro-RO"/>
        </w:rPr>
        <w:t xml:space="preserve">calificare și </w:t>
      </w:r>
      <w:r w:rsidRPr="00DD689E">
        <w:rPr>
          <w:rFonts w:ascii="Times New Roman" w:hAnsi="Times New Roman"/>
          <w:sz w:val="28"/>
          <w:szCs w:val="28"/>
          <w:lang w:val="ro-RO"/>
        </w:rPr>
        <w:t xml:space="preserve">selecţie în conformitate cu prevederile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16–25; </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b) etapa de evaluare a ofertelor depuse de candidaţii selectaţi, prin aplicarea criteriului de atribuire.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Licitaţia restrînsă se iniţiază prin publicarea unui anunţ de participare în conformitate cu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28 </w:t>
      </w:r>
      <w:r w:rsidR="008F5A7C" w:rsidRPr="00DD689E">
        <w:rPr>
          <w:rFonts w:ascii="Times New Roman" w:hAnsi="Times New Roman"/>
          <w:sz w:val="28"/>
          <w:szCs w:val="28"/>
          <w:lang w:val="ro-RO"/>
        </w:rPr>
        <w:t xml:space="preserve">alin. </w:t>
      </w:r>
      <w:r w:rsidRPr="00DD689E">
        <w:rPr>
          <w:rFonts w:ascii="Times New Roman" w:hAnsi="Times New Roman"/>
          <w:sz w:val="28"/>
          <w:szCs w:val="28"/>
          <w:lang w:val="ro-RO"/>
        </w:rPr>
        <w:t>(1), prin care se solicită operatorilor economici interesaţi depunerea de candidaturi.</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anunţul de participare va fi de asem</w:t>
      </w:r>
      <w:r w:rsidR="004D5991" w:rsidRPr="00DD689E">
        <w:rPr>
          <w:rFonts w:ascii="Times New Roman" w:hAnsi="Times New Roman"/>
          <w:sz w:val="28"/>
          <w:szCs w:val="28"/>
          <w:lang w:val="ro-RO"/>
        </w:rPr>
        <w:t xml:space="preserve">enea publicat în </w:t>
      </w:r>
      <w:r w:rsidRPr="00DD689E">
        <w:rPr>
          <w:rFonts w:ascii="Times New Roman" w:hAnsi="Times New Roman"/>
          <w:sz w:val="28"/>
          <w:szCs w:val="28"/>
          <w:lang w:val="ro-RO"/>
        </w:rPr>
        <w:t>Jurnal</w:t>
      </w:r>
      <w:r w:rsidR="004D5991" w:rsidRPr="00DD689E">
        <w:rPr>
          <w:rFonts w:ascii="Times New Roman" w:hAnsi="Times New Roman"/>
          <w:sz w:val="28"/>
          <w:szCs w:val="28"/>
          <w:lang w:val="ro-RO"/>
        </w:rPr>
        <w:t>ul Oficial al Uniunii Europene.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(3)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mai mică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perioada cuprinsă între data transmiterii anunțului de participare spre publicare în </w:t>
      </w:r>
      <w:r w:rsidR="00BC232E" w:rsidRPr="00DD689E">
        <w:rPr>
          <w:rFonts w:ascii="Times New Roman" w:hAnsi="Times New Roman"/>
          <w:sz w:val="28"/>
          <w:szCs w:val="28"/>
          <w:lang w:val="ro-RO"/>
        </w:rPr>
        <w:t>Buletinul achizițiilor publice</w:t>
      </w:r>
      <w:r w:rsidRPr="00DD689E">
        <w:rPr>
          <w:rFonts w:ascii="Times New Roman" w:hAnsi="Times New Roman"/>
          <w:sz w:val="28"/>
          <w:szCs w:val="28"/>
          <w:lang w:val="ro-RO"/>
        </w:rPr>
        <w:t xml:space="preserve"> și </w:t>
      </w:r>
      <w:r w:rsidR="004D5991" w:rsidRPr="00DD689E">
        <w:rPr>
          <w:rFonts w:ascii="Times New Roman" w:hAnsi="Times New Roman"/>
          <w:sz w:val="28"/>
          <w:szCs w:val="28"/>
          <w:lang w:val="ro-RO"/>
        </w:rPr>
        <w:t>data-</w:t>
      </w:r>
      <w:r w:rsidRPr="00DD689E">
        <w:rPr>
          <w:rFonts w:ascii="Times New Roman" w:hAnsi="Times New Roman"/>
          <w:sz w:val="28"/>
          <w:szCs w:val="28"/>
          <w:lang w:val="ro-RO"/>
        </w:rPr>
        <w:t>limită de depunere a candidaturilor trebuie să fie de cel puțin 20 de zile.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(4)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perioada cuprinsă între data transmiterii anunțului de participare spre publicare </w:t>
      </w:r>
      <w:r w:rsidR="004D5991" w:rsidRPr="00DD689E">
        <w:rPr>
          <w:rFonts w:ascii="Times New Roman" w:hAnsi="Times New Roman"/>
          <w:sz w:val="28"/>
          <w:szCs w:val="28"/>
          <w:lang w:val="ro-RO"/>
        </w:rPr>
        <w:t>în Buletinul achizițiilor publice</w:t>
      </w:r>
      <w:r w:rsidRPr="00DD689E">
        <w:rPr>
          <w:rFonts w:ascii="Times New Roman" w:hAnsi="Times New Roman"/>
          <w:sz w:val="28"/>
          <w:szCs w:val="28"/>
          <w:lang w:val="ro-RO"/>
        </w:rPr>
        <w:t xml:space="preserve"> și, după caz, în Jurnalu</w:t>
      </w:r>
      <w:r w:rsidR="004D5991" w:rsidRPr="00DD689E">
        <w:rPr>
          <w:rFonts w:ascii="Times New Roman" w:hAnsi="Times New Roman"/>
          <w:sz w:val="28"/>
          <w:szCs w:val="28"/>
          <w:lang w:val="ro-RO"/>
        </w:rPr>
        <w:t xml:space="preserve">l Oficial al Uniunii Europene, </w:t>
      </w:r>
      <w:r w:rsidR="00BD72AE" w:rsidRPr="00DD689E">
        <w:rPr>
          <w:rFonts w:ascii="Times New Roman" w:hAnsi="Times New Roman"/>
          <w:sz w:val="28"/>
          <w:szCs w:val="28"/>
          <w:lang w:val="ro-RO"/>
        </w:rPr>
        <w:t xml:space="preserve">și </w:t>
      </w:r>
      <w:r w:rsidR="004D5991" w:rsidRPr="00DD689E">
        <w:rPr>
          <w:rFonts w:ascii="Times New Roman" w:hAnsi="Times New Roman"/>
          <w:sz w:val="28"/>
          <w:szCs w:val="28"/>
          <w:lang w:val="ro-RO"/>
        </w:rPr>
        <w:t>data-</w:t>
      </w:r>
      <w:r w:rsidRPr="00DD689E">
        <w:rPr>
          <w:rFonts w:ascii="Times New Roman" w:hAnsi="Times New Roman"/>
          <w:sz w:val="28"/>
          <w:szCs w:val="28"/>
          <w:lang w:val="ro-RO"/>
        </w:rPr>
        <w:t>limită de depunere a candidaturilor trebuie să fie de cel puțin 37 de zile.</w:t>
      </w:r>
      <w:r w:rsidR="00D964DE" w:rsidRPr="00DD689E">
        <w:rPr>
          <w:rFonts w:ascii="Times New Roman" w:hAnsi="Times New Roman"/>
          <w:sz w:val="28"/>
          <w:szCs w:val="28"/>
          <w:lang w:val="ro-RO"/>
        </w:rPr>
        <w:t>”</w:t>
      </w:r>
    </w:p>
    <w:p w:rsidR="00F1017F" w:rsidRPr="00DD689E" w:rsidRDefault="00F1017F" w:rsidP="00CD460C">
      <w:pPr>
        <w:jc w:val="both"/>
        <w:rPr>
          <w:rFonts w:ascii="Times New Roman" w:hAnsi="Times New Roman"/>
          <w:sz w:val="28"/>
          <w:szCs w:val="28"/>
          <w:u w:val="single"/>
          <w:lang w:val="ro-RO"/>
        </w:rPr>
      </w:pPr>
    </w:p>
    <w:p w:rsidR="00BD72AE" w:rsidRPr="00DD689E" w:rsidRDefault="008F5A7C" w:rsidP="00CD460C">
      <w:pPr>
        <w:jc w:val="both"/>
        <w:rPr>
          <w:rFonts w:ascii="Times New Roman" w:hAnsi="Times New Roman"/>
          <w:b/>
          <w:sz w:val="28"/>
          <w:szCs w:val="28"/>
          <w:lang w:val="ro-RO"/>
        </w:rPr>
      </w:pPr>
      <w:r w:rsidRPr="00DD689E">
        <w:rPr>
          <w:rFonts w:ascii="Times New Roman" w:hAnsi="Times New Roman"/>
          <w:b/>
          <w:sz w:val="28"/>
          <w:szCs w:val="28"/>
          <w:lang w:val="ro-RO"/>
        </w:rPr>
        <w:t xml:space="preserve">5. </w:t>
      </w:r>
      <w:r w:rsidR="00BD72AE" w:rsidRPr="00DD689E">
        <w:rPr>
          <w:rFonts w:ascii="Times New Roman" w:hAnsi="Times New Roman"/>
          <w:sz w:val="28"/>
          <w:szCs w:val="28"/>
          <w:lang w:val="ro-RO"/>
        </w:rPr>
        <w:t xml:space="preserve">La </w:t>
      </w:r>
      <w:r w:rsidRPr="00DD689E">
        <w:rPr>
          <w:rFonts w:ascii="Times New Roman" w:hAnsi="Times New Roman"/>
          <w:sz w:val="28"/>
          <w:szCs w:val="28"/>
          <w:lang w:val="ro-RO"/>
        </w:rPr>
        <w:t>art</w:t>
      </w:r>
      <w:r w:rsidR="00656A65" w:rsidRPr="00DD689E">
        <w:rPr>
          <w:rFonts w:ascii="Times New Roman" w:hAnsi="Times New Roman"/>
          <w:sz w:val="28"/>
          <w:szCs w:val="28"/>
          <w:lang w:val="ro-RO"/>
        </w:rPr>
        <w:t xml:space="preserve">icolul </w:t>
      </w:r>
      <w:r w:rsidR="00E85A37" w:rsidRPr="00DD689E">
        <w:rPr>
          <w:rFonts w:ascii="Times New Roman" w:hAnsi="Times New Roman"/>
          <w:sz w:val="28"/>
          <w:szCs w:val="28"/>
          <w:lang w:val="ro-RO"/>
        </w:rPr>
        <w:t>52</w:t>
      </w:r>
      <w:r w:rsidR="00656A65" w:rsidRPr="00DD689E">
        <w:rPr>
          <w:rFonts w:ascii="Times New Roman" w:hAnsi="Times New Roman"/>
          <w:sz w:val="28"/>
          <w:szCs w:val="28"/>
          <w:lang w:val="ro-RO"/>
        </w:rPr>
        <w:t>,</w:t>
      </w:r>
      <w:r w:rsidR="00BD72AE" w:rsidRPr="00DD689E">
        <w:rPr>
          <w:rFonts w:ascii="Times New Roman" w:hAnsi="Times New Roman"/>
          <w:sz w:val="28"/>
          <w:szCs w:val="28"/>
          <w:lang w:val="ro-RO"/>
        </w:rPr>
        <w:t xml:space="preserve"> alineatele (5)-(8) se modifică și vor avea următorul </w:t>
      </w:r>
      <w:r w:rsidR="007D68EF" w:rsidRPr="00DD689E">
        <w:rPr>
          <w:rFonts w:ascii="Times New Roman" w:hAnsi="Times New Roman"/>
          <w:sz w:val="28"/>
          <w:szCs w:val="28"/>
          <w:lang w:val="ro-RO"/>
        </w:rPr>
        <w:t>cuprins</w:t>
      </w:r>
      <w:r w:rsidR="00BD72AE" w:rsidRPr="00DD689E">
        <w:rPr>
          <w:rFonts w:ascii="Times New Roman" w:hAnsi="Times New Roman"/>
          <w:sz w:val="28"/>
          <w:szCs w:val="28"/>
          <w:lang w:val="ro-RO"/>
        </w:rPr>
        <w:t>:</w:t>
      </w:r>
    </w:p>
    <w:p w:rsidR="00F1017F" w:rsidRPr="00DD689E" w:rsidRDefault="00D964DE"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 xml:space="preserve">(5) Dialogul competitiv se iniţiază prin publicarea unui anunţ de participare în </w:t>
      </w:r>
      <w:r w:rsidR="00BC232E" w:rsidRPr="00DD689E">
        <w:rPr>
          <w:rFonts w:ascii="Times New Roman" w:hAnsi="Times New Roman"/>
          <w:sz w:val="28"/>
          <w:szCs w:val="28"/>
          <w:lang w:val="ro-RO"/>
        </w:rPr>
        <w:t>Buletinul achizițiilor publice</w:t>
      </w:r>
      <w:r w:rsidR="00F1017F" w:rsidRPr="00DD689E">
        <w:rPr>
          <w:rFonts w:ascii="Times New Roman" w:hAnsi="Times New Roman"/>
          <w:sz w:val="28"/>
          <w:szCs w:val="28"/>
          <w:lang w:val="ro-RO"/>
        </w:rPr>
        <w:t xml:space="preserve"> în conformitate cu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28 </w:t>
      </w:r>
      <w:r w:rsidR="008F5A7C" w:rsidRPr="00DD689E">
        <w:rPr>
          <w:rFonts w:ascii="Times New Roman" w:hAnsi="Times New Roman"/>
          <w:sz w:val="28"/>
          <w:szCs w:val="28"/>
          <w:lang w:val="ro-RO"/>
        </w:rPr>
        <w:t>alin.</w:t>
      </w:r>
      <w:r w:rsidR="00F1017F" w:rsidRPr="00DD689E">
        <w:rPr>
          <w:rFonts w:ascii="Times New Roman" w:hAnsi="Times New Roman"/>
          <w:sz w:val="28"/>
          <w:szCs w:val="28"/>
          <w:lang w:val="ro-RO"/>
        </w:rPr>
        <w:t>(1), prin care se solicită operatorilor economici interesaţi depunerea de candidaturi.</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lastRenderedPageBreak/>
        <w:t xml:space="preserve">(6)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cu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anunţul de participare va fi de asemenea publicat în Jurnalul Oficial al Uniunii Europene.</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(7) Perioada cuprinsă între data transmiterii anunțului de participare spre publicare </w:t>
      </w:r>
      <w:r w:rsidR="004D5991" w:rsidRPr="00DD689E">
        <w:rPr>
          <w:rFonts w:ascii="Times New Roman" w:hAnsi="Times New Roman"/>
          <w:sz w:val="28"/>
          <w:szCs w:val="28"/>
          <w:lang w:val="ro-RO"/>
        </w:rPr>
        <w:t>în Buletinul achizițiilor publice</w:t>
      </w:r>
      <w:r w:rsidRPr="00DD689E">
        <w:rPr>
          <w:rFonts w:ascii="Times New Roman" w:hAnsi="Times New Roman"/>
          <w:sz w:val="28"/>
          <w:szCs w:val="28"/>
          <w:lang w:val="ro-RO"/>
        </w:rPr>
        <w:t xml:space="preserve"> și, după caz, în Jurnalul Oficial al Uniunii Europene, </w:t>
      </w:r>
      <w:r w:rsidR="00BD72AE" w:rsidRPr="00DD689E">
        <w:rPr>
          <w:rFonts w:ascii="Times New Roman" w:hAnsi="Times New Roman"/>
          <w:sz w:val="28"/>
          <w:szCs w:val="28"/>
          <w:lang w:val="ro-RO"/>
        </w:rPr>
        <w:t xml:space="preserve">data-limită </w:t>
      </w:r>
      <w:r w:rsidRPr="00DD689E">
        <w:rPr>
          <w:rFonts w:ascii="Times New Roman" w:hAnsi="Times New Roman"/>
          <w:sz w:val="28"/>
          <w:szCs w:val="28"/>
          <w:lang w:val="ro-RO"/>
        </w:rPr>
        <w:t>de depunere a candidaturilor trebuie să fie de cel puțin:</w:t>
      </w:r>
    </w:p>
    <w:p w:rsidR="00F1017F" w:rsidRPr="00DD689E" w:rsidRDefault="009F01D1"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a) </w:t>
      </w:r>
      <w:r w:rsidR="00F1017F" w:rsidRPr="00DD689E">
        <w:rPr>
          <w:rFonts w:ascii="Times New Roman" w:hAnsi="Times New Roman"/>
          <w:sz w:val="28"/>
          <w:szCs w:val="28"/>
          <w:lang w:val="ro-RO"/>
        </w:rPr>
        <w:t xml:space="preserve">20 zile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3, este mai mică decît </w:t>
      </w:r>
      <w:r w:rsidR="00630BA8" w:rsidRPr="00DD689E">
        <w:rPr>
          <w:rFonts w:ascii="Times New Roman" w:hAnsi="Times New Roman"/>
          <w:sz w:val="28"/>
          <w:szCs w:val="28"/>
          <w:lang w:val="ro-RO"/>
        </w:rPr>
        <w:t xml:space="preserve">pragurile </w:t>
      </w:r>
      <w:r w:rsidR="00F1017F"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00F1017F" w:rsidRPr="00DD689E">
        <w:rPr>
          <w:rFonts w:ascii="Times New Roman" w:hAnsi="Times New Roman"/>
          <w:sz w:val="28"/>
          <w:szCs w:val="28"/>
          <w:lang w:val="ro-RO"/>
        </w:rPr>
        <w:t xml:space="preserve"> (3); </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b) 37 zile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(8) </w:t>
      </w:r>
      <w:r w:rsidR="00351B66" w:rsidRPr="00DD689E">
        <w:rPr>
          <w:rFonts w:ascii="Times New Roman" w:hAnsi="Times New Roman"/>
          <w:sz w:val="28"/>
          <w:szCs w:val="28"/>
          <w:lang w:val="ro-RO"/>
        </w:rPr>
        <w:t>În cazul în care</w:t>
      </w:r>
      <w:r w:rsidRPr="00DD689E">
        <w:rPr>
          <w:rFonts w:ascii="Times New Roman" w:hAnsi="Times New Roman"/>
          <w:sz w:val="28"/>
          <w:szCs w:val="28"/>
          <w:lang w:val="ro-RO"/>
        </w:rPr>
        <w:t xml:space="preserve"> anunțul de participare a fost transmis spre publicare în Jurnalul Oficial al Uniunii Europene în format electronic, termenul prevăzut la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(7) </w:t>
      </w:r>
      <w:r w:rsidR="008F5A7C" w:rsidRPr="00DD689E">
        <w:rPr>
          <w:rFonts w:ascii="Times New Roman" w:hAnsi="Times New Roman"/>
          <w:sz w:val="28"/>
          <w:szCs w:val="28"/>
          <w:lang w:val="ro-RO"/>
        </w:rPr>
        <w:t>lit.</w:t>
      </w:r>
      <w:r w:rsidRPr="00DD689E">
        <w:rPr>
          <w:rFonts w:ascii="Times New Roman" w:hAnsi="Times New Roman"/>
          <w:sz w:val="28"/>
          <w:szCs w:val="28"/>
          <w:lang w:val="ro-RO"/>
        </w:rPr>
        <w:t xml:space="preserve"> b) poate fi redus cu 7 zile.</w:t>
      </w:r>
      <w:r w:rsidR="00D964DE" w:rsidRPr="00DD689E">
        <w:rPr>
          <w:rFonts w:ascii="Times New Roman" w:hAnsi="Times New Roman"/>
          <w:sz w:val="28"/>
          <w:szCs w:val="28"/>
          <w:lang w:val="ro-RO"/>
        </w:rPr>
        <w:t>”</w:t>
      </w:r>
    </w:p>
    <w:p w:rsidR="00F1017F" w:rsidRPr="00DD689E" w:rsidRDefault="00F1017F" w:rsidP="00CD460C">
      <w:pPr>
        <w:jc w:val="both"/>
        <w:rPr>
          <w:rFonts w:ascii="Times New Roman" w:hAnsi="Times New Roman"/>
          <w:sz w:val="28"/>
          <w:szCs w:val="28"/>
          <w:u w:val="single"/>
          <w:lang w:val="ro-RO"/>
        </w:rPr>
      </w:pPr>
    </w:p>
    <w:p w:rsidR="00580FC0" w:rsidRPr="00DD689E" w:rsidRDefault="008F5A7C" w:rsidP="00CD460C">
      <w:pPr>
        <w:jc w:val="both"/>
        <w:rPr>
          <w:rFonts w:ascii="Times New Roman" w:hAnsi="Times New Roman"/>
          <w:sz w:val="28"/>
          <w:szCs w:val="28"/>
          <w:lang w:val="ro-RO"/>
        </w:rPr>
      </w:pPr>
      <w:r w:rsidRPr="00DD689E">
        <w:rPr>
          <w:rFonts w:ascii="Times New Roman" w:hAnsi="Times New Roman"/>
          <w:b/>
          <w:sz w:val="28"/>
          <w:szCs w:val="28"/>
          <w:lang w:val="ro-RO"/>
        </w:rPr>
        <w:t xml:space="preserve">6. </w:t>
      </w:r>
      <w:r w:rsidR="00580FC0" w:rsidRPr="00DD689E">
        <w:rPr>
          <w:rFonts w:ascii="Times New Roman" w:hAnsi="Times New Roman"/>
          <w:sz w:val="28"/>
          <w:szCs w:val="28"/>
          <w:lang w:val="ro-RO"/>
        </w:rPr>
        <w:t xml:space="preserve">La </w:t>
      </w:r>
      <w:r w:rsidRPr="00DD689E">
        <w:rPr>
          <w:rFonts w:ascii="Times New Roman" w:hAnsi="Times New Roman"/>
          <w:sz w:val="28"/>
          <w:szCs w:val="28"/>
          <w:lang w:val="ro-RO"/>
        </w:rPr>
        <w:t>art</w:t>
      </w:r>
      <w:r w:rsidR="00656A65" w:rsidRPr="00DD689E">
        <w:rPr>
          <w:rFonts w:ascii="Times New Roman" w:hAnsi="Times New Roman"/>
          <w:sz w:val="28"/>
          <w:szCs w:val="28"/>
          <w:lang w:val="ro-RO"/>
        </w:rPr>
        <w:t xml:space="preserve">icolul </w:t>
      </w:r>
      <w:r w:rsidR="00E85A37" w:rsidRPr="00DD689E">
        <w:rPr>
          <w:rFonts w:ascii="Times New Roman" w:hAnsi="Times New Roman"/>
          <w:sz w:val="28"/>
          <w:szCs w:val="28"/>
          <w:lang w:val="ro-RO"/>
        </w:rPr>
        <w:t>53</w:t>
      </w:r>
      <w:r w:rsidR="00656A65" w:rsidRPr="00DD689E">
        <w:rPr>
          <w:rFonts w:ascii="Times New Roman" w:hAnsi="Times New Roman"/>
          <w:sz w:val="28"/>
          <w:szCs w:val="28"/>
          <w:lang w:val="ro-RO"/>
        </w:rPr>
        <w:t>,</w:t>
      </w:r>
      <w:r w:rsidR="00580FC0" w:rsidRPr="00DD689E">
        <w:rPr>
          <w:rFonts w:ascii="Times New Roman" w:hAnsi="Times New Roman"/>
          <w:sz w:val="28"/>
          <w:szCs w:val="28"/>
          <w:lang w:val="ro-RO"/>
        </w:rPr>
        <w:t xml:space="preserve"> alineatele (4)-(</w:t>
      </w:r>
      <w:r w:rsidR="00435D46" w:rsidRPr="00DD689E">
        <w:rPr>
          <w:rFonts w:ascii="Times New Roman" w:hAnsi="Times New Roman"/>
          <w:sz w:val="28"/>
          <w:szCs w:val="28"/>
          <w:lang w:val="ro-RO"/>
        </w:rPr>
        <w:t>8</w:t>
      </w:r>
      <w:r w:rsidR="00580FC0" w:rsidRPr="00DD689E">
        <w:rPr>
          <w:rFonts w:ascii="Times New Roman" w:hAnsi="Times New Roman"/>
          <w:sz w:val="28"/>
          <w:szCs w:val="28"/>
          <w:lang w:val="ro-RO"/>
        </w:rPr>
        <w:t xml:space="preserve">) se modifică și vor avea următorul </w:t>
      </w:r>
      <w:r w:rsidR="007D68EF" w:rsidRPr="00DD689E">
        <w:rPr>
          <w:rFonts w:ascii="Times New Roman" w:hAnsi="Times New Roman"/>
          <w:sz w:val="28"/>
          <w:szCs w:val="28"/>
          <w:lang w:val="ro-RO"/>
        </w:rPr>
        <w:t>cuprins</w:t>
      </w:r>
      <w:r w:rsidR="00580FC0" w:rsidRPr="00DD689E">
        <w:rPr>
          <w:rFonts w:ascii="Times New Roman" w:hAnsi="Times New Roman"/>
          <w:sz w:val="28"/>
          <w:szCs w:val="28"/>
          <w:lang w:val="ro-RO"/>
        </w:rPr>
        <w:t>:</w:t>
      </w:r>
    </w:p>
    <w:p w:rsidR="00F1017F" w:rsidRPr="00DD689E" w:rsidRDefault="00D964DE"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 xml:space="preserve">(4) Negocierea cu publicarea prealabilă a unui anunţ de participare se iniţiază prin publicarea unui anunţ de participare în conformitate cu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28 </w:t>
      </w:r>
      <w:r w:rsidR="008F5A7C" w:rsidRPr="00DD689E">
        <w:rPr>
          <w:rFonts w:ascii="Times New Roman" w:hAnsi="Times New Roman"/>
          <w:sz w:val="28"/>
          <w:szCs w:val="28"/>
          <w:lang w:val="ro-RO"/>
        </w:rPr>
        <w:t>alin.</w:t>
      </w:r>
      <w:r w:rsidR="00F1017F" w:rsidRPr="00DD689E">
        <w:rPr>
          <w:rFonts w:ascii="Times New Roman" w:hAnsi="Times New Roman"/>
          <w:sz w:val="28"/>
          <w:szCs w:val="28"/>
          <w:lang w:val="ro-RO"/>
        </w:rPr>
        <w:t>(1), prin care se solicită operatorilor economici interesaţi depunerea de candidaturi</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(5)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cu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 anunţul de participare va fi de asemenea publicat în </w:t>
      </w:r>
      <w:r w:rsidR="00D964DE" w:rsidRPr="00DD689E">
        <w:rPr>
          <w:rFonts w:ascii="Times New Roman" w:hAnsi="Times New Roman"/>
          <w:sz w:val="28"/>
          <w:szCs w:val="28"/>
          <w:lang w:val="ro-RO"/>
        </w:rPr>
        <w:t>“</w:t>
      </w:r>
      <w:r w:rsidRPr="00DD689E">
        <w:rPr>
          <w:rFonts w:ascii="Times New Roman" w:hAnsi="Times New Roman"/>
          <w:sz w:val="28"/>
          <w:szCs w:val="28"/>
          <w:lang w:val="ro-RO"/>
        </w:rPr>
        <w:t xml:space="preserve">Jurnalul Oficial al </w:t>
      </w:r>
      <w:r w:rsidR="00F84ACD" w:rsidRPr="00DD689E">
        <w:rPr>
          <w:rFonts w:ascii="Times New Roman" w:hAnsi="Times New Roman"/>
          <w:sz w:val="28"/>
          <w:szCs w:val="28"/>
          <w:lang w:val="ro-RO"/>
        </w:rPr>
        <w:t>Uniunii</w:t>
      </w:r>
      <w:r w:rsidRPr="00DD689E">
        <w:rPr>
          <w:rFonts w:ascii="Times New Roman" w:hAnsi="Times New Roman"/>
          <w:sz w:val="28"/>
          <w:szCs w:val="28"/>
          <w:lang w:val="ro-RO"/>
        </w:rPr>
        <w:t xml:space="preserve"> Europene.</w:t>
      </w:r>
      <w:r w:rsidR="00D964DE" w:rsidRPr="00DD689E">
        <w:rPr>
          <w:rFonts w:ascii="Times New Roman" w:hAnsi="Times New Roman"/>
          <w:sz w:val="28"/>
          <w:szCs w:val="28"/>
          <w:lang w:val="ro-RO"/>
        </w:rPr>
        <w:t>”</w:t>
      </w:r>
    </w:p>
    <w:p w:rsidR="00F1017F" w:rsidRPr="00DD689E" w:rsidRDefault="00AA4D1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(6) Perioada </w:t>
      </w:r>
      <w:r w:rsidR="00F1017F" w:rsidRPr="00DD689E">
        <w:rPr>
          <w:rFonts w:ascii="Times New Roman" w:hAnsi="Times New Roman"/>
          <w:sz w:val="28"/>
          <w:szCs w:val="28"/>
          <w:lang w:val="ro-RO"/>
        </w:rPr>
        <w:t xml:space="preserve">cuprinsă între data transmiterii anunțului de participare spre publicare în </w:t>
      </w:r>
      <w:r w:rsidR="00BC232E" w:rsidRPr="00DD689E">
        <w:rPr>
          <w:rFonts w:ascii="Times New Roman" w:hAnsi="Times New Roman"/>
          <w:sz w:val="28"/>
          <w:szCs w:val="28"/>
          <w:lang w:val="ro-RO"/>
        </w:rPr>
        <w:t>Buletinul achizițiilor publice</w:t>
      </w:r>
      <w:r w:rsidR="00F1017F" w:rsidRPr="00DD689E">
        <w:rPr>
          <w:rFonts w:ascii="Times New Roman" w:hAnsi="Times New Roman"/>
          <w:sz w:val="28"/>
          <w:szCs w:val="28"/>
          <w:lang w:val="ro-RO"/>
        </w:rPr>
        <w:t xml:space="preserve"> și, după caz, în Jurnalul Oficial al Uniunii Europene, şi </w:t>
      </w:r>
      <w:r w:rsidR="00BD72AE" w:rsidRPr="00DD689E">
        <w:rPr>
          <w:rFonts w:ascii="Times New Roman" w:hAnsi="Times New Roman"/>
          <w:sz w:val="28"/>
          <w:szCs w:val="28"/>
          <w:lang w:val="ro-RO"/>
        </w:rPr>
        <w:t xml:space="preserve">data-limită </w:t>
      </w:r>
      <w:r w:rsidR="00F1017F" w:rsidRPr="00DD689E">
        <w:rPr>
          <w:rFonts w:ascii="Times New Roman" w:hAnsi="Times New Roman"/>
          <w:sz w:val="28"/>
          <w:szCs w:val="28"/>
          <w:lang w:val="ro-RO"/>
        </w:rPr>
        <w:t>de depunere a candidaturilor trebuie să fie de cel puțin:</w:t>
      </w:r>
    </w:p>
    <w:p w:rsidR="00F1017F" w:rsidRPr="00DD689E" w:rsidRDefault="000E3EE5"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a) </w:t>
      </w:r>
      <w:r w:rsidR="00F1017F" w:rsidRPr="00DD689E">
        <w:rPr>
          <w:rFonts w:ascii="Times New Roman" w:hAnsi="Times New Roman"/>
          <w:sz w:val="28"/>
          <w:szCs w:val="28"/>
          <w:lang w:val="ro-RO"/>
        </w:rPr>
        <w:t xml:space="preserve">20 zile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3, este mai mică decît </w:t>
      </w:r>
      <w:r w:rsidR="00630BA8" w:rsidRPr="00DD689E">
        <w:rPr>
          <w:rFonts w:ascii="Times New Roman" w:hAnsi="Times New Roman"/>
          <w:sz w:val="28"/>
          <w:szCs w:val="28"/>
          <w:lang w:val="ro-RO"/>
        </w:rPr>
        <w:t xml:space="preserve">pragurile </w:t>
      </w:r>
      <w:r w:rsidR="00F1017F"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00F1017F"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00F1017F" w:rsidRPr="00DD689E">
        <w:rPr>
          <w:rFonts w:ascii="Times New Roman" w:hAnsi="Times New Roman"/>
          <w:sz w:val="28"/>
          <w:szCs w:val="28"/>
          <w:lang w:val="ro-RO"/>
        </w:rPr>
        <w:t xml:space="preserve"> (3); </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b) 37 zile în cazul achiziţiilor publice în care valoarea contractului care urmează să fie atribuit, estimată conform prevederilor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3, este egală sau mai mare decît </w:t>
      </w:r>
      <w:r w:rsidR="00630BA8" w:rsidRPr="00DD689E">
        <w:rPr>
          <w:rFonts w:ascii="Times New Roman" w:hAnsi="Times New Roman"/>
          <w:sz w:val="28"/>
          <w:szCs w:val="28"/>
          <w:lang w:val="ro-RO"/>
        </w:rPr>
        <w:t xml:space="preserve">pragurile </w:t>
      </w:r>
      <w:r w:rsidRPr="00DD689E">
        <w:rPr>
          <w:rFonts w:ascii="Times New Roman" w:hAnsi="Times New Roman"/>
          <w:sz w:val="28"/>
          <w:szCs w:val="28"/>
          <w:lang w:val="ro-RO"/>
        </w:rPr>
        <w:t xml:space="preserve">prevăzute 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2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(3).</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(7) </w:t>
      </w:r>
      <w:r w:rsidR="00EC4148" w:rsidRPr="00DD689E">
        <w:rPr>
          <w:rFonts w:ascii="Times New Roman" w:hAnsi="Times New Roman"/>
          <w:sz w:val="28"/>
          <w:szCs w:val="28"/>
          <w:lang w:val="ro-RO"/>
        </w:rPr>
        <w:t>În cazul în care</w:t>
      </w:r>
      <w:r w:rsidRPr="00DD689E">
        <w:rPr>
          <w:rFonts w:ascii="Times New Roman" w:hAnsi="Times New Roman"/>
          <w:sz w:val="28"/>
          <w:szCs w:val="28"/>
          <w:lang w:val="ro-RO"/>
        </w:rPr>
        <w:t xml:space="preserve">, din motive de urgență, numărul de zile prevăzut la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(6) nu poate fi respectat, autoritatea contractantă are dreptul de a accelera aplicarea procedurii prin reducerea perioadei</w:t>
      </w:r>
      <w:r w:rsidR="00EC4148" w:rsidRPr="00DD689E">
        <w:rPr>
          <w:rFonts w:ascii="Times New Roman" w:hAnsi="Times New Roman"/>
          <w:sz w:val="28"/>
          <w:szCs w:val="28"/>
          <w:lang w:val="ro-RO"/>
        </w:rPr>
        <w:t>, dar n</w:t>
      </w:r>
      <w:r w:rsidRPr="00DD689E">
        <w:rPr>
          <w:rFonts w:ascii="Times New Roman" w:hAnsi="Times New Roman"/>
          <w:sz w:val="28"/>
          <w:szCs w:val="28"/>
          <w:lang w:val="ro-RO"/>
        </w:rPr>
        <w:t xml:space="preserve">u </w:t>
      </w:r>
      <w:r w:rsidR="00EC4148" w:rsidRPr="00DD689E">
        <w:rPr>
          <w:rFonts w:ascii="Times New Roman" w:hAnsi="Times New Roman"/>
          <w:sz w:val="28"/>
          <w:szCs w:val="28"/>
          <w:lang w:val="ro-RO"/>
        </w:rPr>
        <w:t xml:space="preserve">la </w:t>
      </w:r>
      <w:r w:rsidRPr="00DD689E">
        <w:rPr>
          <w:rFonts w:ascii="Times New Roman" w:hAnsi="Times New Roman"/>
          <w:sz w:val="28"/>
          <w:szCs w:val="28"/>
          <w:lang w:val="ro-RO"/>
        </w:rPr>
        <w:t xml:space="preserve">mai puțin de 15 zile. </w:t>
      </w:r>
    </w:p>
    <w:p w:rsidR="00F1017F" w:rsidRPr="00DD689E" w:rsidRDefault="00F1017F"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(8) </w:t>
      </w:r>
      <w:r w:rsidR="00EC4148" w:rsidRPr="00DD689E">
        <w:rPr>
          <w:rFonts w:ascii="Times New Roman" w:hAnsi="Times New Roman"/>
          <w:sz w:val="28"/>
          <w:szCs w:val="28"/>
          <w:lang w:val="ro-RO"/>
        </w:rPr>
        <w:t>În cazul în care</w:t>
      </w:r>
      <w:r w:rsidRPr="00DD689E">
        <w:rPr>
          <w:rFonts w:ascii="Times New Roman" w:hAnsi="Times New Roman"/>
          <w:sz w:val="28"/>
          <w:szCs w:val="28"/>
          <w:lang w:val="ro-RO"/>
        </w:rPr>
        <w:t xml:space="preserve"> anunțul de participare a fost transmis spre publicare în Jurnalul Oficial al Uniunii Europene în format electronic, termenul prevăzut la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(6) </w:t>
      </w:r>
      <w:r w:rsidR="008F5A7C" w:rsidRPr="00DD689E">
        <w:rPr>
          <w:rFonts w:ascii="Times New Roman" w:hAnsi="Times New Roman"/>
          <w:sz w:val="28"/>
          <w:szCs w:val="28"/>
          <w:lang w:val="ro-RO"/>
        </w:rPr>
        <w:t>lit.</w:t>
      </w:r>
      <w:r w:rsidRPr="00DD689E">
        <w:rPr>
          <w:rFonts w:ascii="Times New Roman" w:hAnsi="Times New Roman"/>
          <w:sz w:val="28"/>
          <w:szCs w:val="28"/>
          <w:lang w:val="ro-RO"/>
        </w:rPr>
        <w:t xml:space="preserve"> b) poate fi redus cu 7 zile, iar termenul prevăzut la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(7) poate fi redus cu 5 zile.</w:t>
      </w:r>
      <w:r w:rsidR="00D964DE" w:rsidRPr="00DD689E">
        <w:rPr>
          <w:rFonts w:ascii="Times New Roman" w:hAnsi="Times New Roman"/>
          <w:sz w:val="28"/>
          <w:szCs w:val="28"/>
          <w:lang w:val="ro-RO"/>
        </w:rPr>
        <w:t>”</w:t>
      </w:r>
    </w:p>
    <w:p w:rsidR="00F1017F" w:rsidRPr="00DD689E" w:rsidRDefault="00F1017F" w:rsidP="00CD460C">
      <w:pPr>
        <w:jc w:val="both"/>
        <w:rPr>
          <w:rFonts w:ascii="Times New Roman" w:hAnsi="Times New Roman"/>
          <w:sz w:val="28"/>
          <w:szCs w:val="28"/>
          <w:u w:val="single"/>
          <w:lang w:val="ro-RO"/>
        </w:rPr>
      </w:pPr>
    </w:p>
    <w:p w:rsidR="00D503F8" w:rsidRPr="00DD689E" w:rsidRDefault="00656A65" w:rsidP="00CD460C">
      <w:pPr>
        <w:jc w:val="both"/>
        <w:rPr>
          <w:rFonts w:ascii="Times New Roman" w:hAnsi="Times New Roman"/>
          <w:sz w:val="28"/>
          <w:szCs w:val="28"/>
          <w:lang w:val="ro-RO"/>
        </w:rPr>
      </w:pPr>
      <w:r w:rsidRPr="00DD689E">
        <w:rPr>
          <w:rFonts w:ascii="Times New Roman" w:hAnsi="Times New Roman"/>
          <w:b/>
          <w:sz w:val="28"/>
          <w:szCs w:val="28"/>
          <w:lang w:val="ro-RO"/>
        </w:rPr>
        <w:t>7.</w:t>
      </w:r>
      <w:r w:rsidRPr="00DD689E">
        <w:rPr>
          <w:rFonts w:ascii="Times New Roman" w:hAnsi="Times New Roman"/>
          <w:sz w:val="28"/>
          <w:szCs w:val="28"/>
          <w:lang w:val="ro-RO"/>
        </w:rPr>
        <w:t xml:space="preserve"> </w:t>
      </w:r>
      <w:r w:rsidR="00F43468"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icolul </w:t>
      </w:r>
      <w:r w:rsidR="00F43468" w:rsidRPr="00DD689E">
        <w:rPr>
          <w:rFonts w:ascii="Times New Roman" w:hAnsi="Times New Roman"/>
          <w:sz w:val="28"/>
          <w:szCs w:val="28"/>
          <w:lang w:val="ro-RO"/>
        </w:rPr>
        <w:t>54 alin</w:t>
      </w:r>
      <w:r w:rsidRPr="00DD689E">
        <w:rPr>
          <w:rFonts w:ascii="Times New Roman" w:hAnsi="Times New Roman"/>
          <w:sz w:val="28"/>
          <w:szCs w:val="28"/>
          <w:lang w:val="ro-RO"/>
        </w:rPr>
        <w:t>eatul</w:t>
      </w:r>
      <w:r w:rsidR="00F43468" w:rsidRPr="00DD689E">
        <w:rPr>
          <w:rFonts w:ascii="Times New Roman" w:hAnsi="Times New Roman"/>
          <w:sz w:val="28"/>
          <w:szCs w:val="28"/>
          <w:lang w:val="ro-RO"/>
        </w:rPr>
        <w:t xml:space="preserve"> (1) </w:t>
      </w:r>
      <w:r w:rsidR="008F5A7C" w:rsidRPr="00DD689E">
        <w:rPr>
          <w:rFonts w:ascii="Times New Roman" w:hAnsi="Times New Roman"/>
          <w:sz w:val="28"/>
          <w:szCs w:val="28"/>
          <w:lang w:val="ro-RO"/>
        </w:rPr>
        <w:t>lit</w:t>
      </w:r>
      <w:r w:rsidRPr="00DD689E">
        <w:rPr>
          <w:rFonts w:ascii="Times New Roman" w:hAnsi="Times New Roman"/>
          <w:sz w:val="28"/>
          <w:szCs w:val="28"/>
          <w:lang w:val="ro-RO"/>
        </w:rPr>
        <w:t xml:space="preserve">era </w:t>
      </w:r>
      <w:r w:rsidR="00F43468" w:rsidRPr="00DD689E">
        <w:rPr>
          <w:rFonts w:ascii="Times New Roman" w:hAnsi="Times New Roman"/>
          <w:sz w:val="28"/>
          <w:szCs w:val="28"/>
          <w:lang w:val="ro-RO"/>
        </w:rPr>
        <w:t>c)</w:t>
      </w:r>
      <w:r w:rsidRPr="00DD689E">
        <w:rPr>
          <w:rFonts w:ascii="Times New Roman" w:hAnsi="Times New Roman"/>
          <w:sz w:val="28"/>
          <w:szCs w:val="28"/>
          <w:lang w:val="ro-RO"/>
        </w:rPr>
        <w:t>,</w:t>
      </w:r>
      <w:r w:rsidR="00F43468" w:rsidRPr="00DD689E">
        <w:rPr>
          <w:rFonts w:ascii="Times New Roman" w:hAnsi="Times New Roman"/>
          <w:sz w:val="28"/>
          <w:szCs w:val="28"/>
          <w:lang w:val="ro-RO"/>
        </w:rPr>
        <w:t xml:space="preserve"> sintagma „sau un singur operator economic are drepturi prioritare asupra</w:t>
      </w:r>
      <w:r w:rsidR="00B42CAB" w:rsidRPr="00DD689E">
        <w:rPr>
          <w:rFonts w:ascii="Times New Roman" w:hAnsi="Times New Roman"/>
          <w:sz w:val="28"/>
          <w:szCs w:val="28"/>
          <w:lang w:val="ro-RO"/>
        </w:rPr>
        <w:t xml:space="preserve"> lor</w:t>
      </w:r>
      <w:r w:rsidR="00D964DE" w:rsidRPr="00DD689E">
        <w:rPr>
          <w:rFonts w:ascii="Times New Roman" w:hAnsi="Times New Roman"/>
          <w:sz w:val="28"/>
          <w:szCs w:val="28"/>
          <w:lang w:val="ro-RO"/>
        </w:rPr>
        <w:t>”</w:t>
      </w:r>
      <w:r w:rsidR="00F43468" w:rsidRPr="00DD689E">
        <w:rPr>
          <w:rFonts w:ascii="Times New Roman" w:hAnsi="Times New Roman"/>
          <w:sz w:val="28"/>
          <w:szCs w:val="28"/>
          <w:lang w:val="ro-RO"/>
        </w:rPr>
        <w:t xml:space="preserve"> se exclude.</w:t>
      </w:r>
    </w:p>
    <w:p w:rsidR="00F1017F" w:rsidRPr="00DD689E" w:rsidRDefault="00F1017F" w:rsidP="00CD460C">
      <w:pPr>
        <w:jc w:val="both"/>
        <w:rPr>
          <w:rFonts w:ascii="Times New Roman" w:hAnsi="Times New Roman"/>
          <w:sz w:val="28"/>
          <w:szCs w:val="28"/>
          <w:lang w:val="ro-RO"/>
        </w:rPr>
      </w:pPr>
    </w:p>
    <w:p w:rsidR="0042308C" w:rsidRPr="00DD689E" w:rsidRDefault="00656A65" w:rsidP="00CD460C">
      <w:pPr>
        <w:jc w:val="both"/>
        <w:rPr>
          <w:rFonts w:ascii="Times New Roman" w:hAnsi="Times New Roman"/>
          <w:sz w:val="28"/>
          <w:szCs w:val="28"/>
          <w:lang w:val="ro-RO"/>
        </w:rPr>
      </w:pPr>
      <w:r w:rsidRPr="00DD689E">
        <w:rPr>
          <w:rFonts w:ascii="Times New Roman" w:hAnsi="Times New Roman"/>
          <w:b/>
          <w:sz w:val="28"/>
          <w:szCs w:val="28"/>
          <w:lang w:val="ro-RO"/>
        </w:rPr>
        <w:lastRenderedPageBreak/>
        <w:t>8.</w:t>
      </w:r>
      <w:r w:rsidRPr="00DD689E">
        <w:rPr>
          <w:rFonts w:ascii="Times New Roman" w:hAnsi="Times New Roman"/>
          <w:sz w:val="28"/>
          <w:szCs w:val="28"/>
          <w:lang w:val="ro-RO"/>
        </w:rPr>
        <w:t xml:space="preserve"> </w:t>
      </w:r>
      <w:r w:rsidR="0042308C"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icolul </w:t>
      </w:r>
      <w:r w:rsidR="0042308C" w:rsidRPr="00DD689E">
        <w:rPr>
          <w:rFonts w:ascii="Times New Roman" w:hAnsi="Times New Roman"/>
          <w:sz w:val="28"/>
          <w:szCs w:val="28"/>
          <w:lang w:val="ro-RO"/>
        </w:rPr>
        <w:t>67 alin</w:t>
      </w:r>
      <w:r w:rsidRPr="00DD689E">
        <w:rPr>
          <w:rFonts w:ascii="Times New Roman" w:hAnsi="Times New Roman"/>
          <w:sz w:val="28"/>
          <w:szCs w:val="28"/>
          <w:lang w:val="ro-RO"/>
        </w:rPr>
        <w:t>eatul</w:t>
      </w:r>
      <w:r w:rsidR="0042308C" w:rsidRPr="00DD689E">
        <w:rPr>
          <w:rFonts w:ascii="Times New Roman" w:hAnsi="Times New Roman"/>
          <w:sz w:val="28"/>
          <w:szCs w:val="28"/>
          <w:lang w:val="ro-RO"/>
        </w:rPr>
        <w:t xml:space="preserve"> (1)</w:t>
      </w:r>
      <w:r w:rsidRPr="00DD689E">
        <w:rPr>
          <w:rFonts w:ascii="Times New Roman" w:hAnsi="Times New Roman"/>
          <w:sz w:val="28"/>
          <w:szCs w:val="28"/>
          <w:lang w:val="ro-RO"/>
        </w:rPr>
        <w:t>,</w:t>
      </w:r>
      <w:r w:rsidR="0042308C" w:rsidRPr="00DD689E">
        <w:rPr>
          <w:rFonts w:ascii="Times New Roman" w:hAnsi="Times New Roman"/>
          <w:sz w:val="28"/>
          <w:szCs w:val="28"/>
          <w:lang w:val="ro-RO"/>
        </w:rPr>
        <w:t xml:space="preserve"> </w:t>
      </w:r>
      <w:r w:rsidR="008F5A7C" w:rsidRPr="00DD689E">
        <w:rPr>
          <w:rFonts w:ascii="Times New Roman" w:hAnsi="Times New Roman"/>
          <w:sz w:val="28"/>
          <w:szCs w:val="28"/>
          <w:lang w:val="ro-RO"/>
        </w:rPr>
        <w:t>lit</w:t>
      </w:r>
      <w:r w:rsidRPr="00DD689E">
        <w:rPr>
          <w:rFonts w:ascii="Times New Roman" w:hAnsi="Times New Roman"/>
          <w:sz w:val="28"/>
          <w:szCs w:val="28"/>
          <w:lang w:val="ro-RO"/>
        </w:rPr>
        <w:t xml:space="preserve">era </w:t>
      </w:r>
      <w:r w:rsidR="0042308C" w:rsidRPr="00DD689E">
        <w:rPr>
          <w:rFonts w:ascii="Times New Roman" w:hAnsi="Times New Roman"/>
          <w:sz w:val="28"/>
          <w:szCs w:val="28"/>
          <w:lang w:val="ro-RO"/>
        </w:rPr>
        <w:t xml:space="preserve">c) se modifică și va avea următorul </w:t>
      </w:r>
      <w:r w:rsidR="007D68EF" w:rsidRPr="00DD689E">
        <w:rPr>
          <w:rFonts w:ascii="Times New Roman" w:hAnsi="Times New Roman"/>
          <w:sz w:val="28"/>
          <w:szCs w:val="28"/>
          <w:lang w:val="ro-RO"/>
        </w:rPr>
        <w:t>cuprins</w:t>
      </w:r>
      <w:r w:rsidR="0042308C" w:rsidRPr="00DD689E">
        <w:rPr>
          <w:rFonts w:ascii="Times New Roman" w:hAnsi="Times New Roman"/>
          <w:sz w:val="28"/>
          <w:szCs w:val="28"/>
          <w:lang w:val="ro-RO"/>
        </w:rPr>
        <w:t xml:space="preserve">: </w:t>
      </w:r>
    </w:p>
    <w:p w:rsidR="00F1017F" w:rsidRPr="00DD689E" w:rsidRDefault="00D964DE"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c) în cazul achiziţiilor publice de lucrări, valoarea totală a fiecărei oferte este:</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 mai mare cu cel puțin 15% decât valoarea estimată a lucrărilor, calculate în conformitate cu prevederile prezentei legi; sau</w:t>
      </w:r>
    </w:p>
    <w:p w:rsidR="00F1017F" w:rsidRPr="00DD689E" w:rsidRDefault="00F1017F" w:rsidP="00CD460C">
      <w:pPr>
        <w:ind w:left="708"/>
        <w:jc w:val="both"/>
        <w:rPr>
          <w:rFonts w:ascii="Times New Roman" w:hAnsi="Times New Roman"/>
          <w:sz w:val="28"/>
          <w:szCs w:val="28"/>
          <w:lang w:val="ro-RO"/>
        </w:rPr>
      </w:pPr>
      <w:r w:rsidRPr="00DD689E">
        <w:rPr>
          <w:rFonts w:ascii="Times New Roman" w:hAnsi="Times New Roman"/>
          <w:sz w:val="28"/>
          <w:szCs w:val="28"/>
          <w:lang w:val="ro-RO"/>
        </w:rPr>
        <w:t xml:space="preserve">- mai mică cu cel puțin 15% decât valoarea estimată a lucrărilor, calculate în conformitate cu prevederile prezentei legi, cu condiția că ofertanții nu au fost în măsură să prezinte justificări relevante în conformitate cu </w:t>
      </w:r>
      <w:r w:rsidR="008F5A7C" w:rsidRPr="00DD689E">
        <w:rPr>
          <w:rFonts w:ascii="Times New Roman" w:hAnsi="Times New Roman"/>
          <w:sz w:val="28"/>
          <w:szCs w:val="28"/>
          <w:lang w:val="ro-RO"/>
        </w:rPr>
        <w:t>art.</w:t>
      </w:r>
      <w:r w:rsidRPr="00DD689E">
        <w:rPr>
          <w:rFonts w:ascii="Times New Roman" w:hAnsi="Times New Roman"/>
          <w:sz w:val="28"/>
          <w:szCs w:val="28"/>
          <w:lang w:val="ro-RO"/>
        </w:rPr>
        <w:t xml:space="preserve"> 66 </w:t>
      </w:r>
      <w:r w:rsidR="008F5A7C" w:rsidRPr="00DD689E">
        <w:rPr>
          <w:rFonts w:ascii="Times New Roman" w:hAnsi="Times New Roman"/>
          <w:sz w:val="28"/>
          <w:szCs w:val="28"/>
          <w:lang w:val="ro-RO"/>
        </w:rPr>
        <w:t>alin.</w:t>
      </w:r>
      <w:r w:rsidRPr="00DD689E">
        <w:rPr>
          <w:rFonts w:ascii="Times New Roman" w:hAnsi="Times New Roman"/>
          <w:sz w:val="28"/>
          <w:szCs w:val="28"/>
          <w:lang w:val="ro-RO"/>
        </w:rPr>
        <w:t xml:space="preserve"> (4) – (5).</w:t>
      </w:r>
      <w:r w:rsidR="00D964DE" w:rsidRPr="00DD689E">
        <w:rPr>
          <w:rFonts w:ascii="Times New Roman" w:hAnsi="Times New Roman"/>
          <w:sz w:val="28"/>
          <w:szCs w:val="28"/>
          <w:lang w:val="ro-RO"/>
        </w:rPr>
        <w:t>”</w:t>
      </w:r>
    </w:p>
    <w:p w:rsidR="00F1017F" w:rsidRPr="00DD689E" w:rsidRDefault="00F1017F" w:rsidP="00CD460C">
      <w:pPr>
        <w:jc w:val="both"/>
        <w:rPr>
          <w:rFonts w:ascii="Times New Roman" w:hAnsi="Times New Roman"/>
          <w:sz w:val="28"/>
          <w:szCs w:val="28"/>
          <w:u w:val="single"/>
          <w:lang w:val="ro-RO"/>
        </w:rPr>
      </w:pPr>
    </w:p>
    <w:p w:rsidR="00656A65" w:rsidRPr="00DD689E" w:rsidRDefault="00656A65" w:rsidP="00CD460C">
      <w:pPr>
        <w:jc w:val="both"/>
        <w:rPr>
          <w:rFonts w:ascii="Times New Roman" w:hAnsi="Times New Roman"/>
          <w:sz w:val="28"/>
          <w:szCs w:val="28"/>
          <w:lang w:val="ro-RO"/>
        </w:rPr>
      </w:pPr>
      <w:r w:rsidRPr="00DD689E">
        <w:rPr>
          <w:rFonts w:ascii="Times New Roman" w:hAnsi="Times New Roman"/>
          <w:b/>
          <w:sz w:val="28"/>
          <w:szCs w:val="28"/>
          <w:lang w:val="ro-RO"/>
        </w:rPr>
        <w:t>9.</w:t>
      </w:r>
      <w:r w:rsidRPr="00DD689E">
        <w:rPr>
          <w:rFonts w:ascii="Times New Roman" w:hAnsi="Times New Roman"/>
          <w:sz w:val="28"/>
          <w:szCs w:val="28"/>
          <w:lang w:val="ro-RO"/>
        </w:rPr>
        <w:t xml:space="preserve"> </w:t>
      </w:r>
      <w:r w:rsidR="0042308C" w:rsidRPr="00DD689E">
        <w:rPr>
          <w:rFonts w:ascii="Times New Roman" w:hAnsi="Times New Roman"/>
          <w:sz w:val="28"/>
          <w:szCs w:val="28"/>
          <w:lang w:val="ro-RO"/>
        </w:rPr>
        <w:t xml:space="preserve">La </w:t>
      </w:r>
      <w:r w:rsidR="008F5A7C" w:rsidRPr="00DD689E">
        <w:rPr>
          <w:rFonts w:ascii="Times New Roman" w:hAnsi="Times New Roman"/>
          <w:sz w:val="28"/>
          <w:szCs w:val="28"/>
          <w:lang w:val="ro-RO"/>
        </w:rPr>
        <w:t>art</w:t>
      </w:r>
      <w:r w:rsidRPr="00DD689E">
        <w:rPr>
          <w:rFonts w:ascii="Times New Roman" w:hAnsi="Times New Roman"/>
          <w:sz w:val="28"/>
          <w:szCs w:val="28"/>
          <w:lang w:val="ro-RO"/>
        </w:rPr>
        <w:t>icolul 73:</w:t>
      </w:r>
    </w:p>
    <w:p w:rsidR="0042308C" w:rsidRPr="00DD689E" w:rsidRDefault="0042308C"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 </w:t>
      </w:r>
      <w:r w:rsidR="00656A65" w:rsidRPr="00DD689E">
        <w:rPr>
          <w:rFonts w:ascii="Times New Roman" w:hAnsi="Times New Roman"/>
          <w:sz w:val="28"/>
          <w:szCs w:val="28"/>
          <w:lang w:val="ro-RO"/>
        </w:rPr>
        <w:tab/>
      </w:r>
      <w:r w:rsidR="008F5A7C" w:rsidRPr="00DD689E">
        <w:rPr>
          <w:rFonts w:ascii="Times New Roman" w:hAnsi="Times New Roman"/>
          <w:sz w:val="28"/>
          <w:szCs w:val="28"/>
          <w:lang w:val="ro-RO"/>
        </w:rPr>
        <w:t>alin</w:t>
      </w:r>
      <w:r w:rsidR="00656A65" w:rsidRPr="00DD689E">
        <w:rPr>
          <w:rFonts w:ascii="Times New Roman" w:hAnsi="Times New Roman"/>
          <w:sz w:val="28"/>
          <w:szCs w:val="28"/>
          <w:lang w:val="ro-RO"/>
        </w:rPr>
        <w:t xml:space="preserve">eatul </w:t>
      </w:r>
      <w:r w:rsidRPr="00DD689E">
        <w:rPr>
          <w:rFonts w:ascii="Times New Roman" w:hAnsi="Times New Roman"/>
          <w:sz w:val="28"/>
          <w:szCs w:val="28"/>
          <w:lang w:val="ro-RO"/>
        </w:rPr>
        <w:t xml:space="preserve">(2) se modifică și va avea următorul </w:t>
      </w:r>
      <w:r w:rsidR="007D68EF" w:rsidRPr="00DD689E">
        <w:rPr>
          <w:rFonts w:ascii="Times New Roman" w:hAnsi="Times New Roman"/>
          <w:sz w:val="28"/>
          <w:szCs w:val="28"/>
          <w:lang w:val="ro-RO"/>
        </w:rPr>
        <w:t>cuprins</w:t>
      </w:r>
      <w:r w:rsidRPr="00DD689E">
        <w:rPr>
          <w:rFonts w:ascii="Times New Roman" w:hAnsi="Times New Roman"/>
          <w:sz w:val="28"/>
          <w:szCs w:val="28"/>
          <w:lang w:val="ro-RO"/>
        </w:rPr>
        <w:t>:</w:t>
      </w:r>
    </w:p>
    <w:p w:rsidR="00F1017F" w:rsidRPr="00DD689E" w:rsidRDefault="00D964DE"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F1017F" w:rsidRPr="00DD689E">
        <w:rPr>
          <w:rFonts w:ascii="Times New Roman" w:hAnsi="Times New Roman"/>
          <w:sz w:val="28"/>
          <w:szCs w:val="28"/>
          <w:lang w:val="ro-RO"/>
        </w:rPr>
        <w:t>(2) Darea de seamă privind procedura de achiziție publică este un document public. Accesul persoanelor la aceste informații poate fi limitat numai în măsura în care aceste informații au fost desemnate ca fiind confidențiale de către ofertanți. Astfel de informații pot include, în special, secrete tehnice sau comerciale și aspecte confidențiale ale ofertelor.</w:t>
      </w:r>
      <w:r w:rsidRPr="00DD689E">
        <w:rPr>
          <w:rFonts w:ascii="Times New Roman" w:hAnsi="Times New Roman"/>
          <w:sz w:val="28"/>
          <w:szCs w:val="28"/>
          <w:lang w:val="ro-RO"/>
        </w:rPr>
        <w:t>”</w:t>
      </w:r>
    </w:p>
    <w:p w:rsidR="0042308C" w:rsidRPr="00DD689E" w:rsidRDefault="00656A65" w:rsidP="00CD460C">
      <w:pPr>
        <w:ind w:firstLine="720"/>
        <w:jc w:val="both"/>
        <w:rPr>
          <w:rFonts w:ascii="Times New Roman" w:hAnsi="Times New Roman"/>
          <w:sz w:val="28"/>
          <w:szCs w:val="28"/>
          <w:lang w:val="ro-RO"/>
        </w:rPr>
      </w:pPr>
      <w:r w:rsidRPr="00DD689E">
        <w:rPr>
          <w:rFonts w:ascii="Times New Roman" w:hAnsi="Times New Roman"/>
          <w:sz w:val="28"/>
          <w:szCs w:val="28"/>
          <w:lang w:val="ro-RO"/>
        </w:rPr>
        <w:t xml:space="preserve">alineatul </w:t>
      </w:r>
      <w:r w:rsidR="0042308C" w:rsidRPr="00DD689E">
        <w:rPr>
          <w:rFonts w:ascii="Times New Roman" w:hAnsi="Times New Roman"/>
          <w:sz w:val="28"/>
          <w:szCs w:val="28"/>
          <w:lang w:val="ro-RO"/>
        </w:rPr>
        <w:t>(3) se exclude.</w:t>
      </w:r>
    </w:p>
    <w:p w:rsidR="00F1017F" w:rsidRPr="00DD689E" w:rsidRDefault="00F1017F" w:rsidP="00CD460C">
      <w:pPr>
        <w:jc w:val="both"/>
        <w:rPr>
          <w:rFonts w:ascii="Times New Roman" w:hAnsi="Times New Roman"/>
          <w:sz w:val="28"/>
          <w:szCs w:val="28"/>
          <w:lang w:val="ro-RO"/>
        </w:rPr>
      </w:pPr>
    </w:p>
    <w:p w:rsidR="00451214" w:rsidRPr="00DD689E" w:rsidRDefault="00656A65" w:rsidP="00CD460C">
      <w:pPr>
        <w:jc w:val="both"/>
        <w:rPr>
          <w:rFonts w:ascii="Times New Roman" w:hAnsi="Times New Roman"/>
          <w:bCs/>
          <w:sz w:val="28"/>
          <w:szCs w:val="28"/>
          <w:lang w:val="ro-RO"/>
        </w:rPr>
      </w:pPr>
      <w:r w:rsidRPr="00DD689E">
        <w:rPr>
          <w:rFonts w:ascii="Times New Roman" w:hAnsi="Times New Roman"/>
          <w:b/>
          <w:bCs/>
          <w:sz w:val="28"/>
          <w:szCs w:val="28"/>
          <w:lang w:val="ro-RO"/>
        </w:rPr>
        <w:t>10.</w:t>
      </w:r>
      <w:r w:rsidRPr="00DD689E">
        <w:rPr>
          <w:rFonts w:ascii="Times New Roman" w:hAnsi="Times New Roman"/>
          <w:bCs/>
          <w:sz w:val="28"/>
          <w:szCs w:val="28"/>
          <w:lang w:val="ro-RO"/>
        </w:rPr>
        <w:t xml:space="preserve"> </w:t>
      </w:r>
      <w:r w:rsidR="008F5A7C" w:rsidRPr="00DD689E">
        <w:rPr>
          <w:rFonts w:ascii="Times New Roman" w:hAnsi="Times New Roman"/>
          <w:bCs/>
          <w:sz w:val="28"/>
          <w:szCs w:val="28"/>
          <w:lang w:val="ro-RO"/>
        </w:rPr>
        <w:t>Art</w:t>
      </w:r>
      <w:r w:rsidRPr="00DD689E">
        <w:rPr>
          <w:rFonts w:ascii="Times New Roman" w:hAnsi="Times New Roman"/>
          <w:bCs/>
          <w:sz w:val="28"/>
          <w:szCs w:val="28"/>
          <w:lang w:val="ro-RO"/>
        </w:rPr>
        <w:t xml:space="preserve">icolul </w:t>
      </w:r>
      <w:r w:rsidR="00451214" w:rsidRPr="00DD689E">
        <w:rPr>
          <w:rFonts w:ascii="Times New Roman" w:hAnsi="Times New Roman"/>
          <w:bCs/>
          <w:sz w:val="28"/>
          <w:szCs w:val="28"/>
          <w:lang w:val="ro-RO"/>
        </w:rPr>
        <w:t xml:space="preserve">75 se modifică și va avea următorul </w:t>
      </w:r>
      <w:r w:rsidR="007D68EF" w:rsidRPr="00DD689E">
        <w:rPr>
          <w:rFonts w:ascii="Times New Roman" w:hAnsi="Times New Roman"/>
          <w:bCs/>
          <w:sz w:val="28"/>
          <w:szCs w:val="28"/>
          <w:lang w:val="ro-RO"/>
        </w:rPr>
        <w:t>cuprins</w:t>
      </w:r>
      <w:r w:rsidR="00451214" w:rsidRPr="00DD689E">
        <w:rPr>
          <w:rFonts w:ascii="Times New Roman" w:hAnsi="Times New Roman"/>
          <w:bCs/>
          <w:sz w:val="28"/>
          <w:szCs w:val="28"/>
          <w:lang w:val="ro-RO"/>
        </w:rPr>
        <w:t>:</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bCs/>
          <w:sz w:val="28"/>
          <w:szCs w:val="28"/>
          <w:lang w:val="ro-RO"/>
        </w:rPr>
        <w:t>„</w:t>
      </w:r>
      <w:r w:rsidR="008F5A7C" w:rsidRPr="00DD689E">
        <w:rPr>
          <w:rFonts w:ascii="Times New Roman" w:hAnsi="Times New Roman"/>
          <w:bCs/>
          <w:sz w:val="28"/>
          <w:szCs w:val="28"/>
          <w:lang w:val="ro-RO"/>
        </w:rPr>
        <w:t>Art.</w:t>
      </w:r>
      <w:r w:rsidRPr="00DD689E">
        <w:rPr>
          <w:rFonts w:ascii="Times New Roman" w:hAnsi="Times New Roman"/>
          <w:bCs/>
          <w:sz w:val="28"/>
          <w:szCs w:val="28"/>
          <w:lang w:val="ro-RO"/>
        </w:rPr>
        <w:t>75.</w:t>
      </w:r>
      <w:r w:rsidRPr="00DD689E">
        <w:rPr>
          <w:rFonts w:ascii="Times New Roman" w:hAnsi="Times New Roman"/>
          <w:b/>
          <w:bCs/>
          <w:sz w:val="28"/>
          <w:szCs w:val="28"/>
          <w:lang w:val="ro-RO"/>
        </w:rPr>
        <w:t xml:space="preserve">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este o autoritate publică autonomă şi independentă faţă de alte autorităţi publice, faţă de persoane fizice şi juridice, care examinează contestaţiile formulate în cadrul procedurilor de achiziţie publică.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este persoană juridică de drept public, finanţată integral din bugetul de stat, şi dispune de ştampilă cu imaginea Stemei de Stat a Republicii Moldova.</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(3) </w:t>
      </w:r>
      <w:r w:rsidR="00F82FB2"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dispune de independenţă organizaţională, funcţională, operaţională şi financiară, își estimează costurile activităţii sale şi planifică propriul buget anual care se aprobă de Parlament pînă la 1 iulie a anului în curs și se remite Guvernului bugetul aprobat al </w:t>
      </w:r>
      <w:r w:rsidR="00B332B9" w:rsidRPr="00DD689E">
        <w:rPr>
          <w:rFonts w:ascii="Times New Roman" w:hAnsi="Times New Roman"/>
          <w:sz w:val="28"/>
          <w:szCs w:val="28"/>
          <w:lang w:val="ro-RO"/>
        </w:rPr>
        <w:t>Agenției Naţionale pentru Soluționarea Contestațiilor</w:t>
      </w:r>
      <w:r w:rsidRPr="00DD689E">
        <w:rPr>
          <w:rFonts w:ascii="Times New Roman" w:hAnsi="Times New Roman"/>
          <w:sz w:val="28"/>
          <w:szCs w:val="28"/>
          <w:lang w:val="ro-RO"/>
        </w:rPr>
        <w:t xml:space="preserve"> pentru includerea lui în proiectul legii bugetului de stat pentru anul bugetar următor.</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(4)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prezintă anual, până la 15 martie, Parlamentului un raport financiar privind executarea bugetului său propriu în exercițiul bugetar încheiat și un raport anual de performanță, care să includă date și analize cu privire la cazurile de soluționare a contestaţiilor.</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(5) Procedura de formare şi funcţionare a </w:t>
      </w:r>
      <w:r w:rsidR="00F82FB2"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precum şi componenţa acesteia se reglementează de un regulament aprobat de Parlament.</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(6) În ceea ce privește deciziile sale,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este complet independentă și nu poate fi subordonată nici unei alte autorități sau instituții publice. Ea are </w:t>
      </w:r>
      <w:r w:rsidR="00267B89" w:rsidRPr="00DD689E">
        <w:rPr>
          <w:rFonts w:ascii="Times New Roman" w:hAnsi="Times New Roman"/>
          <w:sz w:val="28"/>
          <w:szCs w:val="28"/>
          <w:lang w:val="ro-RO"/>
        </w:rPr>
        <w:t>obligația</w:t>
      </w:r>
      <w:r w:rsidRPr="00DD689E">
        <w:rPr>
          <w:rFonts w:ascii="Times New Roman" w:hAnsi="Times New Roman"/>
          <w:sz w:val="28"/>
          <w:szCs w:val="28"/>
          <w:lang w:val="ro-RO"/>
        </w:rPr>
        <w:t xml:space="preserve"> de a apăra toate drepturile și interesele legitime revendicate în contestaţiile trimise spre soluționare, fără nici o </w:t>
      </w:r>
      <w:r w:rsidRPr="00DD689E">
        <w:rPr>
          <w:rFonts w:ascii="Times New Roman" w:hAnsi="Times New Roman"/>
          <w:sz w:val="28"/>
          <w:szCs w:val="28"/>
          <w:lang w:val="ro-RO"/>
        </w:rPr>
        <w:lastRenderedPageBreak/>
        <w:t xml:space="preserve">privilegiere și discriminare. Deciziile </w:t>
      </w:r>
      <w:r w:rsidR="00B332B9" w:rsidRPr="00DD689E">
        <w:rPr>
          <w:rFonts w:ascii="Times New Roman" w:hAnsi="Times New Roman"/>
          <w:sz w:val="28"/>
          <w:szCs w:val="28"/>
          <w:lang w:val="ro-RO"/>
        </w:rPr>
        <w:t>Agenției Naţionale pentru Soluționarea Contestațiilor</w:t>
      </w:r>
      <w:r w:rsidR="004C7D80" w:rsidRPr="00DD689E">
        <w:rPr>
          <w:rFonts w:ascii="Times New Roman" w:hAnsi="Times New Roman"/>
          <w:sz w:val="28"/>
          <w:szCs w:val="28"/>
          <w:lang w:val="ro-RO"/>
        </w:rPr>
        <w:t xml:space="preserve"> </w:t>
      </w:r>
      <w:r w:rsidRPr="00DD689E">
        <w:rPr>
          <w:rFonts w:ascii="Times New Roman" w:hAnsi="Times New Roman"/>
          <w:sz w:val="28"/>
          <w:szCs w:val="28"/>
          <w:lang w:val="ro-RO"/>
        </w:rPr>
        <w:t xml:space="preserve">pot fi contestate numai în instanțele de judecată.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(7)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este apolitică, nu sprijină și nu acordă asistență nici unui partid politic.</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(8) La solicitarea Parlamentului,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prezintă rapoarte pentru o perioadă mai scurtă de un an.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poate, de asemenea, să prezinte alte rapoarte Parlamentului, considerate necesare.</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(9) Raportul prevăzut la alin (4) se publică pe site-ul web al </w:t>
      </w:r>
      <w:r w:rsidR="00B332B9" w:rsidRPr="00DD689E">
        <w:rPr>
          <w:rFonts w:ascii="Times New Roman" w:hAnsi="Times New Roman"/>
          <w:sz w:val="28"/>
          <w:szCs w:val="28"/>
          <w:lang w:val="ro-RO"/>
        </w:rPr>
        <w:t>Agenției Naţionale pentru Soluționarea Contestațiilor</w:t>
      </w:r>
      <w:r w:rsidRPr="00DD689E">
        <w:rPr>
          <w:rFonts w:ascii="Times New Roman" w:hAnsi="Times New Roman"/>
          <w:sz w:val="28"/>
          <w:szCs w:val="28"/>
          <w:lang w:val="ro-RO"/>
        </w:rPr>
        <w:t xml:space="preserve"> în termen de 7 zile după ce a fost prezentat Parlamentului.</w:t>
      </w:r>
    </w:p>
    <w:p w:rsidR="00451214"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(10) </w:t>
      </w:r>
      <w:r w:rsidR="00B332B9" w:rsidRPr="00DD689E">
        <w:rPr>
          <w:rFonts w:ascii="Times New Roman" w:hAnsi="Times New Roman"/>
          <w:sz w:val="28"/>
          <w:szCs w:val="28"/>
          <w:lang w:val="ro-RO"/>
        </w:rPr>
        <w:t>Agenția Naţională pentru Soluționarea Contestațiilor</w:t>
      </w:r>
      <w:r w:rsidRPr="00DD689E">
        <w:rPr>
          <w:rFonts w:ascii="Times New Roman" w:hAnsi="Times New Roman"/>
          <w:sz w:val="28"/>
          <w:szCs w:val="28"/>
          <w:lang w:val="ro-RO"/>
        </w:rPr>
        <w:t xml:space="preserve"> este formată din șase consilieri pentru soluționarea contestaţiilor (în continuare Consilieri), inclusiv </w:t>
      </w:r>
      <w:r w:rsidR="00267B89" w:rsidRPr="00DD689E">
        <w:rPr>
          <w:rFonts w:ascii="Times New Roman" w:hAnsi="Times New Roman"/>
          <w:sz w:val="28"/>
          <w:szCs w:val="28"/>
          <w:lang w:val="ro-RO"/>
        </w:rPr>
        <w:t>directorul general</w:t>
      </w:r>
      <w:r w:rsidRPr="00DD689E">
        <w:rPr>
          <w:rFonts w:ascii="Times New Roman" w:hAnsi="Times New Roman"/>
          <w:sz w:val="28"/>
          <w:szCs w:val="28"/>
          <w:lang w:val="ro-RO"/>
        </w:rPr>
        <w:t xml:space="preserve"> și </w:t>
      </w:r>
      <w:r w:rsidR="00267B89" w:rsidRPr="00DD689E">
        <w:rPr>
          <w:rFonts w:ascii="Times New Roman" w:hAnsi="Times New Roman"/>
          <w:sz w:val="28"/>
          <w:szCs w:val="28"/>
          <w:lang w:val="ro-RO"/>
        </w:rPr>
        <w:t>directorul general adjunct</w:t>
      </w:r>
      <w:r w:rsidRPr="00DD689E">
        <w:rPr>
          <w:rFonts w:ascii="Times New Roman" w:hAnsi="Times New Roman"/>
          <w:sz w:val="28"/>
          <w:szCs w:val="28"/>
          <w:lang w:val="ro-RO"/>
        </w:rPr>
        <w:t xml:space="preserve">, numiţi </w:t>
      </w:r>
      <w:r w:rsidR="00A6000C">
        <w:rPr>
          <w:rFonts w:ascii="Times New Roman" w:hAnsi="Times New Roman"/>
          <w:sz w:val="28"/>
          <w:szCs w:val="28"/>
          <w:lang w:val="ro-RO"/>
        </w:rPr>
        <w:t xml:space="preserve">de </w:t>
      </w:r>
      <w:r w:rsidRPr="00DD689E">
        <w:rPr>
          <w:rFonts w:ascii="Times New Roman" w:hAnsi="Times New Roman"/>
          <w:sz w:val="28"/>
          <w:szCs w:val="28"/>
          <w:lang w:val="ro-RO"/>
        </w:rPr>
        <w:t>Parlament</w:t>
      </w:r>
      <w:r w:rsidR="00A6000C">
        <w:rPr>
          <w:rFonts w:ascii="Times New Roman" w:hAnsi="Times New Roman"/>
          <w:sz w:val="28"/>
          <w:szCs w:val="28"/>
          <w:lang w:val="ro-RO"/>
        </w:rPr>
        <w:t>ului</w:t>
      </w:r>
      <w:r w:rsidR="00D36E67">
        <w:rPr>
          <w:rFonts w:ascii="Times New Roman" w:hAnsi="Times New Roman"/>
          <w:sz w:val="28"/>
          <w:szCs w:val="28"/>
          <w:lang w:val="ro-RO"/>
        </w:rPr>
        <w:t xml:space="preserve"> cu </w:t>
      </w:r>
      <w:r w:rsidR="00A6000C">
        <w:rPr>
          <w:rFonts w:ascii="Times New Roman" w:hAnsi="Times New Roman"/>
          <w:sz w:val="28"/>
          <w:szCs w:val="28"/>
          <w:lang w:val="ro-RO"/>
        </w:rPr>
        <w:t xml:space="preserve">votul </w:t>
      </w:r>
      <w:r w:rsidR="00D36E67">
        <w:rPr>
          <w:rFonts w:ascii="Times New Roman" w:hAnsi="Times New Roman"/>
          <w:sz w:val="28"/>
          <w:szCs w:val="28"/>
          <w:lang w:val="ro-RO"/>
        </w:rPr>
        <w:t>majorit</w:t>
      </w:r>
      <w:r w:rsidR="00A6000C">
        <w:rPr>
          <w:rFonts w:ascii="Times New Roman" w:hAnsi="Times New Roman"/>
          <w:sz w:val="28"/>
          <w:szCs w:val="28"/>
          <w:lang w:val="ro-RO"/>
        </w:rPr>
        <w:t>ății</w:t>
      </w:r>
      <w:r w:rsidR="00D36E67">
        <w:rPr>
          <w:rFonts w:ascii="Times New Roman" w:hAnsi="Times New Roman"/>
          <w:sz w:val="28"/>
          <w:szCs w:val="28"/>
          <w:lang w:val="ro-RO"/>
        </w:rPr>
        <w:t xml:space="preserve"> simpl</w:t>
      </w:r>
      <w:r w:rsidR="00A6000C">
        <w:rPr>
          <w:rFonts w:ascii="Times New Roman" w:hAnsi="Times New Roman"/>
          <w:sz w:val="28"/>
          <w:szCs w:val="28"/>
          <w:lang w:val="ro-RO"/>
        </w:rPr>
        <w:t>e</w:t>
      </w:r>
      <w:r w:rsidR="00D36E67">
        <w:rPr>
          <w:rFonts w:ascii="Times New Roman" w:hAnsi="Times New Roman"/>
          <w:sz w:val="28"/>
          <w:szCs w:val="28"/>
          <w:lang w:val="ro-RO"/>
        </w:rPr>
        <w:t xml:space="preserve"> a deputaților</w:t>
      </w:r>
      <w:r w:rsidRPr="00DD689E">
        <w:rPr>
          <w:rFonts w:ascii="Times New Roman" w:hAnsi="Times New Roman"/>
          <w:sz w:val="28"/>
          <w:szCs w:val="28"/>
          <w:lang w:val="ro-RO"/>
        </w:rPr>
        <w:t xml:space="preserve">, </w:t>
      </w:r>
      <w:r w:rsidR="00922180">
        <w:rPr>
          <w:rFonts w:ascii="Times New Roman" w:hAnsi="Times New Roman"/>
          <w:sz w:val="28"/>
          <w:szCs w:val="28"/>
          <w:lang w:val="ro-RO"/>
        </w:rPr>
        <w:t>la propunerea Președintelui Parlamentului</w:t>
      </w:r>
      <w:r w:rsidR="00A6000C">
        <w:rPr>
          <w:rFonts w:ascii="Times New Roman" w:hAnsi="Times New Roman"/>
          <w:sz w:val="28"/>
          <w:szCs w:val="28"/>
          <w:lang w:val="ro-RO"/>
        </w:rPr>
        <w:t>.</w:t>
      </w:r>
      <w:r w:rsidR="00922180">
        <w:rPr>
          <w:rFonts w:ascii="Times New Roman" w:hAnsi="Times New Roman"/>
          <w:sz w:val="28"/>
          <w:szCs w:val="28"/>
          <w:lang w:val="ro-RO"/>
        </w:rPr>
        <w:t xml:space="preserve"> </w:t>
      </w:r>
      <w:r w:rsidR="00081A3B">
        <w:rPr>
          <w:rFonts w:ascii="Times New Roman" w:hAnsi="Times New Roman"/>
          <w:sz w:val="28"/>
          <w:szCs w:val="28"/>
          <w:lang w:val="ro-RO"/>
        </w:rPr>
        <w:t>Selectarea candidaților pentru ocuparea funcției de consilier de soluționare a contestațiilor s</w:t>
      </w:r>
      <w:r w:rsidR="00A6000C">
        <w:rPr>
          <w:rFonts w:ascii="Times New Roman" w:hAnsi="Times New Roman"/>
          <w:sz w:val="28"/>
          <w:szCs w:val="28"/>
          <w:lang w:val="ro-RO"/>
        </w:rPr>
        <w:t xml:space="preserve">e face în baza unui </w:t>
      </w:r>
      <w:r w:rsidR="00922180">
        <w:rPr>
          <w:rFonts w:ascii="Times New Roman" w:hAnsi="Times New Roman"/>
          <w:sz w:val="28"/>
          <w:szCs w:val="28"/>
          <w:lang w:val="ro-RO"/>
        </w:rPr>
        <w:t>concurs deschis</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imparțial</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și</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transparent,</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realizat</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de</w:t>
      </w:r>
      <w:r w:rsidR="00081A3B">
        <w:rPr>
          <w:rFonts w:ascii="Times New Roman" w:hAnsi="Times New Roman"/>
          <w:sz w:val="28"/>
          <w:szCs w:val="28"/>
          <w:lang w:val="ro-RO"/>
        </w:rPr>
        <w:t xml:space="preserve"> C</w:t>
      </w:r>
      <w:r w:rsidR="00A6000C" w:rsidRPr="00081A3B">
        <w:rPr>
          <w:rFonts w:ascii="Times New Roman" w:hAnsi="Times New Roman"/>
          <w:sz w:val="28"/>
          <w:szCs w:val="28"/>
          <w:lang w:val="ro-RO"/>
        </w:rPr>
        <w:t xml:space="preserve">omisia </w:t>
      </w:r>
      <w:r w:rsidR="00081A3B">
        <w:rPr>
          <w:rFonts w:ascii="Times New Roman" w:hAnsi="Times New Roman"/>
          <w:sz w:val="28"/>
          <w:szCs w:val="28"/>
          <w:lang w:val="ro-RO"/>
        </w:rPr>
        <w:t>e</w:t>
      </w:r>
      <w:r w:rsidR="00A6000C" w:rsidRPr="00081A3B">
        <w:rPr>
          <w:rFonts w:ascii="Times New Roman" w:hAnsi="Times New Roman"/>
          <w:sz w:val="28"/>
          <w:szCs w:val="28"/>
          <w:lang w:val="ro-RO"/>
        </w:rPr>
        <w:t>conomie, buget</w:t>
      </w:r>
      <w:r w:rsidR="00081A3B">
        <w:rPr>
          <w:rFonts w:ascii="Times New Roman" w:hAnsi="Times New Roman"/>
          <w:sz w:val="28"/>
          <w:szCs w:val="28"/>
          <w:lang w:val="ro-RO"/>
        </w:rPr>
        <w:t xml:space="preserve"> </w:t>
      </w:r>
      <w:r w:rsidR="00A6000C" w:rsidRPr="00081A3B">
        <w:rPr>
          <w:rFonts w:ascii="Times New Roman" w:hAnsi="Times New Roman"/>
          <w:sz w:val="28"/>
          <w:szCs w:val="28"/>
          <w:lang w:val="ro-RO"/>
        </w:rPr>
        <w:t>și finanțe</w:t>
      </w:r>
      <w:r w:rsidR="00081A3B">
        <w:rPr>
          <w:rFonts w:ascii="Times New Roman" w:hAnsi="Times New Roman"/>
          <w:sz w:val="28"/>
          <w:szCs w:val="28"/>
          <w:lang w:val="ro-RO"/>
        </w:rPr>
        <w:t xml:space="preserve"> la propunerea </w:t>
      </w:r>
      <w:r w:rsidR="00B156B8">
        <w:rPr>
          <w:rFonts w:ascii="Times New Roman" w:hAnsi="Times New Roman"/>
          <w:sz w:val="28"/>
          <w:szCs w:val="28"/>
          <w:lang w:val="ro-RO"/>
        </w:rPr>
        <w:t>Consiliul</w:t>
      </w:r>
      <w:r w:rsidR="00081A3B">
        <w:rPr>
          <w:rFonts w:ascii="Times New Roman" w:hAnsi="Times New Roman"/>
          <w:sz w:val="28"/>
          <w:szCs w:val="28"/>
          <w:lang w:val="ro-RO"/>
        </w:rPr>
        <w:t>ui</w:t>
      </w:r>
      <w:r w:rsidR="00B156B8">
        <w:rPr>
          <w:rFonts w:ascii="Times New Roman" w:hAnsi="Times New Roman"/>
          <w:sz w:val="28"/>
          <w:szCs w:val="28"/>
          <w:lang w:val="ro-RO"/>
        </w:rPr>
        <w:t xml:space="preserve"> Național pentru Participare</w:t>
      </w:r>
      <w:r w:rsidRPr="00DD689E">
        <w:rPr>
          <w:rFonts w:ascii="Times New Roman" w:hAnsi="Times New Roman"/>
          <w:sz w:val="28"/>
          <w:szCs w:val="28"/>
          <w:lang w:val="ro-RO"/>
        </w:rPr>
        <w:t xml:space="preserve">, </w:t>
      </w:r>
      <w:r w:rsidR="00132642">
        <w:rPr>
          <w:rFonts w:ascii="Times New Roman" w:hAnsi="Times New Roman"/>
          <w:sz w:val="28"/>
          <w:szCs w:val="28"/>
          <w:lang w:val="ro-RO"/>
        </w:rPr>
        <w:t>Camer</w:t>
      </w:r>
      <w:r w:rsidR="00081A3B">
        <w:rPr>
          <w:rFonts w:ascii="Times New Roman" w:hAnsi="Times New Roman"/>
          <w:sz w:val="28"/>
          <w:szCs w:val="28"/>
          <w:lang w:val="ro-RO"/>
        </w:rPr>
        <w:t>ei</w:t>
      </w:r>
      <w:r w:rsidR="00132642">
        <w:rPr>
          <w:rFonts w:ascii="Times New Roman" w:hAnsi="Times New Roman"/>
          <w:sz w:val="28"/>
          <w:szCs w:val="28"/>
          <w:lang w:val="ro-RO"/>
        </w:rPr>
        <w:t xml:space="preserve"> de Comerț și Industrie și </w:t>
      </w:r>
      <w:r w:rsidRPr="00DD689E">
        <w:rPr>
          <w:rFonts w:ascii="Times New Roman" w:hAnsi="Times New Roman"/>
          <w:sz w:val="28"/>
          <w:szCs w:val="28"/>
          <w:lang w:val="ro-RO"/>
        </w:rPr>
        <w:t>Guvern</w:t>
      </w:r>
      <w:r w:rsidR="00081A3B">
        <w:rPr>
          <w:rFonts w:ascii="Times New Roman" w:hAnsi="Times New Roman"/>
          <w:sz w:val="28"/>
          <w:szCs w:val="28"/>
          <w:lang w:val="ro-RO"/>
        </w:rPr>
        <w:t>ului</w:t>
      </w:r>
      <w:r w:rsidRPr="00DD689E">
        <w:rPr>
          <w:rFonts w:ascii="Times New Roman" w:hAnsi="Times New Roman"/>
          <w:sz w:val="28"/>
          <w:szCs w:val="28"/>
          <w:lang w:val="ro-RO"/>
        </w:rPr>
        <w:t xml:space="preserve">. Fiecare consilier are dreptul la două mandate consecutive. </w:t>
      </w:r>
      <w:r w:rsidR="00081A3B">
        <w:rPr>
          <w:rFonts w:ascii="Times New Roman" w:hAnsi="Times New Roman"/>
          <w:sz w:val="28"/>
          <w:szCs w:val="28"/>
          <w:lang w:val="ro-RO"/>
        </w:rPr>
        <w:t>Consilierii</w:t>
      </w:r>
      <w:r w:rsidRPr="00DD689E">
        <w:rPr>
          <w:rFonts w:ascii="Times New Roman" w:hAnsi="Times New Roman"/>
          <w:sz w:val="28"/>
          <w:szCs w:val="28"/>
          <w:lang w:val="ro-RO"/>
        </w:rPr>
        <w:t xml:space="preserve"> au funcții de demnitate publică.</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(11) Cel puțin o jumătate din consilieri trebuie să dețină licență/masterat în drept.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(12) </w:t>
      </w:r>
      <w:r w:rsidR="00213B1A" w:rsidRPr="00DD689E">
        <w:rPr>
          <w:rStyle w:val="FontStyle15"/>
          <w:sz w:val="28"/>
          <w:szCs w:val="28"/>
          <w:lang w:val="ro-RO"/>
        </w:rPr>
        <w:t>Poate fi numită în funcţia de consilier de soluționare a contestațiilor persoana care corespunde cumulativ următoarelor cerinţe</w:t>
      </w:r>
      <w:r w:rsidRPr="00DD689E">
        <w:rPr>
          <w:rFonts w:ascii="Times New Roman" w:hAnsi="Times New Roman"/>
          <w:sz w:val="28"/>
          <w:szCs w:val="28"/>
          <w:lang w:val="ro-RO"/>
        </w:rPr>
        <w:t>:</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deţine cetăţenia Republicii Moldova;</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are capacitatea deplină de exerciţiu;</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are studii superioare;</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are o vechime în muncă de cel puţin 5 ani în domeniu achizițiilor publice;</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nu are antecedente penale;</w:t>
      </w:r>
    </w:p>
    <w:p w:rsidR="00213B1A" w:rsidRPr="00DD689E" w:rsidRDefault="00213B1A" w:rsidP="00CD460C">
      <w:pPr>
        <w:pStyle w:val="Style7"/>
        <w:widowControl/>
        <w:numPr>
          <w:ilvl w:val="0"/>
          <w:numId w:val="3"/>
        </w:numPr>
        <w:tabs>
          <w:tab w:val="left" w:pos="806"/>
        </w:tabs>
        <w:spacing w:line="240" w:lineRule="auto"/>
        <w:ind w:left="586" w:firstLine="0"/>
        <w:rPr>
          <w:rStyle w:val="FontStyle15"/>
          <w:sz w:val="28"/>
          <w:szCs w:val="28"/>
        </w:rPr>
      </w:pPr>
      <w:r w:rsidRPr="00DD689E">
        <w:rPr>
          <w:rStyle w:val="FontStyle15"/>
          <w:sz w:val="28"/>
          <w:szCs w:val="28"/>
        </w:rPr>
        <w:t xml:space="preserve"> este aptă din punct de vedere medical să exercite funcţia, conform certificatului medical de sănătate eliberat conform legislaţiei în vigoare;</w:t>
      </w:r>
    </w:p>
    <w:p w:rsidR="00213B1A" w:rsidRPr="00DD689E" w:rsidRDefault="00213B1A" w:rsidP="00CD460C">
      <w:pPr>
        <w:pStyle w:val="Style7"/>
        <w:widowControl/>
        <w:numPr>
          <w:ilvl w:val="0"/>
          <w:numId w:val="4"/>
        </w:numPr>
        <w:tabs>
          <w:tab w:val="left" w:pos="778"/>
        </w:tabs>
        <w:spacing w:line="240" w:lineRule="auto"/>
        <w:ind w:firstLine="557"/>
        <w:rPr>
          <w:rStyle w:val="FontStyle15"/>
          <w:sz w:val="28"/>
          <w:szCs w:val="28"/>
        </w:rPr>
      </w:pPr>
      <w:r w:rsidRPr="00DD689E">
        <w:rPr>
          <w:rStyle w:val="FontStyle15"/>
          <w:sz w:val="28"/>
          <w:szCs w:val="28"/>
        </w:rPr>
        <w:t xml:space="preserve"> posedă limba de stat;</w:t>
      </w:r>
    </w:p>
    <w:p w:rsidR="00213B1A" w:rsidRPr="00DD689E" w:rsidRDefault="00213B1A" w:rsidP="00CD460C">
      <w:pPr>
        <w:pStyle w:val="Style7"/>
        <w:widowControl/>
        <w:numPr>
          <w:ilvl w:val="0"/>
          <w:numId w:val="4"/>
        </w:numPr>
        <w:tabs>
          <w:tab w:val="left" w:pos="778"/>
        </w:tabs>
        <w:spacing w:line="240" w:lineRule="auto"/>
        <w:ind w:firstLine="557"/>
        <w:rPr>
          <w:sz w:val="28"/>
          <w:szCs w:val="28"/>
        </w:rPr>
      </w:pPr>
      <w:r w:rsidRPr="00DD689E">
        <w:rPr>
          <w:rStyle w:val="FontStyle15"/>
          <w:sz w:val="28"/>
          <w:szCs w:val="28"/>
        </w:rPr>
        <w:t xml:space="preserve"> nu este privată de dreptul de a ocupa anumite funcţii sau de a exercita o anumită activitate, ca pedeapsă de bază sau complementară drept urmare a hotărîrii judecătoreşti definitive</w:t>
      </w:r>
      <w:r w:rsidR="00451214" w:rsidRPr="00DD689E">
        <w:rPr>
          <w:sz w:val="28"/>
          <w:szCs w:val="28"/>
        </w:rPr>
        <w:t>;</w:t>
      </w:r>
    </w:p>
    <w:p w:rsidR="00451214" w:rsidRPr="00DD689E" w:rsidRDefault="00451214" w:rsidP="00CD460C">
      <w:pPr>
        <w:pStyle w:val="Style7"/>
        <w:widowControl/>
        <w:numPr>
          <w:ilvl w:val="0"/>
          <w:numId w:val="4"/>
        </w:numPr>
        <w:tabs>
          <w:tab w:val="left" w:pos="778"/>
        </w:tabs>
        <w:spacing w:line="240" w:lineRule="auto"/>
        <w:ind w:firstLine="557"/>
        <w:rPr>
          <w:sz w:val="28"/>
          <w:szCs w:val="28"/>
        </w:rPr>
      </w:pPr>
      <w:r w:rsidRPr="00DD689E">
        <w:rPr>
          <w:sz w:val="28"/>
          <w:szCs w:val="28"/>
        </w:rPr>
        <w:t>nu este membru al unui partid politic.</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(13) Consilierii nu au </w:t>
      </w:r>
      <w:r w:rsidR="006628EC" w:rsidRPr="00DD689E">
        <w:rPr>
          <w:rFonts w:ascii="Times New Roman" w:hAnsi="Times New Roman"/>
          <w:sz w:val="28"/>
          <w:szCs w:val="28"/>
          <w:lang w:val="ro-RO"/>
        </w:rPr>
        <w:t>dreptul</w:t>
      </w:r>
      <w:r w:rsidRPr="00DD689E">
        <w:rPr>
          <w:rFonts w:ascii="Times New Roman" w:hAnsi="Times New Roman"/>
          <w:sz w:val="28"/>
          <w:szCs w:val="28"/>
          <w:lang w:val="ro-RO"/>
        </w:rPr>
        <w:t>:</w:t>
      </w:r>
    </w:p>
    <w:p w:rsidR="00556B8E" w:rsidRPr="00DD689E" w:rsidRDefault="00556B8E" w:rsidP="00CD460C">
      <w:pPr>
        <w:pStyle w:val="Style7"/>
        <w:widowControl/>
        <w:tabs>
          <w:tab w:val="left" w:pos="816"/>
        </w:tabs>
        <w:spacing w:line="240" w:lineRule="auto"/>
        <w:rPr>
          <w:sz w:val="28"/>
          <w:szCs w:val="28"/>
        </w:rPr>
      </w:pPr>
      <w:r w:rsidRPr="00DD689E">
        <w:rPr>
          <w:sz w:val="28"/>
          <w:szCs w:val="28"/>
        </w:rPr>
        <w:t>a) să efectueze activități comerciale, direct sau prin intermediari;</w:t>
      </w:r>
    </w:p>
    <w:p w:rsidR="00556B8E" w:rsidRPr="00DD689E" w:rsidRDefault="00556B8E" w:rsidP="00CD460C">
      <w:pPr>
        <w:pStyle w:val="Style7"/>
        <w:widowControl/>
        <w:tabs>
          <w:tab w:val="left" w:pos="816"/>
        </w:tabs>
        <w:spacing w:line="240" w:lineRule="auto"/>
        <w:rPr>
          <w:sz w:val="28"/>
          <w:szCs w:val="28"/>
        </w:rPr>
      </w:pPr>
      <w:r w:rsidRPr="00DD689E">
        <w:rPr>
          <w:sz w:val="28"/>
          <w:szCs w:val="28"/>
        </w:rPr>
        <w:t>b) să fie acționar sau membru al conducerii, organului administrativ sau de control în societăți comerciale, inclusiv bănci și alte instituții de credit, de asigurări sau societăți financiare, întreprinderi de stat sau societăți pe acțiuni cu capital de stat;</w:t>
      </w:r>
    </w:p>
    <w:p w:rsidR="00556B8E" w:rsidRPr="00DD689E" w:rsidRDefault="00556B8E" w:rsidP="00CD460C">
      <w:pPr>
        <w:pStyle w:val="Style7"/>
        <w:widowControl/>
        <w:tabs>
          <w:tab w:val="left" w:pos="816"/>
        </w:tabs>
        <w:spacing w:line="240" w:lineRule="auto"/>
        <w:rPr>
          <w:sz w:val="28"/>
          <w:szCs w:val="28"/>
        </w:rPr>
      </w:pPr>
      <w:r w:rsidRPr="00DD689E">
        <w:rPr>
          <w:sz w:val="28"/>
          <w:szCs w:val="28"/>
        </w:rPr>
        <w:t>c) să dețină orice altă funcție publică sau privată, cu excepția activității didactice, cercetare științifică și creația literară și artistică;</w:t>
      </w:r>
    </w:p>
    <w:p w:rsidR="00556B8E" w:rsidRPr="00DD689E" w:rsidRDefault="00556B8E" w:rsidP="00CD460C">
      <w:pPr>
        <w:pStyle w:val="Style7"/>
        <w:widowControl/>
        <w:tabs>
          <w:tab w:val="left" w:pos="816"/>
        </w:tabs>
        <w:spacing w:line="240" w:lineRule="auto"/>
        <w:rPr>
          <w:sz w:val="28"/>
          <w:szCs w:val="28"/>
        </w:rPr>
      </w:pPr>
      <w:r w:rsidRPr="00DD689E">
        <w:rPr>
          <w:sz w:val="28"/>
          <w:szCs w:val="28"/>
        </w:rPr>
        <w:t>d) să exercite orice alte activități profesionale și de consultanță.</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lastRenderedPageBreak/>
        <w:t>(14) Consilierii nu pot participa la soluționarea unei contestaţii în cazul oricărui potențial conflict de interese.</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(15) </w:t>
      </w:r>
      <w:r w:rsidR="0023799D" w:rsidRPr="00DD689E">
        <w:rPr>
          <w:rStyle w:val="FontStyle15"/>
          <w:sz w:val="28"/>
          <w:szCs w:val="28"/>
          <w:lang w:val="ro-RO"/>
        </w:rPr>
        <w:t xml:space="preserve">Consilierii de soluționare a contestațiilor nu au dreptul să participe la o procedură de soluționare a contestațiilor, dacă </w:t>
      </w:r>
      <w:r w:rsidR="00FB2702" w:rsidRPr="00DD689E">
        <w:rPr>
          <w:rStyle w:val="FontStyle15"/>
          <w:sz w:val="28"/>
          <w:szCs w:val="28"/>
          <w:lang w:val="ro-RO"/>
        </w:rPr>
        <w:t>aceștia</w:t>
      </w:r>
      <w:r w:rsidR="0023799D" w:rsidRPr="00DD689E">
        <w:rPr>
          <w:rStyle w:val="FontStyle15"/>
          <w:sz w:val="28"/>
          <w:szCs w:val="28"/>
          <w:lang w:val="ro-RO"/>
        </w:rPr>
        <w:t xml:space="preserve"> sînt într-una din situațiile descrise mai jos, motiv pentru care decizia emisă va fi anulată</w:t>
      </w:r>
      <w:r w:rsidRPr="00DD689E">
        <w:rPr>
          <w:rFonts w:ascii="Times New Roman" w:hAnsi="Times New Roman"/>
          <w:sz w:val="28"/>
          <w:szCs w:val="28"/>
          <w:lang w:val="ro-RO"/>
        </w:rPr>
        <w:t>:</w:t>
      </w:r>
    </w:p>
    <w:p w:rsidR="0023799D" w:rsidRPr="00DD689E" w:rsidRDefault="0023799D" w:rsidP="00CD460C">
      <w:pPr>
        <w:pStyle w:val="Style7"/>
        <w:widowControl/>
        <w:tabs>
          <w:tab w:val="left" w:pos="816"/>
        </w:tabs>
        <w:spacing w:line="240" w:lineRule="auto"/>
        <w:rPr>
          <w:rStyle w:val="FontStyle15"/>
          <w:sz w:val="28"/>
          <w:szCs w:val="28"/>
        </w:rPr>
      </w:pPr>
      <w:r w:rsidRPr="00DD689E">
        <w:rPr>
          <w:rStyle w:val="FontStyle15"/>
          <w:sz w:val="28"/>
          <w:szCs w:val="28"/>
        </w:rPr>
        <w:t>a) în cazul în care, soțul sau rudele și afini până la gradul al doilea inclusiv, au vreun interes în soluționarea contestațiilor, sau în cazul în care sunt soți, rude sau afini până la gradul al doilea inclusiv, cu oricare dintre părți;</w:t>
      </w:r>
    </w:p>
    <w:p w:rsidR="0023799D" w:rsidRPr="00DD689E" w:rsidRDefault="0023799D" w:rsidP="00CD460C">
      <w:pPr>
        <w:pStyle w:val="Style7"/>
        <w:widowControl/>
        <w:tabs>
          <w:tab w:val="left" w:pos="816"/>
        </w:tabs>
        <w:spacing w:line="240" w:lineRule="auto"/>
        <w:rPr>
          <w:rStyle w:val="FontStyle15"/>
          <w:sz w:val="28"/>
          <w:szCs w:val="28"/>
        </w:rPr>
      </w:pPr>
      <w:r w:rsidRPr="00DD689E">
        <w:rPr>
          <w:rStyle w:val="FontStyle15"/>
          <w:sz w:val="28"/>
          <w:szCs w:val="28"/>
        </w:rPr>
        <w:t>b) în cazul în care a existat un raport între el și una dintre părți în ultimii 5 ani înainte de soluționarea cauzei;</w:t>
      </w:r>
    </w:p>
    <w:p w:rsidR="0023799D" w:rsidRPr="00DD689E" w:rsidRDefault="0023799D" w:rsidP="00CD460C">
      <w:pPr>
        <w:pStyle w:val="Style7"/>
        <w:widowControl/>
        <w:tabs>
          <w:tab w:val="left" w:pos="816"/>
        </w:tabs>
        <w:spacing w:line="240" w:lineRule="auto"/>
        <w:rPr>
          <w:rStyle w:val="FontStyle15"/>
          <w:sz w:val="28"/>
          <w:szCs w:val="28"/>
        </w:rPr>
      </w:pPr>
      <w:r w:rsidRPr="00DD689E">
        <w:rPr>
          <w:rStyle w:val="FontStyle15"/>
          <w:sz w:val="28"/>
          <w:szCs w:val="28"/>
        </w:rPr>
        <w:t>c) în cazul în care au făcut declarații publice care au legătură cu contestația soluționată;</w:t>
      </w:r>
    </w:p>
    <w:p w:rsidR="0023799D" w:rsidRPr="00DD689E" w:rsidRDefault="0023799D" w:rsidP="00CD460C">
      <w:pPr>
        <w:pStyle w:val="Style7"/>
        <w:widowControl/>
        <w:tabs>
          <w:tab w:val="left" w:pos="816"/>
        </w:tabs>
        <w:spacing w:line="240" w:lineRule="auto"/>
        <w:rPr>
          <w:rStyle w:val="FontStyle15"/>
          <w:sz w:val="28"/>
          <w:szCs w:val="28"/>
        </w:rPr>
      </w:pPr>
      <w:r w:rsidRPr="00DD689E">
        <w:rPr>
          <w:rStyle w:val="FontStyle15"/>
          <w:sz w:val="28"/>
          <w:szCs w:val="28"/>
        </w:rPr>
        <w:t>d) în cazul în care au primit bunuri, promisiuni de bunuri sau orice alte astfel de avantaje de la una dintre părți.</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(16) Consilierii sunt obligați:</w:t>
      </w:r>
    </w:p>
    <w:p w:rsidR="00D82384" w:rsidRPr="00DD689E" w:rsidRDefault="00A170B1" w:rsidP="00CD460C">
      <w:pPr>
        <w:pStyle w:val="Style7"/>
        <w:widowControl/>
        <w:numPr>
          <w:ilvl w:val="0"/>
          <w:numId w:val="5"/>
        </w:numPr>
        <w:tabs>
          <w:tab w:val="left" w:pos="792"/>
        </w:tabs>
        <w:spacing w:line="240" w:lineRule="auto"/>
        <w:rPr>
          <w:rStyle w:val="FontStyle15"/>
          <w:sz w:val="28"/>
          <w:szCs w:val="28"/>
        </w:rPr>
      </w:pPr>
      <w:r w:rsidRPr="00DD689E">
        <w:rPr>
          <w:rStyle w:val="FontStyle15"/>
          <w:sz w:val="28"/>
          <w:szCs w:val="28"/>
        </w:rPr>
        <w:t xml:space="preserve"> </w:t>
      </w:r>
      <w:r w:rsidR="00D82384" w:rsidRPr="00DD689E">
        <w:rPr>
          <w:rStyle w:val="FontStyle15"/>
          <w:sz w:val="28"/>
          <w:szCs w:val="28"/>
        </w:rPr>
        <w:t>să-şi îndeplinească atribuţiile cu obiectivitate, respectînd principiile legalităţii, imparţialităţii, independenţei, tratamentului egal, nediscriminării în privinţa tuturor ofertanţilor şi operatorilor economici;</w:t>
      </w:r>
    </w:p>
    <w:p w:rsidR="00D82384" w:rsidRPr="00DD689E" w:rsidRDefault="00A170B1" w:rsidP="00CD460C">
      <w:pPr>
        <w:pStyle w:val="Style7"/>
        <w:widowControl/>
        <w:numPr>
          <w:ilvl w:val="0"/>
          <w:numId w:val="5"/>
        </w:numPr>
        <w:tabs>
          <w:tab w:val="left" w:pos="792"/>
        </w:tabs>
        <w:spacing w:line="240" w:lineRule="auto"/>
        <w:ind w:firstLine="562"/>
        <w:rPr>
          <w:rStyle w:val="FontStyle15"/>
          <w:sz w:val="28"/>
          <w:szCs w:val="28"/>
        </w:rPr>
      </w:pPr>
      <w:r w:rsidRPr="00DD689E">
        <w:rPr>
          <w:rStyle w:val="FontStyle15"/>
          <w:sz w:val="28"/>
          <w:szCs w:val="28"/>
        </w:rPr>
        <w:t xml:space="preserve"> </w:t>
      </w:r>
      <w:r w:rsidR="00D82384" w:rsidRPr="00DD689E">
        <w:rPr>
          <w:rStyle w:val="FontStyle15"/>
          <w:sz w:val="28"/>
          <w:szCs w:val="28"/>
        </w:rPr>
        <w:t>să-şi exprime votul "pro" sau "contra". Abţinerea de la vot nu se permite, cu excepţia cazului cînd el este în conflict de interese;</w:t>
      </w:r>
    </w:p>
    <w:p w:rsidR="00D82384" w:rsidRPr="00DD689E" w:rsidRDefault="00A170B1" w:rsidP="00CD460C">
      <w:pPr>
        <w:pStyle w:val="Style7"/>
        <w:widowControl/>
        <w:numPr>
          <w:ilvl w:val="0"/>
          <w:numId w:val="5"/>
        </w:numPr>
        <w:tabs>
          <w:tab w:val="left" w:pos="792"/>
        </w:tabs>
        <w:spacing w:line="240" w:lineRule="auto"/>
        <w:ind w:firstLine="562"/>
        <w:rPr>
          <w:rStyle w:val="FontStyle15"/>
          <w:sz w:val="28"/>
          <w:szCs w:val="28"/>
        </w:rPr>
      </w:pPr>
      <w:r w:rsidRPr="00DD689E">
        <w:rPr>
          <w:rStyle w:val="FontStyle15"/>
          <w:sz w:val="28"/>
          <w:szCs w:val="28"/>
        </w:rPr>
        <w:t xml:space="preserve"> </w:t>
      </w:r>
      <w:r w:rsidR="00D82384" w:rsidRPr="00DD689E">
        <w:rPr>
          <w:rStyle w:val="FontStyle15"/>
          <w:sz w:val="28"/>
          <w:szCs w:val="28"/>
        </w:rPr>
        <w:t xml:space="preserve">să comunice în scris preşedintelui </w:t>
      </w:r>
      <w:r w:rsidR="00B30F88" w:rsidRPr="00DD689E">
        <w:rPr>
          <w:rStyle w:val="FontStyle15"/>
          <w:sz w:val="28"/>
          <w:szCs w:val="28"/>
        </w:rPr>
        <w:t>c</w:t>
      </w:r>
      <w:r w:rsidR="00D82384" w:rsidRPr="00DD689E">
        <w:rPr>
          <w:rStyle w:val="FontStyle15"/>
          <w:sz w:val="28"/>
          <w:szCs w:val="28"/>
        </w:rPr>
        <w:t>ompletului de soluționare a contestațiilor orice situaţie ce ar putea atrage incompatibilitatea cu mandatul pe care îl exercită;</w:t>
      </w:r>
    </w:p>
    <w:p w:rsidR="00D82384" w:rsidRPr="00DD689E" w:rsidRDefault="00A170B1" w:rsidP="00CD460C">
      <w:pPr>
        <w:pStyle w:val="Style7"/>
        <w:widowControl/>
        <w:numPr>
          <w:ilvl w:val="0"/>
          <w:numId w:val="5"/>
        </w:numPr>
        <w:tabs>
          <w:tab w:val="left" w:pos="792"/>
        </w:tabs>
        <w:spacing w:line="240" w:lineRule="auto"/>
        <w:ind w:firstLine="562"/>
        <w:rPr>
          <w:rStyle w:val="FontStyle15"/>
          <w:sz w:val="28"/>
          <w:szCs w:val="28"/>
        </w:rPr>
      </w:pPr>
      <w:r w:rsidRPr="00DD689E">
        <w:rPr>
          <w:rStyle w:val="FontStyle15"/>
          <w:sz w:val="28"/>
          <w:szCs w:val="28"/>
        </w:rPr>
        <w:t xml:space="preserve"> </w:t>
      </w:r>
      <w:r w:rsidR="00D82384" w:rsidRPr="00DD689E">
        <w:rPr>
          <w:rStyle w:val="FontStyle15"/>
          <w:sz w:val="28"/>
          <w:szCs w:val="28"/>
        </w:rPr>
        <w:t>să depună, în condiţiile legislaţiei în vigoare, declaraţie cu privire la venituri şi proprietate şi declaraţie de interese personale;</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(17) Mandatul c</w:t>
      </w:r>
      <w:r w:rsidR="005362FC" w:rsidRPr="00DD689E">
        <w:rPr>
          <w:rFonts w:ascii="Times New Roman" w:hAnsi="Times New Roman"/>
          <w:sz w:val="28"/>
          <w:szCs w:val="28"/>
          <w:lang w:val="ro-RO"/>
        </w:rPr>
        <w:t>onsilierului încetează în cazul</w:t>
      </w:r>
      <w:r w:rsidRPr="00DD689E">
        <w:rPr>
          <w:rFonts w:ascii="Times New Roman" w:hAnsi="Times New Roman"/>
          <w:sz w:val="28"/>
          <w:szCs w:val="28"/>
          <w:lang w:val="ro-RO"/>
        </w:rPr>
        <w:t>:</w:t>
      </w:r>
    </w:p>
    <w:p w:rsidR="00A170B1" w:rsidRPr="00DD689E" w:rsidRDefault="00A170B1" w:rsidP="00CD460C">
      <w:pPr>
        <w:pStyle w:val="Style7"/>
        <w:widowControl/>
        <w:numPr>
          <w:ilvl w:val="0"/>
          <w:numId w:val="6"/>
        </w:numPr>
        <w:tabs>
          <w:tab w:val="left" w:pos="840"/>
        </w:tabs>
        <w:spacing w:line="240" w:lineRule="auto"/>
        <w:ind w:left="586" w:firstLine="0"/>
        <w:jc w:val="left"/>
        <w:rPr>
          <w:rStyle w:val="FontStyle15"/>
          <w:sz w:val="28"/>
          <w:szCs w:val="28"/>
        </w:rPr>
      </w:pPr>
      <w:r w:rsidRPr="00DD689E">
        <w:rPr>
          <w:rStyle w:val="FontStyle15"/>
          <w:sz w:val="28"/>
          <w:szCs w:val="28"/>
        </w:rPr>
        <w:t>demisiei;</w:t>
      </w:r>
    </w:p>
    <w:p w:rsidR="00A170B1" w:rsidRPr="00DD689E" w:rsidRDefault="00A170B1" w:rsidP="00CD460C">
      <w:pPr>
        <w:pStyle w:val="Style7"/>
        <w:widowControl/>
        <w:numPr>
          <w:ilvl w:val="0"/>
          <w:numId w:val="6"/>
        </w:numPr>
        <w:tabs>
          <w:tab w:val="left" w:pos="840"/>
        </w:tabs>
        <w:spacing w:line="240" w:lineRule="auto"/>
        <w:ind w:left="586" w:firstLine="0"/>
        <w:jc w:val="left"/>
        <w:rPr>
          <w:rStyle w:val="FontStyle15"/>
          <w:sz w:val="28"/>
          <w:szCs w:val="28"/>
        </w:rPr>
      </w:pPr>
      <w:r w:rsidRPr="00DD689E">
        <w:rPr>
          <w:rStyle w:val="FontStyle15"/>
          <w:sz w:val="28"/>
          <w:szCs w:val="28"/>
        </w:rPr>
        <w:t>revocării;</w:t>
      </w:r>
    </w:p>
    <w:p w:rsidR="00A170B1" w:rsidRPr="00DD689E" w:rsidRDefault="00A170B1" w:rsidP="00CD460C">
      <w:pPr>
        <w:pStyle w:val="Style7"/>
        <w:widowControl/>
        <w:numPr>
          <w:ilvl w:val="0"/>
          <w:numId w:val="6"/>
        </w:numPr>
        <w:tabs>
          <w:tab w:val="left" w:pos="826"/>
        </w:tabs>
        <w:spacing w:line="240" w:lineRule="auto"/>
        <w:ind w:left="586" w:firstLine="0"/>
        <w:jc w:val="left"/>
        <w:rPr>
          <w:rStyle w:val="FontStyle15"/>
          <w:sz w:val="28"/>
          <w:szCs w:val="28"/>
        </w:rPr>
      </w:pPr>
      <w:r w:rsidRPr="00DD689E">
        <w:rPr>
          <w:rStyle w:val="FontStyle15"/>
          <w:sz w:val="28"/>
          <w:szCs w:val="28"/>
        </w:rPr>
        <w:t>expirării mandatului;</w:t>
      </w:r>
    </w:p>
    <w:p w:rsidR="00A170B1" w:rsidRPr="00DD689E" w:rsidRDefault="00A170B1" w:rsidP="00CD460C">
      <w:pPr>
        <w:pStyle w:val="Style7"/>
        <w:widowControl/>
        <w:numPr>
          <w:ilvl w:val="0"/>
          <w:numId w:val="6"/>
        </w:numPr>
        <w:tabs>
          <w:tab w:val="left" w:pos="826"/>
        </w:tabs>
        <w:spacing w:line="240" w:lineRule="auto"/>
        <w:ind w:left="586" w:firstLine="0"/>
        <w:jc w:val="left"/>
        <w:rPr>
          <w:rStyle w:val="FontStyle15"/>
          <w:sz w:val="28"/>
          <w:szCs w:val="28"/>
        </w:rPr>
      </w:pPr>
      <w:r w:rsidRPr="00DD689E">
        <w:rPr>
          <w:rStyle w:val="FontStyle15"/>
          <w:sz w:val="28"/>
          <w:szCs w:val="28"/>
        </w:rPr>
        <w:t>atingerii vîrstei de pensionare;</w:t>
      </w:r>
    </w:p>
    <w:p w:rsidR="00A170B1" w:rsidRPr="00DD689E" w:rsidRDefault="00A170B1" w:rsidP="00CD460C">
      <w:pPr>
        <w:pStyle w:val="Style7"/>
        <w:widowControl/>
        <w:numPr>
          <w:ilvl w:val="0"/>
          <w:numId w:val="7"/>
        </w:numPr>
        <w:tabs>
          <w:tab w:val="left" w:pos="826"/>
        </w:tabs>
        <w:spacing w:line="240" w:lineRule="auto"/>
        <w:ind w:left="581" w:firstLine="0"/>
        <w:jc w:val="left"/>
        <w:rPr>
          <w:rStyle w:val="FontStyle15"/>
          <w:sz w:val="28"/>
          <w:szCs w:val="28"/>
        </w:rPr>
      </w:pPr>
      <w:r w:rsidRPr="00DD689E">
        <w:rPr>
          <w:rStyle w:val="FontStyle15"/>
          <w:sz w:val="28"/>
          <w:szCs w:val="28"/>
        </w:rPr>
        <w:t>decesului.</w:t>
      </w:r>
    </w:p>
    <w:p w:rsidR="00451214" w:rsidRPr="00DD689E" w:rsidRDefault="00A170B1"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 </w:t>
      </w:r>
      <w:r w:rsidR="00451214" w:rsidRPr="00DD689E">
        <w:rPr>
          <w:rFonts w:ascii="Times New Roman" w:hAnsi="Times New Roman"/>
          <w:sz w:val="28"/>
          <w:szCs w:val="28"/>
          <w:lang w:val="ro-RO"/>
        </w:rPr>
        <w:t>(18) Parlamentul poate revoca un consilier în cazu</w:t>
      </w:r>
      <w:r w:rsidRPr="00DD689E">
        <w:rPr>
          <w:rFonts w:ascii="Times New Roman" w:hAnsi="Times New Roman"/>
          <w:sz w:val="28"/>
          <w:szCs w:val="28"/>
          <w:lang w:val="ro-RO"/>
        </w:rPr>
        <w:t>l</w:t>
      </w:r>
      <w:r w:rsidR="00451214" w:rsidRPr="00DD689E">
        <w:rPr>
          <w:rFonts w:ascii="Times New Roman" w:hAnsi="Times New Roman"/>
          <w:sz w:val="28"/>
          <w:szCs w:val="28"/>
          <w:lang w:val="ro-RO"/>
        </w:rPr>
        <w:t>:</w:t>
      </w:r>
    </w:p>
    <w:p w:rsidR="00A170B1" w:rsidRPr="00DD689E" w:rsidRDefault="00451214" w:rsidP="00CD460C">
      <w:pPr>
        <w:ind w:firstLine="708"/>
        <w:jc w:val="both"/>
        <w:rPr>
          <w:rFonts w:ascii="Times New Roman" w:hAnsi="Times New Roman"/>
          <w:sz w:val="28"/>
          <w:szCs w:val="28"/>
          <w:lang w:val="ro-RO"/>
        </w:rPr>
      </w:pPr>
      <w:r w:rsidRPr="00DD689E">
        <w:rPr>
          <w:rFonts w:ascii="Times New Roman" w:hAnsi="Times New Roman"/>
          <w:sz w:val="28"/>
          <w:szCs w:val="28"/>
          <w:lang w:val="ro-RO"/>
        </w:rPr>
        <w:t xml:space="preserve">a) </w:t>
      </w:r>
      <w:r w:rsidR="00A170B1" w:rsidRPr="00DD689E">
        <w:rPr>
          <w:rFonts w:ascii="Times New Roman" w:hAnsi="Times New Roman"/>
          <w:sz w:val="28"/>
          <w:szCs w:val="28"/>
          <w:lang w:val="ro-RO"/>
        </w:rPr>
        <w:t>ne</w:t>
      </w:r>
      <w:r w:rsidRPr="00DD689E">
        <w:rPr>
          <w:rFonts w:ascii="Times New Roman" w:hAnsi="Times New Roman"/>
          <w:sz w:val="28"/>
          <w:szCs w:val="28"/>
          <w:lang w:val="ro-RO"/>
        </w:rPr>
        <w:t>întrun</w:t>
      </w:r>
      <w:r w:rsidR="00A170B1" w:rsidRPr="00DD689E">
        <w:rPr>
          <w:rFonts w:ascii="Times New Roman" w:hAnsi="Times New Roman"/>
          <w:sz w:val="28"/>
          <w:szCs w:val="28"/>
          <w:lang w:val="ro-RO"/>
        </w:rPr>
        <w:t>irii</w:t>
      </w:r>
      <w:r w:rsidRPr="00DD689E">
        <w:rPr>
          <w:rFonts w:ascii="Times New Roman" w:hAnsi="Times New Roman"/>
          <w:sz w:val="28"/>
          <w:szCs w:val="28"/>
          <w:lang w:val="ro-RO"/>
        </w:rPr>
        <w:t xml:space="preserve"> cerințele de la </w:t>
      </w:r>
      <w:r w:rsidR="008F5A7C" w:rsidRPr="00DD689E">
        <w:rPr>
          <w:rFonts w:ascii="Times New Roman" w:hAnsi="Times New Roman"/>
          <w:sz w:val="28"/>
          <w:szCs w:val="28"/>
          <w:lang w:val="ro-RO"/>
        </w:rPr>
        <w:t>alin.</w:t>
      </w:r>
      <w:r w:rsidR="00D62D9C" w:rsidRPr="00DD689E">
        <w:rPr>
          <w:rFonts w:ascii="Times New Roman" w:hAnsi="Times New Roman"/>
          <w:sz w:val="28"/>
          <w:szCs w:val="28"/>
          <w:lang w:val="ro-RO"/>
        </w:rPr>
        <w:t xml:space="preserve"> </w:t>
      </w:r>
      <w:r w:rsidRPr="00DD689E">
        <w:rPr>
          <w:rFonts w:ascii="Times New Roman" w:hAnsi="Times New Roman"/>
          <w:sz w:val="28"/>
          <w:szCs w:val="28"/>
          <w:lang w:val="ro-RO"/>
        </w:rPr>
        <w:t>(12);</w:t>
      </w:r>
    </w:p>
    <w:p w:rsidR="00A170B1" w:rsidRPr="00DD689E" w:rsidRDefault="00A170B1" w:rsidP="00CD460C">
      <w:pPr>
        <w:ind w:firstLine="708"/>
        <w:jc w:val="both"/>
        <w:rPr>
          <w:rStyle w:val="FontStyle15"/>
          <w:sz w:val="28"/>
          <w:szCs w:val="28"/>
          <w:lang w:val="ro-RO"/>
        </w:rPr>
      </w:pPr>
      <w:r w:rsidRPr="00DD689E">
        <w:rPr>
          <w:rFonts w:ascii="Times New Roman" w:hAnsi="Times New Roman"/>
          <w:sz w:val="28"/>
          <w:szCs w:val="28"/>
          <w:lang w:val="ro-RO"/>
        </w:rPr>
        <w:t xml:space="preserve">b) </w:t>
      </w:r>
      <w:r w:rsidRPr="00DD689E">
        <w:rPr>
          <w:rStyle w:val="FontStyle15"/>
          <w:sz w:val="28"/>
          <w:szCs w:val="28"/>
          <w:lang w:val="ro-RO"/>
        </w:rPr>
        <w:t>rămînerii definitive a sentinţei de condamnare</w:t>
      </w:r>
      <w:r w:rsidRPr="00DD689E">
        <w:rPr>
          <w:rStyle w:val="FontStyle19"/>
          <w:sz w:val="28"/>
          <w:szCs w:val="28"/>
          <w:lang w:val="ro-RO"/>
        </w:rPr>
        <w:t>;</w:t>
      </w:r>
    </w:p>
    <w:p w:rsidR="00451214" w:rsidRPr="00DD689E" w:rsidRDefault="00A170B1" w:rsidP="00CD460C">
      <w:pPr>
        <w:ind w:firstLine="708"/>
        <w:jc w:val="both"/>
        <w:rPr>
          <w:rFonts w:ascii="Times New Roman" w:hAnsi="Times New Roman"/>
          <w:sz w:val="28"/>
          <w:szCs w:val="28"/>
          <w:lang w:val="ro-RO"/>
        </w:rPr>
      </w:pPr>
      <w:r w:rsidRPr="00DD689E">
        <w:rPr>
          <w:rFonts w:ascii="Times New Roman" w:hAnsi="Times New Roman"/>
          <w:sz w:val="28"/>
          <w:szCs w:val="28"/>
          <w:lang w:val="ro-RO"/>
        </w:rPr>
        <w:t>c</w:t>
      </w:r>
      <w:r w:rsidR="00451214" w:rsidRPr="00DD689E">
        <w:rPr>
          <w:rFonts w:ascii="Times New Roman" w:hAnsi="Times New Roman"/>
          <w:sz w:val="28"/>
          <w:szCs w:val="28"/>
          <w:lang w:val="ro-RO"/>
        </w:rPr>
        <w:t xml:space="preserve">) </w:t>
      </w:r>
      <w:r w:rsidRPr="00DD689E">
        <w:rPr>
          <w:rFonts w:ascii="Times New Roman" w:hAnsi="Times New Roman"/>
          <w:sz w:val="28"/>
          <w:szCs w:val="28"/>
          <w:lang w:val="ro-RO"/>
        </w:rPr>
        <w:t>încălcării</w:t>
      </w:r>
      <w:r w:rsidR="00451214" w:rsidRPr="00DD689E">
        <w:rPr>
          <w:rFonts w:ascii="Times New Roman" w:hAnsi="Times New Roman"/>
          <w:sz w:val="28"/>
          <w:szCs w:val="28"/>
          <w:lang w:val="ro-RO"/>
        </w:rPr>
        <w:t xml:space="preserve"> obligațiile prevăzute la </w:t>
      </w:r>
      <w:r w:rsidR="008F5A7C" w:rsidRPr="00DD689E">
        <w:rPr>
          <w:rFonts w:ascii="Times New Roman" w:hAnsi="Times New Roman"/>
          <w:sz w:val="28"/>
          <w:szCs w:val="28"/>
          <w:lang w:val="ro-RO"/>
        </w:rPr>
        <w:t>alin.</w:t>
      </w:r>
      <w:r w:rsidR="00451214" w:rsidRPr="00DD689E">
        <w:rPr>
          <w:rFonts w:ascii="Times New Roman" w:hAnsi="Times New Roman"/>
          <w:sz w:val="28"/>
          <w:szCs w:val="28"/>
          <w:lang w:val="ro-RO"/>
        </w:rPr>
        <w:t xml:space="preserve"> (13) - (16);</w:t>
      </w:r>
    </w:p>
    <w:p w:rsidR="00451214" w:rsidRPr="00DD689E" w:rsidRDefault="00A170B1" w:rsidP="00CD460C">
      <w:pPr>
        <w:ind w:left="708"/>
        <w:jc w:val="both"/>
        <w:rPr>
          <w:rFonts w:ascii="Times New Roman" w:hAnsi="Times New Roman"/>
          <w:sz w:val="28"/>
          <w:szCs w:val="28"/>
          <w:lang w:val="ro-RO"/>
        </w:rPr>
      </w:pPr>
      <w:r w:rsidRPr="00DD689E">
        <w:rPr>
          <w:rFonts w:ascii="Times New Roman" w:hAnsi="Times New Roman"/>
          <w:sz w:val="28"/>
          <w:szCs w:val="28"/>
          <w:lang w:val="ro-RO"/>
        </w:rPr>
        <w:t>d</w:t>
      </w:r>
      <w:r w:rsidR="00451214" w:rsidRPr="00DD689E">
        <w:rPr>
          <w:rFonts w:ascii="Times New Roman" w:hAnsi="Times New Roman"/>
          <w:sz w:val="28"/>
          <w:szCs w:val="28"/>
          <w:lang w:val="ro-RO"/>
        </w:rPr>
        <w:t xml:space="preserve">) </w:t>
      </w:r>
      <w:r w:rsidRPr="00DD689E">
        <w:rPr>
          <w:rFonts w:ascii="Times New Roman" w:hAnsi="Times New Roman"/>
          <w:sz w:val="28"/>
          <w:szCs w:val="28"/>
          <w:lang w:val="ro-RO"/>
        </w:rPr>
        <w:t>imposibilității</w:t>
      </w:r>
      <w:r w:rsidR="00451214" w:rsidRPr="00DD689E">
        <w:rPr>
          <w:rFonts w:ascii="Times New Roman" w:hAnsi="Times New Roman"/>
          <w:sz w:val="28"/>
          <w:szCs w:val="28"/>
          <w:lang w:val="ro-RO"/>
        </w:rPr>
        <w:t>, din motive de sănătate, să își exercite atribuțiile mai mult de 4 luni consecutive;</w:t>
      </w:r>
    </w:p>
    <w:p w:rsidR="00451214" w:rsidRPr="00DD689E" w:rsidRDefault="00A170B1" w:rsidP="00CD460C">
      <w:pPr>
        <w:ind w:firstLine="708"/>
        <w:jc w:val="both"/>
        <w:rPr>
          <w:rFonts w:ascii="Times New Roman" w:hAnsi="Times New Roman"/>
          <w:sz w:val="28"/>
          <w:szCs w:val="28"/>
          <w:lang w:val="ro-RO"/>
        </w:rPr>
      </w:pPr>
      <w:r w:rsidRPr="00DD689E">
        <w:rPr>
          <w:rFonts w:ascii="Times New Roman" w:hAnsi="Times New Roman"/>
          <w:sz w:val="28"/>
          <w:szCs w:val="28"/>
          <w:lang w:val="ro-RO"/>
        </w:rPr>
        <w:t>e</w:t>
      </w:r>
      <w:r w:rsidR="00451214" w:rsidRPr="00DD689E">
        <w:rPr>
          <w:rFonts w:ascii="Times New Roman" w:hAnsi="Times New Roman"/>
          <w:sz w:val="28"/>
          <w:szCs w:val="28"/>
          <w:lang w:val="ro-RO"/>
        </w:rPr>
        <w:t xml:space="preserve">) </w:t>
      </w:r>
      <w:r w:rsidRPr="00DD689E">
        <w:rPr>
          <w:rStyle w:val="FontStyle15"/>
          <w:sz w:val="28"/>
          <w:szCs w:val="28"/>
          <w:lang w:val="ro-RO"/>
        </w:rPr>
        <w:t>declarării dispariţiei fără urmă, conform legii</w:t>
      </w:r>
      <w:r w:rsidR="00451214" w:rsidRPr="00DD689E">
        <w:rPr>
          <w:rFonts w:ascii="Times New Roman" w:hAnsi="Times New Roman"/>
          <w:sz w:val="28"/>
          <w:szCs w:val="28"/>
          <w:lang w:val="ro-RO"/>
        </w:rPr>
        <w:t>.</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(19) În cazul în care mandatul unui consilier expiră, consilierul rămâne în funcție până la numirea succesorului său.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(20) Încetarea mandatului consilierului de soluționare a contestaţiilor se aprobă de către Parlament. </w:t>
      </w:r>
    </w:p>
    <w:p w:rsidR="00451214" w:rsidRPr="00DD689E" w:rsidRDefault="00BF3807" w:rsidP="00CD460C">
      <w:pPr>
        <w:jc w:val="both"/>
        <w:rPr>
          <w:rFonts w:ascii="Times New Roman" w:hAnsi="Times New Roman"/>
          <w:sz w:val="28"/>
          <w:szCs w:val="28"/>
          <w:lang w:val="ro-RO"/>
        </w:rPr>
      </w:pPr>
      <w:r w:rsidRPr="00DD689E">
        <w:rPr>
          <w:rFonts w:ascii="Times New Roman" w:hAnsi="Times New Roman"/>
          <w:sz w:val="28"/>
          <w:szCs w:val="28"/>
          <w:lang w:val="ro-RO"/>
        </w:rPr>
        <w:t>(</w:t>
      </w:r>
      <w:r w:rsidR="00451214" w:rsidRPr="00DD689E">
        <w:rPr>
          <w:rFonts w:ascii="Times New Roman" w:hAnsi="Times New Roman"/>
          <w:sz w:val="28"/>
          <w:szCs w:val="28"/>
          <w:lang w:val="ro-RO"/>
        </w:rPr>
        <w:t xml:space="preserve">21) </w:t>
      </w:r>
      <w:r w:rsidR="00A170B1" w:rsidRPr="00DD689E">
        <w:rPr>
          <w:rFonts w:ascii="Times New Roman" w:hAnsi="Times New Roman"/>
          <w:sz w:val="28"/>
          <w:szCs w:val="28"/>
          <w:lang w:val="ro-RO"/>
        </w:rPr>
        <w:t xml:space="preserve">Directorul general al </w:t>
      </w:r>
      <w:r w:rsidR="00B332B9" w:rsidRPr="00DD689E">
        <w:rPr>
          <w:rFonts w:ascii="Times New Roman" w:hAnsi="Times New Roman"/>
          <w:sz w:val="28"/>
          <w:szCs w:val="28"/>
          <w:lang w:val="ro-RO"/>
        </w:rPr>
        <w:t>Agenției Naţionale pentru Soluționarea Contestațiilor</w:t>
      </w:r>
      <w:r w:rsidR="00451214" w:rsidRPr="00DD689E">
        <w:rPr>
          <w:rFonts w:ascii="Times New Roman" w:hAnsi="Times New Roman"/>
          <w:sz w:val="28"/>
          <w:szCs w:val="28"/>
          <w:lang w:val="ro-RO"/>
        </w:rPr>
        <w:t xml:space="preserve"> trebuie să trimită Parlamentului o propunere de revocare a mandatului de consilier, </w:t>
      </w:r>
      <w:r w:rsidR="00451214" w:rsidRPr="00DD689E">
        <w:rPr>
          <w:rFonts w:ascii="Times New Roman" w:hAnsi="Times New Roman"/>
          <w:sz w:val="28"/>
          <w:szCs w:val="28"/>
          <w:lang w:val="ro-RO"/>
        </w:rPr>
        <w:lastRenderedPageBreak/>
        <w:t xml:space="preserve">imediat după ce a aflat de existența unei situații prevăzute în dispozițiile alineatelor (17) și (18). </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(22) </w:t>
      </w:r>
      <w:r w:rsidR="00A170B1" w:rsidRPr="00DD689E">
        <w:rPr>
          <w:rFonts w:ascii="Times New Roman" w:hAnsi="Times New Roman"/>
          <w:sz w:val="28"/>
          <w:szCs w:val="28"/>
          <w:lang w:val="ro-RO"/>
        </w:rPr>
        <w:t xml:space="preserve">Directorul general </w:t>
      </w:r>
      <w:r w:rsidRPr="00DD689E">
        <w:rPr>
          <w:rFonts w:ascii="Times New Roman" w:hAnsi="Times New Roman"/>
          <w:sz w:val="28"/>
          <w:szCs w:val="28"/>
          <w:lang w:val="ro-RO"/>
        </w:rPr>
        <w:t xml:space="preserve">adjunct al </w:t>
      </w:r>
      <w:r w:rsidR="00B332B9" w:rsidRPr="00DD689E">
        <w:rPr>
          <w:rFonts w:ascii="Times New Roman" w:hAnsi="Times New Roman"/>
          <w:sz w:val="28"/>
          <w:szCs w:val="28"/>
          <w:lang w:val="ro-RO"/>
        </w:rPr>
        <w:t>Agenției Naţionale pentru Soluționarea Contestațiilor</w:t>
      </w:r>
      <w:r w:rsidR="00A170B1" w:rsidRPr="00DD689E">
        <w:rPr>
          <w:rFonts w:ascii="Times New Roman" w:hAnsi="Times New Roman"/>
          <w:sz w:val="28"/>
          <w:szCs w:val="28"/>
          <w:lang w:val="ro-RO"/>
        </w:rPr>
        <w:t xml:space="preserve"> </w:t>
      </w:r>
      <w:r w:rsidRPr="00DD689E">
        <w:rPr>
          <w:rFonts w:ascii="Times New Roman" w:hAnsi="Times New Roman"/>
          <w:sz w:val="28"/>
          <w:szCs w:val="28"/>
          <w:lang w:val="ro-RO"/>
        </w:rPr>
        <w:t xml:space="preserve">trimite Parlamentului propunerea de revocare a mandatului </w:t>
      </w:r>
      <w:r w:rsidR="00A170B1" w:rsidRPr="00DD689E">
        <w:rPr>
          <w:rFonts w:ascii="Times New Roman" w:hAnsi="Times New Roman"/>
          <w:sz w:val="28"/>
          <w:szCs w:val="28"/>
          <w:lang w:val="ro-RO"/>
        </w:rPr>
        <w:t>directorul general</w:t>
      </w:r>
      <w:r w:rsidRPr="00DD689E">
        <w:rPr>
          <w:rFonts w:ascii="Times New Roman" w:hAnsi="Times New Roman"/>
          <w:sz w:val="28"/>
          <w:szCs w:val="28"/>
          <w:lang w:val="ro-RO"/>
        </w:rPr>
        <w:t xml:space="preserve">, în cazurile în care află despre existența unuia dintre motivele menționate la </w:t>
      </w:r>
      <w:r w:rsidR="008F5A7C" w:rsidRPr="00DD689E">
        <w:rPr>
          <w:rFonts w:ascii="Times New Roman" w:hAnsi="Times New Roman"/>
          <w:sz w:val="28"/>
          <w:szCs w:val="28"/>
          <w:lang w:val="ro-RO"/>
        </w:rPr>
        <w:t>alin.</w:t>
      </w:r>
      <w:r w:rsidRPr="00DD689E">
        <w:rPr>
          <w:rFonts w:ascii="Times New Roman" w:hAnsi="Times New Roman"/>
          <w:sz w:val="28"/>
          <w:szCs w:val="28"/>
          <w:lang w:val="ro-RO"/>
        </w:rPr>
        <w:t>(18).</w:t>
      </w:r>
    </w:p>
    <w:p w:rsidR="00451214" w:rsidRPr="00DD689E" w:rsidRDefault="00451214" w:rsidP="00CD460C">
      <w:pPr>
        <w:jc w:val="both"/>
        <w:rPr>
          <w:rFonts w:ascii="Times New Roman" w:hAnsi="Times New Roman"/>
          <w:sz w:val="28"/>
          <w:szCs w:val="28"/>
          <w:lang w:val="ro-RO"/>
        </w:rPr>
      </w:pPr>
      <w:r w:rsidRPr="00DD689E">
        <w:rPr>
          <w:rFonts w:ascii="Times New Roman" w:hAnsi="Times New Roman"/>
          <w:sz w:val="28"/>
          <w:szCs w:val="28"/>
          <w:lang w:val="ro-RO"/>
        </w:rPr>
        <w:t xml:space="preserve">(23) Consilieri </w:t>
      </w:r>
      <w:r w:rsidR="00CE6CAA" w:rsidRPr="00DD689E">
        <w:rPr>
          <w:rStyle w:val="FontStyle15"/>
          <w:sz w:val="28"/>
          <w:szCs w:val="28"/>
          <w:lang w:val="ro-RO"/>
        </w:rPr>
        <w:t>îşi desfăşoară activitatea în complete a cîte trei</w:t>
      </w:r>
      <w:r w:rsidRPr="00DD689E">
        <w:rPr>
          <w:rFonts w:ascii="Times New Roman" w:hAnsi="Times New Roman"/>
          <w:sz w:val="28"/>
          <w:szCs w:val="28"/>
          <w:lang w:val="ro-RO"/>
        </w:rPr>
        <w:t xml:space="preserve">. </w:t>
      </w:r>
      <w:r w:rsidR="00CE6CAA" w:rsidRPr="00DD689E">
        <w:rPr>
          <w:rStyle w:val="FontStyle15"/>
          <w:sz w:val="28"/>
          <w:szCs w:val="28"/>
          <w:lang w:val="ro-RO"/>
        </w:rPr>
        <w:t xml:space="preserve">În fiecare complet, cel puțin președintele trebuie să </w:t>
      </w:r>
      <w:r w:rsidR="00D62D9C" w:rsidRPr="00DD689E">
        <w:rPr>
          <w:rStyle w:val="FontStyle15"/>
          <w:sz w:val="28"/>
          <w:szCs w:val="28"/>
          <w:lang w:val="ro-RO"/>
        </w:rPr>
        <w:t xml:space="preserve">dețină diplomă de </w:t>
      </w:r>
      <w:r w:rsidR="00CE6CAA" w:rsidRPr="00DD689E">
        <w:rPr>
          <w:rStyle w:val="FontStyle15"/>
          <w:sz w:val="28"/>
          <w:szCs w:val="28"/>
          <w:lang w:val="ro-RO"/>
        </w:rPr>
        <w:t>licenț</w:t>
      </w:r>
      <w:r w:rsidR="00D62D9C" w:rsidRPr="00DD689E">
        <w:rPr>
          <w:rStyle w:val="FontStyle15"/>
          <w:sz w:val="28"/>
          <w:szCs w:val="28"/>
          <w:lang w:val="ro-RO"/>
        </w:rPr>
        <w:t>ă/masterat</w:t>
      </w:r>
      <w:r w:rsidR="00CE6CAA" w:rsidRPr="00DD689E">
        <w:rPr>
          <w:rStyle w:val="FontStyle15"/>
          <w:sz w:val="28"/>
          <w:szCs w:val="28"/>
          <w:lang w:val="ro-RO"/>
        </w:rPr>
        <w:t xml:space="preserve"> în drept.</w:t>
      </w:r>
    </w:p>
    <w:p w:rsidR="00451214" w:rsidRPr="00DD689E" w:rsidRDefault="00451214" w:rsidP="00922180">
      <w:pPr>
        <w:jc w:val="both"/>
        <w:rPr>
          <w:rFonts w:ascii="Times New Roman" w:hAnsi="Times New Roman"/>
          <w:sz w:val="28"/>
          <w:szCs w:val="28"/>
          <w:lang w:val="ro-RO"/>
        </w:rPr>
      </w:pPr>
      <w:r w:rsidRPr="00DD689E">
        <w:rPr>
          <w:rFonts w:ascii="Times New Roman" w:hAnsi="Times New Roman"/>
          <w:sz w:val="28"/>
          <w:szCs w:val="28"/>
          <w:lang w:val="ro-RO"/>
        </w:rPr>
        <w:t>(24) Ședințele în cadrul completelor sunt deliberative cu prezența tuturor celor 3 membri.</w:t>
      </w:r>
    </w:p>
    <w:p w:rsidR="00451214" w:rsidRPr="00DD689E" w:rsidRDefault="00451214" w:rsidP="00132642">
      <w:pPr>
        <w:jc w:val="both"/>
        <w:rPr>
          <w:rFonts w:ascii="Times New Roman" w:hAnsi="Times New Roman"/>
          <w:sz w:val="28"/>
          <w:szCs w:val="28"/>
          <w:lang w:val="ro-RO"/>
        </w:rPr>
      </w:pPr>
      <w:r w:rsidRPr="00DD689E">
        <w:rPr>
          <w:rFonts w:ascii="Times New Roman" w:hAnsi="Times New Roman"/>
          <w:sz w:val="28"/>
          <w:szCs w:val="28"/>
          <w:lang w:val="ro-RO"/>
        </w:rPr>
        <w:t xml:space="preserve">(25) Ședințele </w:t>
      </w:r>
      <w:r w:rsidR="00CE6CAA" w:rsidRPr="00DD689E">
        <w:rPr>
          <w:rFonts w:ascii="Times New Roman" w:hAnsi="Times New Roman"/>
          <w:sz w:val="28"/>
          <w:szCs w:val="28"/>
          <w:lang w:val="ro-RO"/>
        </w:rPr>
        <w:t xml:space="preserve">completelor </w:t>
      </w:r>
      <w:r w:rsidRPr="00DD689E">
        <w:rPr>
          <w:rFonts w:ascii="Times New Roman" w:hAnsi="Times New Roman"/>
          <w:sz w:val="28"/>
          <w:szCs w:val="28"/>
          <w:lang w:val="ro-RO"/>
        </w:rPr>
        <w:t>sunt conduse de președintele acestuia și consemnate în procesul-verbal semnat de către toți membrii.</w:t>
      </w:r>
    </w:p>
    <w:p w:rsidR="00451214" w:rsidRDefault="00451214" w:rsidP="00132642">
      <w:pPr>
        <w:jc w:val="both"/>
        <w:rPr>
          <w:rFonts w:ascii="Times New Roman" w:hAnsi="Times New Roman"/>
          <w:sz w:val="28"/>
          <w:szCs w:val="28"/>
          <w:lang w:val="ro-RO"/>
        </w:rPr>
      </w:pPr>
      <w:r w:rsidRPr="00DD689E">
        <w:rPr>
          <w:rFonts w:ascii="Times New Roman" w:hAnsi="Times New Roman"/>
          <w:sz w:val="28"/>
          <w:szCs w:val="28"/>
          <w:lang w:val="ro-RO"/>
        </w:rPr>
        <w:t xml:space="preserve">(26) </w:t>
      </w:r>
      <w:r w:rsidR="00CE6CAA" w:rsidRPr="00DD689E">
        <w:rPr>
          <w:rStyle w:val="FontStyle15"/>
          <w:sz w:val="28"/>
          <w:szCs w:val="28"/>
          <w:lang w:val="ro-RO"/>
        </w:rPr>
        <w:t xml:space="preserve">Lucrările de secretariat ale completelor sînt asigurate de subdiviziunea structurală responsabilă, în conformitate cu regulamentul </w:t>
      </w:r>
      <w:r w:rsidR="00F82FB2" w:rsidRPr="00DD689E">
        <w:rPr>
          <w:rFonts w:ascii="Times New Roman" w:hAnsi="Times New Roman"/>
          <w:sz w:val="28"/>
          <w:szCs w:val="28"/>
          <w:lang w:val="ro-RO"/>
        </w:rPr>
        <w:t>Agenției Naţionale pentru Soluționarea Contestațiilor</w:t>
      </w:r>
      <w:r w:rsidRPr="00DD689E">
        <w:rPr>
          <w:rFonts w:ascii="Times New Roman" w:hAnsi="Times New Roman"/>
          <w:sz w:val="28"/>
          <w:szCs w:val="28"/>
          <w:lang w:val="ro-RO"/>
        </w:rPr>
        <w:t>.</w:t>
      </w:r>
    </w:p>
    <w:p w:rsidR="003B7D5E" w:rsidRDefault="00605909" w:rsidP="00132642">
      <w:pPr>
        <w:jc w:val="both"/>
        <w:rPr>
          <w:rFonts w:ascii="Times New Roman" w:hAnsi="Times New Roman"/>
          <w:sz w:val="28"/>
          <w:szCs w:val="28"/>
          <w:lang w:val="ro-RO"/>
        </w:rPr>
      </w:pPr>
      <w:r>
        <w:rPr>
          <w:rFonts w:ascii="Times New Roman" w:hAnsi="Times New Roman"/>
          <w:sz w:val="28"/>
          <w:szCs w:val="28"/>
          <w:lang w:val="ro-RO"/>
        </w:rPr>
        <w:t>(</w:t>
      </w:r>
      <w:r w:rsidR="003B7D5E">
        <w:rPr>
          <w:rFonts w:ascii="Times New Roman" w:hAnsi="Times New Roman"/>
          <w:sz w:val="28"/>
          <w:szCs w:val="28"/>
          <w:lang w:val="ro-RO"/>
        </w:rPr>
        <w:t>27</w:t>
      </w:r>
      <w:r>
        <w:rPr>
          <w:rFonts w:ascii="Times New Roman" w:hAnsi="Times New Roman"/>
          <w:sz w:val="28"/>
          <w:szCs w:val="28"/>
          <w:lang w:val="ro-RO"/>
        </w:rPr>
        <w:t>)</w:t>
      </w:r>
      <w:r w:rsidR="003B7D5E">
        <w:rPr>
          <w:rFonts w:ascii="Times New Roman" w:hAnsi="Times New Roman"/>
          <w:sz w:val="28"/>
          <w:szCs w:val="28"/>
          <w:lang w:val="ro-RO"/>
        </w:rPr>
        <w:t xml:space="preserve"> </w:t>
      </w:r>
      <w:r w:rsidR="003B7D5E" w:rsidRPr="003B7D5E">
        <w:rPr>
          <w:rFonts w:ascii="Times New Roman" w:hAnsi="Times New Roman"/>
          <w:sz w:val="28"/>
          <w:szCs w:val="28"/>
          <w:lang w:val="ro-RO"/>
        </w:rPr>
        <w:t xml:space="preserve">Agenția </w:t>
      </w:r>
      <w:r>
        <w:rPr>
          <w:rFonts w:ascii="Times New Roman" w:hAnsi="Times New Roman"/>
          <w:sz w:val="28"/>
          <w:szCs w:val="28"/>
          <w:lang w:val="ro-RO"/>
        </w:rPr>
        <w:t xml:space="preserve">Națională pentru Soluționarea Contestațiilor </w:t>
      </w:r>
      <w:r w:rsidR="003B7D5E" w:rsidRPr="003B7D5E">
        <w:rPr>
          <w:rFonts w:ascii="Times New Roman" w:hAnsi="Times New Roman"/>
          <w:sz w:val="28"/>
          <w:szCs w:val="28"/>
          <w:lang w:val="ro-RO"/>
        </w:rPr>
        <w:t xml:space="preserve">instituie un registru </w:t>
      </w:r>
      <w:r>
        <w:rPr>
          <w:rFonts w:ascii="Times New Roman" w:hAnsi="Times New Roman"/>
          <w:sz w:val="28"/>
          <w:szCs w:val="28"/>
          <w:lang w:val="ro-RO"/>
        </w:rPr>
        <w:t>în care vor fi incluși e</w:t>
      </w:r>
      <w:r w:rsidR="003B7D5E" w:rsidRPr="003B7D5E">
        <w:rPr>
          <w:rFonts w:ascii="Times New Roman" w:hAnsi="Times New Roman"/>
          <w:sz w:val="28"/>
          <w:szCs w:val="28"/>
          <w:lang w:val="ro-RO"/>
        </w:rPr>
        <w:t>xperți externi</w:t>
      </w:r>
      <w:r>
        <w:rPr>
          <w:rFonts w:ascii="Times New Roman" w:hAnsi="Times New Roman"/>
          <w:sz w:val="28"/>
          <w:szCs w:val="28"/>
          <w:lang w:val="ro-RO"/>
        </w:rPr>
        <w:t>,</w:t>
      </w:r>
      <w:r w:rsidR="003B7D5E">
        <w:rPr>
          <w:rFonts w:ascii="Times New Roman" w:hAnsi="Times New Roman"/>
          <w:sz w:val="28"/>
          <w:szCs w:val="28"/>
          <w:lang w:val="ro-RO"/>
        </w:rPr>
        <w:t xml:space="preserve"> </w:t>
      </w:r>
      <w:r>
        <w:rPr>
          <w:rFonts w:ascii="Times New Roman" w:hAnsi="Times New Roman"/>
          <w:sz w:val="28"/>
          <w:szCs w:val="28"/>
          <w:lang w:val="ro-RO"/>
        </w:rPr>
        <w:t xml:space="preserve">care vor fi selectați pentru </w:t>
      </w:r>
      <w:r w:rsidRPr="00605909">
        <w:rPr>
          <w:rFonts w:ascii="Times New Roman" w:hAnsi="Times New Roman"/>
          <w:sz w:val="28"/>
          <w:szCs w:val="28"/>
          <w:lang w:val="ro-RO"/>
        </w:rPr>
        <w:t>lămurirea unor aspecte de natură tehnică sau financiară</w:t>
      </w:r>
      <w:r>
        <w:rPr>
          <w:rFonts w:ascii="Times New Roman" w:hAnsi="Times New Roman"/>
          <w:sz w:val="28"/>
          <w:szCs w:val="28"/>
          <w:lang w:val="ro-RO"/>
        </w:rPr>
        <w:t xml:space="preserve"> în procesul de soluționare a contestațiilor.</w:t>
      </w:r>
    </w:p>
    <w:p w:rsidR="00605909" w:rsidRPr="00DD689E" w:rsidRDefault="00605909" w:rsidP="00132642">
      <w:pPr>
        <w:jc w:val="both"/>
        <w:rPr>
          <w:rFonts w:ascii="Times New Roman" w:hAnsi="Times New Roman"/>
          <w:sz w:val="28"/>
          <w:szCs w:val="28"/>
          <w:lang w:val="ro-RO"/>
        </w:rPr>
      </w:pPr>
      <w:r>
        <w:rPr>
          <w:rFonts w:ascii="Times New Roman" w:hAnsi="Times New Roman"/>
          <w:sz w:val="28"/>
          <w:szCs w:val="28"/>
          <w:lang w:val="ro-RO"/>
        </w:rPr>
        <w:t xml:space="preserve">(28) </w:t>
      </w:r>
      <w:r w:rsidRPr="00605909">
        <w:rPr>
          <w:rFonts w:ascii="Times New Roman" w:hAnsi="Times New Roman"/>
          <w:sz w:val="28"/>
          <w:szCs w:val="28"/>
          <w:lang w:val="ro-RO"/>
        </w:rPr>
        <w:t xml:space="preserve">Experții atrași de Agenția Națională pentru Soluționarea Contestațiilor pentru </w:t>
      </w:r>
      <w:r>
        <w:rPr>
          <w:rFonts w:ascii="Times New Roman" w:hAnsi="Times New Roman"/>
          <w:sz w:val="28"/>
          <w:szCs w:val="28"/>
          <w:lang w:val="ro-RO"/>
        </w:rPr>
        <w:t>expertizei tehnice și financiare</w:t>
      </w:r>
      <w:r w:rsidRPr="00605909">
        <w:rPr>
          <w:rFonts w:ascii="Times New Roman" w:hAnsi="Times New Roman"/>
          <w:sz w:val="28"/>
          <w:szCs w:val="28"/>
          <w:lang w:val="ro-RO"/>
        </w:rPr>
        <w:t xml:space="preserve"> au dreptul la o remuneraţie în mărime de </w:t>
      </w:r>
      <w:r>
        <w:rPr>
          <w:rFonts w:ascii="Times New Roman" w:hAnsi="Times New Roman"/>
          <w:sz w:val="28"/>
          <w:szCs w:val="28"/>
          <w:lang w:val="ro-RO"/>
        </w:rPr>
        <w:t>10</w:t>
      </w:r>
      <w:r w:rsidRPr="00605909">
        <w:rPr>
          <w:rFonts w:ascii="Times New Roman" w:hAnsi="Times New Roman"/>
          <w:sz w:val="28"/>
          <w:szCs w:val="28"/>
          <w:lang w:val="ro-RO"/>
        </w:rPr>
        <w:t>% din salariul mediu lunar pe economie pentru fiecare zi în care participă la procesul de soluționare a contestațiilor.</w:t>
      </w:r>
    </w:p>
    <w:p w:rsidR="00451214" w:rsidRPr="00DD689E" w:rsidRDefault="00280BA8" w:rsidP="00132642">
      <w:pPr>
        <w:jc w:val="both"/>
        <w:rPr>
          <w:rFonts w:ascii="Times New Roman" w:hAnsi="Times New Roman"/>
          <w:sz w:val="28"/>
          <w:szCs w:val="28"/>
          <w:lang w:val="ro-RO"/>
        </w:rPr>
      </w:pPr>
      <w:r>
        <w:rPr>
          <w:rFonts w:ascii="Times New Roman" w:hAnsi="Times New Roman"/>
          <w:sz w:val="28"/>
          <w:szCs w:val="28"/>
          <w:lang w:val="ro-RO"/>
        </w:rPr>
        <w:t>(</w:t>
      </w:r>
      <w:r w:rsidR="00605909">
        <w:rPr>
          <w:rFonts w:ascii="Times New Roman" w:hAnsi="Times New Roman"/>
          <w:sz w:val="28"/>
          <w:szCs w:val="28"/>
          <w:lang w:val="ro-RO"/>
        </w:rPr>
        <w:t>29</w:t>
      </w:r>
      <w:r>
        <w:rPr>
          <w:rFonts w:ascii="Times New Roman" w:hAnsi="Times New Roman"/>
          <w:sz w:val="28"/>
          <w:szCs w:val="28"/>
          <w:lang w:val="ro-RO"/>
        </w:rPr>
        <w:t>) Deciziile în cadrul completelor sunt adoptate prin votul tuturor membrilor desemnați. Membrii care au votat împotrivă pot înregistra opinia separată în procesul-verbal al ședinței respective. Nimeni nu are voie să influențeze deciziile sau să interfereze cu deciziile grupului de soluționare a contestaţiilor.”</w:t>
      </w:r>
    </w:p>
    <w:p w:rsidR="00451214" w:rsidRPr="00DD689E" w:rsidRDefault="00451214" w:rsidP="00CD460C">
      <w:pPr>
        <w:jc w:val="both"/>
        <w:rPr>
          <w:rFonts w:ascii="Times New Roman" w:hAnsi="Times New Roman"/>
          <w:b/>
          <w:sz w:val="28"/>
          <w:szCs w:val="28"/>
          <w:lang w:val="ro-RO"/>
        </w:rPr>
      </w:pPr>
    </w:p>
    <w:p w:rsidR="00451214" w:rsidRPr="00DD689E" w:rsidRDefault="00280BA8" w:rsidP="00CD460C">
      <w:pPr>
        <w:jc w:val="both"/>
        <w:rPr>
          <w:rFonts w:ascii="Times New Roman" w:hAnsi="Times New Roman"/>
          <w:sz w:val="28"/>
          <w:szCs w:val="28"/>
          <w:lang w:val="ro-RO"/>
        </w:rPr>
      </w:pPr>
      <w:r>
        <w:rPr>
          <w:rFonts w:ascii="Times New Roman" w:hAnsi="Times New Roman"/>
          <w:b/>
          <w:sz w:val="28"/>
          <w:szCs w:val="28"/>
          <w:lang w:val="ro-RO"/>
        </w:rPr>
        <w:t xml:space="preserve">11. </w:t>
      </w:r>
      <w:r>
        <w:rPr>
          <w:rFonts w:ascii="Times New Roman" w:hAnsi="Times New Roman"/>
          <w:sz w:val="28"/>
          <w:szCs w:val="28"/>
          <w:lang w:val="ro-RO"/>
        </w:rPr>
        <w:t>La articolul 76, alineatul (1) se modifică și va avea următorul cuprins:</w:t>
      </w:r>
      <w:r>
        <w:rPr>
          <w:rFonts w:ascii="Times New Roman" w:hAnsi="Times New Roman"/>
          <w:b/>
          <w:sz w:val="28"/>
          <w:szCs w:val="28"/>
          <w:lang w:val="ro-RO"/>
        </w:rPr>
        <w:t xml:space="preserve"> </w:t>
      </w:r>
    </w:p>
    <w:p w:rsidR="005B52FC"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„(1) Orice persoană care are sau a avut un interes în obținerea unui contract de achiziții publice, care consideră că, în cadrul procedurilor de achiziţie publică, un act al autorităţii contractante a vătămat un drept al său recunoscut de lege, în urma cărui fapt a suportat sau poate suporta prejudicii, are dreptul să conteste respectivul act în modul stabilit de prezenta lege.</w:t>
      </w:r>
    </w:p>
    <w:p w:rsidR="00591EBA" w:rsidRPr="00DD689E" w:rsidRDefault="00591EBA" w:rsidP="00CD460C">
      <w:pPr>
        <w:contextualSpacing/>
        <w:jc w:val="both"/>
        <w:rPr>
          <w:rFonts w:ascii="Times New Roman" w:hAnsi="Times New Roman"/>
          <w:sz w:val="28"/>
          <w:szCs w:val="28"/>
          <w:lang w:val="ro-RO"/>
        </w:rPr>
      </w:pPr>
    </w:p>
    <w:p w:rsidR="00D964DE" w:rsidRPr="00DD689E" w:rsidRDefault="00280BA8" w:rsidP="00CD460C">
      <w:pPr>
        <w:contextualSpacing/>
        <w:jc w:val="both"/>
        <w:rPr>
          <w:rFonts w:ascii="Times New Roman" w:hAnsi="Times New Roman"/>
          <w:sz w:val="28"/>
          <w:szCs w:val="28"/>
          <w:lang w:val="ro-RO"/>
        </w:rPr>
      </w:pPr>
      <w:r>
        <w:rPr>
          <w:rFonts w:ascii="Times New Roman" w:hAnsi="Times New Roman"/>
          <w:b/>
          <w:sz w:val="28"/>
          <w:szCs w:val="28"/>
          <w:lang w:val="ro-RO"/>
        </w:rPr>
        <w:t>12.</w:t>
      </w:r>
      <w:r>
        <w:rPr>
          <w:rFonts w:ascii="Times New Roman" w:hAnsi="Times New Roman"/>
          <w:sz w:val="28"/>
          <w:szCs w:val="28"/>
          <w:lang w:val="ro-RO"/>
        </w:rPr>
        <w:t xml:space="preserve"> La articolul 79: </w:t>
      </w:r>
    </w:p>
    <w:p w:rsidR="00D06CDB" w:rsidRPr="00DD689E" w:rsidRDefault="00280BA8" w:rsidP="00CD460C">
      <w:pPr>
        <w:ind w:firstLine="720"/>
        <w:contextualSpacing/>
        <w:jc w:val="both"/>
        <w:rPr>
          <w:rFonts w:ascii="Times New Roman" w:hAnsi="Times New Roman"/>
          <w:sz w:val="28"/>
          <w:szCs w:val="28"/>
          <w:lang w:val="ro-RO"/>
        </w:rPr>
      </w:pPr>
      <w:r>
        <w:rPr>
          <w:rFonts w:ascii="Times New Roman" w:hAnsi="Times New Roman"/>
          <w:sz w:val="28"/>
          <w:szCs w:val="28"/>
          <w:lang w:val="ro-RO"/>
        </w:rPr>
        <w:t>alineatul (5), propoziția „Părţile pot fi convocate în şedinţă deschisă dacă acest lucru este considerat necesar de către Agenția Naţională pentru Soluționarea Contestațiilor.” se exclude.;</w:t>
      </w:r>
    </w:p>
    <w:p w:rsidR="00D06CDB" w:rsidRPr="00DD689E" w:rsidRDefault="00280BA8" w:rsidP="00CD460C">
      <w:pPr>
        <w:ind w:firstLine="720"/>
        <w:contextualSpacing/>
        <w:jc w:val="both"/>
        <w:rPr>
          <w:rFonts w:ascii="Times New Roman" w:hAnsi="Times New Roman"/>
          <w:sz w:val="28"/>
          <w:szCs w:val="28"/>
          <w:lang w:val="ro-RO"/>
        </w:rPr>
      </w:pPr>
      <w:r>
        <w:rPr>
          <w:rFonts w:ascii="Times New Roman" w:hAnsi="Times New Roman"/>
          <w:sz w:val="28"/>
          <w:szCs w:val="28"/>
          <w:lang w:val="ro-RO"/>
        </w:rPr>
        <w:t>se adaugă un alineat nou cu următorul cuprins:</w:t>
      </w:r>
    </w:p>
    <w:p w:rsidR="005B52FC" w:rsidRPr="00DD689E" w:rsidRDefault="00280BA8" w:rsidP="00CD460C">
      <w:pPr>
        <w:contextualSpacing/>
        <w:jc w:val="both"/>
        <w:rPr>
          <w:rFonts w:ascii="Times New Roman" w:hAnsi="Times New Roman"/>
          <w:sz w:val="28"/>
          <w:szCs w:val="28"/>
          <w:lang w:val="ro-RO"/>
        </w:rPr>
      </w:pPr>
      <w:r>
        <w:rPr>
          <w:rFonts w:ascii="Times New Roman" w:hAnsi="Times New Roman"/>
          <w:sz w:val="28"/>
          <w:szCs w:val="28"/>
          <w:lang w:val="ro-RO"/>
        </w:rPr>
        <w:t>„(6) Agenția Naţională pentru Soluționarea Contestațiilor va organiza ședințe deschise pentru examinarea contestațiilor și va asigura publicarea pe pagina web a informației privind data și locul petrecerii ședințelor cu 3 zile lucrătoare înainte de data la care acestea vor avea loc.”;</w:t>
      </w:r>
    </w:p>
    <w:p w:rsidR="004D40D8" w:rsidRPr="00DD689E" w:rsidRDefault="00280BA8" w:rsidP="00CD460C">
      <w:pPr>
        <w:ind w:firstLine="720"/>
        <w:contextualSpacing/>
        <w:jc w:val="both"/>
        <w:rPr>
          <w:rFonts w:ascii="Times New Roman" w:hAnsi="Times New Roman"/>
          <w:sz w:val="28"/>
          <w:szCs w:val="28"/>
          <w:lang w:val="ro-RO"/>
        </w:rPr>
      </w:pPr>
      <w:r>
        <w:rPr>
          <w:rFonts w:ascii="Times New Roman" w:hAnsi="Times New Roman"/>
          <w:sz w:val="28"/>
          <w:szCs w:val="28"/>
          <w:lang w:val="ro-RO"/>
        </w:rPr>
        <w:t>Alineatele (6)-(11) vor deveni (7)-(12).</w:t>
      </w:r>
    </w:p>
    <w:p w:rsidR="00591EBA" w:rsidRPr="00DD689E" w:rsidRDefault="00591EBA" w:rsidP="00CD460C">
      <w:pPr>
        <w:contextualSpacing/>
        <w:jc w:val="both"/>
        <w:rPr>
          <w:rFonts w:ascii="Times New Roman" w:hAnsi="Times New Roman"/>
          <w:sz w:val="28"/>
          <w:szCs w:val="28"/>
          <w:lang w:val="ro-RO"/>
        </w:rPr>
      </w:pPr>
    </w:p>
    <w:p w:rsidR="00451214" w:rsidRPr="00DD689E" w:rsidRDefault="00280BA8" w:rsidP="00CD460C">
      <w:pPr>
        <w:jc w:val="both"/>
        <w:rPr>
          <w:rFonts w:ascii="Times New Roman" w:hAnsi="Times New Roman"/>
          <w:sz w:val="28"/>
          <w:szCs w:val="28"/>
          <w:lang w:val="ro-RO"/>
        </w:rPr>
      </w:pPr>
      <w:r>
        <w:rPr>
          <w:rFonts w:ascii="Times New Roman" w:hAnsi="Times New Roman"/>
          <w:b/>
          <w:sz w:val="28"/>
          <w:szCs w:val="28"/>
          <w:lang w:val="ro-RO"/>
        </w:rPr>
        <w:lastRenderedPageBreak/>
        <w:t>13.</w:t>
      </w:r>
      <w:r>
        <w:rPr>
          <w:rFonts w:ascii="Times New Roman" w:hAnsi="Times New Roman"/>
          <w:sz w:val="28"/>
          <w:szCs w:val="28"/>
          <w:lang w:val="ro-RO"/>
        </w:rPr>
        <w:t xml:space="preserve"> La articolul 80, alineatul (9) se modifica și va avea următorul cuprins:</w:t>
      </w:r>
    </w:p>
    <w:p w:rsidR="004E6100"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„(9) Decizia Agenției Naţionale pentru Soluționarea Contestațiilor, inclusiv justificarea deciziei, va fi comunicată părţilor în scris, în termen de 3 zile de la pronunţare. Decizia se publică pe pagina web a Agenției Naţionale pentru Soluționarea Contestațiilor în acelaşi termen.”</w:t>
      </w:r>
    </w:p>
    <w:p w:rsidR="00293892" w:rsidRPr="00DD689E" w:rsidRDefault="00293892" w:rsidP="00CD460C">
      <w:pPr>
        <w:jc w:val="both"/>
        <w:rPr>
          <w:rFonts w:ascii="Times New Roman" w:hAnsi="Times New Roman"/>
          <w:sz w:val="28"/>
          <w:szCs w:val="28"/>
          <w:lang w:val="ro-RO"/>
        </w:rPr>
      </w:pPr>
    </w:p>
    <w:p w:rsidR="00C55FD7" w:rsidRPr="00DD689E" w:rsidRDefault="004F2017" w:rsidP="00CD460C">
      <w:pPr>
        <w:jc w:val="both"/>
        <w:rPr>
          <w:rFonts w:ascii="Times New Roman" w:hAnsi="Times New Roman"/>
          <w:sz w:val="28"/>
          <w:szCs w:val="28"/>
          <w:lang w:val="ro-RO"/>
        </w:rPr>
      </w:pPr>
      <w:r w:rsidRPr="00DD689E">
        <w:rPr>
          <w:rFonts w:ascii="Times New Roman" w:hAnsi="Times New Roman"/>
          <w:b/>
          <w:sz w:val="28"/>
          <w:szCs w:val="28"/>
          <w:lang w:val="ro-RO"/>
        </w:rPr>
        <w:t>14.</w:t>
      </w:r>
      <w:r w:rsidRPr="00DD689E">
        <w:rPr>
          <w:rFonts w:ascii="Times New Roman" w:hAnsi="Times New Roman"/>
          <w:sz w:val="28"/>
          <w:szCs w:val="28"/>
          <w:lang w:val="ro-RO"/>
        </w:rPr>
        <w:t xml:space="preserve"> </w:t>
      </w:r>
      <w:r w:rsidR="00C55FD7" w:rsidRPr="00DD689E">
        <w:rPr>
          <w:rFonts w:ascii="Times New Roman" w:hAnsi="Times New Roman"/>
          <w:sz w:val="28"/>
          <w:szCs w:val="28"/>
          <w:lang w:val="ro-RO"/>
        </w:rPr>
        <w:t xml:space="preserve">La </w:t>
      </w:r>
      <w:r w:rsidRPr="00DD689E">
        <w:rPr>
          <w:rFonts w:ascii="Times New Roman" w:hAnsi="Times New Roman"/>
          <w:sz w:val="28"/>
          <w:szCs w:val="28"/>
          <w:lang w:val="ro-RO"/>
        </w:rPr>
        <w:t>a</w:t>
      </w:r>
      <w:r w:rsidR="00280BA8">
        <w:rPr>
          <w:rFonts w:ascii="Times New Roman" w:hAnsi="Times New Roman"/>
          <w:sz w:val="28"/>
          <w:szCs w:val="28"/>
          <w:lang w:val="ro-RO"/>
        </w:rPr>
        <w:t>rticolul 83:</w:t>
      </w:r>
    </w:p>
    <w:p w:rsidR="00F1017F" w:rsidRPr="00DD689E" w:rsidRDefault="00280BA8" w:rsidP="00CD460C">
      <w:pPr>
        <w:ind w:firstLine="720"/>
        <w:jc w:val="both"/>
        <w:rPr>
          <w:rFonts w:ascii="Times New Roman" w:hAnsi="Times New Roman"/>
          <w:sz w:val="28"/>
          <w:szCs w:val="28"/>
          <w:lang w:val="ro-RO"/>
        </w:rPr>
      </w:pPr>
      <w:r>
        <w:rPr>
          <w:rFonts w:ascii="Times New Roman" w:hAnsi="Times New Roman"/>
          <w:sz w:val="28"/>
          <w:szCs w:val="28"/>
          <w:lang w:val="ro-RO"/>
        </w:rPr>
        <w:t>alineatul (2) se modifică și va avea următorul cuprins:</w:t>
      </w:r>
    </w:p>
    <w:p w:rsidR="004B6FC8"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“(2) Dispozițiile prevăzute la art.4 alin. (2), (3) şi (4), Art. 27 alin. (2), Art. 28 alin.(2), Art. 29 alin.(3), Art. 45 alin. (2), Art. 49 alin. (2), Art. 52 alin. (6), Art. 53 alin. (5), Art. 56 alin. (7) intră în vigoare la 31 decembrie 2020.”</w:t>
      </w:r>
    </w:p>
    <w:p w:rsidR="00C55FD7" w:rsidRPr="00DD689E" w:rsidRDefault="00280BA8" w:rsidP="00CD460C">
      <w:pPr>
        <w:ind w:firstLine="720"/>
        <w:jc w:val="both"/>
        <w:rPr>
          <w:rFonts w:ascii="Times New Roman" w:hAnsi="Times New Roman"/>
          <w:sz w:val="28"/>
          <w:szCs w:val="28"/>
          <w:lang w:val="ro-RO"/>
        </w:rPr>
      </w:pPr>
      <w:r>
        <w:rPr>
          <w:rFonts w:ascii="Times New Roman" w:hAnsi="Times New Roman"/>
          <w:sz w:val="28"/>
          <w:szCs w:val="28"/>
          <w:lang w:val="ro-RO"/>
        </w:rPr>
        <w:t>se adaugă două alineate noi cu următorul cuprins:</w:t>
      </w:r>
    </w:p>
    <w:p w:rsidR="00C55FD7"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„(4) Agenția Achiziții Publice va exercita funcțiile și atribuțiile Agenției Naţionale pentru Soluționarea Contestațiilor pînă la 31 august 2016.”</w:t>
      </w:r>
    </w:p>
    <w:p w:rsidR="00095539" w:rsidRPr="00DD689E" w:rsidRDefault="00095539" w:rsidP="00CD460C">
      <w:pPr>
        <w:jc w:val="both"/>
        <w:rPr>
          <w:rFonts w:ascii="Times New Roman" w:hAnsi="Times New Roman"/>
          <w:sz w:val="28"/>
          <w:szCs w:val="28"/>
          <w:lang w:val="ro-RO"/>
        </w:rPr>
      </w:pPr>
    </w:p>
    <w:p w:rsidR="00095539" w:rsidRPr="00DD689E" w:rsidRDefault="00280BA8" w:rsidP="00095539">
      <w:pPr>
        <w:jc w:val="both"/>
        <w:rPr>
          <w:rFonts w:ascii="Times New Roman" w:hAnsi="Times New Roman"/>
          <w:sz w:val="28"/>
          <w:szCs w:val="28"/>
          <w:lang w:val="ro-RO"/>
        </w:rPr>
      </w:pPr>
      <w:r>
        <w:rPr>
          <w:rFonts w:ascii="Times New Roman" w:hAnsi="Times New Roman"/>
          <w:b/>
          <w:sz w:val="28"/>
          <w:szCs w:val="28"/>
          <w:lang w:val="ro-RO"/>
        </w:rPr>
        <w:t>15.</w:t>
      </w:r>
      <w:r>
        <w:rPr>
          <w:rFonts w:ascii="Times New Roman" w:hAnsi="Times New Roman"/>
          <w:sz w:val="28"/>
          <w:szCs w:val="28"/>
          <w:lang w:val="ro-RO"/>
        </w:rPr>
        <w:t xml:space="preserve"> Guvernul: </w:t>
      </w:r>
    </w:p>
    <w:p w:rsidR="00095539" w:rsidRPr="00DD689E" w:rsidRDefault="00280BA8" w:rsidP="00095539">
      <w:pPr>
        <w:jc w:val="both"/>
        <w:rPr>
          <w:rFonts w:ascii="Times New Roman" w:hAnsi="Times New Roman"/>
          <w:sz w:val="28"/>
          <w:szCs w:val="28"/>
          <w:lang w:val="ro-RO"/>
        </w:rPr>
      </w:pPr>
      <w:r>
        <w:rPr>
          <w:rFonts w:ascii="Times New Roman" w:hAnsi="Times New Roman"/>
          <w:sz w:val="28"/>
          <w:szCs w:val="28"/>
          <w:lang w:val="ro-RO"/>
        </w:rPr>
        <w:t xml:space="preserve">a) va deschide finanţarea Agenţiei Naţionale pentru Soluţionarea Contestaţiilor; </w:t>
      </w:r>
    </w:p>
    <w:p w:rsidR="00435D46" w:rsidRPr="00DD689E" w:rsidRDefault="00280BA8" w:rsidP="00095539">
      <w:pPr>
        <w:jc w:val="both"/>
        <w:rPr>
          <w:rFonts w:ascii="Times New Roman" w:hAnsi="Times New Roman"/>
          <w:sz w:val="28"/>
          <w:szCs w:val="28"/>
          <w:lang w:val="ro-RO"/>
        </w:rPr>
      </w:pPr>
      <w:r>
        <w:rPr>
          <w:rFonts w:ascii="Times New Roman" w:hAnsi="Times New Roman"/>
          <w:sz w:val="28"/>
          <w:szCs w:val="28"/>
          <w:lang w:val="ro-RO"/>
        </w:rPr>
        <w:t xml:space="preserve">b) va asigura Agenţiei Naţionale pentru Soluţionarea Contestaţiilor cu sediu. </w:t>
      </w:r>
    </w:p>
    <w:p w:rsidR="00CF60FA" w:rsidRPr="00DD689E" w:rsidRDefault="00CF60FA" w:rsidP="00CD460C">
      <w:pPr>
        <w:jc w:val="both"/>
        <w:rPr>
          <w:rFonts w:ascii="Times New Roman" w:hAnsi="Times New Roman"/>
          <w:sz w:val="28"/>
          <w:szCs w:val="28"/>
          <w:lang w:val="ro-RO"/>
        </w:rPr>
      </w:pPr>
    </w:p>
    <w:p w:rsidR="00CF60FA" w:rsidRPr="00DD689E" w:rsidRDefault="00280BA8" w:rsidP="00CD460C">
      <w:pPr>
        <w:jc w:val="both"/>
        <w:rPr>
          <w:rFonts w:ascii="Times New Roman" w:hAnsi="Times New Roman"/>
          <w:b/>
          <w:sz w:val="28"/>
          <w:szCs w:val="28"/>
          <w:lang w:val="ro-RO"/>
        </w:rPr>
      </w:pPr>
      <w:r>
        <w:rPr>
          <w:rFonts w:ascii="Times New Roman" w:hAnsi="Times New Roman"/>
          <w:b/>
          <w:sz w:val="28"/>
          <w:szCs w:val="28"/>
          <w:lang w:val="ro-RO"/>
        </w:rPr>
        <w:t xml:space="preserve">16. </w:t>
      </w:r>
      <w:r>
        <w:rPr>
          <w:rFonts w:ascii="Times New Roman" w:hAnsi="Times New Roman"/>
          <w:sz w:val="28"/>
          <w:szCs w:val="28"/>
          <w:lang w:val="ro-RO"/>
        </w:rPr>
        <w:t>În tot textul legii sintagma „Agenția de Soluționare a Contestațiilor” se substituie cu sintagma „Agenția Națională pentru Soluționarea Contestațiilor” la toate cazurile gramaticale.</w:t>
      </w:r>
    </w:p>
    <w:p w:rsidR="001A3B04" w:rsidRPr="00DD689E" w:rsidRDefault="001A3B04" w:rsidP="00CD460C">
      <w:pPr>
        <w:jc w:val="both"/>
        <w:rPr>
          <w:rFonts w:ascii="Times New Roman" w:hAnsi="Times New Roman"/>
          <w:sz w:val="28"/>
          <w:szCs w:val="28"/>
          <w:lang w:val="ro-RO"/>
        </w:rPr>
      </w:pPr>
    </w:p>
    <w:p w:rsidR="004D40D8" w:rsidRPr="00DD689E" w:rsidRDefault="00280BA8" w:rsidP="00CD460C">
      <w:pPr>
        <w:jc w:val="both"/>
        <w:rPr>
          <w:rFonts w:ascii="Times New Roman" w:hAnsi="Times New Roman"/>
          <w:sz w:val="28"/>
          <w:szCs w:val="28"/>
          <w:lang w:val="ro-RO"/>
        </w:rPr>
      </w:pPr>
      <w:r>
        <w:rPr>
          <w:rFonts w:ascii="Times New Roman" w:hAnsi="Times New Roman"/>
          <w:b/>
          <w:sz w:val="28"/>
          <w:szCs w:val="28"/>
          <w:lang w:val="ro-RO"/>
        </w:rPr>
        <w:t>17.</w:t>
      </w:r>
      <w:r>
        <w:rPr>
          <w:rFonts w:ascii="Times New Roman" w:hAnsi="Times New Roman"/>
          <w:sz w:val="28"/>
          <w:szCs w:val="28"/>
          <w:lang w:val="ro-RO"/>
        </w:rPr>
        <w:t xml:space="preserve"> Legea nr.131 din 3.07.2015 privind achiziţiile publice se completează cu o anexa nr.1 cu următorul conținut:</w:t>
      </w:r>
    </w:p>
    <w:p w:rsidR="009249B1" w:rsidRPr="00DD689E" w:rsidRDefault="00280BA8" w:rsidP="00CD460C">
      <w:pPr>
        <w:ind w:firstLine="720"/>
        <w:jc w:val="right"/>
        <w:rPr>
          <w:rFonts w:ascii="Times New Roman" w:hAnsi="Times New Roman"/>
          <w:lang w:val="ro-RO"/>
        </w:rPr>
      </w:pPr>
      <w:r>
        <w:rPr>
          <w:rFonts w:ascii="Times New Roman" w:hAnsi="Times New Roman"/>
          <w:lang w:val="ro-RO"/>
        </w:rPr>
        <w:t xml:space="preserve">„Anexa nr.1 </w:t>
      </w:r>
    </w:p>
    <w:tbl>
      <w:tblPr>
        <w:tblW w:w="5000" w:type="pct"/>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1173"/>
        <w:gridCol w:w="880"/>
        <w:gridCol w:w="773"/>
        <w:gridCol w:w="1647"/>
        <w:gridCol w:w="3736"/>
        <w:gridCol w:w="1217"/>
      </w:tblGrid>
      <w:tr w:rsidR="00BE0CE0" w:rsidRPr="00DD689E" w:rsidTr="00BE0CE0">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NACE</w:t>
            </w:r>
            <w:hyperlink r:id="rId8" w:anchor="ntr2-L_2008074RO.01036701-E0002" w:history="1">
              <w:r w:rsidR="00BE0CE0" w:rsidRPr="00DD689E">
                <w:rPr>
                  <w:rStyle w:val="Hyperlink"/>
                  <w:b/>
                  <w:bCs/>
                  <w:color w:val="auto"/>
                  <w:u w:val="none"/>
                  <w:bdr w:val="none" w:sz="0" w:space="0" w:color="auto" w:frame="1"/>
                  <w:lang w:val="ro-RO"/>
                </w:rPr>
                <w:t> (</w:t>
              </w:r>
              <w:r w:rsidR="00BE0CE0" w:rsidRPr="00DD689E">
                <w:rPr>
                  <w:rStyle w:val="super"/>
                  <w:b/>
                  <w:bCs/>
                  <w:sz w:val="17"/>
                  <w:szCs w:val="17"/>
                  <w:bdr w:val="none" w:sz="0" w:space="0" w:color="auto" w:frame="1"/>
                  <w:vertAlign w:val="superscript"/>
                  <w:lang w:val="ro-RO"/>
                </w:rPr>
                <w:t>2</w:t>
              </w:r>
              <w:r w:rsidR="00BE0CE0" w:rsidRPr="00DD689E">
                <w:rPr>
                  <w:rStyle w:val="Hyperlink"/>
                  <w:b/>
                  <w:bCs/>
                  <w:color w:val="auto"/>
                  <w:u w:val="none"/>
                  <w:bdr w:val="none" w:sz="0" w:space="0" w:color="auto" w:frame="1"/>
                  <w:lang w:val="ro-RO"/>
                </w:rPr>
                <w:t>)</w:t>
              </w:r>
            </w:hyperlink>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COD CPV</w:t>
            </w:r>
          </w:p>
        </w:tc>
      </w:tr>
      <w:tr w:rsidR="00BE0CE0" w:rsidRPr="00DD689E" w:rsidTr="00BE0CE0">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tbl-hdr"/>
              <w:spacing w:before="0" w:beforeAutospacing="0" w:after="0" w:afterAutospacing="0"/>
              <w:ind w:right="129"/>
              <w:jc w:val="center"/>
              <w:textAlignment w:val="baseline"/>
              <w:rPr>
                <w:b/>
                <w:bCs/>
                <w:lang w:val="ro-RO"/>
              </w:rPr>
            </w:pPr>
            <w:r w:rsidRPr="00DD689E">
              <w:rPr>
                <w:b/>
                <w:bCs/>
                <w:lang w:val="ro-RO"/>
              </w:rPr>
              <w:t>SECŢIUNEA F</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CONSTRUCŢIE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E0CE0" w:rsidRPr="00DD689E" w:rsidRDefault="00BE0CE0" w:rsidP="00CD460C">
            <w:pPr>
              <w:keepNext/>
              <w:keepLines/>
              <w:spacing w:before="480"/>
              <w:outlineLvl w:val="0"/>
              <w:rPr>
                <w:rFonts w:ascii="Times New Roman" w:hAnsi="Times New Roman"/>
                <w:b/>
                <w:bCs/>
                <w:sz w:val="24"/>
                <w:szCs w:val="24"/>
                <w:lang w:val="ro-RO"/>
              </w:rPr>
            </w:pP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tbl-hdr"/>
              <w:spacing w:before="0" w:beforeAutospacing="0" w:after="0" w:afterAutospacing="0"/>
              <w:ind w:right="129"/>
              <w:jc w:val="center"/>
              <w:textAlignment w:val="baseline"/>
              <w:rPr>
                <w:b/>
                <w:bCs/>
                <w:lang w:val="ro-RO"/>
              </w:rPr>
            </w:pPr>
            <w:r w:rsidRPr="00DD689E">
              <w:rPr>
                <w:b/>
                <w:bCs/>
                <w:lang w:val="ro-RO"/>
              </w:rPr>
              <w:t>Diviziune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Grupă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Clasă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Descriere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hdr"/>
              <w:spacing w:before="0" w:beforeAutospacing="0" w:after="0" w:afterAutospacing="0"/>
              <w:ind w:right="129"/>
              <w:jc w:val="center"/>
              <w:textAlignment w:val="baseline"/>
              <w:rPr>
                <w:b/>
                <w:bCs/>
                <w:lang w:val="ro-RO"/>
              </w:rPr>
            </w:pPr>
            <w:r w:rsidRPr="00280BA8">
              <w:rPr>
                <w:b/>
                <w:bCs/>
                <w:lang w:val="ro-RO"/>
              </w:rPr>
              <w:t>Note</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BE0CE0" w:rsidRPr="00DD689E" w:rsidRDefault="00BE0CE0" w:rsidP="00CD460C">
            <w:pPr>
              <w:keepNext/>
              <w:keepLines/>
              <w:spacing w:before="480"/>
              <w:outlineLvl w:val="0"/>
              <w:rPr>
                <w:rFonts w:ascii="Times New Roman" w:hAnsi="Times New Roman"/>
                <w:b/>
                <w:bCs/>
                <w:sz w:val="24"/>
                <w:szCs w:val="24"/>
                <w:lang w:val="ro-RO"/>
              </w:rPr>
            </w:pP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tbl-txt"/>
              <w:spacing w:before="0" w:beforeAutospacing="0" w:after="0" w:afterAutospacing="0"/>
              <w:textAlignment w:val="baseline"/>
              <w:rPr>
                <w:lang w:val="ro-RO"/>
              </w:rPr>
            </w:pPr>
            <w:r w:rsidRPr="00DD689E">
              <w:rPr>
                <w:lang w:val="ro-RO"/>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Construcţie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diviziune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clădiri şi lucrări noi, restaurare şi reparaţii curente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45000000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Pregătirea şantierelor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45100000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Demolare şi terasamente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demolarea imobilelor şi a altor construcţii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78"/>
              <w:gridCol w:w="3178"/>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degajarea şantierelor</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de terasament: excavarea, umplerea, nivelarea şantierelor de construcţii, săpare de şanţuri, îndepărtarea rocilor, dinamitare etc.</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pregătirea şantierelor pentru exploatare minieră</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 xml:space="preserve">îndepărtarea solului şi alte </w:t>
                        </w:r>
                        <w:r w:rsidRPr="00280BA8">
                          <w:rPr>
                            <w:lang w:val="ro-RO"/>
                          </w:rPr>
                          <w:lastRenderedPageBreak/>
                          <w:t>lucrări de dezvoltare şi pregătire a terenurilor şi a şantierelor miniere</w:t>
                        </w:r>
                      </w:p>
                    </w:tc>
                  </w:tr>
                </w:tbl>
                <w:p w:rsidR="00BE0CE0" w:rsidRPr="00DD689E" w:rsidRDefault="00BE0CE0" w:rsidP="00CD460C">
                  <w:pPr>
                    <w:rPr>
                      <w:rFonts w:ascii="Times New Roman" w:hAnsi="Times New Roman"/>
                      <w:sz w:val="24"/>
                      <w:szCs w:val="24"/>
                      <w:lang w:val="ro-RO"/>
                    </w:rPr>
                  </w:pP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lastRenderedPageBreak/>
              <w:t>Această clasă cuprinde, de asemenea:</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1"/>
              <w:gridCol w:w="3345"/>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drenarea şantierelor de construcţii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drenarea terenurilor agricole şi forestiere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lastRenderedPageBreak/>
              <w:t>45110000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Foraje şi sondaje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sondaje experimentale, foraje experimentale şi carotaje pentru construcţii, precum şi pentru studii geofizice, geologice sau alte studii similare</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forarea puţurilor de extracţie a ţiţeiului sau a gazelor naturale, a se vedea 11.20</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forarea puţurilor de apă, a se vedea 45.25</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săparea de puţuri, a se vedea 45.25</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prospectarea zăcămintelor de ţiţei şi de gaze naturale, precum şi studiile geofizice, geologice şi seismice, a se vedea 74.20</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45120000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construcţii complete sau parţiale şi lucrări publice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45200000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construcţie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clădiri de toate tipurile şi construcţia de lucrări publice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poduri (inclusiv cele destinate să susţină şosele suspendate), viaducte, tuneluri şi pasaje subterane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conducte de transport, linii de comunicaţii şi linii de transport al energiei electrice pe distanţe mari</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conducte de transport, linii de comunicaţii şi de transport al energiei electrice pentru reţele urbane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conexe de amenajare urbană</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lastRenderedPageBreak/>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asamblarea şi construcţia de lucrări prefabricate pe şantiere</w:t>
                        </w:r>
                      </w:p>
                    </w:tc>
                  </w:tr>
                </w:tbl>
                <w:p w:rsidR="00BE0CE0" w:rsidRPr="00DD689E" w:rsidRDefault="00BE0CE0" w:rsidP="00CD460C">
                  <w:pPr>
                    <w:rPr>
                      <w:rFonts w:ascii="Times New Roman" w:hAnsi="Times New Roman"/>
                      <w:sz w:val="24"/>
                      <w:szCs w:val="24"/>
                      <w:lang w:val="ro-RO"/>
                    </w:rPr>
                  </w:pP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lastRenderedPageBreak/>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servicii referitoare la extracţia ţiţeiului şi a gazelor naturale, a se vedea 11.20</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lucrări complet prefabricate din elemente, altele decât betonul, fabricate de unitatea care execută lucrările, a se vedea 20, 26 şi 28</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echipamente (altele decât clădirile) pentru stadioane, piscine, săli de sport, terenuri de tenis, circuite de golf şi alte instalaţii sportive, a se vedea 45.23</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de instalaţii, a se vedea 45.3</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de finisare, a se vedea 45.4</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activităţi de arhitectură şi de inginerie, a se vedea 74.20</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gestionarea proiectelor de construcţie, a se vedea 74.20</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lastRenderedPageBreak/>
              <w:t>45210000</w:t>
            </w:r>
          </w:p>
          <w:p w:rsidR="00BE0CE0" w:rsidRPr="00DD689E" w:rsidRDefault="00280BA8" w:rsidP="00CD460C">
            <w:pPr>
              <w:pStyle w:val="tbl-txt"/>
              <w:spacing w:before="0" w:beforeAutospacing="0" w:after="0" w:afterAutospacing="0"/>
              <w:textAlignment w:val="baseline"/>
              <w:rPr>
                <w:lang w:val="ro-RO"/>
              </w:rPr>
            </w:pPr>
            <w:r w:rsidRPr="00280BA8">
              <w:rPr>
                <w:lang w:val="ro-RO"/>
              </w:rPr>
              <w:t>(cu excepţia:</w:t>
            </w:r>
          </w:p>
          <w:p w:rsidR="00BE0CE0" w:rsidRPr="00DD689E" w:rsidRDefault="00280BA8" w:rsidP="00CD460C">
            <w:pPr>
              <w:pStyle w:val="tbl-txt"/>
              <w:spacing w:before="0" w:beforeAutospacing="0" w:after="0" w:afterAutospacing="0"/>
              <w:textAlignment w:val="baseline"/>
              <w:rPr>
                <w:lang w:val="ro-RO"/>
              </w:rPr>
            </w:pPr>
            <w:r w:rsidRPr="00280BA8">
              <w:rPr>
                <w:lang w:val="ro-RO"/>
              </w:rPr>
              <w:t>- 45213316</w:t>
            </w:r>
          </w:p>
          <w:p w:rsidR="00BE0CE0" w:rsidRPr="00DD689E" w:rsidRDefault="00280BA8" w:rsidP="00CD460C">
            <w:pPr>
              <w:pStyle w:val="tbl-txt"/>
              <w:spacing w:before="0" w:beforeAutospacing="0" w:after="0" w:afterAutospacing="0"/>
              <w:textAlignment w:val="baseline"/>
              <w:rPr>
                <w:lang w:val="ro-RO"/>
              </w:rPr>
            </w:pPr>
            <w:r w:rsidRPr="00280BA8">
              <w:rPr>
                <w:lang w:val="ro-RO"/>
              </w:rPr>
              <w:t>45220000</w:t>
            </w:r>
          </w:p>
          <w:p w:rsidR="00BE0CE0" w:rsidRPr="00DD689E" w:rsidRDefault="00280BA8" w:rsidP="00CD460C">
            <w:pPr>
              <w:pStyle w:val="tbl-txt"/>
              <w:spacing w:before="0" w:beforeAutospacing="0" w:after="0" w:afterAutospacing="0"/>
              <w:textAlignment w:val="baseline"/>
              <w:rPr>
                <w:lang w:val="ro-RO"/>
              </w:rPr>
            </w:pPr>
            <w:r w:rsidRPr="00280BA8">
              <w:rPr>
                <w:lang w:val="ro-RO"/>
              </w:rPr>
              <w:t>45231000</w:t>
            </w:r>
          </w:p>
          <w:p w:rsidR="00BE0CE0" w:rsidRPr="00DD689E" w:rsidRDefault="00280BA8" w:rsidP="00CD460C">
            <w:pPr>
              <w:pStyle w:val="tbl-txt"/>
              <w:spacing w:before="0" w:beforeAutospacing="0" w:after="0" w:afterAutospacing="0"/>
              <w:textAlignment w:val="baseline"/>
              <w:rPr>
                <w:lang w:val="ro-RO"/>
              </w:rPr>
            </w:pPr>
            <w:r w:rsidRPr="00280BA8">
              <w:rPr>
                <w:lang w:val="ro-RO"/>
              </w:rPr>
              <w:t>45232000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Ridicarea de şarpante şi acoperişuri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79"/>
              <w:gridCol w:w="3177"/>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ridicarea de şarpante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3231"/>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montarea acoperişurilor</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30"/>
              <w:gridCol w:w="312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de etanşare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45261000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Construcţia de şosele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autostrăzi, de drumuri, de şosele şi de alte căi de transport pentru vehicule şi pietoni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425"/>
              <w:gridCol w:w="3231"/>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căi ferate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piste de aterizare-decolare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echipamente (altele decât clădiri) pentru stadioane, piscine, săli de sport, terenuri de tenis, circuite de golf şi alte instalaţii sportive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marcarea cu vopsea a suprafeţelor rutiere şi a spaţiilor de parcare</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terasamentele prealabile, a se vedea 45.11</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45212212 și DA03</w:t>
            </w:r>
          </w:p>
          <w:p w:rsidR="00BE0CE0" w:rsidRPr="00DD689E" w:rsidRDefault="00280BA8" w:rsidP="00CD460C">
            <w:pPr>
              <w:pStyle w:val="tbl-txt"/>
              <w:spacing w:before="0" w:beforeAutospacing="0" w:after="0" w:afterAutospacing="0"/>
              <w:textAlignment w:val="baseline"/>
              <w:rPr>
                <w:lang w:val="ro-RO"/>
              </w:rPr>
            </w:pPr>
            <w:r w:rsidRPr="00280BA8">
              <w:rPr>
                <w:lang w:val="ro-RO"/>
              </w:rPr>
              <w:t>45230000</w:t>
            </w:r>
          </w:p>
          <w:p w:rsidR="00BE0CE0" w:rsidRPr="00DD689E" w:rsidRDefault="00280BA8" w:rsidP="00CD460C">
            <w:pPr>
              <w:pStyle w:val="tbl-txt"/>
              <w:spacing w:before="0" w:beforeAutospacing="0" w:after="0" w:afterAutospacing="0"/>
              <w:textAlignment w:val="baseline"/>
              <w:rPr>
                <w:lang w:val="ro-RO"/>
              </w:rPr>
            </w:pPr>
            <w:r w:rsidRPr="00280BA8">
              <w:rPr>
                <w:lang w:val="ro-RO"/>
              </w:rPr>
              <w:t>cu excepția:</w:t>
            </w:r>
          </w:p>
          <w:p w:rsidR="00BE0CE0" w:rsidRPr="00DD689E" w:rsidRDefault="00280BA8" w:rsidP="00CD460C">
            <w:pPr>
              <w:pStyle w:val="tbl-txt"/>
              <w:spacing w:before="0" w:beforeAutospacing="0" w:after="0" w:afterAutospacing="0"/>
              <w:textAlignment w:val="baseline"/>
              <w:rPr>
                <w:lang w:val="ro-RO"/>
              </w:rPr>
            </w:pPr>
            <w:r w:rsidRPr="00280BA8">
              <w:rPr>
                <w:lang w:val="ro-RO"/>
              </w:rPr>
              <w:t>- 45231000</w:t>
            </w:r>
          </w:p>
          <w:p w:rsidR="00BE0CE0" w:rsidRPr="00DD689E" w:rsidRDefault="00280BA8" w:rsidP="00CD460C">
            <w:pPr>
              <w:pStyle w:val="tbl-txt"/>
              <w:spacing w:before="0" w:beforeAutospacing="0" w:after="0" w:afterAutospacing="0"/>
              <w:textAlignment w:val="baseline"/>
              <w:rPr>
                <w:lang w:val="ro-RO"/>
              </w:rPr>
            </w:pPr>
            <w:r w:rsidRPr="00280BA8">
              <w:rPr>
                <w:lang w:val="ro-RO"/>
              </w:rPr>
              <w:t>- 45232000</w:t>
            </w:r>
          </w:p>
          <w:p w:rsidR="00BE0CE0" w:rsidRPr="00DD689E" w:rsidRDefault="00280BA8" w:rsidP="00CD460C">
            <w:pPr>
              <w:pStyle w:val="tbl-txt"/>
              <w:spacing w:before="0" w:beforeAutospacing="0" w:after="0" w:afterAutospacing="0"/>
              <w:textAlignment w:val="baseline"/>
              <w:rPr>
                <w:lang w:val="ro-RO"/>
              </w:rPr>
            </w:pPr>
            <w:r w:rsidRPr="00280BA8">
              <w:rPr>
                <w:lang w:val="ro-RO"/>
              </w:rPr>
              <w:t>- 45234115</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hidrotehnice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p w:rsidR="00BE0CE0" w:rsidRPr="00DD689E" w:rsidRDefault="00280BA8" w:rsidP="00CD460C">
            <w:pPr>
              <w:pStyle w:val="tbl-txt"/>
              <w:spacing w:before="0" w:beforeAutospacing="0" w:after="0" w:afterAutospacing="0"/>
              <w:textAlignment w:val="baseline"/>
              <w:rPr>
                <w:lang w:val="ro-RO"/>
              </w:rPr>
            </w:pPr>
            <w:r w:rsidRPr="00280BA8">
              <w:rPr>
                <w:lang w:val="ro-RO"/>
              </w:rPr>
              <w:t>construcţia 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căi navigabile, porturi, lucrări fluviale, porturi de agrement (marinas), ecluze etc.</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623"/>
              <w:gridCol w:w="3033"/>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baraje şi diguri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030"/>
              <w:gridCol w:w="262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dragare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18"/>
              <w:gridCol w:w="3138"/>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subacvatice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45240000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Alte lucrări de construcţie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activităţile de construcţie specializate referitoare la un aspect comun pentru mai multe tipuri de lucrări şi care necesită competenţe sau echipamente specializate: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realizarea de fundaţii, inclusiv baterea piloţilor</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forarea şi construcţia de puţuri de apă, săparea de puţuri</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montarea de structuri metalice nefabricate de către unitatea care execută lucrările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21"/>
                    <w:gridCol w:w="2945"/>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arcuirea structurilor metalice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aşezarea cărămizilor şi aşezarea pietrelor</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montarea şi demontarea schelelor şi a platformelor de lucru proprii sau închiriate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construcţia de şemineuri şi de cuptoare industriale</w:t>
                        </w:r>
                      </w:p>
                    </w:tc>
                  </w:tr>
                </w:tbl>
                <w:p w:rsidR="00BE0CE0" w:rsidRPr="00DD689E" w:rsidRDefault="00BE0CE0" w:rsidP="00CD460C">
                  <w:pPr>
                    <w:rPr>
                      <w:rFonts w:ascii="Times New Roman" w:hAnsi="Times New Roman"/>
                      <w:sz w:val="24"/>
                      <w:szCs w:val="24"/>
                      <w:lang w:val="ro-RO"/>
                    </w:rPr>
                  </w:pP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închirierea de schele fără montare şi demontare, a se vedea 71.32</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45250000</w:t>
            </w:r>
          </w:p>
          <w:p w:rsidR="00BE0CE0" w:rsidRPr="00DD689E" w:rsidRDefault="00280BA8" w:rsidP="00CD460C">
            <w:pPr>
              <w:pStyle w:val="tbl-txt"/>
              <w:spacing w:before="0" w:beforeAutospacing="0" w:after="0" w:afterAutospacing="0"/>
              <w:textAlignment w:val="baseline"/>
              <w:rPr>
                <w:lang w:val="ro-RO"/>
              </w:rPr>
            </w:pPr>
            <w:r w:rsidRPr="00280BA8">
              <w:rPr>
                <w:lang w:val="ro-RO"/>
              </w:rPr>
              <w:t>45262000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instalaţii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45300000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instalaţii electrice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p w:rsidR="00BE0CE0" w:rsidRPr="00DD689E" w:rsidRDefault="00280BA8" w:rsidP="00CD460C">
            <w:pPr>
              <w:pStyle w:val="tbl-txt"/>
              <w:spacing w:before="0" w:beforeAutospacing="0" w:after="0" w:afterAutospacing="0"/>
              <w:textAlignment w:val="baseline"/>
              <w:rPr>
                <w:lang w:val="ro-RO"/>
              </w:rPr>
            </w:pPr>
            <w:r w:rsidRPr="00280BA8">
              <w:rPr>
                <w:lang w:val="ro-RO"/>
              </w:rPr>
              <w:t>instalarea, în clădiri sau în alte proiecte de construcţie, a următoarelor elemente: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92"/>
              <w:gridCol w:w="3264"/>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cabluri şi aparate electrice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7"/>
              <w:gridCol w:w="3269"/>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sisteme de telecomunicaţii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49"/>
              <w:gridCol w:w="3307"/>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instalaţii electrice de încălzire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21"/>
              <w:gridCol w:w="3335"/>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antene pentru clădiri rezidenţiale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sisteme de alarmă împotriva incendiilor</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50"/>
              <w:gridCol w:w="330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sisteme de alarmă antiefracţie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94"/>
              <w:gridCol w:w="3262"/>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lastRenderedPageBreak/>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ascensoare şi scări rulante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585"/>
              <w:gridCol w:w="3071"/>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paratrăsnete etc.</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lastRenderedPageBreak/>
              <w:t>45213316</w:t>
            </w:r>
          </w:p>
          <w:p w:rsidR="00BE0CE0" w:rsidRPr="00DD689E" w:rsidRDefault="00280BA8" w:rsidP="00CD460C">
            <w:pPr>
              <w:pStyle w:val="tbl-txt"/>
              <w:spacing w:before="0" w:beforeAutospacing="0" w:after="0" w:afterAutospacing="0"/>
              <w:textAlignment w:val="baseline"/>
              <w:rPr>
                <w:lang w:val="ro-RO"/>
              </w:rPr>
            </w:pPr>
            <w:r w:rsidRPr="00280BA8">
              <w:rPr>
                <w:lang w:val="ro-RO"/>
              </w:rPr>
              <w:t>45310000</w:t>
            </w:r>
          </w:p>
          <w:p w:rsidR="00BE0CE0" w:rsidRPr="00DD689E" w:rsidRDefault="00280BA8" w:rsidP="00CD460C">
            <w:pPr>
              <w:pStyle w:val="tbl-txt"/>
              <w:spacing w:before="0" w:beforeAutospacing="0" w:after="0" w:afterAutospacing="0"/>
              <w:textAlignment w:val="baseline"/>
              <w:rPr>
                <w:lang w:val="ro-RO"/>
              </w:rPr>
            </w:pPr>
            <w:r w:rsidRPr="00280BA8">
              <w:rPr>
                <w:lang w:val="ro-RO"/>
              </w:rPr>
              <w:t>cu excepția:</w:t>
            </w:r>
          </w:p>
          <w:p w:rsidR="00BE0CE0" w:rsidRPr="00DD689E" w:rsidRDefault="00280BA8" w:rsidP="00CD460C">
            <w:pPr>
              <w:pStyle w:val="tbl-txt"/>
              <w:spacing w:before="0" w:beforeAutospacing="0" w:after="0" w:afterAutospacing="0"/>
              <w:textAlignment w:val="baseline"/>
              <w:rPr>
                <w:lang w:val="ro-RO"/>
              </w:rPr>
            </w:pPr>
            <w:r w:rsidRPr="00280BA8">
              <w:rPr>
                <w:lang w:val="ro-RO"/>
              </w:rPr>
              <w:t>- 45316000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izolare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în clădiri sau în alte proiecte de construcţie, de materiale de izolare termică, acustică şi împotriva vibraţiilor</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lucrări de etanşare, a se vedea 45.22</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45320000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Instalaţii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în clădiri sau în alte proiecte de construcţie, a următoarelor elemente: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instalaţii şi echipamente sanitare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echipamente pentru distribuţia gazelor</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echipamente şi conducte de încălzire, de ventilare, de refrigerare sau de climatizare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de pulverizatoare automate împotriva incendiilor</w:t>
                        </w:r>
                      </w:p>
                    </w:tc>
                  </w:tr>
                </w:tbl>
                <w:p w:rsidR="00BE0CE0" w:rsidRPr="00DD689E" w:rsidRDefault="00BE0CE0" w:rsidP="00CD460C">
                  <w:pPr>
                    <w:rPr>
                      <w:rFonts w:ascii="Times New Roman" w:hAnsi="Times New Roman"/>
                      <w:sz w:val="24"/>
                      <w:szCs w:val="24"/>
                      <w:lang w:val="ro-RO"/>
                    </w:rPr>
                  </w:pP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sistemelor electrice de încălzire, a se vedea 45.31</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45330000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Alte lucrări de instalaţii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sistemelor de iluminat şi de semnalizare pentru şosele, căi ferate, aeroporturi şi porturi</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în clădiri sau în alte proiecte de construcţie, a instalaţiilor şi a echipamentelor neclasificate în altă parte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45234115</w:t>
            </w:r>
          </w:p>
          <w:p w:rsidR="00BE0CE0" w:rsidRPr="00DD689E" w:rsidRDefault="00280BA8" w:rsidP="00CD460C">
            <w:pPr>
              <w:pStyle w:val="tbl-txt"/>
              <w:spacing w:before="0" w:beforeAutospacing="0" w:after="0" w:afterAutospacing="0"/>
              <w:textAlignment w:val="baseline"/>
              <w:rPr>
                <w:lang w:val="ro-RO"/>
              </w:rPr>
            </w:pPr>
            <w:r w:rsidRPr="00280BA8">
              <w:rPr>
                <w:lang w:val="ro-RO"/>
              </w:rPr>
              <w:t>45316000</w:t>
            </w:r>
          </w:p>
          <w:p w:rsidR="00BE0CE0" w:rsidRPr="00DD689E" w:rsidRDefault="00280BA8" w:rsidP="00CD460C">
            <w:pPr>
              <w:pStyle w:val="tbl-txt"/>
              <w:spacing w:before="0" w:beforeAutospacing="0" w:after="0" w:afterAutospacing="0"/>
              <w:textAlignment w:val="baseline"/>
              <w:rPr>
                <w:lang w:val="ro-RO"/>
              </w:rPr>
            </w:pPr>
            <w:r w:rsidRPr="00280BA8">
              <w:rPr>
                <w:lang w:val="ro-RO"/>
              </w:rPr>
              <w:t>45340000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Lucrări de finisare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45400000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Tencuire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aplicarea, în clădiri sau în alte proiecte de construcţie, a ipsosului şi a stucului pentru structuri sau ornamente interioare şi exterioare, inclusiv a materialelor de făţuire asociate</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45410000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Tâmplărie şi dulgherie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 xml:space="preserve">instalarea de uşi, ferestre, rame şi tocuri pentru uşi şi ferestre, bucătării echipate, scări, </w:t>
                  </w:r>
                  <w:r w:rsidRPr="00280BA8">
                    <w:rPr>
                      <w:lang w:val="ro-RO"/>
                    </w:rPr>
                    <w:lastRenderedPageBreak/>
                    <w:t>echipamente pentru magazine şi echipamente similare, din lemn sau din alte materiale, nefabricate de unitatea care execută lucrările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amenajări interioare, precum plafoane, structuri de acoperire a pereţilor din lemn, compartimentări mobile etc.</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acoperirea cu parchet sau alte materiale de acoperire a podelelor din lemn, a se vedea 45.43</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lastRenderedPageBreak/>
              <w:t>45420000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Îmbrăcarea podelelor şi a pereţilor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în clădiri sau în alte proiecte de construcţie, a următoarelor elemente: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placaje ale pereţilor din ceramică, beton sau piatră</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parchete şi alte materiale de acoperire a podelelor din lemn şi mochete şi alte materiale de acoperire a podelelor din linoleum, inclusiv din cauciuc sau din alte materiale plastice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295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materiale de placare a podelelor şi a pereţilor din granit, marmură sau ardezie</w:t>
                        </w:r>
                      </w:p>
                    </w:tc>
                  </w:tr>
                </w:tbl>
                <w:p w:rsidR="00BE0CE0" w:rsidRPr="00DD689E" w:rsidRDefault="00BE0CE0" w:rsidP="00CD460C">
                  <w:pPr>
                    <w:rPr>
                      <w:rFonts w:ascii="Times New Roman" w:hAnsi="Times New Roman"/>
                      <w:vanish/>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1062"/>
                    <w:gridCol w:w="2204"/>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tapete</w:t>
                        </w:r>
                      </w:p>
                    </w:tc>
                  </w:tr>
                </w:tbl>
                <w:p w:rsidR="00BE0CE0" w:rsidRPr="00DD689E" w:rsidRDefault="00BE0CE0" w:rsidP="00CD460C">
                  <w:pPr>
                    <w:rPr>
                      <w:rFonts w:ascii="Times New Roman" w:hAnsi="Times New Roman"/>
                      <w:sz w:val="24"/>
                      <w:szCs w:val="24"/>
                      <w:lang w:val="ro-RO"/>
                    </w:rPr>
                  </w:pP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45430000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Vopsitorie şi montare de geamuri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vopsirea interioară şi exterioară a clădirilor</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89"/>
              <w:gridCol w:w="3267"/>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vopsirea lucrărilor publice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21"/>
              <w:gridCol w:w="3335"/>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montarea sticlei, a oglinzilor etc.</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ferestrelor, a se vedea 45.42</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45440000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Alte lucrări de finisare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74"/>
              <w:gridCol w:w="3282"/>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instalarea piscinelor private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curăţirea pereţilor exteriori ai clădirilor cu ajutorul aburilor, prin sablare sau alte metode similare</w:t>
                  </w:r>
                </w:p>
              </w:tc>
            </w:tr>
          </w:tbl>
          <w:p w:rsidR="00BE0CE0" w:rsidRPr="00DD689E" w:rsidRDefault="00BE0CE0" w:rsidP="00CD460C">
            <w:pPr>
              <w:rPr>
                <w:rFonts w:ascii="Times New Roman" w:hAnsi="Times New Roman"/>
                <w:vanish/>
                <w:sz w:val="27"/>
                <w:szCs w:val="27"/>
                <w:lang w:val="ro-RO"/>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celelalte lucrări de finalizare şi finisare a clădirilor necuprinse în altă parte</w:t>
                  </w:r>
                </w:p>
              </w:tc>
            </w:tr>
          </w:tbl>
          <w:p w:rsidR="00BE0CE0" w:rsidRPr="00DD689E" w:rsidRDefault="00BE0CE0" w:rsidP="00CD460C">
            <w:pPr>
              <w:pStyle w:val="tbl-txt"/>
              <w:spacing w:before="0" w:beforeAutospacing="0" w:after="0" w:afterAutospacing="0"/>
              <w:textAlignment w:val="baseline"/>
              <w:rPr>
                <w:lang w:val="ro-RO"/>
              </w:rPr>
            </w:pPr>
            <w:r w:rsidRPr="00DD689E">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 xml:space="preserve">curăţirea pereţilor interiori ai </w:t>
                  </w:r>
                  <w:r w:rsidRPr="00280BA8">
                    <w:rPr>
                      <w:lang w:val="ro-RO"/>
                    </w:rPr>
                    <w:lastRenderedPageBreak/>
                    <w:t>clădirilor şi ai altor construcţii, a se vedea 74.70</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lastRenderedPageBreak/>
              <w:t>45212212 și DA04</w:t>
            </w:r>
          </w:p>
          <w:p w:rsidR="00BE0CE0" w:rsidRPr="00DD689E" w:rsidRDefault="00280BA8" w:rsidP="00CD460C">
            <w:pPr>
              <w:pStyle w:val="tbl-txt"/>
              <w:spacing w:before="0" w:beforeAutospacing="0" w:after="0" w:afterAutospacing="0"/>
              <w:textAlignment w:val="baseline"/>
              <w:rPr>
                <w:lang w:val="ro-RO"/>
              </w:rPr>
            </w:pPr>
            <w:r w:rsidRPr="00280BA8">
              <w:rPr>
                <w:lang w:val="ro-RO"/>
              </w:rPr>
              <w:t>45450000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Închirierea de echipamente de construcţie cu operator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cod"/>
              <w:spacing w:before="0" w:beforeAutospacing="0" w:after="0" w:afterAutospacing="0"/>
              <w:ind w:right="129"/>
              <w:jc w:val="center"/>
              <w:textAlignment w:val="baseline"/>
              <w:rPr>
                <w:lang w:val="ro-RO"/>
              </w:rPr>
            </w:pPr>
            <w:r w:rsidRPr="00280BA8">
              <w:rPr>
                <w:lang w:val="ro-RO"/>
              </w:rPr>
              <w:t>45500000</w:t>
            </w:r>
          </w:p>
        </w:tc>
      </w:tr>
      <w:tr w:rsidR="00BE0CE0" w:rsidRPr="00DD689E" w:rsidTr="00BE0C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BE0CE0" w:rsidP="00CD460C">
            <w:pPr>
              <w:pStyle w:val="normal0"/>
              <w:spacing w:before="0" w:beforeAutospacing="0" w:after="0" w:afterAutospacing="0"/>
              <w:jc w:val="both"/>
              <w:textAlignment w:val="baseline"/>
              <w:rPr>
                <w:sz w:val="27"/>
                <w:szCs w:val="27"/>
                <w:lang w:val="ro-RO"/>
              </w:rPr>
            </w:pPr>
            <w:r w:rsidRPr="00DD689E">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45.50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Închirierea de echipamente de construcţie cu operator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tbl-txt"/>
              <w:spacing w:before="0" w:beforeAutospacing="0" w:after="0" w:afterAutospacing="0"/>
              <w:textAlignment w:val="baseline"/>
              <w:rPr>
                <w:lang w:val="ro-RO"/>
              </w:rPr>
            </w:pPr>
            <w:r w:rsidRPr="00280BA8">
              <w:rPr>
                <w:lang w:val="ro-RO"/>
              </w:rPr>
              <w:t>Această clasă nu cuprinde:</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tblPr>
            <w:tblGrid>
              <w:gridCol w:w="310"/>
              <w:gridCol w:w="3346"/>
            </w:tblGrid>
            <w:tr w:rsidR="00BE0CE0" w:rsidRPr="00DD689E">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w:t>
                  </w:r>
                </w:p>
              </w:tc>
              <w:tc>
                <w:tcPr>
                  <w:tcW w:w="0" w:type="auto"/>
                  <w:tcBorders>
                    <w:top w:val="single" w:sz="4" w:space="0" w:color="FFFFFF"/>
                    <w:left w:val="single" w:sz="4" w:space="0" w:color="FFFFFF"/>
                    <w:bottom w:val="single" w:sz="4" w:space="0" w:color="FFFFFF"/>
                    <w:right w:val="single" w:sz="4" w:space="0" w:color="FFFFFF"/>
                  </w:tcBorders>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lang w:val="ro-RO"/>
                    </w:rPr>
                  </w:pPr>
                  <w:r w:rsidRPr="00280BA8">
                    <w:rPr>
                      <w:lang w:val="ro-RO"/>
                    </w:rPr>
                    <w:t>închirierea de maşini şi materiale de construcţie sau demolare fără operator, a se vedea 71.32</w:t>
                  </w:r>
                </w:p>
              </w:tc>
            </w:tr>
          </w:tbl>
          <w:p w:rsidR="00BE0CE0" w:rsidRPr="00DD689E" w:rsidRDefault="00BE0CE0" w:rsidP="00CD460C">
            <w:pPr>
              <w:rPr>
                <w:rFonts w:ascii="Times New Roman" w:hAnsi="Times New Roman"/>
                <w:sz w:val="27"/>
                <w:szCs w:val="27"/>
                <w:lang w:val="ro-R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50" w:type="dxa"/>
              <w:bottom w:w="20" w:type="dxa"/>
              <w:right w:w="20" w:type="dxa"/>
            </w:tcMar>
            <w:hideMark/>
          </w:tcPr>
          <w:p w:rsidR="00BE0CE0" w:rsidRPr="00DD689E" w:rsidRDefault="00280BA8" w:rsidP="00CD460C">
            <w:pPr>
              <w:pStyle w:val="normal0"/>
              <w:spacing w:before="0" w:beforeAutospacing="0" w:after="0" w:afterAutospacing="0"/>
              <w:jc w:val="both"/>
              <w:textAlignment w:val="baseline"/>
              <w:rPr>
                <w:sz w:val="27"/>
                <w:szCs w:val="27"/>
                <w:lang w:val="ro-RO"/>
              </w:rPr>
            </w:pPr>
            <w:r w:rsidRPr="00280BA8">
              <w:rPr>
                <w:sz w:val="27"/>
                <w:szCs w:val="27"/>
                <w:lang w:val="ro-RO"/>
              </w:rPr>
              <w:t> </w:t>
            </w:r>
          </w:p>
        </w:tc>
      </w:tr>
    </w:tbl>
    <w:p w:rsidR="00293892" w:rsidRPr="00DD689E" w:rsidRDefault="00293892" w:rsidP="00CD460C">
      <w:pPr>
        <w:rPr>
          <w:lang w:val="ro-RO"/>
        </w:rPr>
      </w:pPr>
    </w:p>
    <w:p w:rsidR="00BE0CE0" w:rsidRPr="00DD689E" w:rsidRDefault="00E43BA2" w:rsidP="00CD460C">
      <w:pPr>
        <w:rPr>
          <w:rFonts w:ascii="Times New Roman" w:hAnsi="Times New Roman"/>
          <w:sz w:val="24"/>
          <w:szCs w:val="24"/>
          <w:lang w:val="ro-RO"/>
        </w:rPr>
      </w:pPr>
      <w:hyperlink r:id="rId9" w:anchor="ntc2-L_2008074RO.01036701-E0002" w:history="1">
        <w:r w:rsidR="00BE0CE0" w:rsidRPr="00DD689E">
          <w:rPr>
            <w:rStyle w:val="Hyperlink"/>
            <w:rFonts w:ascii="Times New Roman" w:hAnsi="Times New Roman"/>
            <w:color w:val="auto"/>
            <w:sz w:val="19"/>
            <w:szCs w:val="19"/>
            <w:u w:val="none"/>
            <w:bdr w:val="none" w:sz="0" w:space="0" w:color="auto" w:frame="1"/>
            <w:lang w:val="ro-RO"/>
          </w:rPr>
          <w:t>(</w:t>
        </w:r>
        <w:r w:rsidR="00BE0CE0" w:rsidRPr="00DD689E">
          <w:rPr>
            <w:rStyle w:val="super"/>
            <w:rFonts w:ascii="Times New Roman" w:hAnsi="Times New Roman"/>
            <w:sz w:val="13"/>
            <w:szCs w:val="13"/>
            <w:bdr w:val="none" w:sz="0" w:space="0" w:color="auto" w:frame="1"/>
            <w:vertAlign w:val="superscript"/>
            <w:lang w:val="ro-RO"/>
          </w:rPr>
          <w:t>2</w:t>
        </w:r>
        <w:r w:rsidR="00BE0CE0" w:rsidRPr="00DD689E">
          <w:rPr>
            <w:rStyle w:val="Hyperlink"/>
            <w:rFonts w:ascii="Times New Roman" w:hAnsi="Times New Roman"/>
            <w:color w:val="auto"/>
            <w:sz w:val="19"/>
            <w:szCs w:val="19"/>
            <w:u w:val="none"/>
            <w:bdr w:val="none" w:sz="0" w:space="0" w:color="auto" w:frame="1"/>
            <w:lang w:val="ro-RO"/>
          </w:rPr>
          <w:t>)</w:t>
        </w:r>
      </w:hyperlink>
      <w:r w:rsidR="00BE0CE0" w:rsidRPr="00DD689E">
        <w:rPr>
          <w:rFonts w:ascii="Times New Roman" w:hAnsi="Times New Roman"/>
          <w:sz w:val="19"/>
          <w:szCs w:val="19"/>
          <w:lang w:val="ro-RO"/>
        </w:rPr>
        <w:t>  Regulamentul (CEE) nr. 3037/90 al Consiliului din 9 octombrie 1990 privind clasificarea statistică a activităţilor economice în Comunitatea Europeană (</w:t>
      </w:r>
      <w:hyperlink r:id="rId10" w:history="1">
        <w:r w:rsidR="00BE0CE0" w:rsidRPr="00DD689E">
          <w:rPr>
            <w:rStyle w:val="Hyperlink"/>
            <w:rFonts w:ascii="Times New Roman" w:hAnsi="Times New Roman"/>
            <w:color w:val="auto"/>
            <w:sz w:val="19"/>
            <w:szCs w:val="19"/>
            <w:bdr w:val="none" w:sz="0" w:space="0" w:color="auto" w:frame="1"/>
            <w:lang w:val="ro-RO"/>
          </w:rPr>
          <w:t>JO L 293, 24.10.1990, p. 1</w:t>
        </w:r>
      </w:hyperlink>
      <w:r w:rsidR="00BE0CE0" w:rsidRPr="00DD689E">
        <w:rPr>
          <w:rFonts w:ascii="Times New Roman" w:hAnsi="Times New Roman"/>
          <w:sz w:val="19"/>
          <w:szCs w:val="19"/>
          <w:lang w:val="ro-RO"/>
        </w:rPr>
        <w:t>). Regulament modificat ultima dată prin Regulamentul (CEE) nr. 761/93 al Comisiei (</w:t>
      </w:r>
      <w:hyperlink r:id="rId11" w:history="1">
        <w:r w:rsidR="00BE0CE0" w:rsidRPr="00DD689E">
          <w:rPr>
            <w:rStyle w:val="Hyperlink"/>
            <w:rFonts w:ascii="Times New Roman" w:hAnsi="Times New Roman"/>
            <w:color w:val="auto"/>
            <w:sz w:val="19"/>
            <w:szCs w:val="19"/>
            <w:bdr w:val="none" w:sz="0" w:space="0" w:color="auto" w:frame="1"/>
            <w:lang w:val="ro-RO"/>
          </w:rPr>
          <w:t>JO L 83, 3.4.1993, p. 1</w:t>
        </w:r>
      </w:hyperlink>
      <w:r w:rsidR="00BE0CE0" w:rsidRPr="00DD689E">
        <w:rPr>
          <w:rFonts w:ascii="Times New Roman" w:hAnsi="Times New Roman"/>
          <w:sz w:val="19"/>
          <w:szCs w:val="19"/>
          <w:lang w:val="ro-RO"/>
        </w:rPr>
        <w:t>).</w:t>
      </w:r>
      <w:r w:rsidR="000D2D1A" w:rsidRPr="00DD689E">
        <w:rPr>
          <w:rFonts w:ascii="Times New Roman" w:hAnsi="Times New Roman"/>
          <w:sz w:val="19"/>
          <w:szCs w:val="19"/>
          <w:lang w:val="ro-RO"/>
        </w:rPr>
        <w:t>”</w:t>
      </w:r>
    </w:p>
    <w:p w:rsidR="009249B1" w:rsidRPr="00DD689E" w:rsidRDefault="009249B1" w:rsidP="00CD460C">
      <w:pPr>
        <w:ind w:firstLine="720"/>
        <w:rPr>
          <w:rFonts w:ascii="Times New Roman" w:hAnsi="Times New Roman"/>
          <w:lang w:val="ro-RO"/>
        </w:rPr>
      </w:pPr>
    </w:p>
    <w:p w:rsidR="001A3B04"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 xml:space="preserve">Anexele nr.1-3 vor deveni nr.2-4, iar trimiterile din Lege la anexele respective se vor modifica corespunzător. </w:t>
      </w:r>
    </w:p>
    <w:p w:rsidR="00435D46" w:rsidRPr="00DD689E" w:rsidRDefault="00435D46" w:rsidP="00CD460C">
      <w:pPr>
        <w:pStyle w:val="NormalWeb"/>
        <w:rPr>
          <w:b/>
          <w:sz w:val="28"/>
          <w:szCs w:val="28"/>
          <w:lang w:val="ro-RO"/>
        </w:rPr>
      </w:pPr>
    </w:p>
    <w:p w:rsidR="009432E0" w:rsidRPr="00DD689E" w:rsidRDefault="00280BA8" w:rsidP="00CD460C">
      <w:pPr>
        <w:pStyle w:val="NormalWeb"/>
        <w:rPr>
          <w:sz w:val="28"/>
          <w:szCs w:val="28"/>
          <w:lang w:val="ro-RO"/>
        </w:rPr>
      </w:pPr>
      <w:r w:rsidRPr="00280BA8">
        <w:rPr>
          <w:b/>
          <w:sz w:val="28"/>
          <w:szCs w:val="28"/>
          <w:lang w:val="ro-RO"/>
        </w:rPr>
        <w:t>Art.II.</w:t>
      </w:r>
      <w:r w:rsidRPr="00280BA8">
        <w:rPr>
          <w:sz w:val="28"/>
          <w:szCs w:val="28"/>
          <w:lang w:val="ro-RO"/>
        </w:rPr>
        <w:t xml:space="preserve"> - În anexa la Legea nr.199 din 16 iulie 2010 cu privire la statutul persoanelor cu funcţii de demnitate publică (Monitorul Oficial al Republicii Moldova, 2010, nr.194-196, art.637), cu modificările ulterioare, după poziţia „Director, director adjunct al Agenţiei Naţionale pentru Reglementare în Comunicaţii Electronice şi Tehnologia Informaţiei” se introduce poziţia:</w:t>
      </w:r>
    </w:p>
    <w:p w:rsidR="00293892" w:rsidRPr="00DD689E" w:rsidRDefault="00280BA8" w:rsidP="00CD460C">
      <w:pPr>
        <w:jc w:val="both"/>
        <w:rPr>
          <w:rFonts w:ascii="Times New Roman" w:hAnsi="Times New Roman"/>
          <w:sz w:val="28"/>
          <w:szCs w:val="28"/>
          <w:lang w:val="ro-RO"/>
        </w:rPr>
      </w:pPr>
      <w:r>
        <w:rPr>
          <w:rFonts w:ascii="Times New Roman" w:hAnsi="Times New Roman"/>
          <w:sz w:val="28"/>
          <w:szCs w:val="28"/>
          <w:lang w:val="ro-RO"/>
        </w:rPr>
        <w:t>„Director general, director general adjunct, consilier de soluționare a contestațiilor al Agenției Naţionale pentru Soluționarea Contestațiilor”.</w:t>
      </w:r>
    </w:p>
    <w:p w:rsidR="00CF3CD2" w:rsidRPr="00DD689E" w:rsidRDefault="00CF3CD2" w:rsidP="00CD460C">
      <w:pPr>
        <w:jc w:val="both"/>
        <w:rPr>
          <w:rFonts w:ascii="Times New Roman" w:hAnsi="Times New Roman"/>
          <w:sz w:val="28"/>
          <w:szCs w:val="28"/>
          <w:lang w:val="ro-RO"/>
        </w:rPr>
      </w:pPr>
    </w:p>
    <w:p w:rsidR="00CF3CD2" w:rsidRPr="00DD689E" w:rsidRDefault="00280BA8" w:rsidP="00CD460C">
      <w:pPr>
        <w:pStyle w:val="NormalWeb"/>
        <w:rPr>
          <w:sz w:val="28"/>
          <w:szCs w:val="28"/>
          <w:lang w:val="ro-RO"/>
        </w:rPr>
      </w:pPr>
      <w:r w:rsidRPr="00280BA8">
        <w:rPr>
          <w:b/>
          <w:sz w:val="28"/>
          <w:szCs w:val="28"/>
          <w:lang w:val="ro-RO"/>
        </w:rPr>
        <w:t>Art.III.</w:t>
      </w:r>
      <w:r w:rsidRPr="00280BA8">
        <w:rPr>
          <w:sz w:val="28"/>
          <w:szCs w:val="28"/>
          <w:lang w:val="ro-RO"/>
        </w:rPr>
        <w:t xml:space="preserve"> – În anexa nr.3 la </w:t>
      </w:r>
      <w:hyperlink r:id="rId12" w:history="1">
        <w:r w:rsidR="00CF3CD2" w:rsidRPr="00DD689E">
          <w:rPr>
            <w:sz w:val="28"/>
            <w:szCs w:val="28"/>
            <w:lang w:val="ro-RO"/>
          </w:rPr>
          <w:t>Legea nr.355-XVI din 23 decembrie 2005</w:t>
        </w:r>
      </w:hyperlink>
      <w:r w:rsidR="00CF3CD2" w:rsidRPr="00DD689E">
        <w:rPr>
          <w:sz w:val="28"/>
          <w:szCs w:val="28"/>
          <w:lang w:val="ro-RO"/>
        </w:rPr>
        <w:t xml:space="preserve"> cu privire la sistemul de salarizare în sectorul bugetar (M</w:t>
      </w:r>
      <w:r w:rsidRPr="00280BA8">
        <w:rPr>
          <w:sz w:val="28"/>
          <w:szCs w:val="28"/>
          <w:lang w:val="ro-RO"/>
        </w:rPr>
        <w:t>onitorul Oficial al Republicii Moldova, 2006, nr.35–38, art.148), cu modificările ulterioare, după compartimentul „Consiliul Concurenţei” se introduce compartimentul “Agenția Naţionale pentru Soluționarea Contestațiilor” cu următorul cuprins:</w:t>
      </w:r>
    </w:p>
    <w:p w:rsidR="00CF3CD2" w:rsidRPr="00DD689E" w:rsidRDefault="00CF3CD2" w:rsidP="00CD460C">
      <w:pPr>
        <w:pStyle w:val="NormalWeb"/>
        <w:rPr>
          <w:sz w:val="28"/>
          <w:szCs w:val="28"/>
          <w:lang w:val="ro-RO"/>
        </w:rPr>
      </w:pPr>
    </w:p>
    <w:tbl>
      <w:tblPr>
        <w:tblW w:w="4000" w:type="pct"/>
        <w:jc w:val="center"/>
        <w:tblCellMar>
          <w:top w:w="15" w:type="dxa"/>
          <w:left w:w="15" w:type="dxa"/>
          <w:bottom w:w="15" w:type="dxa"/>
          <w:right w:w="15" w:type="dxa"/>
        </w:tblCellMar>
        <w:tblLook w:val="04A0"/>
      </w:tblPr>
      <w:tblGrid>
        <w:gridCol w:w="6614"/>
        <w:gridCol w:w="919"/>
      </w:tblGrid>
      <w:tr w:rsidR="00CF3CD2" w:rsidRPr="00DD689E" w:rsidTr="00CF3CD2">
        <w:trPr>
          <w:trHeight w:val="491"/>
          <w:jc w:val="center"/>
        </w:trPr>
        <w:tc>
          <w:tcPr>
            <w:tcW w:w="0" w:type="auto"/>
            <w:gridSpan w:val="2"/>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vAlign w:val="center"/>
            <w:hideMark/>
          </w:tcPr>
          <w:p w:rsidR="00CF3CD2" w:rsidRPr="00DD689E" w:rsidRDefault="00280BA8" w:rsidP="00CD460C">
            <w:pPr>
              <w:jc w:val="center"/>
              <w:rPr>
                <w:rFonts w:ascii="Times New Roman" w:hAnsi="Times New Roman"/>
                <w:bCs/>
                <w:sz w:val="28"/>
                <w:szCs w:val="28"/>
                <w:lang w:val="ro-RO"/>
              </w:rPr>
            </w:pPr>
            <w:r>
              <w:rPr>
                <w:rFonts w:ascii="Times New Roman" w:hAnsi="Times New Roman"/>
                <w:bCs/>
                <w:sz w:val="28"/>
                <w:szCs w:val="28"/>
                <w:lang w:val="ro-RO"/>
              </w:rPr>
              <w:t>Agenția Naţionale pentru Soluționarea Contestațiilor</w:t>
            </w:r>
          </w:p>
        </w:tc>
      </w:tr>
      <w:tr w:rsidR="00CF3CD2" w:rsidRPr="00DD689E" w:rsidTr="00CF3CD2">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CF3CD2" w:rsidP="00CD460C">
            <w:pPr>
              <w:rPr>
                <w:rFonts w:ascii="Times New Roman" w:hAnsi="Times New Roman"/>
                <w:sz w:val="28"/>
                <w:szCs w:val="28"/>
                <w:lang w:val="ro-RO"/>
              </w:rPr>
            </w:pPr>
            <w:r w:rsidRPr="00DD689E">
              <w:rPr>
                <w:rFonts w:ascii="Times New Roman" w:hAnsi="Times New Roman"/>
                <w:sz w:val="28"/>
                <w:szCs w:val="28"/>
                <w:lang w:val="ro-RO"/>
              </w:rPr>
              <w:t>Director general</w:t>
            </w:r>
          </w:p>
        </w:tc>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280BA8" w:rsidP="00CD460C">
            <w:pPr>
              <w:jc w:val="center"/>
              <w:rPr>
                <w:rFonts w:ascii="Times New Roman" w:hAnsi="Times New Roman"/>
                <w:sz w:val="28"/>
                <w:szCs w:val="28"/>
                <w:lang w:val="ro-RO"/>
              </w:rPr>
            </w:pPr>
            <w:r>
              <w:rPr>
                <w:rFonts w:ascii="Times New Roman" w:hAnsi="Times New Roman"/>
                <w:sz w:val="28"/>
                <w:szCs w:val="28"/>
                <w:lang w:val="ro-RO"/>
              </w:rPr>
              <w:t>9585</w:t>
            </w:r>
          </w:p>
        </w:tc>
      </w:tr>
      <w:tr w:rsidR="00CF3CD2" w:rsidRPr="00DD689E" w:rsidTr="00CF3CD2">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CF3CD2" w:rsidP="00CD460C">
            <w:pPr>
              <w:rPr>
                <w:rFonts w:ascii="Times New Roman" w:hAnsi="Times New Roman"/>
                <w:sz w:val="28"/>
                <w:szCs w:val="28"/>
                <w:lang w:val="ro-RO"/>
              </w:rPr>
            </w:pPr>
            <w:r w:rsidRPr="00DD689E">
              <w:rPr>
                <w:rFonts w:ascii="Times New Roman" w:hAnsi="Times New Roman"/>
                <w:sz w:val="28"/>
                <w:szCs w:val="28"/>
                <w:lang w:val="ro-RO"/>
              </w:rPr>
              <w:t>Director general adjunct</w:t>
            </w:r>
          </w:p>
        </w:tc>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280BA8" w:rsidP="00CD460C">
            <w:pPr>
              <w:jc w:val="center"/>
              <w:rPr>
                <w:rFonts w:ascii="Times New Roman" w:hAnsi="Times New Roman"/>
                <w:sz w:val="28"/>
                <w:szCs w:val="28"/>
                <w:lang w:val="ro-RO"/>
              </w:rPr>
            </w:pPr>
            <w:r>
              <w:rPr>
                <w:rFonts w:ascii="Times New Roman" w:hAnsi="Times New Roman"/>
                <w:sz w:val="28"/>
                <w:szCs w:val="28"/>
                <w:lang w:val="ro-RO"/>
              </w:rPr>
              <w:t>8775</w:t>
            </w:r>
          </w:p>
        </w:tc>
      </w:tr>
      <w:tr w:rsidR="00CF3CD2" w:rsidRPr="00DD689E" w:rsidTr="00CF3CD2">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CF3CD2" w:rsidP="00CD460C">
            <w:pPr>
              <w:rPr>
                <w:rFonts w:ascii="Times New Roman" w:hAnsi="Times New Roman"/>
                <w:sz w:val="28"/>
                <w:szCs w:val="28"/>
                <w:lang w:val="ro-RO"/>
              </w:rPr>
            </w:pPr>
            <w:r w:rsidRPr="00DD689E">
              <w:rPr>
                <w:rFonts w:ascii="Times New Roman" w:hAnsi="Times New Roman"/>
                <w:sz w:val="28"/>
                <w:szCs w:val="28"/>
                <w:lang w:val="ro-RO"/>
              </w:rPr>
              <w:t>Consilier de soluționare a contestațiilor</w:t>
            </w:r>
          </w:p>
        </w:tc>
        <w:tc>
          <w:tcPr>
            <w:tcW w:w="0" w:type="auto"/>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hideMark/>
          </w:tcPr>
          <w:p w:rsidR="00CF3CD2" w:rsidRPr="00DD689E" w:rsidRDefault="00280BA8" w:rsidP="00CD460C">
            <w:pPr>
              <w:jc w:val="center"/>
              <w:rPr>
                <w:rFonts w:ascii="Times New Roman" w:hAnsi="Times New Roman"/>
                <w:sz w:val="28"/>
                <w:szCs w:val="28"/>
                <w:lang w:val="ro-RO"/>
              </w:rPr>
            </w:pPr>
            <w:r>
              <w:rPr>
                <w:rFonts w:ascii="Times New Roman" w:hAnsi="Times New Roman"/>
                <w:sz w:val="28"/>
                <w:szCs w:val="28"/>
                <w:lang w:val="ro-RO"/>
              </w:rPr>
              <w:t>8100</w:t>
            </w:r>
          </w:p>
        </w:tc>
      </w:tr>
    </w:tbl>
    <w:p w:rsidR="00CF3CD2" w:rsidRPr="00DD689E" w:rsidRDefault="00CF3CD2" w:rsidP="00CD460C">
      <w:pPr>
        <w:pStyle w:val="NormalWeb"/>
        <w:rPr>
          <w:sz w:val="28"/>
          <w:szCs w:val="28"/>
          <w:lang w:val="ro-RO"/>
        </w:rPr>
      </w:pPr>
    </w:p>
    <w:p w:rsidR="000D2D1A" w:rsidRPr="00DD689E" w:rsidRDefault="000D2D1A" w:rsidP="00CD460C">
      <w:pPr>
        <w:pStyle w:val="NormalWeb"/>
        <w:rPr>
          <w:sz w:val="28"/>
          <w:szCs w:val="28"/>
          <w:lang w:val="ro-RO"/>
        </w:rPr>
      </w:pPr>
    </w:p>
    <w:p w:rsidR="000D2D1A" w:rsidRPr="00DD689E" w:rsidRDefault="000D2D1A" w:rsidP="00CD460C">
      <w:pPr>
        <w:jc w:val="both"/>
        <w:rPr>
          <w:rFonts w:ascii="Times New Roman" w:hAnsi="Times New Roman"/>
          <w:sz w:val="28"/>
          <w:szCs w:val="28"/>
          <w:lang w:val="ro-RO"/>
        </w:rPr>
      </w:pPr>
    </w:p>
    <w:p w:rsidR="001A3B04" w:rsidRPr="00DD689E" w:rsidRDefault="001A3B04" w:rsidP="00CD460C">
      <w:pPr>
        <w:jc w:val="both"/>
        <w:rPr>
          <w:rFonts w:ascii="Times New Roman" w:hAnsi="Times New Roman"/>
          <w:sz w:val="28"/>
          <w:szCs w:val="28"/>
          <w:lang w:val="ro-RO"/>
        </w:rPr>
      </w:pPr>
    </w:p>
    <w:sectPr w:rsidR="001A3B04" w:rsidRPr="00DD689E" w:rsidSect="0042308C">
      <w:headerReference w:type="default" r:id="rId13"/>
      <w:footerReference w:type="even" r:id="rId14"/>
      <w:footerReference w:type="default" r:id="rId15"/>
      <w:headerReference w:type="first" r:id="rId16"/>
      <w:pgSz w:w="11907" w:h="16840" w:code="9"/>
      <w:pgMar w:top="1135" w:right="850" w:bottom="1134" w:left="1701" w:header="454" w:footer="454"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1FE" w:rsidRDefault="00D411FE" w:rsidP="00F1017F">
      <w:r>
        <w:separator/>
      </w:r>
    </w:p>
  </w:endnote>
  <w:endnote w:type="continuationSeparator" w:id="1">
    <w:p w:rsidR="00D411FE" w:rsidRDefault="00D411FE" w:rsidP="00F10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0C" w:rsidRDefault="00A600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00C" w:rsidRDefault="00A60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0C" w:rsidRDefault="00A600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A3B">
      <w:rPr>
        <w:rStyle w:val="PageNumber"/>
        <w:noProof/>
      </w:rPr>
      <w:t>5</w:t>
    </w:r>
    <w:r>
      <w:rPr>
        <w:rStyle w:val="PageNumber"/>
      </w:rPr>
      <w:fldChar w:fldCharType="end"/>
    </w:r>
  </w:p>
  <w:p w:rsidR="00A6000C" w:rsidRDefault="00A60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1FE" w:rsidRDefault="00D411FE" w:rsidP="00F1017F">
      <w:r>
        <w:separator/>
      </w:r>
    </w:p>
  </w:footnote>
  <w:footnote w:type="continuationSeparator" w:id="1">
    <w:p w:rsidR="00D411FE" w:rsidRDefault="00D411FE" w:rsidP="00F10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0C" w:rsidRDefault="00A6000C">
    <w:pPr>
      <w:pStyle w:val="Header"/>
      <w:tabs>
        <w:tab w:val="clear" w:pos="4320"/>
        <w:tab w:val="clear" w:pos="8640"/>
      </w:tabs>
      <w:jc w:val="right"/>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0C" w:rsidRPr="009718B2" w:rsidRDefault="00A6000C" w:rsidP="00F1017F">
    <w:pPr>
      <w:pStyle w:val="Header"/>
      <w:tabs>
        <w:tab w:val="clear" w:pos="4320"/>
        <w:tab w:val="clear" w:pos="8640"/>
      </w:tabs>
      <w:ind w:left="-1247"/>
      <w:rPr>
        <w:szCs w:val="16"/>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12775"/>
    <w:multiLevelType w:val="singleLevel"/>
    <w:tmpl w:val="DD56DAC0"/>
    <w:lvl w:ilvl="0">
      <w:start w:val="1"/>
      <w:numFmt w:val="lowerLetter"/>
      <w:lvlText w:val="%1)"/>
      <w:legacy w:legacy="1" w:legacySpace="0" w:legacyIndent="240"/>
      <w:lvlJc w:val="left"/>
      <w:rPr>
        <w:rFonts w:ascii="Times New Roman" w:hAnsi="Times New Roman" w:cs="Times New Roman" w:hint="default"/>
      </w:rPr>
    </w:lvl>
  </w:abstractNum>
  <w:abstractNum w:abstractNumId="1">
    <w:nsid w:val="37AE4DE0"/>
    <w:multiLevelType w:val="hybridMultilevel"/>
    <w:tmpl w:val="D058450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9123273"/>
    <w:multiLevelType w:val="singleLevel"/>
    <w:tmpl w:val="4B4400E4"/>
    <w:lvl w:ilvl="0">
      <w:start w:val="1"/>
      <w:numFmt w:val="lowerLetter"/>
      <w:lvlText w:val="%1)"/>
      <w:legacy w:legacy="1" w:legacySpace="0" w:legacyIndent="254"/>
      <w:lvlJc w:val="left"/>
      <w:rPr>
        <w:rFonts w:ascii="Times New Roman" w:hAnsi="Times New Roman" w:cs="Times New Roman" w:hint="default"/>
      </w:rPr>
    </w:lvl>
  </w:abstractNum>
  <w:abstractNum w:abstractNumId="3">
    <w:nsid w:val="50440253"/>
    <w:multiLevelType w:val="singleLevel"/>
    <w:tmpl w:val="A644F26A"/>
    <w:lvl w:ilvl="0">
      <w:start w:val="1"/>
      <w:numFmt w:val="lowerLetter"/>
      <w:lvlText w:val="%1)"/>
      <w:legacy w:legacy="1" w:legacySpace="0" w:legacyIndent="220"/>
      <w:lvlJc w:val="left"/>
      <w:rPr>
        <w:rFonts w:ascii="Times New Roman" w:hAnsi="Times New Roman" w:cs="Times New Roman" w:hint="default"/>
      </w:rPr>
    </w:lvl>
  </w:abstractNum>
  <w:abstractNum w:abstractNumId="4">
    <w:nsid w:val="7A3D4D21"/>
    <w:multiLevelType w:val="hybridMultilevel"/>
    <w:tmpl w:val="3E62867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D626A5F"/>
    <w:multiLevelType w:val="singleLevel"/>
    <w:tmpl w:val="BBD42B24"/>
    <w:lvl w:ilvl="0">
      <w:start w:val="1"/>
      <w:numFmt w:val="lowerLetter"/>
      <w:lvlText w:val="%1)"/>
      <w:legacy w:legacy="1" w:legacySpace="0" w:legacyIndent="230"/>
      <w:lvlJc w:val="left"/>
      <w:rPr>
        <w:rFonts w:ascii="Times New Roman" w:hAnsi="Times New Roman" w:cs="Times New Roman" w:hint="default"/>
        <w:color w:val="auto"/>
      </w:rPr>
    </w:lvl>
  </w:abstractNum>
  <w:num w:numId="1">
    <w:abstractNumId w:val="4"/>
  </w:num>
  <w:num w:numId="2">
    <w:abstractNumId w:val="1"/>
  </w:num>
  <w:num w:numId="3">
    <w:abstractNumId w:val="3"/>
  </w:num>
  <w:num w:numId="4">
    <w:abstractNumId w:val="3"/>
    <w:lvlOverride w:ilvl="0">
      <w:lvl w:ilvl="0">
        <w:start w:val="1"/>
        <w:numFmt w:val="lowerLetter"/>
        <w:lvlText w:val="%1)"/>
        <w:legacy w:legacy="1" w:legacySpace="0" w:legacyIndent="221"/>
        <w:lvlJc w:val="left"/>
        <w:rPr>
          <w:rFonts w:ascii="Times New Roman" w:hAnsi="Times New Roman" w:cs="Times New Roman" w:hint="default"/>
        </w:rPr>
      </w:lvl>
    </w:lvlOverride>
  </w:num>
  <w:num w:numId="5">
    <w:abstractNumId w:val="5"/>
  </w:num>
  <w:num w:numId="6">
    <w:abstractNumId w:val="2"/>
  </w:num>
  <w:num w:numId="7">
    <w:abstractNumId w:val="2"/>
    <w:lvlOverride w:ilvl="0">
      <w:lvl w:ilvl="0">
        <w:start w:val="4"/>
        <w:numFmt w:val="lowerLetter"/>
        <w:lvlText w:val="%1)"/>
        <w:legacy w:legacy="1" w:legacySpace="0" w:legacyIndent="245"/>
        <w:lvlJc w:val="left"/>
        <w:rPr>
          <w:rFonts w:ascii="Times New Roman" w:hAnsi="Times New Roman" w:cs="Times New Roman" w:hint="default"/>
        </w:rPr>
      </w:lvl>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54274"/>
  </w:hdrShapeDefaults>
  <w:footnotePr>
    <w:footnote w:id="0"/>
    <w:footnote w:id="1"/>
  </w:footnotePr>
  <w:endnotePr>
    <w:endnote w:id="0"/>
    <w:endnote w:id="1"/>
  </w:endnotePr>
  <w:compat>
    <w:useFELayout/>
  </w:compat>
  <w:rsids>
    <w:rsidRoot w:val="00F1017F"/>
    <w:rsid w:val="00022699"/>
    <w:rsid w:val="000462BC"/>
    <w:rsid w:val="00063F4B"/>
    <w:rsid w:val="00081A3B"/>
    <w:rsid w:val="00095539"/>
    <w:rsid w:val="000D2D1A"/>
    <w:rsid w:val="000E3EE5"/>
    <w:rsid w:val="00107FDA"/>
    <w:rsid w:val="00132642"/>
    <w:rsid w:val="00132C3C"/>
    <w:rsid w:val="0013506B"/>
    <w:rsid w:val="001A3B04"/>
    <w:rsid w:val="001B358D"/>
    <w:rsid w:val="001C3C06"/>
    <w:rsid w:val="001C503E"/>
    <w:rsid w:val="00213B1A"/>
    <w:rsid w:val="00216F99"/>
    <w:rsid w:val="0023799D"/>
    <w:rsid w:val="00267B89"/>
    <w:rsid w:val="00280BA8"/>
    <w:rsid w:val="00293892"/>
    <w:rsid w:val="002C0548"/>
    <w:rsid w:val="0030446D"/>
    <w:rsid w:val="003216D3"/>
    <w:rsid w:val="00322702"/>
    <w:rsid w:val="00340D87"/>
    <w:rsid w:val="00351B66"/>
    <w:rsid w:val="003841C9"/>
    <w:rsid w:val="003B7D5E"/>
    <w:rsid w:val="003C1E8D"/>
    <w:rsid w:val="003E2866"/>
    <w:rsid w:val="003F4B18"/>
    <w:rsid w:val="00410A86"/>
    <w:rsid w:val="004129F3"/>
    <w:rsid w:val="0042308C"/>
    <w:rsid w:val="004359A2"/>
    <w:rsid w:val="00435D46"/>
    <w:rsid w:val="00451214"/>
    <w:rsid w:val="0049264D"/>
    <w:rsid w:val="004B6FC8"/>
    <w:rsid w:val="004B76FC"/>
    <w:rsid w:val="004C7D80"/>
    <w:rsid w:val="004D40D8"/>
    <w:rsid w:val="004D5991"/>
    <w:rsid w:val="004E1C09"/>
    <w:rsid w:val="004E6100"/>
    <w:rsid w:val="004F2017"/>
    <w:rsid w:val="00530197"/>
    <w:rsid w:val="005362FC"/>
    <w:rsid w:val="00556B8E"/>
    <w:rsid w:val="005617DC"/>
    <w:rsid w:val="00580FC0"/>
    <w:rsid w:val="00591EBA"/>
    <w:rsid w:val="00595AB9"/>
    <w:rsid w:val="005B4F60"/>
    <w:rsid w:val="005B52FC"/>
    <w:rsid w:val="005B78F6"/>
    <w:rsid w:val="005C6802"/>
    <w:rsid w:val="00605909"/>
    <w:rsid w:val="006117EC"/>
    <w:rsid w:val="00615911"/>
    <w:rsid w:val="00630BA8"/>
    <w:rsid w:val="00635FCF"/>
    <w:rsid w:val="00636691"/>
    <w:rsid w:val="00653C50"/>
    <w:rsid w:val="00656A65"/>
    <w:rsid w:val="006628EC"/>
    <w:rsid w:val="00671F8C"/>
    <w:rsid w:val="006C4213"/>
    <w:rsid w:val="006D5C20"/>
    <w:rsid w:val="00776EAB"/>
    <w:rsid w:val="0079725F"/>
    <w:rsid w:val="007A4DCE"/>
    <w:rsid w:val="007D68EF"/>
    <w:rsid w:val="007E29CC"/>
    <w:rsid w:val="007F066B"/>
    <w:rsid w:val="007F617A"/>
    <w:rsid w:val="00815779"/>
    <w:rsid w:val="00815BEB"/>
    <w:rsid w:val="0089747C"/>
    <w:rsid w:val="008D1CB9"/>
    <w:rsid w:val="008F5A7C"/>
    <w:rsid w:val="0090140B"/>
    <w:rsid w:val="009023BA"/>
    <w:rsid w:val="00922180"/>
    <w:rsid w:val="009249B1"/>
    <w:rsid w:val="00941A86"/>
    <w:rsid w:val="009432E0"/>
    <w:rsid w:val="009C6329"/>
    <w:rsid w:val="009D4F7D"/>
    <w:rsid w:val="009D7EB3"/>
    <w:rsid w:val="009E26EA"/>
    <w:rsid w:val="009E5669"/>
    <w:rsid w:val="009F01D1"/>
    <w:rsid w:val="00A16ED7"/>
    <w:rsid w:val="00A170B1"/>
    <w:rsid w:val="00A32A49"/>
    <w:rsid w:val="00A574DC"/>
    <w:rsid w:val="00A6000C"/>
    <w:rsid w:val="00A64011"/>
    <w:rsid w:val="00A83013"/>
    <w:rsid w:val="00A90399"/>
    <w:rsid w:val="00A95B03"/>
    <w:rsid w:val="00AA4D1F"/>
    <w:rsid w:val="00AD063F"/>
    <w:rsid w:val="00AE5007"/>
    <w:rsid w:val="00AE5637"/>
    <w:rsid w:val="00B156B8"/>
    <w:rsid w:val="00B30F88"/>
    <w:rsid w:val="00B332B9"/>
    <w:rsid w:val="00B42CAB"/>
    <w:rsid w:val="00B800A9"/>
    <w:rsid w:val="00BC232E"/>
    <w:rsid w:val="00BD72AE"/>
    <w:rsid w:val="00BE0CE0"/>
    <w:rsid w:val="00BF3807"/>
    <w:rsid w:val="00BF7815"/>
    <w:rsid w:val="00C018F0"/>
    <w:rsid w:val="00C0793D"/>
    <w:rsid w:val="00C52D72"/>
    <w:rsid w:val="00C55FD7"/>
    <w:rsid w:val="00C80130"/>
    <w:rsid w:val="00CC62C2"/>
    <w:rsid w:val="00CD460C"/>
    <w:rsid w:val="00CE6CAA"/>
    <w:rsid w:val="00CF3CD2"/>
    <w:rsid w:val="00CF60FA"/>
    <w:rsid w:val="00D05727"/>
    <w:rsid w:val="00D06CDB"/>
    <w:rsid w:val="00D331B3"/>
    <w:rsid w:val="00D36E67"/>
    <w:rsid w:val="00D411FE"/>
    <w:rsid w:val="00D41491"/>
    <w:rsid w:val="00D503F8"/>
    <w:rsid w:val="00D62D9C"/>
    <w:rsid w:val="00D62EEB"/>
    <w:rsid w:val="00D82384"/>
    <w:rsid w:val="00D83A89"/>
    <w:rsid w:val="00D964DE"/>
    <w:rsid w:val="00DB283E"/>
    <w:rsid w:val="00DD5831"/>
    <w:rsid w:val="00DD689E"/>
    <w:rsid w:val="00DE400D"/>
    <w:rsid w:val="00E3345F"/>
    <w:rsid w:val="00E3397E"/>
    <w:rsid w:val="00E41C9B"/>
    <w:rsid w:val="00E43BA2"/>
    <w:rsid w:val="00E85A37"/>
    <w:rsid w:val="00EA5A94"/>
    <w:rsid w:val="00EB30EC"/>
    <w:rsid w:val="00EC4148"/>
    <w:rsid w:val="00EC4D47"/>
    <w:rsid w:val="00ED6417"/>
    <w:rsid w:val="00EF6967"/>
    <w:rsid w:val="00F1017F"/>
    <w:rsid w:val="00F132E0"/>
    <w:rsid w:val="00F43468"/>
    <w:rsid w:val="00F46FCF"/>
    <w:rsid w:val="00F82FB2"/>
    <w:rsid w:val="00F84ACD"/>
    <w:rsid w:val="00FB020B"/>
    <w:rsid w:val="00FB2702"/>
    <w:rsid w:val="00FB4491"/>
    <w:rsid w:val="00FC7F34"/>
    <w:rsid w:val="00FD1D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017F"/>
    <w:pPr>
      <w:spacing w:after="0" w:line="240" w:lineRule="auto"/>
    </w:pPr>
    <w:rPr>
      <w:rFonts w:ascii="Arial" w:eastAsia="Times New Roman" w:hAnsi="Arial" w:cs="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017F"/>
    <w:pPr>
      <w:tabs>
        <w:tab w:val="center" w:pos="4320"/>
        <w:tab w:val="right" w:pos="8640"/>
      </w:tabs>
    </w:pPr>
  </w:style>
  <w:style w:type="character" w:customStyle="1" w:styleId="HeaderChar">
    <w:name w:val="Header Char"/>
    <w:basedOn w:val="DefaultParagraphFont"/>
    <w:link w:val="Header"/>
    <w:rsid w:val="00F1017F"/>
    <w:rPr>
      <w:rFonts w:ascii="Arial" w:eastAsia="Times New Roman" w:hAnsi="Arial" w:cs="Times New Roman"/>
      <w:szCs w:val="20"/>
      <w:lang w:val="en-GB" w:eastAsia="en-US"/>
    </w:rPr>
  </w:style>
  <w:style w:type="paragraph" w:styleId="Footer">
    <w:name w:val="footer"/>
    <w:basedOn w:val="Normal"/>
    <w:link w:val="FooterChar"/>
    <w:rsid w:val="00F1017F"/>
    <w:pPr>
      <w:tabs>
        <w:tab w:val="center" w:pos="4320"/>
        <w:tab w:val="right" w:pos="8640"/>
      </w:tabs>
    </w:pPr>
    <w:rPr>
      <w:sz w:val="18"/>
    </w:rPr>
  </w:style>
  <w:style w:type="character" w:customStyle="1" w:styleId="FooterChar">
    <w:name w:val="Footer Char"/>
    <w:basedOn w:val="DefaultParagraphFont"/>
    <w:link w:val="Footer"/>
    <w:rsid w:val="00F1017F"/>
    <w:rPr>
      <w:rFonts w:ascii="Arial" w:eastAsia="Times New Roman" w:hAnsi="Arial" w:cs="Times New Roman"/>
      <w:sz w:val="18"/>
      <w:szCs w:val="20"/>
      <w:lang w:val="en-GB" w:eastAsia="en-US"/>
    </w:rPr>
  </w:style>
  <w:style w:type="character" w:styleId="PageNumber">
    <w:name w:val="page number"/>
    <w:basedOn w:val="DefaultParagraphFont"/>
    <w:rsid w:val="00F1017F"/>
  </w:style>
  <w:style w:type="character" w:styleId="Hyperlink">
    <w:name w:val="Hyperlink"/>
    <w:basedOn w:val="DefaultParagraphFont"/>
    <w:rsid w:val="00F1017F"/>
    <w:rPr>
      <w:color w:val="0000FF"/>
      <w:u w:val="single"/>
    </w:rPr>
  </w:style>
  <w:style w:type="table" w:styleId="TableGrid">
    <w:name w:val="Table Grid"/>
    <w:basedOn w:val="TableNormal"/>
    <w:uiPriority w:val="59"/>
    <w:rsid w:val="00F101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F1017F"/>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F1017F"/>
    <w:rPr>
      <w:rFonts w:ascii="Calibri" w:eastAsia="Times New Roman" w:hAnsi="Calibri" w:cs="Times New Roman"/>
      <w:szCs w:val="20"/>
      <w:lang w:val="en-GB" w:eastAsia="en-US"/>
    </w:rPr>
  </w:style>
  <w:style w:type="paragraph" w:styleId="ListParagraph">
    <w:name w:val="List Paragraph"/>
    <w:basedOn w:val="Normal"/>
    <w:link w:val="ListParagraphChar"/>
    <w:uiPriority w:val="34"/>
    <w:qFormat/>
    <w:rsid w:val="00F1017F"/>
    <w:pPr>
      <w:tabs>
        <w:tab w:val="left" w:pos="567"/>
      </w:tabs>
      <w:spacing w:after="120"/>
      <w:ind w:left="567" w:hanging="567"/>
    </w:pPr>
    <w:rPr>
      <w:rFonts w:ascii="Calibri" w:hAnsi="Calibri"/>
    </w:rPr>
  </w:style>
  <w:style w:type="paragraph" w:styleId="BalloonText">
    <w:name w:val="Balloon Text"/>
    <w:basedOn w:val="Normal"/>
    <w:link w:val="BalloonTextChar"/>
    <w:uiPriority w:val="99"/>
    <w:semiHidden/>
    <w:unhideWhenUsed/>
    <w:rsid w:val="00F1017F"/>
    <w:rPr>
      <w:rFonts w:ascii="Tahoma" w:hAnsi="Tahoma" w:cs="Tahoma"/>
      <w:sz w:val="16"/>
      <w:szCs w:val="16"/>
    </w:rPr>
  </w:style>
  <w:style w:type="character" w:customStyle="1" w:styleId="BalloonTextChar">
    <w:name w:val="Balloon Text Char"/>
    <w:basedOn w:val="DefaultParagraphFont"/>
    <w:link w:val="BalloonText"/>
    <w:uiPriority w:val="99"/>
    <w:semiHidden/>
    <w:rsid w:val="00F1017F"/>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A95B03"/>
    <w:rPr>
      <w:sz w:val="16"/>
      <w:szCs w:val="16"/>
    </w:rPr>
  </w:style>
  <w:style w:type="paragraph" w:styleId="CommentText">
    <w:name w:val="annotation text"/>
    <w:basedOn w:val="Normal"/>
    <w:link w:val="CommentTextChar"/>
    <w:uiPriority w:val="99"/>
    <w:semiHidden/>
    <w:unhideWhenUsed/>
    <w:rsid w:val="00A95B03"/>
    <w:rPr>
      <w:sz w:val="20"/>
    </w:rPr>
  </w:style>
  <w:style w:type="character" w:customStyle="1" w:styleId="CommentTextChar">
    <w:name w:val="Comment Text Char"/>
    <w:basedOn w:val="DefaultParagraphFont"/>
    <w:link w:val="CommentText"/>
    <w:uiPriority w:val="99"/>
    <w:semiHidden/>
    <w:rsid w:val="00A95B03"/>
    <w:rPr>
      <w:rFonts w:ascii="Arial" w:eastAsia="Times New Roman" w:hAnsi="Arial"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95B03"/>
    <w:rPr>
      <w:b/>
      <w:bCs/>
    </w:rPr>
  </w:style>
  <w:style w:type="character" w:customStyle="1" w:styleId="CommentSubjectChar">
    <w:name w:val="Comment Subject Char"/>
    <w:basedOn w:val="CommentTextChar"/>
    <w:link w:val="CommentSubject"/>
    <w:uiPriority w:val="99"/>
    <w:semiHidden/>
    <w:rsid w:val="00A95B03"/>
    <w:rPr>
      <w:b/>
      <w:bCs/>
    </w:rPr>
  </w:style>
  <w:style w:type="paragraph" w:styleId="NormalWeb">
    <w:name w:val="Normal (Web)"/>
    <w:basedOn w:val="Normal"/>
    <w:uiPriority w:val="99"/>
    <w:unhideWhenUsed/>
    <w:rsid w:val="00A95B03"/>
    <w:pPr>
      <w:ind w:firstLine="567"/>
      <w:jc w:val="both"/>
    </w:pPr>
    <w:rPr>
      <w:rFonts w:ascii="Times New Roman" w:hAnsi="Times New Roman"/>
      <w:sz w:val="24"/>
      <w:szCs w:val="24"/>
      <w:lang w:val="en-US"/>
    </w:rPr>
  </w:style>
  <w:style w:type="character" w:customStyle="1" w:styleId="hps">
    <w:name w:val="hps"/>
    <w:basedOn w:val="DefaultParagraphFont"/>
    <w:rsid w:val="00451214"/>
  </w:style>
  <w:style w:type="character" w:customStyle="1" w:styleId="ListParagraphChar">
    <w:name w:val="List Paragraph Char"/>
    <w:link w:val="ListParagraph"/>
    <w:uiPriority w:val="34"/>
    <w:rsid w:val="00451214"/>
    <w:rPr>
      <w:rFonts w:ascii="Calibri" w:eastAsia="Times New Roman" w:hAnsi="Calibri" w:cs="Times New Roman"/>
      <w:szCs w:val="20"/>
      <w:lang w:val="en-GB" w:eastAsia="en-US"/>
    </w:rPr>
  </w:style>
  <w:style w:type="paragraph" w:customStyle="1" w:styleId="Style77">
    <w:name w:val="Style77"/>
    <w:basedOn w:val="Normal"/>
    <w:rsid w:val="009249B1"/>
    <w:pPr>
      <w:widowControl w:val="0"/>
      <w:autoSpaceDE w:val="0"/>
      <w:autoSpaceDN w:val="0"/>
      <w:adjustRightInd w:val="0"/>
      <w:spacing w:line="168" w:lineRule="exact"/>
      <w:ind w:hanging="283"/>
    </w:pPr>
    <w:rPr>
      <w:rFonts w:ascii="Palatino Linotype" w:eastAsia="Calibri" w:hAnsi="Palatino Linotype"/>
      <w:sz w:val="24"/>
      <w:szCs w:val="24"/>
      <w:lang w:val="ro-RO" w:eastAsia="ro-RO"/>
    </w:rPr>
  </w:style>
  <w:style w:type="paragraph" w:customStyle="1" w:styleId="Style82">
    <w:name w:val="Style82"/>
    <w:basedOn w:val="Normal"/>
    <w:rsid w:val="009249B1"/>
    <w:pPr>
      <w:widowControl w:val="0"/>
      <w:autoSpaceDE w:val="0"/>
      <w:autoSpaceDN w:val="0"/>
      <w:adjustRightInd w:val="0"/>
      <w:spacing w:line="254" w:lineRule="exact"/>
    </w:pPr>
    <w:rPr>
      <w:rFonts w:ascii="Palatino Linotype" w:eastAsia="Calibri" w:hAnsi="Palatino Linotype"/>
      <w:sz w:val="24"/>
      <w:szCs w:val="24"/>
      <w:lang w:val="ro-RO" w:eastAsia="ro-RO"/>
    </w:rPr>
  </w:style>
  <w:style w:type="paragraph" w:customStyle="1" w:styleId="Style86">
    <w:name w:val="Style86"/>
    <w:basedOn w:val="Normal"/>
    <w:rsid w:val="009249B1"/>
    <w:pPr>
      <w:widowControl w:val="0"/>
      <w:autoSpaceDE w:val="0"/>
      <w:autoSpaceDN w:val="0"/>
      <w:adjustRightInd w:val="0"/>
      <w:spacing w:line="171" w:lineRule="exact"/>
      <w:jc w:val="both"/>
    </w:pPr>
    <w:rPr>
      <w:rFonts w:ascii="Palatino Linotype" w:eastAsia="Calibri" w:hAnsi="Palatino Linotype"/>
      <w:sz w:val="24"/>
      <w:szCs w:val="24"/>
      <w:lang w:val="ro-RO" w:eastAsia="ro-RO"/>
    </w:rPr>
  </w:style>
  <w:style w:type="paragraph" w:customStyle="1" w:styleId="Style90">
    <w:name w:val="Style90"/>
    <w:basedOn w:val="Normal"/>
    <w:rsid w:val="009249B1"/>
    <w:pPr>
      <w:widowControl w:val="0"/>
      <w:autoSpaceDE w:val="0"/>
      <w:autoSpaceDN w:val="0"/>
      <w:adjustRightInd w:val="0"/>
      <w:spacing w:line="170" w:lineRule="exact"/>
    </w:pPr>
    <w:rPr>
      <w:rFonts w:ascii="Palatino Linotype" w:eastAsia="Calibri" w:hAnsi="Palatino Linotype"/>
      <w:sz w:val="24"/>
      <w:szCs w:val="24"/>
      <w:lang w:val="ro-RO" w:eastAsia="ro-RO"/>
    </w:rPr>
  </w:style>
  <w:style w:type="paragraph" w:customStyle="1" w:styleId="Style92">
    <w:name w:val="Style92"/>
    <w:basedOn w:val="Normal"/>
    <w:rsid w:val="009249B1"/>
    <w:pPr>
      <w:widowControl w:val="0"/>
      <w:autoSpaceDE w:val="0"/>
      <w:autoSpaceDN w:val="0"/>
      <w:adjustRightInd w:val="0"/>
    </w:pPr>
    <w:rPr>
      <w:rFonts w:ascii="Palatino Linotype" w:eastAsia="Calibri" w:hAnsi="Palatino Linotype"/>
      <w:sz w:val="24"/>
      <w:szCs w:val="24"/>
      <w:lang w:val="ro-RO" w:eastAsia="ro-RO"/>
    </w:rPr>
  </w:style>
  <w:style w:type="character" w:customStyle="1" w:styleId="FontStyle111">
    <w:name w:val="Font Style111"/>
    <w:rsid w:val="009249B1"/>
    <w:rPr>
      <w:rFonts w:ascii="Palatino Linotype" w:hAnsi="Palatino Linotype" w:cs="Palatino Linotype"/>
      <w:sz w:val="14"/>
      <w:szCs w:val="14"/>
    </w:rPr>
  </w:style>
  <w:style w:type="paragraph" w:customStyle="1" w:styleId="ListParagraph1">
    <w:name w:val="List Paragraph1"/>
    <w:basedOn w:val="Normal"/>
    <w:qFormat/>
    <w:rsid w:val="007D68EF"/>
    <w:pPr>
      <w:spacing w:after="200" w:line="276" w:lineRule="auto"/>
      <w:ind w:left="720"/>
    </w:pPr>
    <w:rPr>
      <w:rFonts w:ascii="Calibri" w:eastAsia="Calibri" w:hAnsi="Calibri" w:cs="Calibri"/>
      <w:szCs w:val="22"/>
      <w:lang w:val="ru-RU"/>
    </w:rPr>
  </w:style>
  <w:style w:type="paragraph" w:customStyle="1" w:styleId="tt">
    <w:name w:val="tt"/>
    <w:basedOn w:val="Normal"/>
    <w:rsid w:val="007D68EF"/>
    <w:pPr>
      <w:jc w:val="center"/>
    </w:pPr>
    <w:rPr>
      <w:rFonts w:ascii="Times New Roman" w:eastAsia="SimSun" w:hAnsi="Times New Roman"/>
      <w:b/>
      <w:bCs/>
      <w:sz w:val="24"/>
      <w:szCs w:val="24"/>
      <w:lang w:val="ru-RU" w:eastAsia="zh-CN"/>
    </w:rPr>
  </w:style>
  <w:style w:type="paragraph" w:customStyle="1" w:styleId="cn">
    <w:name w:val="cn"/>
    <w:basedOn w:val="Normal"/>
    <w:rsid w:val="007D68EF"/>
    <w:pPr>
      <w:jc w:val="center"/>
    </w:pPr>
    <w:rPr>
      <w:rFonts w:ascii="Times New Roman" w:eastAsia="SimSun" w:hAnsi="Times New Roman"/>
      <w:sz w:val="24"/>
      <w:szCs w:val="24"/>
      <w:lang w:val="ru-RU" w:eastAsia="zh-CN"/>
    </w:rPr>
  </w:style>
  <w:style w:type="paragraph" w:customStyle="1" w:styleId="doc-ti">
    <w:name w:val="doc-ti"/>
    <w:basedOn w:val="Normal"/>
    <w:rsid w:val="00BE0CE0"/>
    <w:pPr>
      <w:spacing w:before="100" w:beforeAutospacing="1" w:after="100" w:afterAutospacing="1"/>
    </w:pPr>
    <w:rPr>
      <w:rFonts w:ascii="Times New Roman" w:hAnsi="Times New Roman"/>
      <w:sz w:val="24"/>
      <w:szCs w:val="24"/>
      <w:lang w:val="en-US"/>
    </w:rPr>
  </w:style>
  <w:style w:type="character" w:customStyle="1" w:styleId="sp-normal">
    <w:name w:val="sp-normal"/>
    <w:basedOn w:val="DefaultParagraphFont"/>
    <w:rsid w:val="00BE0CE0"/>
  </w:style>
  <w:style w:type="character" w:customStyle="1" w:styleId="apple-converted-space">
    <w:name w:val="apple-converted-space"/>
    <w:basedOn w:val="DefaultParagraphFont"/>
    <w:rsid w:val="00BE0CE0"/>
  </w:style>
  <w:style w:type="character" w:customStyle="1" w:styleId="super">
    <w:name w:val="super"/>
    <w:basedOn w:val="DefaultParagraphFont"/>
    <w:rsid w:val="00BE0CE0"/>
  </w:style>
  <w:style w:type="paragraph" w:customStyle="1" w:styleId="tbl-hdr">
    <w:name w:val="tbl-hdr"/>
    <w:basedOn w:val="Normal"/>
    <w:rsid w:val="00BE0CE0"/>
    <w:pPr>
      <w:spacing w:before="100" w:beforeAutospacing="1" w:after="100" w:afterAutospacing="1"/>
    </w:pPr>
    <w:rPr>
      <w:rFonts w:ascii="Times New Roman" w:hAnsi="Times New Roman"/>
      <w:sz w:val="24"/>
      <w:szCs w:val="24"/>
      <w:lang w:val="en-US"/>
    </w:rPr>
  </w:style>
  <w:style w:type="paragraph" w:customStyle="1" w:styleId="tbl-txt">
    <w:name w:val="tbl-txt"/>
    <w:basedOn w:val="Normal"/>
    <w:rsid w:val="00BE0CE0"/>
    <w:pPr>
      <w:spacing w:before="100" w:beforeAutospacing="1" w:after="100" w:afterAutospacing="1"/>
    </w:pPr>
    <w:rPr>
      <w:rFonts w:ascii="Times New Roman" w:hAnsi="Times New Roman"/>
      <w:sz w:val="24"/>
      <w:szCs w:val="24"/>
      <w:lang w:val="en-US"/>
    </w:rPr>
  </w:style>
  <w:style w:type="paragraph" w:customStyle="1" w:styleId="normal0">
    <w:name w:val="normal"/>
    <w:basedOn w:val="Normal"/>
    <w:rsid w:val="00BE0CE0"/>
    <w:pPr>
      <w:spacing w:before="100" w:beforeAutospacing="1" w:after="100" w:afterAutospacing="1"/>
    </w:pPr>
    <w:rPr>
      <w:rFonts w:ascii="Times New Roman" w:hAnsi="Times New Roman"/>
      <w:sz w:val="24"/>
      <w:szCs w:val="24"/>
      <w:lang w:val="en-US"/>
    </w:rPr>
  </w:style>
  <w:style w:type="paragraph" w:customStyle="1" w:styleId="tbl-cod">
    <w:name w:val="tbl-cod"/>
    <w:basedOn w:val="Normal"/>
    <w:rsid w:val="00BE0CE0"/>
    <w:pPr>
      <w:spacing w:before="100" w:beforeAutospacing="1" w:after="100" w:afterAutospacing="1"/>
    </w:pPr>
    <w:rPr>
      <w:rFonts w:ascii="Times New Roman" w:hAnsi="Times New Roman"/>
      <w:sz w:val="24"/>
      <w:szCs w:val="24"/>
      <w:lang w:val="en-US"/>
    </w:rPr>
  </w:style>
  <w:style w:type="paragraph" w:customStyle="1" w:styleId="note">
    <w:name w:val="note"/>
    <w:basedOn w:val="Normal"/>
    <w:rsid w:val="00BE0CE0"/>
    <w:pPr>
      <w:spacing w:before="100" w:beforeAutospacing="1" w:after="100" w:afterAutospacing="1"/>
    </w:pPr>
    <w:rPr>
      <w:rFonts w:ascii="Times New Roman" w:hAnsi="Times New Roman"/>
      <w:sz w:val="24"/>
      <w:szCs w:val="24"/>
      <w:lang w:val="en-US"/>
    </w:rPr>
  </w:style>
  <w:style w:type="character" w:customStyle="1" w:styleId="FontStyle15">
    <w:name w:val="Font Style15"/>
    <w:basedOn w:val="DefaultParagraphFont"/>
    <w:uiPriority w:val="99"/>
    <w:rsid w:val="00213B1A"/>
    <w:rPr>
      <w:rFonts w:ascii="Times New Roman" w:hAnsi="Times New Roman" w:cs="Times New Roman"/>
      <w:sz w:val="22"/>
      <w:szCs w:val="22"/>
    </w:rPr>
  </w:style>
  <w:style w:type="paragraph" w:customStyle="1" w:styleId="Style7">
    <w:name w:val="Style7"/>
    <w:basedOn w:val="Normal"/>
    <w:uiPriority w:val="99"/>
    <w:rsid w:val="00213B1A"/>
    <w:pPr>
      <w:widowControl w:val="0"/>
      <w:autoSpaceDE w:val="0"/>
      <w:autoSpaceDN w:val="0"/>
      <w:adjustRightInd w:val="0"/>
      <w:spacing w:line="276" w:lineRule="exact"/>
      <w:ind w:firstLine="590"/>
      <w:jc w:val="both"/>
    </w:pPr>
    <w:rPr>
      <w:rFonts w:ascii="Times New Roman" w:eastAsiaTheme="minorEastAsia" w:hAnsi="Times New Roman"/>
      <w:sz w:val="24"/>
      <w:szCs w:val="24"/>
      <w:lang w:val="ro-RO" w:eastAsia="ro-RO"/>
    </w:rPr>
  </w:style>
  <w:style w:type="character" w:customStyle="1" w:styleId="FontStyle19">
    <w:name w:val="Font Style19"/>
    <w:basedOn w:val="DefaultParagraphFont"/>
    <w:uiPriority w:val="99"/>
    <w:rsid w:val="00A170B1"/>
    <w:rPr>
      <w:rFonts w:ascii="Times New Roman" w:hAnsi="Times New Roman" w:cs="Times New Roman"/>
      <w:sz w:val="22"/>
      <w:szCs w:val="22"/>
    </w:rPr>
  </w:style>
  <w:style w:type="paragraph" w:customStyle="1" w:styleId="cb">
    <w:name w:val="cb"/>
    <w:basedOn w:val="Normal"/>
    <w:rsid w:val="00CF3CD2"/>
    <w:pPr>
      <w:jc w:val="center"/>
    </w:pPr>
    <w:rPr>
      <w:rFonts w:ascii="Times New Roman" w:hAnsi="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017F"/>
    <w:pPr>
      <w:spacing w:after="0" w:line="240" w:lineRule="auto"/>
    </w:pPr>
    <w:rPr>
      <w:rFonts w:ascii="Arial" w:eastAsia="Times New Roman" w:hAnsi="Arial" w:cs="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017F"/>
    <w:pPr>
      <w:tabs>
        <w:tab w:val="center" w:pos="4320"/>
        <w:tab w:val="right" w:pos="8640"/>
      </w:tabs>
    </w:pPr>
  </w:style>
  <w:style w:type="character" w:customStyle="1" w:styleId="HeaderChar">
    <w:name w:val="Header Char"/>
    <w:basedOn w:val="DefaultParagraphFont"/>
    <w:link w:val="Header"/>
    <w:rsid w:val="00F1017F"/>
    <w:rPr>
      <w:rFonts w:ascii="Arial" w:eastAsia="Times New Roman" w:hAnsi="Arial" w:cs="Times New Roman"/>
      <w:szCs w:val="20"/>
      <w:lang w:val="en-GB" w:eastAsia="en-US"/>
    </w:rPr>
  </w:style>
  <w:style w:type="paragraph" w:styleId="Footer">
    <w:name w:val="footer"/>
    <w:basedOn w:val="Normal"/>
    <w:link w:val="FooterChar"/>
    <w:rsid w:val="00F1017F"/>
    <w:pPr>
      <w:tabs>
        <w:tab w:val="center" w:pos="4320"/>
        <w:tab w:val="right" w:pos="8640"/>
      </w:tabs>
    </w:pPr>
    <w:rPr>
      <w:sz w:val="18"/>
    </w:rPr>
  </w:style>
  <w:style w:type="character" w:customStyle="1" w:styleId="FooterChar">
    <w:name w:val="Footer Char"/>
    <w:basedOn w:val="DefaultParagraphFont"/>
    <w:link w:val="Footer"/>
    <w:rsid w:val="00F1017F"/>
    <w:rPr>
      <w:rFonts w:ascii="Arial" w:eastAsia="Times New Roman" w:hAnsi="Arial" w:cs="Times New Roman"/>
      <w:sz w:val="18"/>
      <w:szCs w:val="20"/>
      <w:lang w:val="en-GB" w:eastAsia="en-US"/>
    </w:rPr>
  </w:style>
  <w:style w:type="character" w:styleId="PageNumber">
    <w:name w:val="page number"/>
    <w:basedOn w:val="DefaultParagraphFont"/>
    <w:rsid w:val="00F1017F"/>
  </w:style>
  <w:style w:type="character" w:styleId="Hyperlink">
    <w:name w:val="Hyperlink"/>
    <w:basedOn w:val="DefaultParagraphFont"/>
    <w:rsid w:val="00F1017F"/>
    <w:rPr>
      <w:color w:val="0000FF"/>
      <w:u w:val="single"/>
    </w:rPr>
  </w:style>
  <w:style w:type="table" w:styleId="TableGrid">
    <w:name w:val="Table Grid"/>
    <w:basedOn w:val="TableNormal"/>
    <w:uiPriority w:val="59"/>
    <w:rsid w:val="00F101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F1017F"/>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F1017F"/>
    <w:rPr>
      <w:rFonts w:ascii="Calibri" w:eastAsia="Times New Roman" w:hAnsi="Calibri" w:cs="Times New Roman"/>
      <w:szCs w:val="20"/>
      <w:lang w:val="en-GB" w:eastAsia="en-US"/>
    </w:rPr>
  </w:style>
  <w:style w:type="paragraph" w:styleId="ListParagraph">
    <w:name w:val="List Paragraph"/>
    <w:basedOn w:val="Normal"/>
    <w:uiPriority w:val="34"/>
    <w:qFormat/>
    <w:rsid w:val="00F1017F"/>
    <w:pPr>
      <w:tabs>
        <w:tab w:val="left" w:pos="567"/>
      </w:tabs>
      <w:spacing w:after="120"/>
      <w:ind w:left="567" w:hanging="567"/>
    </w:pPr>
    <w:rPr>
      <w:rFonts w:ascii="Calibri" w:hAnsi="Calibri"/>
    </w:rPr>
  </w:style>
  <w:style w:type="paragraph" w:styleId="BalloonText">
    <w:name w:val="Balloon Text"/>
    <w:basedOn w:val="Normal"/>
    <w:link w:val="BalloonTextChar"/>
    <w:uiPriority w:val="99"/>
    <w:semiHidden/>
    <w:unhideWhenUsed/>
    <w:rsid w:val="00F1017F"/>
    <w:rPr>
      <w:rFonts w:ascii="Tahoma" w:hAnsi="Tahoma" w:cs="Tahoma"/>
      <w:sz w:val="16"/>
      <w:szCs w:val="16"/>
    </w:rPr>
  </w:style>
  <w:style w:type="character" w:customStyle="1" w:styleId="BalloonTextChar">
    <w:name w:val="Balloon Text Char"/>
    <w:basedOn w:val="DefaultParagraphFont"/>
    <w:link w:val="BalloonText"/>
    <w:uiPriority w:val="99"/>
    <w:semiHidden/>
    <w:rsid w:val="00F1017F"/>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221019985">
      <w:bodyDiv w:val="1"/>
      <w:marLeft w:val="0"/>
      <w:marRight w:val="0"/>
      <w:marTop w:val="0"/>
      <w:marBottom w:val="0"/>
      <w:divBdr>
        <w:top w:val="none" w:sz="0" w:space="0" w:color="auto"/>
        <w:left w:val="none" w:sz="0" w:space="0" w:color="auto"/>
        <w:bottom w:val="none" w:sz="0" w:space="0" w:color="auto"/>
        <w:right w:val="none" w:sz="0" w:space="0" w:color="auto"/>
      </w:divBdr>
    </w:div>
    <w:div w:id="848372608">
      <w:bodyDiv w:val="1"/>
      <w:marLeft w:val="0"/>
      <w:marRight w:val="0"/>
      <w:marTop w:val="0"/>
      <w:marBottom w:val="0"/>
      <w:divBdr>
        <w:top w:val="none" w:sz="0" w:space="0" w:color="auto"/>
        <w:left w:val="none" w:sz="0" w:space="0" w:color="auto"/>
        <w:bottom w:val="none" w:sz="0" w:space="0" w:color="auto"/>
        <w:right w:val="none" w:sz="0" w:space="0" w:color="auto"/>
      </w:divBdr>
    </w:div>
    <w:div w:id="946078029">
      <w:bodyDiv w:val="1"/>
      <w:marLeft w:val="0"/>
      <w:marRight w:val="0"/>
      <w:marTop w:val="0"/>
      <w:marBottom w:val="0"/>
      <w:divBdr>
        <w:top w:val="none" w:sz="0" w:space="0" w:color="auto"/>
        <w:left w:val="none" w:sz="0" w:space="0" w:color="auto"/>
        <w:bottom w:val="none" w:sz="0" w:space="0" w:color="auto"/>
        <w:right w:val="none" w:sz="0" w:space="0" w:color="auto"/>
      </w:divBdr>
    </w:div>
    <w:div w:id="1128934215">
      <w:bodyDiv w:val="1"/>
      <w:marLeft w:val="0"/>
      <w:marRight w:val="0"/>
      <w:marTop w:val="0"/>
      <w:marBottom w:val="0"/>
      <w:divBdr>
        <w:top w:val="none" w:sz="0" w:space="0" w:color="auto"/>
        <w:left w:val="none" w:sz="0" w:space="0" w:color="auto"/>
        <w:bottom w:val="none" w:sz="0" w:space="0" w:color="auto"/>
        <w:right w:val="none" w:sz="0" w:space="0" w:color="auto"/>
      </w:divBdr>
    </w:div>
    <w:div w:id="1287201021">
      <w:bodyDiv w:val="1"/>
      <w:marLeft w:val="0"/>
      <w:marRight w:val="0"/>
      <w:marTop w:val="0"/>
      <w:marBottom w:val="0"/>
      <w:divBdr>
        <w:top w:val="none" w:sz="0" w:space="0" w:color="auto"/>
        <w:left w:val="none" w:sz="0" w:space="0" w:color="auto"/>
        <w:bottom w:val="none" w:sz="0" w:space="0" w:color="auto"/>
        <w:right w:val="none" w:sz="0" w:space="0" w:color="auto"/>
      </w:divBdr>
    </w:div>
    <w:div w:id="1522279355">
      <w:bodyDiv w:val="1"/>
      <w:marLeft w:val="0"/>
      <w:marRight w:val="0"/>
      <w:marTop w:val="0"/>
      <w:marBottom w:val="0"/>
      <w:divBdr>
        <w:top w:val="none" w:sz="0" w:space="0" w:color="auto"/>
        <w:left w:val="none" w:sz="0" w:space="0" w:color="auto"/>
        <w:bottom w:val="none" w:sz="0" w:space="0" w:color="auto"/>
        <w:right w:val="none" w:sz="0" w:space="0" w:color="auto"/>
      </w:divBdr>
    </w:div>
    <w:div w:id="1673217626">
      <w:bodyDiv w:val="1"/>
      <w:marLeft w:val="0"/>
      <w:marRight w:val="0"/>
      <w:marTop w:val="0"/>
      <w:marBottom w:val="0"/>
      <w:divBdr>
        <w:top w:val="none" w:sz="0" w:space="0" w:color="auto"/>
        <w:left w:val="none" w:sz="0" w:space="0" w:color="auto"/>
        <w:bottom w:val="none" w:sz="0" w:space="0" w:color="auto"/>
        <w:right w:val="none" w:sz="0" w:space="0" w:color="auto"/>
      </w:divBdr>
    </w:div>
    <w:div w:id="20118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uri=celex%3A32008R021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0512233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AUTO/?uri=OJ:L:1993:083:T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legal-content/RO/AUTO/?uri=OJ:L:1990:293:TOC" TargetMode="External"/><Relationship Id="rId4" Type="http://schemas.openxmlformats.org/officeDocument/2006/relationships/settings" Target="settings.xml"/><Relationship Id="rId9" Type="http://schemas.openxmlformats.org/officeDocument/2006/relationships/hyperlink" Target="http://eur-lex.europa.eu/legal-content/RO/TXT/?uri=celex%3A32008R02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E015-7AF7-4459-B6F7-59E30B69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ochincadum</cp:lastModifiedBy>
  <cp:revision>14</cp:revision>
  <cp:lastPrinted>2016-03-09T16:48:00Z</cp:lastPrinted>
  <dcterms:created xsi:type="dcterms:W3CDTF">2016-03-17T11:37:00Z</dcterms:created>
  <dcterms:modified xsi:type="dcterms:W3CDTF">2016-03-18T15:02:00Z</dcterms:modified>
</cp:coreProperties>
</file>