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176" w:tblpY="1"/>
        <w:tblOverlap w:val="never"/>
        <w:tblW w:w="15451" w:type="dxa"/>
        <w:tblLayout w:type="fixed"/>
        <w:tblLook w:val="04A0" w:firstRow="1" w:lastRow="0" w:firstColumn="1" w:lastColumn="0" w:noHBand="0" w:noVBand="1"/>
      </w:tblPr>
      <w:tblGrid>
        <w:gridCol w:w="4962"/>
        <w:gridCol w:w="4389"/>
        <w:gridCol w:w="1559"/>
        <w:gridCol w:w="1706"/>
        <w:gridCol w:w="1417"/>
        <w:gridCol w:w="1418"/>
      </w:tblGrid>
      <w:tr w:rsidR="00B01478" w:rsidRPr="007A15D0" w:rsidTr="00D960D1">
        <w:tc>
          <w:tcPr>
            <w:tcW w:w="15451" w:type="dxa"/>
            <w:gridSpan w:val="6"/>
          </w:tcPr>
          <w:p w:rsidR="0028065F" w:rsidRPr="00C02551" w:rsidRDefault="00B01478" w:rsidP="0028065F">
            <w:pPr>
              <w:pStyle w:val="CM4"/>
              <w:spacing w:before="60" w:after="60"/>
              <w:jc w:val="both"/>
              <w:rPr>
                <w:rFonts w:ascii="Times New Roman" w:hAnsi="Times New Roman" w:cs="Times New Roman"/>
                <w:color w:val="000000"/>
                <w:sz w:val="26"/>
                <w:szCs w:val="26"/>
              </w:rPr>
            </w:pPr>
            <w:r w:rsidRPr="00C02551">
              <w:rPr>
                <w:rFonts w:ascii="Times New Roman" w:hAnsi="Times New Roman"/>
                <w:b/>
                <w:sz w:val="26"/>
                <w:szCs w:val="26"/>
                <w:lang w:val="fr-FR"/>
              </w:rPr>
              <w:t>1.1.</w:t>
            </w:r>
            <w:r w:rsidRPr="00C02551">
              <w:rPr>
                <w:rFonts w:ascii="Times New Roman" w:hAnsi="Times New Roman"/>
                <w:sz w:val="26"/>
                <w:szCs w:val="26"/>
                <w:lang w:val="fr-FR"/>
              </w:rPr>
              <w:t xml:space="preserve"> </w:t>
            </w:r>
            <w:r w:rsidRPr="00C02551">
              <w:rPr>
                <w:rFonts w:ascii="Times New Roman" w:hAnsi="Times New Roman"/>
                <w:b/>
                <w:sz w:val="26"/>
                <w:szCs w:val="26"/>
                <w:lang w:val="fr-FR"/>
              </w:rPr>
              <w:t>Titlul actului comunitar:</w:t>
            </w:r>
            <w:r w:rsidR="0028065F" w:rsidRPr="00C02551">
              <w:rPr>
                <w:rFonts w:ascii="Times New Roman" w:hAnsi="Times New Roman" w:cs="Times New Roman"/>
                <w:b/>
                <w:bCs/>
                <w:color w:val="000000"/>
                <w:sz w:val="26"/>
                <w:szCs w:val="26"/>
              </w:rPr>
              <w:t xml:space="preserve"> </w:t>
            </w:r>
            <w:r w:rsidR="0028065F" w:rsidRPr="00C02551">
              <w:rPr>
                <w:rFonts w:ascii="Times New Roman" w:hAnsi="Times New Roman" w:cs="Times New Roman"/>
                <w:b/>
                <w:bCs/>
                <w:color w:val="000000"/>
                <w:sz w:val="26"/>
                <w:szCs w:val="26"/>
              </w:rPr>
              <w:t xml:space="preserve">DECIZIA DE PUNERE ÎN APLICARE A COMISIEI din 19 decembrie 2011 de stabilire a valorilor de referință armonizate ale randamentului pentru producția separată de energie electrică și căldură, în aplicarea Directivei 2004/8/CE a Parlamentului European și a Consiliului, și de abrogare a Deciziei 2007/74/CE a Comisiei </w:t>
            </w:r>
          </w:p>
          <w:p w:rsidR="0028065F" w:rsidRPr="00C02551" w:rsidRDefault="0028065F" w:rsidP="0028065F">
            <w:pPr>
              <w:pStyle w:val="CM4"/>
              <w:spacing w:before="60" w:after="60"/>
              <w:jc w:val="both"/>
              <w:rPr>
                <w:rFonts w:ascii="Times New Roman" w:hAnsi="Times New Roman" w:cs="Times New Roman"/>
                <w:color w:val="000000"/>
                <w:sz w:val="26"/>
                <w:szCs w:val="26"/>
              </w:rPr>
            </w:pPr>
            <w:r w:rsidRPr="00C02551">
              <w:rPr>
                <w:rFonts w:ascii="Times New Roman" w:hAnsi="Times New Roman" w:cs="Times New Roman"/>
                <w:i/>
                <w:iCs/>
                <w:color w:val="000000"/>
                <w:sz w:val="26"/>
                <w:szCs w:val="26"/>
              </w:rPr>
              <w:t xml:space="preserve">[notificată cu numărul C(2011) 9523] </w:t>
            </w:r>
            <w:r w:rsidRPr="00C02551">
              <w:rPr>
                <w:rFonts w:ascii="Times New Roman" w:hAnsi="Times New Roman" w:cs="Times New Roman"/>
                <w:color w:val="000000"/>
                <w:sz w:val="26"/>
                <w:szCs w:val="26"/>
              </w:rPr>
              <w:t xml:space="preserve">(2011/877/UE) </w:t>
            </w:r>
          </w:p>
          <w:p w:rsidR="0028065F" w:rsidRPr="00C02551" w:rsidRDefault="0028065F" w:rsidP="0028065F">
            <w:pPr>
              <w:pStyle w:val="Default"/>
              <w:jc w:val="both"/>
              <w:rPr>
                <w:rFonts w:ascii="Times New Roman" w:hAnsi="Times New Roman" w:cs="Times New Roman"/>
                <w:sz w:val="26"/>
                <w:szCs w:val="26"/>
              </w:rPr>
            </w:pPr>
          </w:p>
          <w:p w:rsidR="002F6BAA" w:rsidRPr="00C02551" w:rsidRDefault="00B01478" w:rsidP="0028065F">
            <w:pPr>
              <w:jc w:val="both"/>
              <w:rPr>
                <w:rFonts w:ascii="Times New Roman" w:hAnsi="Times New Roman"/>
                <w:sz w:val="26"/>
                <w:szCs w:val="26"/>
                <w:lang w:val="fr-FR"/>
              </w:rPr>
            </w:pPr>
            <w:r w:rsidRPr="00C02551">
              <w:rPr>
                <w:rFonts w:ascii="Times New Roman" w:hAnsi="Times New Roman"/>
                <w:b/>
                <w:sz w:val="26"/>
                <w:szCs w:val="26"/>
                <w:lang w:val="fr-FR"/>
              </w:rPr>
              <w:t>1.2.</w:t>
            </w:r>
            <w:r w:rsidRPr="00C02551">
              <w:rPr>
                <w:rFonts w:ascii="Times New Roman" w:hAnsi="Times New Roman"/>
                <w:sz w:val="26"/>
                <w:szCs w:val="26"/>
                <w:lang w:val="fr-FR"/>
              </w:rPr>
              <w:t xml:space="preserve"> </w:t>
            </w:r>
            <w:r w:rsidRPr="00C02551">
              <w:rPr>
                <w:rFonts w:ascii="Times New Roman" w:hAnsi="Times New Roman"/>
                <w:b/>
                <w:sz w:val="26"/>
                <w:szCs w:val="26"/>
                <w:lang w:val="fr-FR"/>
              </w:rPr>
              <w:t>Subiectul reglementat:</w:t>
            </w:r>
            <w:r w:rsidRPr="00C02551">
              <w:rPr>
                <w:rFonts w:ascii="Times New Roman" w:hAnsi="Times New Roman"/>
                <w:sz w:val="26"/>
                <w:szCs w:val="26"/>
                <w:lang w:val="fr-FR"/>
              </w:rPr>
              <w:t xml:space="preserve"> </w:t>
            </w:r>
            <w:r w:rsidR="00BE71BD" w:rsidRPr="00C02551">
              <w:rPr>
                <w:rFonts w:ascii="Times New Roman" w:hAnsi="Times New Roman"/>
                <w:sz w:val="26"/>
                <w:szCs w:val="26"/>
                <w:lang w:val="fr-FR"/>
              </w:rPr>
              <w:t>Obiectul</w:t>
            </w:r>
            <w:r w:rsidR="007D7205" w:rsidRPr="00C02551">
              <w:rPr>
                <w:rFonts w:ascii="Times New Roman" w:hAnsi="Times New Roman"/>
                <w:sz w:val="26"/>
                <w:szCs w:val="26"/>
                <w:lang w:val="fr-FR"/>
              </w:rPr>
              <w:t xml:space="preserve"> acestei D</w:t>
            </w:r>
            <w:r w:rsidR="0028065F" w:rsidRPr="00C02551">
              <w:rPr>
                <w:rFonts w:ascii="Times New Roman" w:hAnsi="Times New Roman"/>
                <w:sz w:val="26"/>
                <w:szCs w:val="26"/>
                <w:lang w:val="fr-FR"/>
              </w:rPr>
              <w:t>eciziei</w:t>
            </w:r>
            <w:r w:rsidR="007D7205" w:rsidRPr="00C02551">
              <w:rPr>
                <w:rFonts w:ascii="Times New Roman" w:hAnsi="Times New Roman"/>
                <w:sz w:val="26"/>
                <w:szCs w:val="26"/>
                <w:lang w:val="fr-FR"/>
              </w:rPr>
              <w:t xml:space="preserve"> este să stabilească un cadru comun transparent </w:t>
            </w:r>
            <w:r w:rsidR="0028065F" w:rsidRPr="00C02551">
              <w:rPr>
                <w:rFonts w:ascii="Times New Roman" w:hAnsi="Times New Roman"/>
                <w:bCs/>
                <w:color w:val="000000"/>
                <w:sz w:val="26"/>
                <w:szCs w:val="26"/>
                <w:lang w:val="en-US"/>
              </w:rPr>
              <w:t>a valorilor de referință armonizate ale randamentului pentru producția separată de energie electrică și căldură</w:t>
            </w:r>
            <w:r w:rsidR="007D7205" w:rsidRPr="00C02551">
              <w:rPr>
                <w:rFonts w:ascii="Times New Roman" w:hAnsi="Times New Roman"/>
                <w:sz w:val="26"/>
                <w:szCs w:val="26"/>
                <w:lang w:val="fr-FR"/>
              </w:rPr>
              <w:t>.</w:t>
            </w:r>
            <w:r w:rsidR="007D7205" w:rsidRPr="00C02551">
              <w:rPr>
                <w:rFonts w:ascii="Times New Roman" w:hAnsi="Times New Roman"/>
                <w:sz w:val="26"/>
                <w:szCs w:val="26"/>
                <w:lang w:val="en-US"/>
              </w:rPr>
              <w:t xml:space="preserve"> Prezenta </w:t>
            </w:r>
            <w:r w:rsidR="0028065F" w:rsidRPr="00C02551">
              <w:rPr>
                <w:rFonts w:ascii="Times New Roman" w:hAnsi="Times New Roman"/>
                <w:sz w:val="26"/>
                <w:szCs w:val="26"/>
                <w:lang w:val="en-US"/>
              </w:rPr>
              <w:t>Decizia</w:t>
            </w:r>
            <w:r w:rsidR="007D7205" w:rsidRPr="00C02551">
              <w:rPr>
                <w:rFonts w:ascii="Times New Roman" w:hAnsi="Times New Roman"/>
                <w:sz w:val="26"/>
                <w:szCs w:val="26"/>
                <w:lang w:val="en-US"/>
              </w:rPr>
              <w:t xml:space="preserve"> este de a creș</w:t>
            </w:r>
            <w:r w:rsidR="0083201D" w:rsidRPr="00C02551">
              <w:rPr>
                <w:rFonts w:ascii="Times New Roman" w:hAnsi="Times New Roman"/>
                <w:sz w:val="26"/>
                <w:szCs w:val="26"/>
                <w:lang w:val="en-US"/>
              </w:rPr>
              <w:t xml:space="preserve">te randamentul energetic și de a îmbunătăți securitatea de aprovizionare, prin crearea unui cadru pentru promovarea și dezvoltarea cogenerării cu randament ridicat a energiei electrice și termice, ținând seama de împrejurările naționale specifice, </w:t>
            </w:r>
            <w:r w:rsidR="0028065F" w:rsidRPr="00C02551">
              <w:rPr>
                <w:rFonts w:ascii="Times New Roman" w:hAnsi="Times New Roman"/>
                <w:sz w:val="26"/>
                <w:szCs w:val="26"/>
                <w:lang w:val="en-US"/>
              </w:rPr>
              <w:t>inclusiv</w:t>
            </w:r>
            <w:r w:rsidR="0083201D" w:rsidRPr="00C02551">
              <w:rPr>
                <w:rFonts w:ascii="Times New Roman" w:hAnsi="Times New Roman"/>
                <w:sz w:val="26"/>
                <w:szCs w:val="26"/>
                <w:lang w:val="en-US"/>
              </w:rPr>
              <w:t xml:space="preserve"> și climatice.</w:t>
            </w:r>
          </w:p>
        </w:tc>
      </w:tr>
      <w:tr w:rsidR="00B01478" w:rsidRPr="007A15D0" w:rsidTr="00D960D1">
        <w:tc>
          <w:tcPr>
            <w:tcW w:w="15451" w:type="dxa"/>
            <w:gridSpan w:val="6"/>
          </w:tcPr>
          <w:p w:rsidR="00B01478" w:rsidRPr="00C02551" w:rsidRDefault="00B01478" w:rsidP="00C02551">
            <w:pPr>
              <w:pStyle w:val="tt"/>
              <w:jc w:val="both"/>
              <w:rPr>
                <w:sz w:val="26"/>
                <w:szCs w:val="26"/>
                <w:lang w:val="en-US"/>
              </w:rPr>
            </w:pPr>
            <w:r w:rsidRPr="00C02551">
              <w:rPr>
                <w:sz w:val="26"/>
                <w:szCs w:val="26"/>
              </w:rPr>
              <w:t xml:space="preserve">2. </w:t>
            </w:r>
            <w:r w:rsidR="00C02551" w:rsidRPr="00C02551">
              <w:rPr>
                <w:sz w:val="26"/>
                <w:szCs w:val="26"/>
              </w:rPr>
              <w:t>H</w:t>
            </w:r>
            <w:r w:rsidR="00C02551" w:rsidRPr="00C02551">
              <w:rPr>
                <w:sz w:val="26"/>
                <w:szCs w:val="26"/>
              </w:rPr>
              <w:t xml:space="preserve">otărîrea Guvernului </w:t>
            </w:r>
            <w:r w:rsidR="00C02551" w:rsidRPr="00C02551">
              <w:rPr>
                <w:sz w:val="26"/>
                <w:szCs w:val="26"/>
                <w:lang w:val="en-US"/>
              </w:rPr>
              <w:t xml:space="preserve">pentru aprobarea valorilor de referinţă armonizate ale eficienţei pentru producerea separată de energie electrică și termică </w:t>
            </w:r>
          </w:p>
        </w:tc>
      </w:tr>
      <w:tr w:rsidR="00B01478" w:rsidRPr="007A15D0" w:rsidTr="00D960D1">
        <w:tc>
          <w:tcPr>
            <w:tcW w:w="15451" w:type="dxa"/>
            <w:gridSpan w:val="6"/>
          </w:tcPr>
          <w:p w:rsidR="00B01478" w:rsidRPr="00C02551" w:rsidRDefault="00B01478" w:rsidP="00C02551">
            <w:pPr>
              <w:rPr>
                <w:rFonts w:ascii="Times New Roman" w:hAnsi="Times New Roman"/>
                <w:sz w:val="26"/>
                <w:szCs w:val="26"/>
                <w:lang w:val="en-US"/>
              </w:rPr>
            </w:pPr>
            <w:r w:rsidRPr="00C02551">
              <w:rPr>
                <w:rFonts w:ascii="Times New Roman" w:hAnsi="Times New Roman"/>
                <w:b/>
                <w:sz w:val="26"/>
                <w:szCs w:val="26"/>
                <w:lang w:val="ro-RO"/>
              </w:rPr>
              <w:t xml:space="preserve">3. Proiectul este totalmente compatibil cu prevederile legislaţiei comunitare. </w:t>
            </w:r>
          </w:p>
        </w:tc>
      </w:tr>
      <w:tr w:rsidR="00B01478" w:rsidRPr="007A15D0" w:rsidTr="0073486E">
        <w:tc>
          <w:tcPr>
            <w:tcW w:w="4962" w:type="dxa"/>
          </w:tcPr>
          <w:p w:rsidR="00B01478" w:rsidRPr="00C02551" w:rsidRDefault="00B01478" w:rsidP="00C02551">
            <w:pPr>
              <w:jc w:val="both"/>
              <w:rPr>
                <w:sz w:val="26"/>
                <w:szCs w:val="26"/>
                <w:lang w:val="en-US"/>
              </w:rPr>
            </w:pPr>
            <w:r w:rsidRPr="00C02551">
              <w:rPr>
                <w:rFonts w:ascii="Times New Roman" w:hAnsi="Times New Roman"/>
                <w:b/>
                <w:sz w:val="26"/>
                <w:szCs w:val="26"/>
                <w:lang w:val="ro-RO"/>
              </w:rPr>
              <w:t>Prevederile şi cerinţele reglementărilor comunitare</w:t>
            </w:r>
            <w:r w:rsidR="0028065F" w:rsidRPr="00C02551">
              <w:rPr>
                <w:rFonts w:ascii="Times New Roman" w:hAnsi="Times New Roman"/>
                <w:b/>
                <w:sz w:val="26"/>
                <w:szCs w:val="26"/>
                <w:lang w:val="ro-RO"/>
              </w:rPr>
              <w:t xml:space="preserve"> </w:t>
            </w:r>
            <w:r w:rsidRPr="00C02551">
              <w:rPr>
                <w:rFonts w:ascii="Times New Roman" w:hAnsi="Times New Roman"/>
                <w:b/>
                <w:sz w:val="26"/>
                <w:szCs w:val="26"/>
                <w:lang w:val="ro-RO"/>
              </w:rPr>
              <w:t>(articolul, paragraful)</w:t>
            </w:r>
          </w:p>
        </w:tc>
        <w:tc>
          <w:tcPr>
            <w:tcW w:w="4389" w:type="dxa"/>
          </w:tcPr>
          <w:p w:rsidR="00B01478" w:rsidRPr="00C02551" w:rsidRDefault="00B01478" w:rsidP="00C02551">
            <w:pPr>
              <w:jc w:val="both"/>
              <w:rPr>
                <w:rFonts w:ascii="Times New Roman" w:hAnsi="Times New Roman"/>
                <w:sz w:val="26"/>
                <w:szCs w:val="26"/>
                <w:lang w:val="en-US"/>
              </w:rPr>
            </w:pPr>
            <w:r w:rsidRPr="00C02551">
              <w:rPr>
                <w:rFonts w:ascii="Times New Roman" w:hAnsi="Times New Roman"/>
                <w:b/>
                <w:sz w:val="26"/>
                <w:szCs w:val="26"/>
                <w:lang w:val="ro-RO"/>
              </w:rPr>
              <w:t>Prevederile actului normativ naţional (capitolul, articolul, subparagraful, punctul etc.)</w:t>
            </w:r>
          </w:p>
        </w:tc>
        <w:tc>
          <w:tcPr>
            <w:tcW w:w="1559" w:type="dxa"/>
          </w:tcPr>
          <w:p w:rsidR="00B01478" w:rsidRPr="00C02551" w:rsidRDefault="00B01478" w:rsidP="00C02551">
            <w:pPr>
              <w:jc w:val="both"/>
              <w:rPr>
                <w:rFonts w:ascii="Times New Roman" w:hAnsi="Times New Roman"/>
                <w:sz w:val="26"/>
                <w:szCs w:val="26"/>
                <w:lang w:val="en-US"/>
              </w:rPr>
            </w:pPr>
            <w:r w:rsidRPr="00C02551">
              <w:rPr>
                <w:rFonts w:ascii="Times New Roman" w:hAnsi="Times New Roman"/>
                <w:b/>
                <w:sz w:val="26"/>
                <w:szCs w:val="26"/>
                <w:lang w:val="ro-RO"/>
              </w:rPr>
              <w:t>Diferenţe</w:t>
            </w:r>
          </w:p>
        </w:tc>
        <w:tc>
          <w:tcPr>
            <w:tcW w:w="1706" w:type="dxa"/>
          </w:tcPr>
          <w:p w:rsidR="00B01478" w:rsidRPr="00C02551" w:rsidRDefault="00B01478" w:rsidP="00C02551">
            <w:pPr>
              <w:jc w:val="both"/>
              <w:rPr>
                <w:rFonts w:ascii="Times New Roman" w:hAnsi="Times New Roman"/>
                <w:b/>
                <w:sz w:val="26"/>
                <w:szCs w:val="26"/>
                <w:lang w:val="ro-RO"/>
              </w:rPr>
            </w:pPr>
            <w:r w:rsidRPr="00C02551">
              <w:rPr>
                <w:rFonts w:ascii="Times New Roman" w:hAnsi="Times New Roman"/>
                <w:b/>
                <w:sz w:val="26"/>
                <w:szCs w:val="26"/>
                <w:lang w:val="ro-RO"/>
              </w:rPr>
              <w:t>Motivele ce explică faptul că proiectul este parţial compatibil sau incompatibil</w:t>
            </w:r>
          </w:p>
          <w:p w:rsidR="00B01478" w:rsidRPr="00C02551" w:rsidRDefault="00B01478" w:rsidP="00C02551">
            <w:pPr>
              <w:jc w:val="both"/>
              <w:rPr>
                <w:rFonts w:ascii="Times New Roman" w:hAnsi="Times New Roman"/>
                <w:sz w:val="26"/>
                <w:szCs w:val="26"/>
                <w:lang w:val="ro-RO"/>
              </w:rPr>
            </w:pPr>
          </w:p>
        </w:tc>
        <w:tc>
          <w:tcPr>
            <w:tcW w:w="1417" w:type="dxa"/>
          </w:tcPr>
          <w:p w:rsidR="00B01478" w:rsidRPr="00C02551" w:rsidRDefault="00B01478" w:rsidP="00C02551">
            <w:pPr>
              <w:jc w:val="both"/>
              <w:rPr>
                <w:sz w:val="26"/>
                <w:szCs w:val="26"/>
                <w:lang w:val="fr-FR"/>
              </w:rPr>
            </w:pPr>
            <w:r w:rsidRPr="00C02551">
              <w:rPr>
                <w:rFonts w:ascii="Times New Roman" w:hAnsi="Times New Roman"/>
                <w:b/>
                <w:sz w:val="26"/>
                <w:szCs w:val="26"/>
                <w:lang w:val="ro-RO"/>
              </w:rPr>
              <w:t>Instituţia responsa</w:t>
            </w:r>
            <w:r w:rsidR="007D7205" w:rsidRPr="00C02551">
              <w:rPr>
                <w:rFonts w:ascii="Times New Roman" w:hAnsi="Times New Roman"/>
                <w:b/>
                <w:sz w:val="26"/>
                <w:szCs w:val="26"/>
                <w:lang w:val="ro-RO"/>
              </w:rPr>
              <w:t>-</w:t>
            </w:r>
            <w:r w:rsidRPr="00C02551">
              <w:rPr>
                <w:rFonts w:ascii="Times New Roman" w:hAnsi="Times New Roman"/>
                <w:b/>
                <w:sz w:val="26"/>
                <w:szCs w:val="26"/>
                <w:lang w:val="ro-RO"/>
              </w:rPr>
              <w:t>bilă</w:t>
            </w:r>
          </w:p>
        </w:tc>
        <w:tc>
          <w:tcPr>
            <w:tcW w:w="1418" w:type="dxa"/>
          </w:tcPr>
          <w:p w:rsidR="00B01478" w:rsidRPr="00C02551" w:rsidRDefault="00B01478" w:rsidP="00C02551">
            <w:pPr>
              <w:jc w:val="both"/>
              <w:rPr>
                <w:sz w:val="26"/>
                <w:szCs w:val="26"/>
                <w:lang w:val="fr-FR"/>
              </w:rPr>
            </w:pPr>
            <w:r w:rsidRPr="00C02551">
              <w:rPr>
                <w:rFonts w:ascii="Times New Roman" w:hAnsi="Times New Roman"/>
                <w:b/>
                <w:sz w:val="26"/>
                <w:szCs w:val="26"/>
                <w:lang w:val="ro-RO"/>
              </w:rPr>
              <w:t>Termenul-limită de asigurare a compa</w:t>
            </w:r>
            <w:r w:rsidR="007D7205" w:rsidRPr="00C02551">
              <w:rPr>
                <w:rFonts w:ascii="Times New Roman" w:hAnsi="Times New Roman"/>
                <w:b/>
                <w:sz w:val="26"/>
                <w:szCs w:val="26"/>
                <w:lang w:val="ro-RO"/>
              </w:rPr>
              <w:t>-</w:t>
            </w:r>
            <w:r w:rsidRPr="00C02551">
              <w:rPr>
                <w:rFonts w:ascii="Times New Roman" w:hAnsi="Times New Roman"/>
                <w:b/>
                <w:sz w:val="26"/>
                <w:szCs w:val="26"/>
                <w:lang w:val="ro-RO"/>
              </w:rPr>
              <w:t>tibilităţii complete a actului naţional.</w:t>
            </w:r>
          </w:p>
        </w:tc>
      </w:tr>
      <w:tr w:rsidR="00B01478" w:rsidRPr="007A15D0" w:rsidTr="0073486E">
        <w:tc>
          <w:tcPr>
            <w:tcW w:w="4962" w:type="dxa"/>
          </w:tcPr>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COMISIA EUROPEANĂ,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având în vedere Tratatul privind funcționarea Uniunii Europene,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având în vedere Directiva 2004/8/CE a Parlamentului European și a Consiliului din 11 februarie 2004 privind promovarea cogenerării pe baza cererii de energie termică utilă pe piața internă a energiei și de modificare a Directivei 92/42/CEE ( 1 ), în special articolul 4 alineatul (2),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întrucât: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(1) În temeiul Directivei 2004/8/CE, Comisia a stabilit în Decizia 2007/74/CE ( 2 ) valori de referință armonizate ale randamentului pentru producția separată de energie electrică și căldură, constând într-o matrice de valori diferențiate în funcție de factori relevanți, precum anul construcției și tipul de combustibil.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(2) Comisia trebuie să revizuiască valorile de referință armonizate ale randamentului pentru producția separată de energie electrică și căldură pentru prima dată la 21 februarie 2011 și apoi din patru în patru ani, pentru a ține seama de evoluțiile tehnologice și de schimbările intervenite în distribuția surselor de energie. </w:t>
            </w:r>
          </w:p>
          <w:p w:rsidR="002F1218" w:rsidRPr="007A15D0" w:rsidRDefault="002F1218" w:rsidP="001908EB">
            <w:pPr>
              <w:pStyle w:val="Default"/>
              <w:jc w:val="both"/>
              <w:rPr>
                <w:rFonts w:ascii="Times New Roman" w:hAnsi="Times New Roman" w:cs="Times New Roman"/>
              </w:rPr>
            </w:pPr>
            <w:r w:rsidRPr="007A15D0">
              <w:rPr>
                <w:rFonts w:ascii="Times New Roman" w:hAnsi="Times New Roman" w:cs="Times New Roman"/>
              </w:rPr>
              <w:t xml:space="preserve">(3) Comisia a revizuit valorile de referință armonizate ale randamentului pentru producția separată de energie electrică și căldură, ținând seama de datele rezultate din utilizarea operațională în condiții reale, furnizate de statele membre. Evoluția celei mai bune tehnologii disponibile și justificabile din punct de vedere economic, înregistrată în perioada 2006-2011, la care s-a referit revizuirea, indică faptul că, în cazul valorilor de referință armonizate ale randamentului pentru producția separată de energie electrică, distincția efectuată în Decizia 2007/74/CE în funcție de anul construcției unei unități de cogenerare nu trebuie menținută în cazul centralelor construite începând cu 1 ianuarie 2006. Însă, pentru unitățile de cogenerare construite în 2005 sau înaintea acestui an, valorile de referință trebuie să se aplice în continuare în funcție de anul construcției, pentru a se ține seama de evoluția observată a celei mai bune tehnologii disponibile și justificabile din punct de vedere economic. De asemenea, revizuirea a confirmat, pe baza experienței și analizei recente, că factorii de corecție referitori la situația climatică trebuie să se aplice în continuare. În plus, și factorii de corecție referitori la pierderile în rețea evitate trebuie să se aplice în continuare, deoarece pierderile în rețea nu s-au modificat în ultimii ani. Mai mult, factorii de corecție referitori la pierderile în rețea evitate trebuie să se aplice și în cazul centralelor care utilizează combustibili din lemn și biogaz.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(4) Revizuirea nu a produs dovezi privind modificarea eficienței energetice a cazanelor în perioada luată în considerare și, în consecință, valorile de referință armonizate ale randamentului pentru producția separată de căldură nu trebuie să fie legate de anul construcției. Nu au fost necesari factori de corecție referitori la situația climatică, deoarece procesul termodinamic de generare a căldurii din combustibil nu depinde în mod semnificativ de temperatura ambiantă. În plus, nu sunt necesari factori de corecție referitori la pierderile de căldură în rețea, deoarece căldura este utilizată întotdeauna aproape de locul de producție.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(5) Sunt necesare condiții stabile pentru investițiile în cogenerare, precum și încrederea permanentă a investitorilor. Din această perspectivă, este, de asemenea, oportun să se extindă valorile de referință armonizate actuale pentru energie electrică și căldură la perioada 2012-2015.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(6) Datele rezultate din utilizarea operațională în condiții reale nu demonstrează o îmbunătățire semnificativă din punct de vedere statistic a performanței efective a centralelor ultramoderne în perioada la care se referă revizuirea. Prin urmare, valorile de referință stabilite pentru perioada 2006-2011 în Decizia 2007/74/CE trebuie menținute pentru perioada 2012-2015.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(7) Revizuirea a confirmat valabilitatea factorilor de corecție existenți, referitori la situația climatică și la pierderile în rețea evitate.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(8) În cazul generării de căldură, utilizarea unui singur set de valori de referință pentru întreaga perioadă și renunțarea la factorii de corecție referitori la diferențele climatice și la pierderile în rețea au fost, de asemenea, confirmate.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(9) Luând în considerare faptul că obiectivul principal al Directivei 2004/8/CE este promovarea cogenerării în scopul economisirii energiei, trebuie furnizat un stimulent pentru modernizarea unităților de cogenerare</w:t>
            </w:r>
            <w:r w:rsidR="007A15D0">
              <w:rPr>
                <w:rFonts w:ascii="Times New Roman" w:hAnsi="Times New Roman" w:cs="Times New Roman"/>
                <w:color w:val="000000"/>
              </w:rPr>
              <w:t xml:space="preserve"> </w:t>
            </w:r>
            <w:r w:rsidRPr="007A15D0">
              <w:rPr>
                <w:rFonts w:ascii="Times New Roman" w:hAnsi="Times New Roman" w:cs="Times New Roman"/>
                <w:color w:val="000000"/>
              </w:rPr>
              <w:t xml:space="preserve">mai vechi în vederea îmbunătățirii eficienței lor energetice. Din aceste motive, valorile de referință ale randamentului pentru energie electrică aplicabile unei unități de cogenerare trebuie să crească începând din al unsprezecelea an care urmează după anul construcției.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(10) Această abordare corespunde cerinței conform căreia valorile de referință armonizate ale randamentului trebuie să se bazeze pe principiile menționate la litera (f) din anexa III la Directiva 2004/8/CE.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(11) Trebuie stabilite, pentru producția separată de energie electrică și căldură, valori de referință armonizate ale randamentului revizuite. Prin urmare, Decizia 2007/74/CE trebuie abrogată.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(12) Măsurile prevăzute de prezenta decizie sunt conforme cu avizul Comitetului pentru cogenerare,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ADOPTĂ PREZENTA DECIZIE: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i/>
                <w:iCs/>
                <w:color w:val="000000"/>
              </w:rPr>
              <w:t xml:space="preserve">Articolul 1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b/>
                <w:bCs/>
                <w:color w:val="000000"/>
              </w:rPr>
              <w:t xml:space="preserve">Stabilirea valorilor de referință armonizate ale randamentului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Valorile de referință armonizate ale randamentului pentru producția separată de energie electrică și căldură sunt stabilite în anexa I și, respectiv, în anexa II.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i/>
                <w:iCs/>
                <w:color w:val="000000"/>
              </w:rPr>
              <w:t xml:space="preserve">Articolul 2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b/>
                <w:bCs/>
                <w:color w:val="000000"/>
              </w:rPr>
              <w:t xml:space="preserve">Aplicarea valorilor de referință armonizate ale randamentului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(1) Statele membre aplică valorile de referință armonizate ale randamentului stabilite în anexa I în funcție de anul construcției unei unități de cogenerare. Aceste valori de referință armonizate ale randamentului se aplică timp de 10 ani după anul construcției unei unități de cogenerare.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(2) Începând din al unsprezecelea an care urmează după anul construcției unei unități de cogenerare, statele membre aplică valorile de referință armonizate ale randamentului care, în temeiul alineatului (1), se aplică unei unități de cogenerare care are 10 ani. Aceste valori de referință armonizate ale randamentului se aplică timp de un an.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(3) În sensul prezentului articol, anul construcției unei unități de cogenerare este anul calendaristic în care începe producția de energie electrică.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i/>
                <w:iCs/>
                <w:color w:val="000000"/>
              </w:rPr>
              <w:t xml:space="preserve">Articolul 3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b/>
                <w:bCs/>
                <w:color w:val="000000"/>
              </w:rPr>
              <w:t xml:space="preserve">Factori de corecție ai valorilor de referință armonizate ale randamentului pentru producția separată de energie electrică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(1) Statele membre aplică factorii de corecție stabiliți în anexa III litera (a) în vederea adaptării valorilor de referință armonizate ale randamentului prevăzute în anexa I la situația climatică medie din fiecare stat membru.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Dacă pe teritoriul unui stat membru datele meteorologice oficiale arată diferențe de 5 °C sau mai mari ale temperaturii ambiante anuale, statul membru respectiv poate, cu condiția notificării Comisiei, să utilizeze în scopul primului paragraf mai multe zone climatice, aplicând metoda stabilită în anexa III litera (b).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(2) Statele membre aplică factorii de corecție stabiliți în anexa IV în vederea adaptării valorilor de referință armonizate ale randamentului prevăzute în anexa I în funcție de pierderile în rețea evitate.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(3) Atunci când aplică atât factorii de corecție stabiliți în anexa III litera (a), cât și pe cei stabiliți în anexa IV, statele membre aplică mai întâi anexa III litera (a) și apoi anexa IV.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i/>
                <w:iCs/>
                <w:color w:val="000000"/>
              </w:rPr>
              <w:t xml:space="preserve">Articolul 4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b/>
                <w:bCs/>
                <w:color w:val="000000"/>
              </w:rPr>
              <w:t xml:space="preserve">Modernizarea unei unități de cogenerare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Dacă o unitate de cogenerare existentă este modernizată, iar costul investiției de modernizare depășește 50 % din costul investiției aferente unei noi unități de cogenerare comparabile, anul calendaristic în care începe producția de energie electrică a unității de cogenerare modernizate se consideră a fi anul construcției sale în sensul articolului 2.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i/>
                <w:iCs/>
                <w:color w:val="000000"/>
              </w:rPr>
              <w:t xml:space="preserve">Articolul 5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b/>
                <w:bCs/>
                <w:color w:val="000000"/>
              </w:rPr>
              <w:t xml:space="preserve">Combinația de combustibili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Dacă unitatea de cogenerare funcționează cu mai mulți combustibili, valorile de referință armonizate ale randamentului pentru producția separată se aplică proporțional cu media ponderată a contribuțiilor diferiților combustibili la producția de energie.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i/>
                <w:iCs/>
                <w:color w:val="000000"/>
              </w:rPr>
              <w:t xml:space="preserve">Articolul 6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b/>
                <w:bCs/>
                <w:color w:val="000000"/>
              </w:rPr>
              <w:t xml:space="preserve">Abrogare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Decizia 2007/74/CE se abrogă.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i/>
                <w:iCs/>
                <w:color w:val="000000"/>
              </w:rPr>
              <w:t xml:space="preserve">Articolul 7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Prezenta decizie se adresează statelor membre.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Adoptată la Bruxelles, 19 decembrie 2011.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i/>
                <w:iCs/>
                <w:color w:val="000000"/>
              </w:rPr>
              <w:t xml:space="preserve">Pentru Comisie </w:t>
            </w:r>
          </w:p>
          <w:p w:rsidR="002F1218" w:rsidRPr="007A15D0" w:rsidRDefault="002F1218" w:rsidP="001908EB">
            <w:pPr>
              <w:pStyle w:val="CM4"/>
              <w:jc w:val="both"/>
              <w:rPr>
                <w:rFonts w:ascii="Times New Roman" w:hAnsi="Times New Roman" w:cs="Times New Roman"/>
                <w:color w:val="000000"/>
              </w:rPr>
            </w:pPr>
            <w:r w:rsidRPr="007A15D0">
              <w:rPr>
                <w:rFonts w:ascii="Times New Roman" w:hAnsi="Times New Roman" w:cs="Times New Roman"/>
                <w:color w:val="000000"/>
              </w:rPr>
              <w:t xml:space="preserve">Günther OETTINGER </w:t>
            </w:r>
          </w:p>
          <w:p w:rsidR="00C92703" w:rsidRPr="002F1218" w:rsidRDefault="002F1218" w:rsidP="001908EB">
            <w:pPr>
              <w:jc w:val="both"/>
              <w:rPr>
                <w:lang w:val="en-US"/>
              </w:rPr>
            </w:pPr>
            <w:r w:rsidRPr="007A15D0">
              <w:rPr>
                <w:rFonts w:ascii="Times New Roman" w:hAnsi="Times New Roman"/>
                <w:i/>
                <w:iCs/>
                <w:color w:val="000000"/>
                <w:sz w:val="24"/>
                <w:szCs w:val="24"/>
                <w:lang w:val="en-US"/>
              </w:rPr>
              <w:t>Membru al Comisiei</w:t>
            </w:r>
            <w:r w:rsidRPr="007A15D0">
              <w:rPr>
                <w:rFonts w:ascii="Times New Roman" w:hAnsi="Times New Roman"/>
                <w:color w:val="000000"/>
                <w:sz w:val="24"/>
                <w:szCs w:val="24"/>
                <w:lang w:val="en-US"/>
              </w:rPr>
              <w:t>RO</w:t>
            </w:r>
          </w:p>
        </w:tc>
        <w:tc>
          <w:tcPr>
            <w:tcW w:w="4389" w:type="dxa"/>
          </w:tcPr>
          <w:p w:rsidR="00C02551" w:rsidRPr="00C02551" w:rsidRDefault="00C02551" w:rsidP="00C02551">
            <w:pPr>
              <w:pStyle w:val="NormalWeb"/>
              <w:tabs>
                <w:tab w:val="left" w:pos="312"/>
              </w:tabs>
              <w:ind w:firstLine="0"/>
              <w:rPr>
                <w:bCs/>
              </w:rPr>
            </w:pPr>
            <w:r w:rsidRPr="00C02551">
              <w:rPr>
                <w:lang w:val="en-US"/>
              </w:rPr>
              <w:t xml:space="preserve">În temeiul al. (1), lit. (h), art. 7, al. (1), lit. (b), art. 8 şi art. 14 al Legii nr. 92 din 29.05.2014 </w:t>
            </w:r>
            <w:r w:rsidRPr="00C02551">
              <w:t>cu privire la energia termică şi promovarea cogenerării (</w:t>
            </w:r>
            <w:r w:rsidRPr="00C02551">
              <w:rPr>
                <w:iCs/>
              </w:rPr>
              <w:t>Monitorul Oficial</w:t>
            </w:r>
            <w:r w:rsidRPr="00C02551">
              <w:t xml:space="preserve"> al Republicii Moldova</w:t>
            </w:r>
            <w:r w:rsidRPr="00C02551">
              <w:rPr>
                <w:iCs/>
              </w:rPr>
              <w:t xml:space="preserve">, </w:t>
            </w:r>
            <w:r w:rsidRPr="00C02551">
              <w:t xml:space="preserve">2014, </w:t>
            </w:r>
            <w:r w:rsidRPr="00C02551">
              <w:rPr>
                <w:iCs/>
              </w:rPr>
              <w:t>nr. 178-184, art. 415</w:t>
            </w:r>
            <w:r w:rsidRPr="00C02551">
              <w:t>), Guvernul</w:t>
            </w:r>
            <w:r w:rsidRPr="00C02551">
              <w:t xml:space="preserve"> </w:t>
            </w:r>
            <w:r w:rsidRPr="00C02551">
              <w:rPr>
                <w:bCs/>
              </w:rPr>
              <w:t>HOTĂRĂŞTE:</w:t>
            </w:r>
          </w:p>
          <w:p w:rsidR="00C02551" w:rsidRPr="00C02551" w:rsidRDefault="00C02551" w:rsidP="00C02551">
            <w:pPr>
              <w:pStyle w:val="NormalWeb"/>
              <w:numPr>
                <w:ilvl w:val="0"/>
                <w:numId w:val="22"/>
              </w:numPr>
              <w:tabs>
                <w:tab w:val="left" w:pos="312"/>
              </w:tabs>
              <w:ind w:left="0" w:firstLine="0"/>
            </w:pPr>
            <w:r w:rsidRPr="00C02551">
              <w:t>Se aprobă valorile de referinţă armonizate ale eficienţei pentru producerea separată de energie electrică, conform Anexei nr. 1.</w:t>
            </w:r>
          </w:p>
          <w:p w:rsidR="00C02551" w:rsidRPr="00C02551" w:rsidRDefault="00C02551" w:rsidP="00C02551">
            <w:pPr>
              <w:pStyle w:val="NormalWeb"/>
              <w:numPr>
                <w:ilvl w:val="0"/>
                <w:numId w:val="22"/>
              </w:numPr>
              <w:tabs>
                <w:tab w:val="left" w:pos="312"/>
              </w:tabs>
              <w:ind w:left="0" w:firstLine="0"/>
            </w:pPr>
            <w:r w:rsidRPr="00C02551">
              <w:t>Se aprobă valorile de referinţă armonizate ale eficienţei pentru producerea separată de energie termică, conform Anexei nr. 2.</w:t>
            </w:r>
          </w:p>
          <w:p w:rsidR="00C02551" w:rsidRPr="00C02551" w:rsidRDefault="00C02551" w:rsidP="00C02551">
            <w:pPr>
              <w:pStyle w:val="NormalWeb"/>
              <w:numPr>
                <w:ilvl w:val="0"/>
                <w:numId w:val="22"/>
              </w:numPr>
              <w:tabs>
                <w:tab w:val="left" w:pos="312"/>
              </w:tabs>
              <w:ind w:left="0" w:firstLine="0"/>
            </w:pPr>
            <w:r w:rsidRPr="00C02551">
              <w:t>Prevederile prezentei hotărîri se aplică de către producătorii de energie electrică şi termică în regim de cogenerare şi de către operatorii economici care propun proiecte de noi unităţi de cogenerare.</w:t>
            </w:r>
          </w:p>
          <w:p w:rsidR="00C02551" w:rsidRPr="00C02551" w:rsidRDefault="00C02551" w:rsidP="00C02551">
            <w:pPr>
              <w:pStyle w:val="NormalWeb"/>
              <w:numPr>
                <w:ilvl w:val="0"/>
                <w:numId w:val="22"/>
              </w:numPr>
              <w:tabs>
                <w:tab w:val="left" w:pos="312"/>
              </w:tabs>
              <w:ind w:left="0" w:firstLine="0"/>
            </w:pPr>
            <w:r w:rsidRPr="00C02551">
              <w:t xml:space="preserve">Se stabilește că, </w:t>
            </w:r>
            <w:r w:rsidRPr="00C02551">
              <w:rPr>
                <w:lang w:val="en-US"/>
              </w:rPr>
              <w:t>valorile de referinţă armonizate ale eficienţei pentru producerea separată de energie electrică și energie termică să fie revizuite în anul 2016, apoi din patru în patru ani.</w:t>
            </w:r>
          </w:p>
          <w:p w:rsidR="00C02551" w:rsidRPr="00C02551" w:rsidRDefault="00C02551" w:rsidP="00C02551">
            <w:pPr>
              <w:pStyle w:val="NormalWeb"/>
              <w:numPr>
                <w:ilvl w:val="0"/>
                <w:numId w:val="22"/>
              </w:numPr>
              <w:tabs>
                <w:tab w:val="left" w:pos="312"/>
              </w:tabs>
              <w:ind w:left="0" w:firstLine="0"/>
            </w:pPr>
            <w:r w:rsidRPr="00C02551">
              <w:t>Controlul asupra executării prezentei hotărîri se pune în sarcina Agenţiei Naţionale pentru Reglementare în Energetică.</w:t>
            </w:r>
          </w:p>
          <w:p w:rsidR="00C02551" w:rsidRPr="00C02551" w:rsidRDefault="00C02551" w:rsidP="00C02551">
            <w:pPr>
              <w:tabs>
                <w:tab w:val="left" w:pos="312"/>
              </w:tabs>
              <w:rPr>
                <w:rFonts w:ascii="Times New Roman" w:hAnsi="Times New Roman"/>
                <w:sz w:val="24"/>
                <w:szCs w:val="24"/>
                <w:lang w:val="ro-MD"/>
              </w:rPr>
            </w:pPr>
            <w:r w:rsidRPr="00C02551">
              <w:rPr>
                <w:rFonts w:ascii="Times New Roman" w:hAnsi="Times New Roman"/>
                <w:sz w:val="24"/>
                <w:szCs w:val="24"/>
                <w:lang w:val="ro-MD"/>
              </w:rPr>
              <w:t>Prim-ministru</w:t>
            </w:r>
            <w:r w:rsidRPr="00C02551">
              <w:rPr>
                <w:rFonts w:ascii="Times New Roman" w:hAnsi="Times New Roman"/>
                <w:sz w:val="24"/>
                <w:szCs w:val="24"/>
                <w:lang w:val="ro-MD"/>
              </w:rPr>
              <w:t>,</w:t>
            </w:r>
            <w:r w:rsidRPr="00C02551">
              <w:rPr>
                <w:rFonts w:ascii="Times New Roman" w:hAnsi="Times New Roman"/>
                <w:sz w:val="24"/>
                <w:szCs w:val="24"/>
                <w:lang w:val="ro-MD"/>
              </w:rPr>
              <w:tab/>
              <w:t>Valeriu STRELEŢ</w:t>
            </w:r>
          </w:p>
          <w:p w:rsidR="00455172" w:rsidRPr="00C02551" w:rsidRDefault="00C02551" w:rsidP="00C02551">
            <w:pPr>
              <w:tabs>
                <w:tab w:val="left" w:pos="312"/>
              </w:tabs>
              <w:rPr>
                <w:rFonts w:ascii="Times New Roman" w:hAnsi="Times New Roman"/>
                <w:sz w:val="26"/>
                <w:szCs w:val="26"/>
                <w:lang w:val="en-US"/>
              </w:rPr>
            </w:pPr>
            <w:r w:rsidRPr="00C02551">
              <w:rPr>
                <w:rFonts w:ascii="Times New Roman" w:hAnsi="Times New Roman"/>
                <w:sz w:val="24"/>
                <w:szCs w:val="24"/>
                <w:lang w:val="ro-MD"/>
              </w:rPr>
              <w:t xml:space="preserve">Viceprim-ministru, </w:t>
            </w:r>
            <w:r w:rsidRPr="00C02551">
              <w:rPr>
                <w:rFonts w:ascii="Times New Roman" w:hAnsi="Times New Roman"/>
                <w:sz w:val="24"/>
                <w:szCs w:val="24"/>
                <w:lang w:val="ro-MD"/>
              </w:rPr>
              <w:t>ministrul economiei</w:t>
            </w:r>
            <w:r w:rsidRPr="00C02551">
              <w:rPr>
                <w:rFonts w:ascii="Times New Roman" w:hAnsi="Times New Roman"/>
                <w:sz w:val="24"/>
                <w:szCs w:val="24"/>
                <w:lang w:val="ro-MD"/>
              </w:rPr>
              <w:t xml:space="preserve">, </w:t>
            </w:r>
            <w:r w:rsidRPr="00C02551">
              <w:rPr>
                <w:rFonts w:ascii="Times New Roman" w:hAnsi="Times New Roman"/>
                <w:sz w:val="24"/>
                <w:szCs w:val="24"/>
                <w:lang w:val="ro-MD"/>
              </w:rPr>
              <w:t>Stephane Christophe BRIDE</w:t>
            </w:r>
          </w:p>
        </w:tc>
        <w:tc>
          <w:tcPr>
            <w:tcW w:w="1559" w:type="dxa"/>
          </w:tcPr>
          <w:p w:rsidR="00B01478" w:rsidRPr="003C08D7" w:rsidRDefault="00123D6A" w:rsidP="0073486E">
            <w:pPr>
              <w:jc w:val="both"/>
              <w:rPr>
                <w:rFonts w:ascii="Times New Roman" w:hAnsi="Times New Roman"/>
                <w:sz w:val="26"/>
                <w:szCs w:val="26"/>
                <w:lang w:val="ro-RO"/>
              </w:rPr>
            </w:pPr>
            <w:r w:rsidRPr="003C08D7">
              <w:rPr>
                <w:rFonts w:ascii="Times New Roman" w:hAnsi="Times New Roman"/>
                <w:sz w:val="26"/>
                <w:szCs w:val="26"/>
                <w:lang w:val="ro-RO"/>
              </w:rPr>
              <w:t xml:space="preserve">Obiectul proeictului de </w:t>
            </w:r>
            <w:r w:rsidR="001908EB">
              <w:rPr>
                <w:rFonts w:ascii="Times New Roman" w:hAnsi="Times New Roman"/>
                <w:sz w:val="26"/>
                <w:szCs w:val="26"/>
                <w:lang w:val="ro-RO"/>
              </w:rPr>
              <w:t>HG</w:t>
            </w:r>
            <w:r w:rsidRPr="003C08D7">
              <w:rPr>
                <w:rFonts w:ascii="Times New Roman" w:hAnsi="Times New Roman"/>
                <w:sz w:val="26"/>
                <w:szCs w:val="26"/>
                <w:lang w:val="ro-RO"/>
              </w:rPr>
              <w:t xml:space="preserve"> est</w:t>
            </w:r>
            <w:r w:rsidR="00BE71BD" w:rsidRPr="003C08D7">
              <w:rPr>
                <w:rFonts w:ascii="Times New Roman" w:hAnsi="Times New Roman"/>
                <w:sz w:val="26"/>
                <w:szCs w:val="26"/>
                <w:lang w:val="ro-RO"/>
              </w:rPr>
              <w:t xml:space="preserve">e același cu cel al </w:t>
            </w:r>
            <w:r w:rsidR="001908EB">
              <w:rPr>
                <w:rFonts w:ascii="Times New Roman" w:hAnsi="Times New Roman"/>
                <w:sz w:val="26"/>
                <w:szCs w:val="26"/>
                <w:lang w:val="ro-RO"/>
              </w:rPr>
              <w:t>Deciziei</w:t>
            </w:r>
            <w:r w:rsidR="00F372E4">
              <w:rPr>
                <w:rFonts w:ascii="Times New Roman" w:hAnsi="Times New Roman"/>
                <w:sz w:val="26"/>
                <w:szCs w:val="26"/>
                <w:lang w:val="ro-RO"/>
              </w:rPr>
              <w:t>.</w:t>
            </w:r>
          </w:p>
        </w:tc>
        <w:tc>
          <w:tcPr>
            <w:tcW w:w="1706" w:type="dxa"/>
          </w:tcPr>
          <w:p w:rsidR="00B01478" w:rsidRPr="003C08D7" w:rsidRDefault="0073486E" w:rsidP="0073486E">
            <w:pPr>
              <w:jc w:val="both"/>
              <w:rPr>
                <w:rFonts w:ascii="Times New Roman" w:hAnsi="Times New Roman"/>
                <w:sz w:val="26"/>
                <w:szCs w:val="26"/>
                <w:lang w:val="ro-RO"/>
              </w:rPr>
            </w:pPr>
            <w:r w:rsidRPr="003C08D7">
              <w:rPr>
                <w:rFonts w:ascii="Times New Roman" w:hAnsi="Times New Roman"/>
                <w:sz w:val="26"/>
                <w:szCs w:val="26"/>
                <w:lang w:val="ro-RO"/>
              </w:rPr>
              <w:t>Nu este nici</w:t>
            </w:r>
            <w:r w:rsidR="00F372E4">
              <w:rPr>
                <w:rFonts w:ascii="Times New Roman" w:hAnsi="Times New Roman"/>
                <w:sz w:val="26"/>
                <w:szCs w:val="26"/>
                <w:lang w:val="ro-RO"/>
              </w:rPr>
              <w:t xml:space="preserve"> </w:t>
            </w:r>
            <w:r w:rsidRPr="003C08D7">
              <w:rPr>
                <w:rFonts w:ascii="Times New Roman" w:hAnsi="Times New Roman"/>
                <w:sz w:val="26"/>
                <w:szCs w:val="26"/>
                <w:lang w:val="ro-RO"/>
              </w:rPr>
              <w:t>o diferență</w:t>
            </w:r>
            <w:r>
              <w:rPr>
                <w:rFonts w:ascii="Times New Roman" w:hAnsi="Times New Roman"/>
                <w:sz w:val="26"/>
                <w:szCs w:val="26"/>
                <w:lang w:val="ro-RO"/>
              </w:rPr>
              <w:t>, cu exepția unor prevederi stipulate în Anexe nr. 1 și 2</w:t>
            </w:r>
            <w:r w:rsidR="00F372E4">
              <w:rPr>
                <w:rFonts w:ascii="Times New Roman" w:hAnsi="Times New Roman"/>
                <w:sz w:val="26"/>
                <w:szCs w:val="26"/>
                <w:lang w:val="ro-RO"/>
              </w:rPr>
              <w:t>.</w:t>
            </w:r>
          </w:p>
        </w:tc>
        <w:tc>
          <w:tcPr>
            <w:tcW w:w="1417" w:type="dxa"/>
          </w:tcPr>
          <w:p w:rsidR="00B01478" w:rsidRPr="003C08D7" w:rsidRDefault="00B01478" w:rsidP="00D960D1">
            <w:pPr>
              <w:rPr>
                <w:lang w:val="ro-RO"/>
              </w:rPr>
            </w:pPr>
          </w:p>
        </w:tc>
        <w:tc>
          <w:tcPr>
            <w:tcW w:w="1418" w:type="dxa"/>
          </w:tcPr>
          <w:p w:rsidR="00B01478" w:rsidRPr="003C08D7" w:rsidRDefault="00B01478" w:rsidP="00D960D1">
            <w:pPr>
              <w:rPr>
                <w:lang w:val="ro-RO"/>
              </w:rPr>
            </w:pPr>
          </w:p>
        </w:tc>
      </w:tr>
      <w:tr w:rsidR="00B01478" w:rsidRPr="007A15D0" w:rsidTr="0073486E">
        <w:tc>
          <w:tcPr>
            <w:tcW w:w="4962" w:type="dxa"/>
          </w:tcPr>
          <w:p w:rsidR="00C92703" w:rsidRPr="0073486E" w:rsidRDefault="007A15D0" w:rsidP="001908EB">
            <w:pPr>
              <w:tabs>
                <w:tab w:val="left" w:pos="3778"/>
              </w:tabs>
              <w:jc w:val="both"/>
              <w:rPr>
                <w:rFonts w:ascii="Times New Roman" w:hAnsi="Times New Roman"/>
                <w:color w:val="000000"/>
                <w:sz w:val="24"/>
                <w:szCs w:val="24"/>
                <w:lang w:val="en-US"/>
              </w:rPr>
            </w:pPr>
            <w:r>
              <w:rPr>
                <w:rFonts w:ascii="Times New Roman" w:hAnsi="Times New Roman"/>
                <w:color w:val="000000"/>
                <w:sz w:val="24"/>
                <w:szCs w:val="24"/>
                <w:lang w:val="en-US"/>
              </w:rPr>
              <w:t>A</w:t>
            </w:r>
            <w:r w:rsidRPr="0073486E">
              <w:rPr>
                <w:rFonts w:ascii="Times New Roman" w:hAnsi="Times New Roman"/>
                <w:color w:val="000000"/>
                <w:sz w:val="24"/>
                <w:szCs w:val="24"/>
                <w:lang w:val="en-US"/>
              </w:rPr>
              <w:t>nexa I</w:t>
            </w:r>
          </w:p>
          <w:p w:rsidR="001908EB" w:rsidRPr="001908EB" w:rsidRDefault="001908EB" w:rsidP="001908EB">
            <w:pPr>
              <w:autoSpaceDE w:val="0"/>
              <w:autoSpaceDN w:val="0"/>
              <w:adjustRightInd w:val="0"/>
              <w:jc w:val="center"/>
              <w:rPr>
                <w:rFonts w:ascii="Times New Roman" w:eastAsiaTheme="minorHAnsi" w:hAnsi="Times New Roman"/>
                <w:color w:val="000000"/>
                <w:sz w:val="24"/>
                <w:szCs w:val="24"/>
                <w:lang w:val="en-US"/>
              </w:rPr>
            </w:pPr>
            <w:r w:rsidRPr="001908EB">
              <w:rPr>
                <w:rFonts w:ascii="Times New Roman" w:eastAsiaTheme="minorHAnsi" w:hAnsi="Times New Roman"/>
                <w:b/>
                <w:bCs/>
                <w:color w:val="000000"/>
                <w:sz w:val="24"/>
                <w:szCs w:val="24"/>
                <w:lang w:val="en-US"/>
              </w:rPr>
              <w:t>Valorile de referință armonizate ale randamentului pentru producția separată de energie electrică (menționate la articolul 1</w:t>
            </w:r>
          </w:p>
          <w:p w:rsidR="001908EB" w:rsidRPr="003C08D7" w:rsidRDefault="001908EB" w:rsidP="001908EB">
            <w:pPr>
              <w:tabs>
                <w:tab w:val="left" w:pos="3778"/>
              </w:tabs>
              <w:jc w:val="both"/>
              <w:rPr>
                <w:lang w:val="en-US"/>
              </w:rPr>
            </w:pPr>
            <w:r w:rsidRPr="001908EB">
              <w:rPr>
                <w:rFonts w:ascii="Times New Roman" w:eastAsiaTheme="minorHAnsi" w:hAnsi="Times New Roman"/>
                <w:color w:val="000000"/>
                <w:sz w:val="24"/>
                <w:szCs w:val="24"/>
                <w:lang w:val="en-US"/>
              </w:rPr>
              <w:t>În tabelul de mai jos, valorile de referință armonizate ale randamentului pentru producția separată de energie electrică se bazează pe puterea calorifică netă și condițiile ISO standard (temperatură ambiantă de 15 °C, 1,013 bari, umiditate relativă de 60 %).</w:t>
            </w:r>
          </w:p>
        </w:tc>
        <w:tc>
          <w:tcPr>
            <w:tcW w:w="4389" w:type="dxa"/>
          </w:tcPr>
          <w:p w:rsidR="00B01478" w:rsidRPr="00606EDC" w:rsidRDefault="00C02551" w:rsidP="00606EDC">
            <w:pPr>
              <w:ind w:left="28"/>
              <w:rPr>
                <w:rFonts w:ascii="Times New Roman" w:hAnsi="Times New Roman"/>
                <w:sz w:val="24"/>
                <w:szCs w:val="24"/>
                <w:lang w:val="en-GB"/>
              </w:rPr>
            </w:pPr>
            <w:r w:rsidRPr="00606EDC">
              <w:rPr>
                <w:rFonts w:ascii="Times New Roman" w:hAnsi="Times New Roman"/>
                <w:sz w:val="24"/>
                <w:szCs w:val="24"/>
                <w:lang w:val="en-GB"/>
              </w:rPr>
              <w:t>Anexa nr. 1</w:t>
            </w:r>
          </w:p>
          <w:p w:rsidR="00C02551" w:rsidRPr="00606EDC" w:rsidRDefault="00C02551" w:rsidP="00606EDC">
            <w:pPr>
              <w:ind w:left="28"/>
              <w:jc w:val="center"/>
              <w:rPr>
                <w:rFonts w:ascii="Times New Roman" w:hAnsi="Times New Roman"/>
                <w:sz w:val="24"/>
                <w:szCs w:val="24"/>
                <w:lang w:val="en-US"/>
              </w:rPr>
            </w:pPr>
            <w:r w:rsidRPr="00606EDC">
              <w:rPr>
                <w:rFonts w:ascii="Times New Roman" w:hAnsi="Times New Roman"/>
                <w:sz w:val="24"/>
                <w:szCs w:val="24"/>
                <w:lang w:val="en-US"/>
              </w:rPr>
              <w:t>Valorile de referință armonizate ale eficienței pentru producerea separată de energie electrică</w:t>
            </w:r>
          </w:p>
          <w:p w:rsidR="00C02551" w:rsidRPr="00606EDC" w:rsidRDefault="00C02551" w:rsidP="00606EDC">
            <w:pPr>
              <w:ind w:left="28"/>
              <w:jc w:val="both"/>
              <w:rPr>
                <w:rFonts w:ascii="Times New Roman" w:hAnsi="Times New Roman"/>
                <w:sz w:val="24"/>
                <w:szCs w:val="24"/>
                <w:lang w:val="en-US"/>
              </w:rPr>
            </w:pPr>
            <w:r w:rsidRPr="00606EDC">
              <w:rPr>
                <w:rFonts w:ascii="Times New Roman" w:hAnsi="Times New Roman"/>
                <w:iCs/>
                <w:sz w:val="24"/>
                <w:szCs w:val="24"/>
                <w:lang w:val="en-US"/>
              </w:rPr>
              <w:t xml:space="preserve">1. Prezenta Anexă transpune parțial (art. 1-5, Anexele I, III, IV) </w:t>
            </w:r>
            <w:r w:rsidRPr="00606EDC">
              <w:rPr>
                <w:rFonts w:ascii="Times New Roman" w:hAnsi="Times New Roman"/>
                <w:sz w:val="24"/>
                <w:szCs w:val="24"/>
                <w:lang w:val="ro-MD"/>
              </w:rPr>
              <w:t>Decizia nr. 2011/877/UE de punere în aplicare a Comisiei din 19 decembrie 2011 de stabilire a valorilor de referinţă armonizate ale randamentului pentru producția separată de energie electrică şi căldură, în aplicarea Directivei 2004/8/CE a Parlamentului European şi a Consiliului, şi de abrogare a Deciziei 2007/74/CE a Comisiei (notificată cu nr. C (2011) 9523)</w:t>
            </w:r>
            <w:r w:rsidRPr="00606EDC">
              <w:rPr>
                <w:rFonts w:ascii="Times New Roman" w:hAnsi="Times New Roman"/>
                <w:iCs/>
                <w:sz w:val="24"/>
                <w:szCs w:val="24"/>
                <w:lang w:val="en-US"/>
              </w:rPr>
              <w:t>, publicată în Jurnalul Oficial al Uniunii Europene (JO) nr. L 343/91.</w:t>
            </w:r>
            <w:r w:rsidRPr="00606EDC">
              <w:rPr>
                <w:rFonts w:ascii="Times New Roman" w:hAnsi="Times New Roman"/>
                <w:sz w:val="24"/>
                <w:szCs w:val="24"/>
                <w:lang w:val="en-US"/>
              </w:rPr>
              <w:t xml:space="preserve"> </w:t>
            </w:r>
          </w:p>
          <w:p w:rsidR="00C02551" w:rsidRPr="00606EDC" w:rsidRDefault="00C02551" w:rsidP="00606EDC">
            <w:pPr>
              <w:ind w:left="28"/>
              <w:rPr>
                <w:rFonts w:ascii="Times New Roman" w:hAnsi="Times New Roman"/>
                <w:sz w:val="24"/>
                <w:szCs w:val="24"/>
                <w:lang w:val="en-US"/>
              </w:rPr>
            </w:pPr>
            <w:r w:rsidRPr="00606EDC">
              <w:rPr>
                <w:rFonts w:ascii="Times New Roman" w:hAnsi="Times New Roman"/>
                <w:sz w:val="24"/>
                <w:szCs w:val="24"/>
                <w:lang w:val="en-US"/>
              </w:rPr>
              <w:t>2. Valorile de referință armonizate ale eficienței pentru producerea separată de energie electrică sunt prezentate în Tabelul nr. 1</w:t>
            </w:r>
            <w:r w:rsidRPr="00606EDC">
              <w:rPr>
                <w:rFonts w:ascii="Times New Roman" w:hAnsi="Times New Roman"/>
                <w:sz w:val="24"/>
                <w:szCs w:val="24"/>
                <w:lang w:val="en-US"/>
              </w:rPr>
              <w:t>.</w:t>
            </w:r>
          </w:p>
          <w:p w:rsidR="00C02551" w:rsidRPr="00606EDC" w:rsidRDefault="00C02551" w:rsidP="00606EDC">
            <w:pPr>
              <w:ind w:left="28"/>
              <w:jc w:val="right"/>
              <w:rPr>
                <w:rFonts w:ascii="Times New Roman" w:hAnsi="Times New Roman"/>
                <w:sz w:val="24"/>
                <w:szCs w:val="24"/>
                <w:lang w:val="en-US"/>
              </w:rPr>
            </w:pPr>
            <w:r w:rsidRPr="00606EDC">
              <w:rPr>
                <w:rFonts w:ascii="Times New Roman" w:hAnsi="Times New Roman"/>
                <w:sz w:val="24"/>
                <w:szCs w:val="24"/>
                <w:lang w:val="en-US"/>
              </w:rPr>
              <w:t>Tabelul nr. 1.</w:t>
            </w:r>
          </w:p>
          <w:p w:rsidR="00606EDC" w:rsidRPr="00606EDC" w:rsidRDefault="00606EDC" w:rsidP="00606EDC">
            <w:pPr>
              <w:ind w:left="28"/>
              <w:jc w:val="both"/>
              <w:rPr>
                <w:rFonts w:ascii="Times New Roman" w:hAnsi="Times New Roman"/>
                <w:sz w:val="20"/>
                <w:szCs w:val="20"/>
                <w:lang w:val="en-US"/>
              </w:rPr>
            </w:pPr>
            <w:r w:rsidRPr="00606EDC">
              <w:rPr>
                <w:rFonts w:ascii="Times New Roman" w:hAnsi="Times New Roman"/>
                <w:sz w:val="24"/>
                <w:szCs w:val="24"/>
                <w:lang w:val="en-US"/>
              </w:rPr>
              <w:t xml:space="preserve">* </w:t>
            </w:r>
            <w:r w:rsidRPr="00606EDC">
              <w:rPr>
                <w:rFonts w:ascii="Times New Roman" w:hAnsi="Times New Roman"/>
                <w:sz w:val="20"/>
                <w:szCs w:val="20"/>
                <w:lang w:val="en-US"/>
              </w:rPr>
              <w:t>Notă: În tabel valorile de referință armonizate ale eficienței producerii separate de energie electrică au la bază puterea calorifică inferioară a combustibilului și condițiile standard (15 °C temperatura exterioară, 1,013 bar, 60 % umiditate relativă).</w:t>
            </w:r>
          </w:p>
          <w:p w:rsidR="00606EDC" w:rsidRPr="00606EDC" w:rsidRDefault="00606EDC" w:rsidP="00606EDC">
            <w:pPr>
              <w:pStyle w:val="NormalWeb"/>
              <w:ind w:left="28" w:firstLine="0"/>
            </w:pPr>
            <w:r w:rsidRPr="00606EDC">
              <w:rPr>
                <w:lang w:val="en-GB"/>
              </w:rPr>
              <w:t xml:space="preserve">3. </w:t>
            </w:r>
            <w:r w:rsidRPr="00606EDC">
              <w:t xml:space="preserve">Pentru o unitate de cogenerare, valorile de referinţă pentru producerea separată de energie electrică se stabilesc în funcţie de anul de punere în funcţiune a acesteia. Valorile astfel stabilite se aplică timp de 10 ani calendaristici, începînd cu anul de punere în funcţiune a respectivei unităţi de cogenerare. </w:t>
            </w:r>
          </w:p>
          <w:p w:rsidR="00606EDC" w:rsidRPr="00606EDC" w:rsidRDefault="00606EDC" w:rsidP="00606EDC">
            <w:pPr>
              <w:pStyle w:val="NormalWeb"/>
              <w:ind w:left="28" w:firstLine="0"/>
            </w:pPr>
            <w:r w:rsidRPr="00606EDC">
              <w:t xml:space="preserve">4. După această perioadă, pentru fiecare an se aplică valorile de referinţă pentru producerea separată de energie electrică corespunzătoare unei unităţi de cogenerare avînd o vechime de 10 ani. </w:t>
            </w:r>
          </w:p>
          <w:p w:rsidR="00606EDC" w:rsidRPr="00606EDC" w:rsidRDefault="00606EDC" w:rsidP="00606EDC">
            <w:pPr>
              <w:pStyle w:val="NormalWeb"/>
              <w:ind w:left="28" w:firstLine="0"/>
            </w:pPr>
            <w:r w:rsidRPr="00606EDC">
              <w:t>5. Dacă o unitate de cogenerare existentă este retehnologizată, iar costul de investiţie pentru retehnologizare depăşeşte 50 % din costul de investiţie pentru o unitate de cogenerare nouă, echivalentă, în aplicarea prevederilor pct. 3 și 4 din prezenta Anexă se va considera ca an de punere în funcţiune anul în care se finalizează probele de punere în funcţiune a unităţii după retehnologizare.</w:t>
            </w:r>
          </w:p>
          <w:p w:rsidR="00606EDC" w:rsidRPr="00606EDC" w:rsidRDefault="00606EDC" w:rsidP="00606EDC">
            <w:pPr>
              <w:pStyle w:val="NormalWeb"/>
              <w:ind w:left="28" w:firstLine="0"/>
            </w:pPr>
            <w:r w:rsidRPr="00606EDC">
              <w:t>6. Valorile de referinţă armonizate ale eficienţei pentru producerea separată de energie electrică se aleg în funcţie de tipul combustibilului utilizat. Dacă o unitate de cogenerare funcţionează cu mai multe tipuri de combustibili, se aplică media valorilor de referinţă corespunzătoare fiecărui tip de combustibil, ponderate cu energia consumată de respectiva unitate din fiecare tip de combustibil.</w:t>
            </w:r>
          </w:p>
          <w:p w:rsidR="00606EDC" w:rsidRPr="00606EDC" w:rsidRDefault="00606EDC" w:rsidP="00606EDC">
            <w:pPr>
              <w:pStyle w:val="NormalWeb"/>
              <w:ind w:left="28" w:firstLine="0"/>
            </w:pPr>
            <w:r w:rsidRPr="00606EDC">
              <w:t>7. În vederea adaptării valorilor de referinţă armonizate ale eficienţei pentru producerea separată de energie electrică la situația climatică medie din Republica Moldova cu abaterea temperaturii exterioare medii anuale faţă de condiţiile standard (15 ºC), se aplică factorul de corecţie +0,5 %, determinat pentru o temperatură exterioară medie anuală de 10 ºC.</w:t>
            </w:r>
          </w:p>
          <w:p w:rsidR="00606EDC" w:rsidRPr="00606EDC" w:rsidRDefault="00606EDC" w:rsidP="00606EDC">
            <w:pPr>
              <w:pStyle w:val="NormalWeb"/>
              <w:ind w:left="28" w:firstLine="0"/>
            </w:pPr>
            <w:r w:rsidRPr="00606EDC">
              <w:t>8. În vederea adaptării valorilor de referinţă armonizate ale eficienţei pentru producerea separată de energie electrică în funcție de pierderile evitate în reţelele electrice se aplică factorul de corecție conform Tabelului nr. 2</w:t>
            </w:r>
            <w:r>
              <w:t>.</w:t>
            </w:r>
          </w:p>
          <w:p w:rsidR="00606EDC" w:rsidRPr="00606EDC" w:rsidRDefault="00606EDC" w:rsidP="00606EDC">
            <w:pPr>
              <w:ind w:left="28"/>
              <w:jc w:val="right"/>
              <w:rPr>
                <w:rFonts w:ascii="Times New Roman" w:hAnsi="Times New Roman"/>
                <w:sz w:val="24"/>
                <w:szCs w:val="24"/>
                <w:lang w:val="en-US"/>
              </w:rPr>
            </w:pPr>
            <w:r w:rsidRPr="00606EDC">
              <w:rPr>
                <w:rFonts w:ascii="Times New Roman" w:hAnsi="Times New Roman"/>
                <w:sz w:val="24"/>
                <w:szCs w:val="24"/>
                <w:lang w:val="en-US"/>
              </w:rPr>
              <w:t>Tabelul nr. 2</w:t>
            </w:r>
          </w:p>
          <w:p w:rsidR="00606EDC" w:rsidRPr="00606EDC" w:rsidRDefault="00606EDC" w:rsidP="00606EDC">
            <w:pPr>
              <w:pStyle w:val="NormalWeb"/>
              <w:ind w:left="28" w:firstLine="0"/>
            </w:pPr>
            <w:r w:rsidRPr="00C923B1">
              <w:t xml:space="preserve">9. </w:t>
            </w:r>
            <w:r w:rsidRPr="00606EDC">
              <w:t>Factorul de corecţie stabilit în pct. 8 se aplică numai valorilor de referinţă prevăzute în pct. 4 din prezenta Anexă.</w:t>
            </w:r>
          </w:p>
          <w:p w:rsidR="00606EDC" w:rsidRPr="00606EDC" w:rsidRDefault="00606EDC" w:rsidP="00606EDC">
            <w:pPr>
              <w:ind w:left="28"/>
              <w:jc w:val="both"/>
              <w:rPr>
                <w:rFonts w:ascii="Times New Roman" w:hAnsi="Times New Roman"/>
                <w:sz w:val="26"/>
                <w:szCs w:val="26"/>
                <w:lang w:val="ro-RO"/>
              </w:rPr>
            </w:pPr>
            <w:r w:rsidRPr="00606EDC">
              <w:rPr>
                <w:rFonts w:ascii="Times New Roman" w:hAnsi="Times New Roman"/>
                <w:sz w:val="24"/>
                <w:szCs w:val="24"/>
                <w:lang w:val="ro-RO"/>
              </w:rPr>
              <w:t>10. În situaţiile în care se aplică atît factorul de corecţie prevăzut la pct. 7, cît şi factorul de corecţie prevăzut la pct. 8 din prezenta Anexă, se efectuează mai întîi corecţia cu factorul de corecţie prevăzut la pct. 7 şi ulterior corecţia cu factorul de corecţie prevăzut la pct. 8.</w:t>
            </w:r>
          </w:p>
        </w:tc>
        <w:tc>
          <w:tcPr>
            <w:tcW w:w="1559" w:type="dxa"/>
          </w:tcPr>
          <w:p w:rsidR="00123D6A" w:rsidRPr="0073486E" w:rsidRDefault="00123D6A" w:rsidP="0073486E">
            <w:pPr>
              <w:jc w:val="both"/>
              <w:rPr>
                <w:rFonts w:ascii="Times New Roman" w:hAnsi="Times New Roman"/>
                <w:sz w:val="24"/>
                <w:szCs w:val="24"/>
                <w:lang w:val="ro-RO"/>
              </w:rPr>
            </w:pPr>
            <w:r w:rsidRPr="0073486E">
              <w:rPr>
                <w:rFonts w:ascii="Times New Roman" w:hAnsi="Times New Roman"/>
                <w:sz w:val="24"/>
                <w:szCs w:val="24"/>
                <w:lang w:val="ro-RO"/>
              </w:rPr>
              <w:t>Nu este nici</w:t>
            </w:r>
            <w:r w:rsidR="00F372E4">
              <w:rPr>
                <w:rFonts w:ascii="Times New Roman" w:hAnsi="Times New Roman"/>
                <w:sz w:val="24"/>
                <w:szCs w:val="24"/>
                <w:lang w:val="ro-RO"/>
              </w:rPr>
              <w:t xml:space="preserve"> </w:t>
            </w:r>
            <w:r w:rsidRPr="0073486E">
              <w:rPr>
                <w:rFonts w:ascii="Times New Roman" w:hAnsi="Times New Roman"/>
                <w:sz w:val="24"/>
                <w:szCs w:val="24"/>
                <w:lang w:val="ro-RO"/>
              </w:rPr>
              <w:t>o diferență</w:t>
            </w:r>
            <w:r w:rsidR="0073486E" w:rsidRPr="0073486E">
              <w:rPr>
                <w:rFonts w:ascii="Times New Roman" w:hAnsi="Times New Roman"/>
                <w:sz w:val="24"/>
                <w:szCs w:val="24"/>
                <w:lang w:val="ro-RO"/>
              </w:rPr>
              <w:t>, cu exepția excluderii din proiectul HG (Anexa nr. 1)</w:t>
            </w:r>
            <w:r w:rsidR="00F372E4">
              <w:rPr>
                <w:rFonts w:ascii="Times New Roman" w:hAnsi="Times New Roman"/>
                <w:sz w:val="24"/>
                <w:szCs w:val="24"/>
                <w:lang w:val="ro-RO"/>
              </w:rPr>
              <w:t xml:space="preserve"> a</w:t>
            </w:r>
            <w:r w:rsidR="0073486E" w:rsidRPr="0073486E">
              <w:rPr>
                <w:rFonts w:ascii="Times New Roman" w:hAnsi="Times New Roman"/>
                <w:sz w:val="24"/>
                <w:szCs w:val="24"/>
                <w:lang w:val="ro-RO"/>
              </w:rPr>
              <w:t xml:space="preserve"> unor tipuri de combustibil care nu</w:t>
            </w:r>
            <w:r w:rsidR="00F372E4">
              <w:rPr>
                <w:rFonts w:ascii="Times New Roman" w:hAnsi="Times New Roman"/>
                <w:sz w:val="24"/>
                <w:szCs w:val="24"/>
                <w:lang w:val="ro-RO"/>
              </w:rPr>
              <w:t xml:space="preserve"> se</w:t>
            </w:r>
            <w:r w:rsidR="0073486E" w:rsidRPr="0073486E">
              <w:rPr>
                <w:rFonts w:ascii="Times New Roman" w:hAnsi="Times New Roman"/>
                <w:sz w:val="24"/>
                <w:szCs w:val="24"/>
                <w:lang w:val="ro-RO"/>
              </w:rPr>
              <w:t xml:space="preserve"> utilizează pe teritoriul RM. Totodată, </w:t>
            </w:r>
            <w:r w:rsidR="0073486E" w:rsidRPr="0073486E">
              <w:rPr>
                <w:rFonts w:ascii="Times New Roman" w:hAnsi="Times New Roman"/>
                <w:sz w:val="24"/>
                <w:szCs w:val="24"/>
                <w:lang w:val="en-US"/>
              </w:rPr>
              <w:t>adapt</w:t>
            </w:r>
            <w:r w:rsidR="0073486E" w:rsidRPr="0073486E">
              <w:rPr>
                <w:rFonts w:ascii="Times New Roman" w:hAnsi="Times New Roman"/>
                <w:sz w:val="24"/>
                <w:szCs w:val="24"/>
                <w:lang w:val="en-US"/>
              </w:rPr>
              <w:t xml:space="preserve">area </w:t>
            </w:r>
            <w:r w:rsidR="0073486E" w:rsidRPr="0073486E">
              <w:rPr>
                <w:rFonts w:ascii="Times New Roman" w:hAnsi="Times New Roman"/>
                <w:sz w:val="24"/>
                <w:szCs w:val="24"/>
                <w:lang w:val="en-US"/>
              </w:rPr>
              <w:t xml:space="preserve">la situația climatică </w:t>
            </w:r>
            <w:r w:rsidR="0073486E" w:rsidRPr="0073486E">
              <w:rPr>
                <w:rFonts w:ascii="Times New Roman" w:hAnsi="Times New Roman"/>
                <w:sz w:val="24"/>
                <w:szCs w:val="24"/>
                <w:lang w:val="en-US"/>
              </w:rPr>
              <w:t xml:space="preserve">a </w:t>
            </w:r>
            <w:r w:rsidR="0073486E" w:rsidRPr="0073486E">
              <w:rPr>
                <w:rFonts w:ascii="Times New Roman" w:hAnsi="Times New Roman"/>
                <w:sz w:val="24"/>
                <w:szCs w:val="24"/>
                <w:lang w:val="en-US"/>
              </w:rPr>
              <w:t xml:space="preserve">valorilor de referinţă armonizate ale eficienţei pentru producerea separată de energie electrică </w:t>
            </w:r>
            <w:r w:rsidR="0073486E" w:rsidRPr="0073486E">
              <w:rPr>
                <w:rFonts w:ascii="Times New Roman" w:hAnsi="Times New Roman"/>
                <w:sz w:val="24"/>
                <w:szCs w:val="24"/>
                <w:lang w:val="en-US"/>
              </w:rPr>
              <w:t>este prevăzută pentru condițiile RM</w:t>
            </w:r>
            <w:r w:rsidR="00230EE6" w:rsidRPr="0073486E">
              <w:rPr>
                <w:rFonts w:ascii="Times New Roman" w:hAnsi="Times New Roman"/>
                <w:sz w:val="24"/>
                <w:szCs w:val="24"/>
                <w:lang w:val="ro-RO"/>
              </w:rPr>
              <w:t>.</w:t>
            </w:r>
          </w:p>
          <w:p w:rsidR="00B01478" w:rsidRPr="003C08D7" w:rsidRDefault="00B01478" w:rsidP="00D960D1">
            <w:pPr>
              <w:rPr>
                <w:rFonts w:ascii="Times New Roman" w:hAnsi="Times New Roman"/>
                <w:sz w:val="26"/>
                <w:szCs w:val="26"/>
                <w:lang w:val="ro-RO"/>
              </w:rPr>
            </w:pPr>
          </w:p>
        </w:tc>
        <w:tc>
          <w:tcPr>
            <w:tcW w:w="1706" w:type="dxa"/>
          </w:tcPr>
          <w:p w:rsidR="00B01478" w:rsidRPr="003C08D7" w:rsidRDefault="00B01478" w:rsidP="00D960D1">
            <w:pPr>
              <w:rPr>
                <w:rFonts w:ascii="Times New Roman" w:hAnsi="Times New Roman"/>
                <w:sz w:val="26"/>
                <w:szCs w:val="26"/>
                <w:lang w:val="ro-RO"/>
              </w:rPr>
            </w:pPr>
          </w:p>
        </w:tc>
        <w:tc>
          <w:tcPr>
            <w:tcW w:w="1417" w:type="dxa"/>
          </w:tcPr>
          <w:p w:rsidR="00B01478" w:rsidRPr="003C08D7" w:rsidRDefault="00B01478" w:rsidP="00D960D1">
            <w:pPr>
              <w:rPr>
                <w:lang w:val="ro-RO"/>
              </w:rPr>
            </w:pPr>
          </w:p>
        </w:tc>
        <w:tc>
          <w:tcPr>
            <w:tcW w:w="1418" w:type="dxa"/>
          </w:tcPr>
          <w:p w:rsidR="00B01478" w:rsidRPr="003C08D7" w:rsidRDefault="00B01478" w:rsidP="00D960D1">
            <w:pPr>
              <w:rPr>
                <w:lang w:val="ro-RO"/>
              </w:rPr>
            </w:pPr>
          </w:p>
        </w:tc>
      </w:tr>
      <w:tr w:rsidR="00B01478" w:rsidRPr="00F372E4" w:rsidTr="0073486E">
        <w:tc>
          <w:tcPr>
            <w:tcW w:w="4962" w:type="dxa"/>
          </w:tcPr>
          <w:p w:rsidR="00C92703" w:rsidRPr="001908EB" w:rsidRDefault="007A15D0" w:rsidP="001908EB">
            <w:pPr>
              <w:jc w:val="both"/>
              <w:rPr>
                <w:rFonts w:ascii="Times New Roman" w:hAnsi="Times New Roman"/>
                <w:color w:val="000000"/>
                <w:sz w:val="24"/>
                <w:szCs w:val="24"/>
              </w:rPr>
            </w:pPr>
            <w:r w:rsidRPr="001908EB">
              <w:rPr>
                <w:rFonts w:ascii="Times New Roman" w:hAnsi="Times New Roman"/>
                <w:color w:val="000000"/>
                <w:sz w:val="24"/>
                <w:szCs w:val="24"/>
                <w:lang w:val="en-US"/>
              </w:rPr>
              <w:t>A</w:t>
            </w:r>
            <w:r w:rsidRPr="001908EB">
              <w:rPr>
                <w:rFonts w:ascii="Times New Roman" w:hAnsi="Times New Roman"/>
                <w:color w:val="000000"/>
                <w:sz w:val="24"/>
                <w:szCs w:val="24"/>
              </w:rPr>
              <w:t>nexa II</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b/>
                <w:bCs/>
                <w:color w:val="000000"/>
                <w:sz w:val="24"/>
                <w:szCs w:val="24"/>
                <w:lang w:val="en-US"/>
              </w:rPr>
              <w:t xml:space="preserve">Valorile de referință armonizate ale randamentului pentru producția separată de căldură (menționate la articolul 1 </w:t>
            </w:r>
          </w:p>
          <w:p w:rsidR="001908EB" w:rsidRPr="001908EB" w:rsidRDefault="001908EB" w:rsidP="001908EB">
            <w:pPr>
              <w:autoSpaceDE w:val="0"/>
              <w:autoSpaceDN w:val="0"/>
              <w:adjustRightInd w:val="0"/>
              <w:jc w:val="both"/>
              <w:rPr>
                <w:rFonts w:ascii="Times New Roman" w:hAnsi="Times New Roman"/>
                <w:sz w:val="24"/>
                <w:szCs w:val="24"/>
                <w:lang w:val="en-US"/>
              </w:rPr>
            </w:pPr>
            <w:r w:rsidRPr="001908EB">
              <w:rPr>
                <w:rFonts w:ascii="Times New Roman" w:eastAsiaTheme="minorHAnsi" w:hAnsi="Times New Roman"/>
                <w:color w:val="000000"/>
                <w:sz w:val="24"/>
                <w:szCs w:val="24"/>
                <w:lang w:val="en-US"/>
              </w:rPr>
              <w:t xml:space="preserve">În tabelul de mai jos, valorile de referință armonizate ale randamentului pentru producția separată de căldură se bazează pe puterea calorifică netă și condițiile ISO standard (temperatură ambiantă de 15 °C, 1,013 bari, umiditate relativă de 60 %). </w:t>
            </w:r>
          </w:p>
          <w:p w:rsidR="001908EB" w:rsidRPr="003C08D7" w:rsidRDefault="001908EB" w:rsidP="001908EB">
            <w:pPr>
              <w:jc w:val="both"/>
              <w:rPr>
                <w:lang w:val="en-US"/>
              </w:rPr>
            </w:pPr>
          </w:p>
        </w:tc>
        <w:tc>
          <w:tcPr>
            <w:tcW w:w="4389" w:type="dxa"/>
          </w:tcPr>
          <w:p w:rsidR="00455172" w:rsidRPr="00EE3271" w:rsidRDefault="00C02551" w:rsidP="00EE3271">
            <w:pPr>
              <w:ind w:left="28"/>
              <w:rPr>
                <w:rFonts w:ascii="Times New Roman" w:hAnsi="Times New Roman"/>
                <w:sz w:val="24"/>
                <w:szCs w:val="24"/>
                <w:lang w:val="en-GB"/>
              </w:rPr>
            </w:pPr>
            <w:r w:rsidRPr="00EE3271">
              <w:rPr>
                <w:rFonts w:ascii="Times New Roman" w:hAnsi="Times New Roman"/>
                <w:sz w:val="24"/>
                <w:szCs w:val="24"/>
                <w:lang w:val="en-GB"/>
              </w:rPr>
              <w:t>Anexa nr. 2</w:t>
            </w:r>
          </w:p>
          <w:p w:rsidR="00EE3271" w:rsidRPr="00EE3271" w:rsidRDefault="00EE3271" w:rsidP="00EE3271">
            <w:pPr>
              <w:ind w:left="28"/>
              <w:jc w:val="center"/>
              <w:rPr>
                <w:rFonts w:ascii="Times New Roman" w:hAnsi="Times New Roman"/>
                <w:sz w:val="24"/>
                <w:szCs w:val="24"/>
                <w:lang w:val="en-US"/>
              </w:rPr>
            </w:pPr>
            <w:r w:rsidRPr="00EE3271">
              <w:rPr>
                <w:rFonts w:ascii="Times New Roman" w:hAnsi="Times New Roman"/>
                <w:sz w:val="24"/>
                <w:szCs w:val="24"/>
                <w:lang w:val="en-US"/>
              </w:rPr>
              <w:t>Valorile de referință armonizate ale eficienței pentru producerea separată de energie termică</w:t>
            </w:r>
          </w:p>
          <w:p w:rsidR="00EE3271" w:rsidRPr="00EE3271" w:rsidRDefault="00EE3271" w:rsidP="00EE3271">
            <w:pPr>
              <w:ind w:left="28"/>
              <w:jc w:val="both"/>
              <w:rPr>
                <w:rFonts w:ascii="Times New Roman" w:hAnsi="Times New Roman"/>
                <w:sz w:val="24"/>
                <w:szCs w:val="24"/>
                <w:lang w:val="en-US"/>
              </w:rPr>
            </w:pPr>
            <w:r w:rsidRPr="00EE3271">
              <w:rPr>
                <w:rFonts w:ascii="Times New Roman" w:hAnsi="Times New Roman"/>
                <w:iCs/>
                <w:sz w:val="24"/>
                <w:szCs w:val="24"/>
                <w:lang w:val="en-US"/>
              </w:rPr>
              <w:t xml:space="preserve">1. Prezenta Anexă transpune parțial (art. 1, 5, Anexa II) </w:t>
            </w:r>
            <w:r w:rsidRPr="00EE3271">
              <w:rPr>
                <w:rFonts w:ascii="Times New Roman" w:hAnsi="Times New Roman"/>
                <w:sz w:val="24"/>
                <w:szCs w:val="24"/>
                <w:lang w:val="ro-MD"/>
              </w:rPr>
              <w:t>Decizia nr. 2011/877/UE de punere în aplicare a Comisiei din 19 decembrie 2011 de stabilire a valorilor de referinţă armonizate ale randamentului pentru producţia separată de energie electrică şi căldură, în aplicarea Directivei 2004/8/CE a Parlamentului European şi a Consiliului, şi de abrogare a Deciziei 2007/74/CE a Comisiei (notificată cu nr. C (2011) 9523)</w:t>
            </w:r>
            <w:r w:rsidRPr="00EE3271">
              <w:rPr>
                <w:rFonts w:ascii="Times New Roman" w:hAnsi="Times New Roman"/>
                <w:iCs/>
                <w:sz w:val="24"/>
                <w:szCs w:val="24"/>
                <w:lang w:val="en-US"/>
              </w:rPr>
              <w:t>, publicată în Jurnalul Oficial al Uniunii Europene (JO) nr. L 343/91.</w:t>
            </w:r>
            <w:r w:rsidRPr="00EE3271">
              <w:rPr>
                <w:rFonts w:ascii="Times New Roman" w:hAnsi="Times New Roman"/>
                <w:sz w:val="24"/>
                <w:szCs w:val="24"/>
                <w:lang w:val="en-US"/>
              </w:rPr>
              <w:t xml:space="preserve"> </w:t>
            </w:r>
          </w:p>
          <w:p w:rsidR="00EE3271" w:rsidRPr="00EE3271" w:rsidRDefault="00EE3271" w:rsidP="00EE3271">
            <w:pPr>
              <w:ind w:left="28"/>
              <w:jc w:val="both"/>
              <w:rPr>
                <w:rFonts w:ascii="Times New Roman" w:hAnsi="Times New Roman"/>
                <w:sz w:val="24"/>
                <w:szCs w:val="24"/>
                <w:lang w:val="en-US"/>
              </w:rPr>
            </w:pPr>
            <w:r w:rsidRPr="00EE3271">
              <w:rPr>
                <w:rFonts w:ascii="Times New Roman" w:hAnsi="Times New Roman"/>
                <w:sz w:val="24"/>
                <w:szCs w:val="24"/>
                <w:lang w:val="en-US"/>
              </w:rPr>
              <w:t>2. Valorile de referință armonizate ale eficienței pentru producerea separată de energie termică sunt prezentate în Tabelul nr. 1 din prezenta Anexă.</w:t>
            </w:r>
          </w:p>
          <w:p w:rsidR="00EE3271" w:rsidRPr="00472812" w:rsidRDefault="00EE3271" w:rsidP="00472812">
            <w:pPr>
              <w:ind w:left="28"/>
              <w:jc w:val="right"/>
              <w:rPr>
                <w:rFonts w:ascii="Times New Roman" w:hAnsi="Times New Roman"/>
                <w:sz w:val="24"/>
                <w:szCs w:val="24"/>
                <w:lang w:val="en-US"/>
              </w:rPr>
            </w:pPr>
            <w:r w:rsidRPr="00472812">
              <w:rPr>
                <w:rFonts w:ascii="Times New Roman" w:hAnsi="Times New Roman"/>
                <w:sz w:val="24"/>
                <w:szCs w:val="24"/>
                <w:lang w:val="en-US"/>
              </w:rPr>
              <w:t>Tabelul nr. 1</w:t>
            </w:r>
          </w:p>
          <w:p w:rsidR="00472812" w:rsidRPr="00472812" w:rsidRDefault="00472812" w:rsidP="00472812">
            <w:pPr>
              <w:ind w:left="28"/>
              <w:jc w:val="both"/>
              <w:rPr>
                <w:rFonts w:ascii="Times New Roman" w:hAnsi="Times New Roman"/>
                <w:sz w:val="20"/>
                <w:szCs w:val="20"/>
                <w:lang w:val="en-US"/>
              </w:rPr>
            </w:pPr>
            <w:r w:rsidRPr="00472812">
              <w:rPr>
                <w:rFonts w:ascii="Times New Roman" w:hAnsi="Times New Roman"/>
                <w:sz w:val="20"/>
                <w:szCs w:val="20"/>
                <w:lang w:val="en-US"/>
              </w:rPr>
              <w:t xml:space="preserve">* Notă: În tabel, valorile de referință armonizate ale eficienței producerii separate de energie termică au la bază puterea calorifică inferioară a combustibilului și condițiile standard (15 °C temperatura exterioară, 1,013 bar, 60 % umiditate relativă). </w:t>
            </w:r>
          </w:p>
          <w:p w:rsidR="00472812" w:rsidRPr="00472812" w:rsidRDefault="00472812" w:rsidP="00472812">
            <w:pPr>
              <w:pStyle w:val="NormalWeb"/>
              <w:ind w:left="28" w:firstLine="0"/>
            </w:pPr>
            <w:r w:rsidRPr="00472812">
              <w:t>3. Valorile de referinţă armonizate ale eficienţei pentru producerea separată de energie termică se aleg în funcţie de tipul de combustibilului utilizat. Dacă o unitate de cogenerare funcţionează cu mai multe tipuri de combustibili, se aplică media valorilor de referinţă corespunzătoare fiecărui tip de combustibil, ponderate cu energia consumată de respectiva unitate din fiecare tip de combustibil.</w:t>
            </w:r>
          </w:p>
          <w:p w:rsidR="00472812" w:rsidRPr="00472812" w:rsidRDefault="00472812" w:rsidP="00472812">
            <w:pPr>
              <w:pStyle w:val="NormalWeb"/>
              <w:ind w:left="28" w:firstLine="0"/>
            </w:pPr>
            <w:r w:rsidRPr="00472812">
              <w:t>4. Prin gaze evacuate cu utilizare directă se înțelege cedarea energiei termice conținute de acestea printr-un proces de transfer de căldură direct, fără agent termic intermediar. Valorile aplicabile a gazelor evacuate trebuie utilizate dacă temperatura acestora este mai mare sau egală cu 250 °C.</w:t>
            </w:r>
          </w:p>
          <w:p w:rsidR="00EE3271" w:rsidRPr="003C08D7" w:rsidRDefault="00EE3271" w:rsidP="00D960D1">
            <w:pPr>
              <w:rPr>
                <w:rFonts w:ascii="Times New Roman" w:hAnsi="Times New Roman"/>
                <w:sz w:val="26"/>
                <w:szCs w:val="26"/>
                <w:lang w:val="ro-RO"/>
              </w:rPr>
            </w:pPr>
          </w:p>
        </w:tc>
        <w:tc>
          <w:tcPr>
            <w:tcW w:w="1559" w:type="dxa"/>
          </w:tcPr>
          <w:p w:rsidR="00F81DD4" w:rsidRPr="003C08D7" w:rsidRDefault="0073486E" w:rsidP="0073486E">
            <w:pPr>
              <w:jc w:val="both"/>
              <w:rPr>
                <w:rFonts w:ascii="Times New Roman" w:hAnsi="Times New Roman"/>
                <w:i/>
                <w:sz w:val="26"/>
                <w:szCs w:val="26"/>
                <w:lang w:val="ro-RO"/>
              </w:rPr>
            </w:pPr>
            <w:r w:rsidRPr="0073486E">
              <w:rPr>
                <w:rFonts w:ascii="Times New Roman" w:hAnsi="Times New Roman"/>
                <w:sz w:val="24"/>
                <w:szCs w:val="24"/>
                <w:lang w:val="ro-RO"/>
              </w:rPr>
              <w:t>Nu este nici</w:t>
            </w:r>
            <w:r w:rsidR="00F372E4">
              <w:rPr>
                <w:rFonts w:ascii="Times New Roman" w:hAnsi="Times New Roman"/>
                <w:sz w:val="24"/>
                <w:szCs w:val="24"/>
                <w:lang w:val="ro-RO"/>
              </w:rPr>
              <w:t xml:space="preserve"> </w:t>
            </w:r>
            <w:r w:rsidRPr="0073486E">
              <w:rPr>
                <w:rFonts w:ascii="Times New Roman" w:hAnsi="Times New Roman"/>
                <w:sz w:val="24"/>
                <w:szCs w:val="24"/>
                <w:lang w:val="ro-RO"/>
              </w:rPr>
              <w:t xml:space="preserve">o diferență, cu exepția excluderii din proiectul HG (Anexa nr. </w:t>
            </w:r>
            <w:r>
              <w:rPr>
                <w:rFonts w:ascii="Times New Roman" w:hAnsi="Times New Roman"/>
                <w:sz w:val="24"/>
                <w:szCs w:val="24"/>
                <w:lang w:val="ro-RO"/>
              </w:rPr>
              <w:t>2</w:t>
            </w:r>
            <w:r w:rsidRPr="0073486E">
              <w:rPr>
                <w:rFonts w:ascii="Times New Roman" w:hAnsi="Times New Roman"/>
                <w:sz w:val="24"/>
                <w:szCs w:val="24"/>
                <w:lang w:val="ro-RO"/>
              </w:rPr>
              <w:t>)</w:t>
            </w:r>
            <w:r w:rsidR="00F372E4">
              <w:rPr>
                <w:rFonts w:ascii="Times New Roman" w:hAnsi="Times New Roman"/>
                <w:sz w:val="24"/>
                <w:szCs w:val="24"/>
                <w:lang w:val="ro-RO"/>
              </w:rPr>
              <w:t xml:space="preserve"> a</w:t>
            </w:r>
            <w:r w:rsidRPr="0073486E">
              <w:rPr>
                <w:rFonts w:ascii="Times New Roman" w:hAnsi="Times New Roman"/>
                <w:sz w:val="24"/>
                <w:szCs w:val="24"/>
                <w:lang w:val="ro-RO"/>
              </w:rPr>
              <w:t xml:space="preserve"> unor tipuri de combustibil care </w:t>
            </w:r>
            <w:r>
              <w:rPr>
                <w:rFonts w:ascii="Times New Roman" w:hAnsi="Times New Roman"/>
                <w:sz w:val="24"/>
                <w:szCs w:val="24"/>
                <w:lang w:val="ro-RO"/>
              </w:rPr>
              <w:t>nu utilizează pe teritoriul RM.</w:t>
            </w:r>
          </w:p>
        </w:tc>
        <w:tc>
          <w:tcPr>
            <w:tcW w:w="1706" w:type="dxa"/>
          </w:tcPr>
          <w:p w:rsidR="00B01478" w:rsidRPr="003C08D7" w:rsidRDefault="00B01478" w:rsidP="00D960D1">
            <w:pPr>
              <w:rPr>
                <w:rFonts w:ascii="Times New Roman" w:hAnsi="Times New Roman"/>
                <w:sz w:val="26"/>
                <w:szCs w:val="26"/>
                <w:lang w:val="ro-RO"/>
              </w:rPr>
            </w:pPr>
          </w:p>
        </w:tc>
        <w:tc>
          <w:tcPr>
            <w:tcW w:w="1417" w:type="dxa"/>
          </w:tcPr>
          <w:p w:rsidR="00B01478" w:rsidRPr="003C08D7" w:rsidRDefault="00B01478" w:rsidP="00D960D1">
            <w:pPr>
              <w:rPr>
                <w:lang w:val="ro-RO"/>
              </w:rPr>
            </w:pPr>
          </w:p>
        </w:tc>
        <w:tc>
          <w:tcPr>
            <w:tcW w:w="1418" w:type="dxa"/>
          </w:tcPr>
          <w:p w:rsidR="00B01478" w:rsidRPr="003C08D7" w:rsidRDefault="00B01478" w:rsidP="00D960D1">
            <w:pPr>
              <w:rPr>
                <w:lang w:val="ro-RO"/>
              </w:rPr>
            </w:pPr>
          </w:p>
        </w:tc>
      </w:tr>
      <w:tr w:rsidR="00B01478" w:rsidRPr="007A15D0" w:rsidTr="0073486E">
        <w:tc>
          <w:tcPr>
            <w:tcW w:w="4962" w:type="dxa"/>
          </w:tcPr>
          <w:p w:rsidR="00C92703" w:rsidRDefault="007A15D0" w:rsidP="001908EB">
            <w:pPr>
              <w:tabs>
                <w:tab w:val="left" w:pos="3123"/>
              </w:tabs>
              <w:rPr>
                <w:rFonts w:ascii="Times New Roman" w:hAnsi="Times New Roman"/>
                <w:color w:val="000000"/>
                <w:sz w:val="24"/>
                <w:szCs w:val="24"/>
              </w:rPr>
            </w:pPr>
            <w:r>
              <w:rPr>
                <w:rFonts w:ascii="Times New Roman" w:hAnsi="Times New Roman"/>
                <w:color w:val="000000"/>
                <w:sz w:val="24"/>
                <w:szCs w:val="24"/>
                <w:lang w:val="en-US"/>
              </w:rPr>
              <w:t>A</w:t>
            </w:r>
            <w:r w:rsidRPr="007A15D0">
              <w:rPr>
                <w:rFonts w:ascii="Times New Roman" w:hAnsi="Times New Roman"/>
                <w:color w:val="000000"/>
                <w:sz w:val="24"/>
                <w:szCs w:val="24"/>
              </w:rPr>
              <w:t>nexa III</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b/>
                <w:bCs/>
                <w:color w:val="000000"/>
                <w:sz w:val="24"/>
                <w:szCs w:val="24"/>
                <w:lang w:val="en-US"/>
              </w:rPr>
              <w:t>Factorii de corecție referitori la situația climatică medie și metoda de stabilire a zonelor climatice, utilizați pentru aplicarea valorilor de referință armonizate ale randamentului pentru producția separată de energie electrică [menționați la articolul 3 alineatul (1)]</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 xml:space="preserve">(a) Factori de corecție referitori la situația climatică medie </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 xml:space="preserve">Corecția referitoare la temperatura ambiantă se bazează pe diferența dintre temperatura medie anuală dintr-un stat membru și condițiile ISO standard (15 °C). </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 xml:space="preserve">Corecția se efectuează în felul următor: </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 xml:space="preserve">(i) pierdere de randament de 0,1 puncte procentuale pentru fiecare grad peste 15 °C; </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 xml:space="preserve">(ii) creștere de randament de 0,1 puncte procentuale pentru fiecare grad sub 15 °C. </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 xml:space="preserve">Exemplu: </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 xml:space="preserve">Atunci când temperatura medie anuală dintr-un stat membru este de 10 °C, valoarea de referință a unei unități de cogenerare din statul membru respectiv trebuie majorată cu 0,5 puncte procentuale </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 xml:space="preserve">(b) Metoda de stabilire a zonelor climatice </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 xml:space="preserve">Limitele fiecărei zone climatice vor fi constituite de izotermele (în grade Celsius întregi) temperaturii ambiante medii anuale între care există o diferență de cel puțin 4 °C. Diferența dintre temperaturile ambiante medii anuale din zone climatice adiacente va fi de cel puțin 4 °C. </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 xml:space="preserve">Exemplu: </w:t>
            </w:r>
          </w:p>
          <w:p w:rsidR="001908EB" w:rsidRDefault="001908EB" w:rsidP="001908EB">
            <w:pPr>
              <w:tabs>
                <w:tab w:val="left" w:pos="3123"/>
              </w:tabs>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Într-un stat membru, temperatura ambiantă medie anuală în locul A este de 12 °C, iar în locul B, de 6 °C. Diferența este mai mare de 5 °C. În acest caz, statul membru are posibilitatea de a introduce două zone climatice separate de izoterma de 9 °C, constituind astfel o zonă climatică între izotermele de 9 °C și 13 °C, cu o temperatură ambiantă medie anuală de 11 °C, și o altă zonă climatică între izotermele de 5 °C și 9 °C, cu o temperatură ambiantă medie anuală de 7 °C.</w:t>
            </w:r>
          </w:p>
          <w:p w:rsidR="001908EB" w:rsidRPr="003C08D7" w:rsidRDefault="001908EB" w:rsidP="001908EB">
            <w:pPr>
              <w:tabs>
                <w:tab w:val="left" w:pos="3123"/>
              </w:tabs>
              <w:jc w:val="both"/>
              <w:rPr>
                <w:lang w:val="en-US"/>
              </w:rPr>
            </w:pPr>
          </w:p>
        </w:tc>
        <w:tc>
          <w:tcPr>
            <w:tcW w:w="4389" w:type="dxa"/>
          </w:tcPr>
          <w:p w:rsidR="00666277" w:rsidRPr="003C08D7" w:rsidRDefault="00666277" w:rsidP="00D960D1">
            <w:pPr>
              <w:jc w:val="both"/>
              <w:rPr>
                <w:rFonts w:ascii="Times New Roman" w:hAnsi="Times New Roman"/>
                <w:sz w:val="26"/>
                <w:szCs w:val="26"/>
                <w:lang w:val="fr-FR"/>
              </w:rPr>
            </w:pPr>
          </w:p>
        </w:tc>
        <w:tc>
          <w:tcPr>
            <w:tcW w:w="1559" w:type="dxa"/>
          </w:tcPr>
          <w:p w:rsidR="00E5469B" w:rsidRDefault="00E5469B" w:rsidP="00E5469B">
            <w:pPr>
              <w:jc w:val="both"/>
              <w:rPr>
                <w:rFonts w:ascii="Times New Roman" w:hAnsi="Times New Roman"/>
                <w:sz w:val="24"/>
                <w:szCs w:val="24"/>
                <w:lang w:val="ro-RO"/>
              </w:rPr>
            </w:pPr>
            <w:r w:rsidRPr="0073486E">
              <w:rPr>
                <w:rFonts w:ascii="Times New Roman" w:hAnsi="Times New Roman"/>
                <w:sz w:val="24"/>
                <w:szCs w:val="24"/>
                <w:lang w:val="ro-RO"/>
              </w:rPr>
              <w:t>Nu este nici</w:t>
            </w:r>
            <w:r w:rsidR="00F372E4">
              <w:rPr>
                <w:rFonts w:ascii="Times New Roman" w:hAnsi="Times New Roman"/>
                <w:sz w:val="24"/>
                <w:szCs w:val="24"/>
                <w:lang w:val="ro-RO"/>
              </w:rPr>
              <w:t xml:space="preserve"> </w:t>
            </w:r>
            <w:r w:rsidRPr="0073486E">
              <w:rPr>
                <w:rFonts w:ascii="Times New Roman" w:hAnsi="Times New Roman"/>
                <w:sz w:val="24"/>
                <w:szCs w:val="24"/>
                <w:lang w:val="ro-RO"/>
              </w:rPr>
              <w:t>o diferență</w:t>
            </w:r>
            <w:r>
              <w:rPr>
                <w:rFonts w:ascii="Times New Roman" w:hAnsi="Times New Roman"/>
                <w:sz w:val="24"/>
                <w:szCs w:val="24"/>
                <w:lang w:val="ro-RO"/>
              </w:rPr>
              <w:t>. Prevederile Anexei III sunt reflectate în Anexa nr. 1 din HG.</w:t>
            </w:r>
          </w:p>
          <w:p w:rsidR="00E5469B" w:rsidRPr="0073486E" w:rsidRDefault="00E5469B" w:rsidP="00E5469B">
            <w:pPr>
              <w:jc w:val="both"/>
              <w:rPr>
                <w:rFonts w:ascii="Times New Roman" w:hAnsi="Times New Roman"/>
                <w:sz w:val="24"/>
                <w:szCs w:val="24"/>
                <w:lang w:val="ro-RO"/>
              </w:rPr>
            </w:pPr>
            <w:r w:rsidRPr="0073486E">
              <w:rPr>
                <w:rFonts w:ascii="Times New Roman" w:hAnsi="Times New Roman"/>
                <w:sz w:val="24"/>
                <w:szCs w:val="24"/>
                <w:lang w:val="ro-RO"/>
              </w:rPr>
              <w:t xml:space="preserve">Totodată, </w:t>
            </w:r>
            <w:r w:rsidRPr="0073486E">
              <w:rPr>
                <w:rFonts w:ascii="Times New Roman" w:hAnsi="Times New Roman"/>
                <w:sz w:val="24"/>
                <w:szCs w:val="24"/>
                <w:lang w:val="en-US"/>
              </w:rPr>
              <w:t>adaptarea la situația climatică a valorilor de referinţă armonizate ale eficienţei pentru producerea separată de energie electrică este prevăzută pentru condițiile RM</w:t>
            </w:r>
            <w:r w:rsidRPr="0073486E">
              <w:rPr>
                <w:rFonts w:ascii="Times New Roman" w:hAnsi="Times New Roman"/>
                <w:sz w:val="24"/>
                <w:szCs w:val="24"/>
                <w:lang w:val="ro-RO"/>
              </w:rPr>
              <w:t>.</w:t>
            </w:r>
          </w:p>
          <w:p w:rsidR="00B01478" w:rsidRPr="003C08D7" w:rsidRDefault="00B01478" w:rsidP="00D960D1">
            <w:pPr>
              <w:rPr>
                <w:rFonts w:ascii="Times New Roman" w:hAnsi="Times New Roman"/>
                <w:sz w:val="26"/>
                <w:szCs w:val="26"/>
                <w:lang w:val="ro-RO"/>
              </w:rPr>
            </w:pPr>
          </w:p>
        </w:tc>
        <w:tc>
          <w:tcPr>
            <w:tcW w:w="1706" w:type="dxa"/>
          </w:tcPr>
          <w:p w:rsidR="00B01478" w:rsidRPr="003C08D7" w:rsidRDefault="00B01478" w:rsidP="00D960D1">
            <w:pPr>
              <w:rPr>
                <w:rFonts w:ascii="Times New Roman" w:hAnsi="Times New Roman"/>
                <w:sz w:val="26"/>
                <w:szCs w:val="26"/>
                <w:lang w:val="ro-RO"/>
              </w:rPr>
            </w:pPr>
          </w:p>
        </w:tc>
        <w:tc>
          <w:tcPr>
            <w:tcW w:w="1417" w:type="dxa"/>
          </w:tcPr>
          <w:p w:rsidR="00B01478" w:rsidRPr="003C08D7" w:rsidRDefault="00B01478" w:rsidP="00D960D1">
            <w:pPr>
              <w:rPr>
                <w:lang w:val="ro-RO"/>
              </w:rPr>
            </w:pPr>
          </w:p>
        </w:tc>
        <w:tc>
          <w:tcPr>
            <w:tcW w:w="1418" w:type="dxa"/>
          </w:tcPr>
          <w:p w:rsidR="00B01478" w:rsidRPr="003C08D7" w:rsidRDefault="00B01478" w:rsidP="00D960D1">
            <w:pPr>
              <w:rPr>
                <w:lang w:val="ro-RO"/>
              </w:rPr>
            </w:pPr>
          </w:p>
        </w:tc>
      </w:tr>
      <w:tr w:rsidR="00B01478" w:rsidRPr="007A15D0" w:rsidTr="0073486E">
        <w:tc>
          <w:tcPr>
            <w:tcW w:w="4962" w:type="dxa"/>
          </w:tcPr>
          <w:p w:rsidR="005B51C8" w:rsidRDefault="007A15D0" w:rsidP="001908EB">
            <w:pPr>
              <w:rPr>
                <w:rFonts w:ascii="Times New Roman" w:hAnsi="Times New Roman"/>
                <w:color w:val="000000"/>
                <w:sz w:val="24"/>
                <w:szCs w:val="24"/>
                <w:lang w:val="en-US"/>
              </w:rPr>
            </w:pPr>
            <w:r>
              <w:rPr>
                <w:rFonts w:ascii="Times New Roman" w:hAnsi="Times New Roman"/>
                <w:color w:val="000000"/>
                <w:sz w:val="24"/>
                <w:szCs w:val="24"/>
              </w:rPr>
              <w:t>A</w:t>
            </w:r>
            <w:r w:rsidRPr="007A15D0">
              <w:rPr>
                <w:rFonts w:ascii="Times New Roman" w:hAnsi="Times New Roman"/>
                <w:color w:val="000000"/>
                <w:sz w:val="24"/>
                <w:szCs w:val="24"/>
              </w:rPr>
              <w:t>nexa I</w:t>
            </w:r>
            <w:r>
              <w:rPr>
                <w:rFonts w:ascii="Times New Roman" w:hAnsi="Times New Roman"/>
                <w:color w:val="000000"/>
                <w:sz w:val="24"/>
                <w:szCs w:val="24"/>
                <w:lang w:val="en-US"/>
              </w:rPr>
              <w:t>V</w:t>
            </w:r>
          </w:p>
          <w:p w:rsidR="001908EB" w:rsidRPr="001908EB" w:rsidRDefault="001908EB" w:rsidP="001908EB">
            <w:pPr>
              <w:jc w:val="both"/>
              <w:rPr>
                <w:rFonts w:ascii="Times New Roman" w:eastAsiaTheme="minorHAnsi" w:hAnsi="Times New Roman"/>
                <w:b/>
                <w:bCs/>
                <w:color w:val="000000"/>
                <w:sz w:val="24"/>
                <w:szCs w:val="24"/>
                <w:lang w:val="en-US"/>
              </w:rPr>
            </w:pPr>
            <w:r w:rsidRPr="001908EB">
              <w:rPr>
                <w:rFonts w:ascii="Times New Roman" w:eastAsiaTheme="minorHAnsi" w:hAnsi="Times New Roman"/>
                <w:b/>
                <w:bCs/>
                <w:color w:val="000000"/>
                <w:sz w:val="24"/>
                <w:szCs w:val="24"/>
                <w:lang w:val="en-US"/>
              </w:rPr>
              <w:t>Factorii de corecție referitori la pierderile în rețea evitate, utilizați pentru aplicarea valorilor de referință armonizate ale randamentului pentru producția separată de energie electrică [menționați la articolul 3 alineatul (2)]</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 xml:space="preserve">Exemplu: </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 xml:space="preserve">O unitate de cogenerare de 100 kW el cu motor alternativ care funcționează cu gaz natural produce energie electrică la 380 V. 85 % din această energie electrică este utilizată pentru consumul propriu și 15 % este exportată în rețea. Instalația a fost construită în 1999. Temperatura ambiantă anuală este de 15 °C (deci nu este necesară nicio corecție climatică). </w:t>
            </w:r>
          </w:p>
          <w:p w:rsidR="001908EB" w:rsidRPr="001908EB" w:rsidRDefault="001908EB" w:rsidP="001908EB">
            <w:pPr>
              <w:autoSpaceDE w:val="0"/>
              <w:autoSpaceDN w:val="0"/>
              <w:adjustRightInd w:val="0"/>
              <w:jc w:val="both"/>
              <w:rPr>
                <w:rFonts w:ascii="Times New Roman" w:eastAsiaTheme="minorHAnsi" w:hAnsi="Times New Roman"/>
                <w:color w:val="000000"/>
                <w:sz w:val="24"/>
                <w:szCs w:val="24"/>
                <w:lang w:val="en-US"/>
              </w:rPr>
            </w:pPr>
            <w:r w:rsidRPr="001908EB">
              <w:rPr>
                <w:rFonts w:ascii="Times New Roman" w:eastAsiaTheme="minorHAnsi" w:hAnsi="Times New Roman"/>
                <w:color w:val="000000"/>
                <w:sz w:val="24"/>
                <w:szCs w:val="24"/>
                <w:lang w:val="en-US"/>
              </w:rPr>
              <w:t xml:space="preserve">În conformitate cu articolul 2 din prezenta decizie, pentru unități de cogenerare mai vechi de 10 ani trebuie aplicate valorile de referință ale unităților care au 10 ani. În conformitate cu anexa I la prezenta decizie, pentru o unitate de cogenerare construită în 1999 care funcționează cu gaz natural și nu a fost modernizată, valoarea de referință armonizată a randamentului aplicabilă în 2011 este valoarea de referință pentru 2001, respectiv 51,7 %. După corecția pentru pierderile în rețea, valoarea de referință a randamentului rezultată, în cazul acestei unități de cogenerare, pentru producția separată de energie este (pe baza mediei ponderate a factorilor din prezenta anexă): </w:t>
            </w:r>
          </w:p>
          <w:p w:rsidR="001908EB" w:rsidRPr="003C08D7" w:rsidRDefault="001908EB" w:rsidP="004022CB">
            <w:pPr>
              <w:jc w:val="both"/>
              <w:rPr>
                <w:rFonts w:ascii="Times New Roman" w:hAnsi="Times New Roman"/>
                <w:sz w:val="26"/>
                <w:szCs w:val="26"/>
                <w:lang w:val="ro-RO"/>
              </w:rPr>
            </w:pPr>
            <w:r w:rsidRPr="001908EB">
              <w:rPr>
                <w:rFonts w:ascii="Times New Roman" w:eastAsiaTheme="minorHAnsi" w:hAnsi="Times New Roman"/>
                <w:color w:val="000000"/>
                <w:sz w:val="24"/>
                <w:szCs w:val="24"/>
                <w:lang w:val="en-US"/>
              </w:rPr>
              <w:t>Ref Εη = 51,7 % * (0,860 * 85 % + 0,925 * 15 %) = 45,0 %</w:t>
            </w:r>
          </w:p>
        </w:tc>
        <w:tc>
          <w:tcPr>
            <w:tcW w:w="4389" w:type="dxa"/>
          </w:tcPr>
          <w:p w:rsidR="00E3533B" w:rsidRPr="003C08D7" w:rsidRDefault="00E3533B" w:rsidP="00D960D1">
            <w:pPr>
              <w:widowControl w:val="0"/>
              <w:autoSpaceDE w:val="0"/>
              <w:autoSpaceDN w:val="0"/>
              <w:adjustRightInd w:val="0"/>
              <w:spacing w:line="200" w:lineRule="exact"/>
              <w:rPr>
                <w:rFonts w:ascii="Times New Roman" w:hAnsi="Times New Roman"/>
                <w:sz w:val="26"/>
                <w:szCs w:val="26"/>
                <w:lang w:val="ro-RO"/>
              </w:rPr>
            </w:pPr>
          </w:p>
        </w:tc>
        <w:tc>
          <w:tcPr>
            <w:tcW w:w="1559" w:type="dxa"/>
          </w:tcPr>
          <w:p w:rsidR="00E5469B" w:rsidRDefault="00E5469B" w:rsidP="00E5469B">
            <w:pPr>
              <w:jc w:val="both"/>
              <w:rPr>
                <w:rFonts w:ascii="Times New Roman" w:hAnsi="Times New Roman"/>
                <w:sz w:val="24"/>
                <w:szCs w:val="24"/>
                <w:lang w:val="ro-RO"/>
              </w:rPr>
            </w:pPr>
            <w:r w:rsidRPr="0073486E">
              <w:rPr>
                <w:rFonts w:ascii="Times New Roman" w:hAnsi="Times New Roman"/>
                <w:sz w:val="24"/>
                <w:szCs w:val="24"/>
                <w:lang w:val="ro-RO"/>
              </w:rPr>
              <w:t>Nu este nici</w:t>
            </w:r>
            <w:r w:rsidR="00F372E4">
              <w:rPr>
                <w:rFonts w:ascii="Times New Roman" w:hAnsi="Times New Roman"/>
                <w:sz w:val="24"/>
                <w:szCs w:val="24"/>
                <w:lang w:val="ro-RO"/>
              </w:rPr>
              <w:t xml:space="preserve"> </w:t>
            </w:r>
            <w:r w:rsidRPr="0073486E">
              <w:rPr>
                <w:rFonts w:ascii="Times New Roman" w:hAnsi="Times New Roman"/>
                <w:sz w:val="24"/>
                <w:szCs w:val="24"/>
                <w:lang w:val="ro-RO"/>
              </w:rPr>
              <w:t>o diferență</w:t>
            </w:r>
            <w:r>
              <w:rPr>
                <w:rFonts w:ascii="Times New Roman" w:hAnsi="Times New Roman"/>
                <w:sz w:val="24"/>
                <w:szCs w:val="24"/>
                <w:lang w:val="ro-RO"/>
              </w:rPr>
              <w:t>. Prevederile Anexei I</w:t>
            </w:r>
            <w:r>
              <w:rPr>
                <w:rFonts w:ascii="Times New Roman" w:hAnsi="Times New Roman"/>
                <w:sz w:val="24"/>
                <w:szCs w:val="24"/>
                <w:lang w:val="ro-RO"/>
              </w:rPr>
              <w:t>V</w:t>
            </w:r>
            <w:r>
              <w:rPr>
                <w:rFonts w:ascii="Times New Roman" w:hAnsi="Times New Roman"/>
                <w:sz w:val="24"/>
                <w:szCs w:val="24"/>
                <w:lang w:val="ro-RO"/>
              </w:rPr>
              <w:t xml:space="preserve"> sunt reflectate în Anexa nr. 1 din HG.</w:t>
            </w:r>
          </w:p>
          <w:p w:rsidR="007701CE" w:rsidRPr="003C08D7" w:rsidRDefault="007701CE" w:rsidP="00E5469B">
            <w:pPr>
              <w:jc w:val="both"/>
              <w:rPr>
                <w:rFonts w:ascii="Times New Roman" w:hAnsi="Times New Roman"/>
                <w:sz w:val="26"/>
                <w:szCs w:val="26"/>
                <w:lang w:val="ro-RO"/>
              </w:rPr>
            </w:pPr>
          </w:p>
        </w:tc>
        <w:tc>
          <w:tcPr>
            <w:tcW w:w="1706" w:type="dxa"/>
          </w:tcPr>
          <w:p w:rsidR="00B01478" w:rsidRPr="003C08D7" w:rsidRDefault="00B01478" w:rsidP="00D960D1">
            <w:pPr>
              <w:rPr>
                <w:rFonts w:ascii="Times New Roman" w:hAnsi="Times New Roman"/>
                <w:sz w:val="26"/>
                <w:szCs w:val="26"/>
                <w:lang w:val="ro-MD"/>
              </w:rPr>
            </w:pPr>
          </w:p>
        </w:tc>
        <w:tc>
          <w:tcPr>
            <w:tcW w:w="1417" w:type="dxa"/>
          </w:tcPr>
          <w:p w:rsidR="00B01478" w:rsidRPr="003C08D7" w:rsidRDefault="00B01478" w:rsidP="00D960D1">
            <w:pPr>
              <w:rPr>
                <w:lang w:val="ro-RO"/>
              </w:rPr>
            </w:pPr>
          </w:p>
        </w:tc>
        <w:tc>
          <w:tcPr>
            <w:tcW w:w="1418" w:type="dxa"/>
          </w:tcPr>
          <w:p w:rsidR="00B01478" w:rsidRPr="003C08D7" w:rsidRDefault="00B01478" w:rsidP="00D960D1">
            <w:pPr>
              <w:rPr>
                <w:rFonts w:ascii="Times New Roman" w:hAnsi="Times New Roman"/>
                <w:sz w:val="26"/>
                <w:szCs w:val="26"/>
                <w:lang w:val="ro-RO"/>
              </w:rPr>
            </w:pPr>
          </w:p>
        </w:tc>
      </w:tr>
    </w:tbl>
    <w:p w:rsidR="00096557" w:rsidRDefault="00096557">
      <w:pPr>
        <w:rPr>
          <w:rFonts w:ascii="Times New Roman" w:hAnsi="Times New Roman"/>
          <w:sz w:val="26"/>
          <w:szCs w:val="26"/>
          <w:lang w:val="ro-RO"/>
        </w:rPr>
      </w:pPr>
    </w:p>
    <w:sectPr w:rsidR="00096557" w:rsidSect="00B01478">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B82" w:rsidRDefault="00932B82" w:rsidP="007F72FB">
      <w:pPr>
        <w:spacing w:after="0" w:line="240" w:lineRule="auto"/>
      </w:pPr>
      <w:r>
        <w:separator/>
      </w:r>
    </w:p>
  </w:endnote>
  <w:endnote w:type="continuationSeparator" w:id="0">
    <w:p w:rsidR="00932B82" w:rsidRDefault="00932B82" w:rsidP="007F7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83" w:usb1="00000000" w:usb2="00000000" w:usb3="00000000" w:csb0="0000000B"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185257"/>
      <w:docPartObj>
        <w:docPartGallery w:val="Page Numbers (Bottom of Page)"/>
        <w:docPartUnique/>
      </w:docPartObj>
    </w:sdtPr>
    <w:sdtEndPr>
      <w:rPr>
        <w:noProof/>
      </w:rPr>
    </w:sdtEndPr>
    <w:sdtContent>
      <w:p w:rsidR="00262E72" w:rsidRDefault="00262E72">
        <w:pPr>
          <w:pStyle w:val="Footer"/>
          <w:jc w:val="right"/>
        </w:pPr>
        <w:r>
          <w:fldChar w:fldCharType="begin"/>
        </w:r>
        <w:r>
          <w:instrText xml:space="preserve"> PAGE   \* MERGEFORMAT </w:instrText>
        </w:r>
        <w:r>
          <w:fldChar w:fldCharType="separate"/>
        </w:r>
        <w:r w:rsidR="0063375C">
          <w:rPr>
            <w:noProof/>
          </w:rPr>
          <w:t>14</w:t>
        </w:r>
        <w:r>
          <w:rPr>
            <w:noProof/>
          </w:rPr>
          <w:fldChar w:fldCharType="end"/>
        </w:r>
      </w:p>
    </w:sdtContent>
  </w:sdt>
  <w:p w:rsidR="00262E72" w:rsidRDefault="0026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B82" w:rsidRDefault="00932B82" w:rsidP="007F72FB">
      <w:pPr>
        <w:spacing w:after="0" w:line="240" w:lineRule="auto"/>
      </w:pPr>
      <w:r>
        <w:separator/>
      </w:r>
    </w:p>
  </w:footnote>
  <w:footnote w:type="continuationSeparator" w:id="0">
    <w:p w:rsidR="00932B82" w:rsidRDefault="00932B82" w:rsidP="007F72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17FD0"/>
    <w:multiLevelType w:val="hybridMultilevel"/>
    <w:tmpl w:val="EA9A9CA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026687"/>
    <w:multiLevelType w:val="hybridMultilevel"/>
    <w:tmpl w:val="60564E70"/>
    <w:lvl w:ilvl="0" w:tplc="FA4600C0">
      <w:start w:val="1"/>
      <w:numFmt w:val="decimal"/>
      <w:lvlText w:val="(%1)"/>
      <w:lvlJc w:val="left"/>
      <w:pPr>
        <w:tabs>
          <w:tab w:val="num" w:pos="927"/>
        </w:tabs>
        <w:ind w:left="927" w:hanging="360"/>
      </w:pPr>
      <w:rPr>
        <w:rFonts w:cs="Times New Roman" w:hint="default"/>
      </w:rPr>
    </w:lvl>
    <w:lvl w:ilvl="1" w:tplc="04190017">
      <w:start w:val="1"/>
      <w:numFmt w:val="lowerLetter"/>
      <w:lvlText w:val="%2)"/>
      <w:lvlJc w:val="left"/>
      <w:pPr>
        <w:tabs>
          <w:tab w:val="num" w:pos="1647"/>
        </w:tabs>
        <w:ind w:left="1647" w:hanging="360"/>
      </w:pPr>
      <w:rPr>
        <w:rFonts w:cs="Times New Roman" w:hint="default"/>
      </w:rPr>
    </w:lvl>
    <w:lvl w:ilvl="2" w:tplc="DF42649A">
      <w:start w:val="1"/>
      <w:numFmt w:val="lowerLetter"/>
      <w:lvlText w:val="%3)"/>
      <w:lvlJc w:val="left"/>
      <w:pPr>
        <w:tabs>
          <w:tab w:val="num" w:pos="2547"/>
        </w:tabs>
        <w:ind w:left="2547" w:hanging="360"/>
      </w:pPr>
      <w:rPr>
        <w:rFonts w:cs="Times New Roman" w:hint="default"/>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22DD26B5"/>
    <w:multiLevelType w:val="hybridMultilevel"/>
    <w:tmpl w:val="32ECDE20"/>
    <w:lvl w:ilvl="0" w:tplc="7700BC4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1C0017"/>
    <w:multiLevelType w:val="hybridMultilevel"/>
    <w:tmpl w:val="78E8D68E"/>
    <w:lvl w:ilvl="0" w:tplc="37EEF92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337A08DA"/>
    <w:multiLevelType w:val="hybridMultilevel"/>
    <w:tmpl w:val="A07E9992"/>
    <w:lvl w:ilvl="0" w:tplc="085ACC64">
      <w:start w:val="3"/>
      <w:numFmt w:val="bullet"/>
      <w:lvlText w:val="—"/>
      <w:lvlJc w:val="left"/>
      <w:pPr>
        <w:ind w:left="1814" w:hanging="360"/>
      </w:pPr>
      <w:rPr>
        <w:rFonts w:ascii="Times New Roman" w:eastAsia="Calibri" w:hAnsi="Times New Roman" w:cs="Times New Roman" w:hint="default"/>
        <w:color w:val="2D2B2D"/>
      </w:rPr>
    </w:lvl>
    <w:lvl w:ilvl="1" w:tplc="04190003" w:tentative="1">
      <w:start w:val="1"/>
      <w:numFmt w:val="bullet"/>
      <w:lvlText w:val="o"/>
      <w:lvlJc w:val="left"/>
      <w:pPr>
        <w:ind w:left="2534" w:hanging="360"/>
      </w:pPr>
      <w:rPr>
        <w:rFonts w:ascii="Courier New" w:hAnsi="Courier New" w:cs="Courier New" w:hint="default"/>
      </w:rPr>
    </w:lvl>
    <w:lvl w:ilvl="2" w:tplc="04190005" w:tentative="1">
      <w:start w:val="1"/>
      <w:numFmt w:val="bullet"/>
      <w:lvlText w:val=""/>
      <w:lvlJc w:val="left"/>
      <w:pPr>
        <w:ind w:left="3254" w:hanging="360"/>
      </w:pPr>
      <w:rPr>
        <w:rFonts w:ascii="Wingdings" w:hAnsi="Wingdings" w:hint="default"/>
      </w:rPr>
    </w:lvl>
    <w:lvl w:ilvl="3" w:tplc="04190001" w:tentative="1">
      <w:start w:val="1"/>
      <w:numFmt w:val="bullet"/>
      <w:lvlText w:val=""/>
      <w:lvlJc w:val="left"/>
      <w:pPr>
        <w:ind w:left="3974" w:hanging="360"/>
      </w:pPr>
      <w:rPr>
        <w:rFonts w:ascii="Symbol" w:hAnsi="Symbol" w:hint="default"/>
      </w:rPr>
    </w:lvl>
    <w:lvl w:ilvl="4" w:tplc="04190003" w:tentative="1">
      <w:start w:val="1"/>
      <w:numFmt w:val="bullet"/>
      <w:lvlText w:val="o"/>
      <w:lvlJc w:val="left"/>
      <w:pPr>
        <w:ind w:left="4694" w:hanging="360"/>
      </w:pPr>
      <w:rPr>
        <w:rFonts w:ascii="Courier New" w:hAnsi="Courier New" w:cs="Courier New" w:hint="default"/>
      </w:rPr>
    </w:lvl>
    <w:lvl w:ilvl="5" w:tplc="04190005" w:tentative="1">
      <w:start w:val="1"/>
      <w:numFmt w:val="bullet"/>
      <w:lvlText w:val=""/>
      <w:lvlJc w:val="left"/>
      <w:pPr>
        <w:ind w:left="5414" w:hanging="360"/>
      </w:pPr>
      <w:rPr>
        <w:rFonts w:ascii="Wingdings" w:hAnsi="Wingdings" w:hint="default"/>
      </w:rPr>
    </w:lvl>
    <w:lvl w:ilvl="6" w:tplc="04190001" w:tentative="1">
      <w:start w:val="1"/>
      <w:numFmt w:val="bullet"/>
      <w:lvlText w:val=""/>
      <w:lvlJc w:val="left"/>
      <w:pPr>
        <w:ind w:left="6134" w:hanging="360"/>
      </w:pPr>
      <w:rPr>
        <w:rFonts w:ascii="Symbol" w:hAnsi="Symbol" w:hint="default"/>
      </w:rPr>
    </w:lvl>
    <w:lvl w:ilvl="7" w:tplc="04190003" w:tentative="1">
      <w:start w:val="1"/>
      <w:numFmt w:val="bullet"/>
      <w:lvlText w:val="o"/>
      <w:lvlJc w:val="left"/>
      <w:pPr>
        <w:ind w:left="6854" w:hanging="360"/>
      </w:pPr>
      <w:rPr>
        <w:rFonts w:ascii="Courier New" w:hAnsi="Courier New" w:cs="Courier New" w:hint="default"/>
      </w:rPr>
    </w:lvl>
    <w:lvl w:ilvl="8" w:tplc="04190005" w:tentative="1">
      <w:start w:val="1"/>
      <w:numFmt w:val="bullet"/>
      <w:lvlText w:val=""/>
      <w:lvlJc w:val="left"/>
      <w:pPr>
        <w:ind w:left="7574" w:hanging="360"/>
      </w:pPr>
      <w:rPr>
        <w:rFonts w:ascii="Wingdings" w:hAnsi="Wingdings" w:hint="default"/>
      </w:rPr>
    </w:lvl>
  </w:abstractNum>
  <w:abstractNum w:abstractNumId="5" w15:restartNumberingAfterBreak="0">
    <w:nsid w:val="37F7322C"/>
    <w:multiLevelType w:val="hybridMultilevel"/>
    <w:tmpl w:val="A2029C00"/>
    <w:lvl w:ilvl="0" w:tplc="E4309084">
      <w:start w:val="1"/>
      <w:numFmt w:val="lowerLetter"/>
      <w:lvlText w:val="%1)"/>
      <w:lvlJc w:val="left"/>
      <w:pPr>
        <w:ind w:left="825" w:hanging="360"/>
      </w:pPr>
      <w:rPr>
        <w:rFonts w:cs="Times New Roman" w:hint="default"/>
      </w:rPr>
    </w:lvl>
    <w:lvl w:ilvl="1" w:tplc="04190019">
      <w:start w:val="1"/>
      <w:numFmt w:val="lowerLetter"/>
      <w:lvlText w:val="%2."/>
      <w:lvlJc w:val="left"/>
      <w:pPr>
        <w:ind w:left="1545" w:hanging="360"/>
      </w:pPr>
      <w:rPr>
        <w:rFonts w:cs="Times New Roman"/>
      </w:rPr>
    </w:lvl>
    <w:lvl w:ilvl="2" w:tplc="0419001B" w:tentative="1">
      <w:start w:val="1"/>
      <w:numFmt w:val="lowerRoman"/>
      <w:lvlText w:val="%3."/>
      <w:lvlJc w:val="right"/>
      <w:pPr>
        <w:ind w:left="2265" w:hanging="180"/>
      </w:pPr>
      <w:rPr>
        <w:rFonts w:cs="Times New Roman"/>
      </w:rPr>
    </w:lvl>
    <w:lvl w:ilvl="3" w:tplc="0419000F" w:tentative="1">
      <w:start w:val="1"/>
      <w:numFmt w:val="decimal"/>
      <w:lvlText w:val="%4."/>
      <w:lvlJc w:val="left"/>
      <w:pPr>
        <w:ind w:left="2985" w:hanging="360"/>
      </w:pPr>
      <w:rPr>
        <w:rFonts w:cs="Times New Roman"/>
      </w:rPr>
    </w:lvl>
    <w:lvl w:ilvl="4" w:tplc="04190019" w:tentative="1">
      <w:start w:val="1"/>
      <w:numFmt w:val="lowerLetter"/>
      <w:lvlText w:val="%5."/>
      <w:lvlJc w:val="left"/>
      <w:pPr>
        <w:ind w:left="3705" w:hanging="360"/>
      </w:pPr>
      <w:rPr>
        <w:rFonts w:cs="Times New Roman"/>
      </w:rPr>
    </w:lvl>
    <w:lvl w:ilvl="5" w:tplc="0419001B" w:tentative="1">
      <w:start w:val="1"/>
      <w:numFmt w:val="lowerRoman"/>
      <w:lvlText w:val="%6."/>
      <w:lvlJc w:val="right"/>
      <w:pPr>
        <w:ind w:left="4425" w:hanging="180"/>
      </w:pPr>
      <w:rPr>
        <w:rFonts w:cs="Times New Roman"/>
      </w:rPr>
    </w:lvl>
    <w:lvl w:ilvl="6" w:tplc="0419000F" w:tentative="1">
      <w:start w:val="1"/>
      <w:numFmt w:val="decimal"/>
      <w:lvlText w:val="%7."/>
      <w:lvlJc w:val="left"/>
      <w:pPr>
        <w:ind w:left="5145" w:hanging="360"/>
      </w:pPr>
      <w:rPr>
        <w:rFonts w:cs="Times New Roman"/>
      </w:rPr>
    </w:lvl>
    <w:lvl w:ilvl="7" w:tplc="04190019" w:tentative="1">
      <w:start w:val="1"/>
      <w:numFmt w:val="lowerLetter"/>
      <w:lvlText w:val="%8."/>
      <w:lvlJc w:val="left"/>
      <w:pPr>
        <w:ind w:left="5865" w:hanging="360"/>
      </w:pPr>
      <w:rPr>
        <w:rFonts w:cs="Times New Roman"/>
      </w:rPr>
    </w:lvl>
    <w:lvl w:ilvl="8" w:tplc="0419001B" w:tentative="1">
      <w:start w:val="1"/>
      <w:numFmt w:val="lowerRoman"/>
      <w:lvlText w:val="%9."/>
      <w:lvlJc w:val="right"/>
      <w:pPr>
        <w:ind w:left="6585" w:hanging="180"/>
      </w:pPr>
      <w:rPr>
        <w:rFonts w:cs="Times New Roman"/>
      </w:rPr>
    </w:lvl>
  </w:abstractNum>
  <w:abstractNum w:abstractNumId="6" w15:restartNumberingAfterBreak="0">
    <w:nsid w:val="3AA92E01"/>
    <w:multiLevelType w:val="hybridMultilevel"/>
    <w:tmpl w:val="1AEC4FAC"/>
    <w:lvl w:ilvl="0" w:tplc="085ACC64">
      <w:start w:val="3"/>
      <w:numFmt w:val="bullet"/>
      <w:lvlText w:val="—"/>
      <w:lvlJc w:val="left"/>
      <w:pPr>
        <w:ind w:left="1462" w:hanging="360"/>
      </w:pPr>
      <w:rPr>
        <w:rFonts w:ascii="Times New Roman" w:eastAsia="Calibri" w:hAnsi="Times New Roman" w:cs="Times New Roman" w:hint="default"/>
        <w:color w:val="2D2B2D"/>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7" w15:restartNumberingAfterBreak="0">
    <w:nsid w:val="3B0D1A8E"/>
    <w:multiLevelType w:val="hybridMultilevel"/>
    <w:tmpl w:val="D61C9816"/>
    <w:lvl w:ilvl="0" w:tplc="05026A3C">
      <w:start w:val="1"/>
      <w:numFmt w:val="lowerRoman"/>
      <w:lvlText w:val="(%1)"/>
      <w:lvlJc w:val="left"/>
      <w:pPr>
        <w:ind w:left="1857" w:hanging="720"/>
      </w:pPr>
      <w:rPr>
        <w:rFonts w:cs="Times New Roman" w:hint="default"/>
        <w:w w:val="90"/>
      </w:rPr>
    </w:lvl>
    <w:lvl w:ilvl="1" w:tplc="04090019" w:tentative="1">
      <w:start w:val="1"/>
      <w:numFmt w:val="lowerLetter"/>
      <w:lvlText w:val="%2."/>
      <w:lvlJc w:val="left"/>
      <w:pPr>
        <w:ind w:left="2217" w:hanging="360"/>
      </w:pPr>
      <w:rPr>
        <w:rFonts w:cs="Times New Roman"/>
      </w:rPr>
    </w:lvl>
    <w:lvl w:ilvl="2" w:tplc="0409001B" w:tentative="1">
      <w:start w:val="1"/>
      <w:numFmt w:val="lowerRoman"/>
      <w:lvlText w:val="%3."/>
      <w:lvlJc w:val="right"/>
      <w:pPr>
        <w:ind w:left="2937" w:hanging="180"/>
      </w:pPr>
      <w:rPr>
        <w:rFonts w:cs="Times New Roman"/>
      </w:rPr>
    </w:lvl>
    <w:lvl w:ilvl="3" w:tplc="0409000F" w:tentative="1">
      <w:start w:val="1"/>
      <w:numFmt w:val="decimal"/>
      <w:lvlText w:val="%4."/>
      <w:lvlJc w:val="left"/>
      <w:pPr>
        <w:ind w:left="3657" w:hanging="360"/>
      </w:pPr>
      <w:rPr>
        <w:rFonts w:cs="Times New Roman"/>
      </w:rPr>
    </w:lvl>
    <w:lvl w:ilvl="4" w:tplc="04090019" w:tentative="1">
      <w:start w:val="1"/>
      <w:numFmt w:val="lowerLetter"/>
      <w:lvlText w:val="%5."/>
      <w:lvlJc w:val="left"/>
      <w:pPr>
        <w:ind w:left="4377" w:hanging="360"/>
      </w:pPr>
      <w:rPr>
        <w:rFonts w:cs="Times New Roman"/>
      </w:rPr>
    </w:lvl>
    <w:lvl w:ilvl="5" w:tplc="0409001B" w:tentative="1">
      <w:start w:val="1"/>
      <w:numFmt w:val="lowerRoman"/>
      <w:lvlText w:val="%6."/>
      <w:lvlJc w:val="right"/>
      <w:pPr>
        <w:ind w:left="5097" w:hanging="180"/>
      </w:pPr>
      <w:rPr>
        <w:rFonts w:cs="Times New Roman"/>
      </w:rPr>
    </w:lvl>
    <w:lvl w:ilvl="6" w:tplc="0409000F" w:tentative="1">
      <w:start w:val="1"/>
      <w:numFmt w:val="decimal"/>
      <w:lvlText w:val="%7."/>
      <w:lvlJc w:val="left"/>
      <w:pPr>
        <w:ind w:left="5817" w:hanging="360"/>
      </w:pPr>
      <w:rPr>
        <w:rFonts w:cs="Times New Roman"/>
      </w:rPr>
    </w:lvl>
    <w:lvl w:ilvl="7" w:tplc="04090019" w:tentative="1">
      <w:start w:val="1"/>
      <w:numFmt w:val="lowerLetter"/>
      <w:lvlText w:val="%8."/>
      <w:lvlJc w:val="left"/>
      <w:pPr>
        <w:ind w:left="6537" w:hanging="360"/>
      </w:pPr>
      <w:rPr>
        <w:rFonts w:cs="Times New Roman"/>
      </w:rPr>
    </w:lvl>
    <w:lvl w:ilvl="8" w:tplc="0409001B" w:tentative="1">
      <w:start w:val="1"/>
      <w:numFmt w:val="lowerRoman"/>
      <w:lvlText w:val="%9."/>
      <w:lvlJc w:val="right"/>
      <w:pPr>
        <w:ind w:left="7257" w:hanging="180"/>
      </w:pPr>
      <w:rPr>
        <w:rFonts w:cs="Times New Roman"/>
      </w:rPr>
    </w:lvl>
  </w:abstractNum>
  <w:abstractNum w:abstractNumId="8" w15:restartNumberingAfterBreak="0">
    <w:nsid w:val="427E2250"/>
    <w:multiLevelType w:val="hybridMultilevel"/>
    <w:tmpl w:val="CE8443C0"/>
    <w:lvl w:ilvl="0" w:tplc="59AA5D32">
      <w:start w:val="1"/>
      <w:numFmt w:val="decimal"/>
      <w:lvlText w:val="%1."/>
      <w:lvlJc w:val="left"/>
      <w:pPr>
        <w:ind w:left="-630" w:hanging="360"/>
      </w:pPr>
      <w:rPr>
        <w:rFonts w:hint="default"/>
      </w:rPr>
    </w:lvl>
    <w:lvl w:ilvl="1" w:tplc="04190019" w:tentative="1">
      <w:start w:val="1"/>
      <w:numFmt w:val="lowerLetter"/>
      <w:lvlText w:val="%2."/>
      <w:lvlJc w:val="left"/>
      <w:pPr>
        <w:ind w:left="90" w:hanging="360"/>
      </w:pPr>
    </w:lvl>
    <w:lvl w:ilvl="2" w:tplc="0419001B" w:tentative="1">
      <w:start w:val="1"/>
      <w:numFmt w:val="lowerRoman"/>
      <w:lvlText w:val="%3."/>
      <w:lvlJc w:val="right"/>
      <w:pPr>
        <w:ind w:left="810" w:hanging="180"/>
      </w:pPr>
    </w:lvl>
    <w:lvl w:ilvl="3" w:tplc="0419000F" w:tentative="1">
      <w:start w:val="1"/>
      <w:numFmt w:val="decimal"/>
      <w:lvlText w:val="%4."/>
      <w:lvlJc w:val="left"/>
      <w:pPr>
        <w:ind w:left="1530" w:hanging="360"/>
      </w:pPr>
    </w:lvl>
    <w:lvl w:ilvl="4" w:tplc="04190019" w:tentative="1">
      <w:start w:val="1"/>
      <w:numFmt w:val="lowerLetter"/>
      <w:lvlText w:val="%5."/>
      <w:lvlJc w:val="left"/>
      <w:pPr>
        <w:ind w:left="2250" w:hanging="360"/>
      </w:pPr>
    </w:lvl>
    <w:lvl w:ilvl="5" w:tplc="0419001B" w:tentative="1">
      <w:start w:val="1"/>
      <w:numFmt w:val="lowerRoman"/>
      <w:lvlText w:val="%6."/>
      <w:lvlJc w:val="right"/>
      <w:pPr>
        <w:ind w:left="2970" w:hanging="180"/>
      </w:pPr>
    </w:lvl>
    <w:lvl w:ilvl="6" w:tplc="0419000F" w:tentative="1">
      <w:start w:val="1"/>
      <w:numFmt w:val="decimal"/>
      <w:lvlText w:val="%7."/>
      <w:lvlJc w:val="left"/>
      <w:pPr>
        <w:ind w:left="3690" w:hanging="360"/>
      </w:pPr>
    </w:lvl>
    <w:lvl w:ilvl="7" w:tplc="04190019" w:tentative="1">
      <w:start w:val="1"/>
      <w:numFmt w:val="lowerLetter"/>
      <w:lvlText w:val="%8."/>
      <w:lvlJc w:val="left"/>
      <w:pPr>
        <w:ind w:left="4410" w:hanging="360"/>
      </w:pPr>
    </w:lvl>
    <w:lvl w:ilvl="8" w:tplc="0419001B" w:tentative="1">
      <w:start w:val="1"/>
      <w:numFmt w:val="lowerRoman"/>
      <w:lvlText w:val="%9."/>
      <w:lvlJc w:val="right"/>
      <w:pPr>
        <w:ind w:left="5130" w:hanging="180"/>
      </w:pPr>
    </w:lvl>
  </w:abstractNum>
  <w:abstractNum w:abstractNumId="9" w15:restartNumberingAfterBreak="0">
    <w:nsid w:val="431F3F7C"/>
    <w:multiLevelType w:val="hybridMultilevel"/>
    <w:tmpl w:val="7A267A3A"/>
    <w:lvl w:ilvl="0" w:tplc="04190017">
      <w:start w:val="1"/>
      <w:numFmt w:val="lowerLetter"/>
      <w:lvlText w:val="%1)"/>
      <w:lvlJc w:val="left"/>
      <w:pPr>
        <w:tabs>
          <w:tab w:val="num" w:pos="927"/>
        </w:tabs>
        <w:ind w:left="927" w:hanging="360"/>
      </w:pPr>
      <w:rPr>
        <w:rFonts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0" w15:restartNumberingAfterBreak="0">
    <w:nsid w:val="45A80F04"/>
    <w:multiLevelType w:val="hybridMultilevel"/>
    <w:tmpl w:val="2A2EA18A"/>
    <w:lvl w:ilvl="0" w:tplc="7C7E7DAA">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1" w15:restartNumberingAfterBreak="0">
    <w:nsid w:val="4CB45630"/>
    <w:multiLevelType w:val="hybridMultilevel"/>
    <w:tmpl w:val="670CA54A"/>
    <w:lvl w:ilvl="0" w:tplc="93D25FC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DB074C8"/>
    <w:multiLevelType w:val="hybridMultilevel"/>
    <w:tmpl w:val="BD029BD0"/>
    <w:lvl w:ilvl="0" w:tplc="085ACC64">
      <w:start w:val="3"/>
      <w:numFmt w:val="bullet"/>
      <w:lvlText w:val="—"/>
      <w:lvlJc w:val="left"/>
      <w:pPr>
        <w:ind w:left="1037" w:hanging="360"/>
      </w:pPr>
      <w:rPr>
        <w:rFonts w:ascii="Times New Roman" w:eastAsia="Calibri" w:hAnsi="Times New Roman" w:cs="Times New Roman" w:hint="default"/>
        <w:color w:val="2D2B2D"/>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3" w15:restartNumberingAfterBreak="0">
    <w:nsid w:val="5EC16599"/>
    <w:multiLevelType w:val="hybridMultilevel"/>
    <w:tmpl w:val="F6862BA4"/>
    <w:lvl w:ilvl="0" w:tplc="04190017">
      <w:start w:val="1"/>
      <w:numFmt w:val="lowerLetter"/>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0992973"/>
    <w:multiLevelType w:val="hybridMultilevel"/>
    <w:tmpl w:val="84B23BA2"/>
    <w:lvl w:ilvl="0" w:tplc="7C0E888A">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5" w15:restartNumberingAfterBreak="0">
    <w:nsid w:val="618B59AA"/>
    <w:multiLevelType w:val="hybridMultilevel"/>
    <w:tmpl w:val="4484FB18"/>
    <w:lvl w:ilvl="0" w:tplc="7700BC4C">
      <w:start w:val="3"/>
      <w:numFmt w:val="bullet"/>
      <w:lvlText w:val="-"/>
      <w:lvlJc w:val="left"/>
      <w:pPr>
        <w:ind w:left="1037" w:hanging="360"/>
      </w:pPr>
      <w:rPr>
        <w:rFonts w:ascii="Times New Roman" w:eastAsia="Calibri" w:hAnsi="Times New Roman" w:cs="Times New Roman"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 w15:restartNumberingAfterBreak="0">
    <w:nsid w:val="640024CE"/>
    <w:multiLevelType w:val="hybridMultilevel"/>
    <w:tmpl w:val="7966A10A"/>
    <w:lvl w:ilvl="0" w:tplc="04190017">
      <w:start w:val="1"/>
      <w:numFmt w:val="lowerLetter"/>
      <w:lvlText w:val="%1)"/>
      <w:lvlJc w:val="left"/>
      <w:pPr>
        <w:tabs>
          <w:tab w:val="num" w:pos="927"/>
        </w:tabs>
        <w:ind w:left="927" w:hanging="360"/>
      </w:pPr>
      <w:rPr>
        <w:rFonts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15:restartNumberingAfterBreak="0">
    <w:nsid w:val="68D750C9"/>
    <w:multiLevelType w:val="hybridMultilevel"/>
    <w:tmpl w:val="F4A4C42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855FA4"/>
    <w:multiLevelType w:val="hybridMultilevel"/>
    <w:tmpl w:val="45F41054"/>
    <w:lvl w:ilvl="0" w:tplc="869EF5C6">
      <w:start w:val="2"/>
      <w:numFmt w:val="bullet"/>
      <w:lvlText w:val="-"/>
      <w:lvlJc w:val="left"/>
      <w:pPr>
        <w:ind w:left="677" w:hanging="360"/>
      </w:pPr>
      <w:rPr>
        <w:rFonts w:ascii="Times New Roman" w:eastAsia="Calibri"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19" w15:restartNumberingAfterBreak="0">
    <w:nsid w:val="6BD35A3E"/>
    <w:multiLevelType w:val="hybridMultilevel"/>
    <w:tmpl w:val="8A00BD5A"/>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0" w15:restartNumberingAfterBreak="0">
    <w:nsid w:val="6C6E0990"/>
    <w:multiLevelType w:val="hybridMultilevel"/>
    <w:tmpl w:val="28C80682"/>
    <w:lvl w:ilvl="0" w:tplc="C228192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111E5B"/>
    <w:multiLevelType w:val="hybridMultilevel"/>
    <w:tmpl w:val="A2029C00"/>
    <w:lvl w:ilvl="0" w:tplc="E4309084">
      <w:start w:val="1"/>
      <w:numFmt w:val="lowerLetter"/>
      <w:lvlText w:val="%1)"/>
      <w:lvlJc w:val="left"/>
      <w:pPr>
        <w:ind w:left="825" w:hanging="360"/>
      </w:pPr>
      <w:rPr>
        <w:rFonts w:cs="Times New Roman" w:hint="default"/>
      </w:rPr>
    </w:lvl>
    <w:lvl w:ilvl="1" w:tplc="04190019">
      <w:start w:val="1"/>
      <w:numFmt w:val="lowerLetter"/>
      <w:lvlText w:val="%2."/>
      <w:lvlJc w:val="left"/>
      <w:pPr>
        <w:ind w:left="1545" w:hanging="360"/>
      </w:pPr>
      <w:rPr>
        <w:rFonts w:cs="Times New Roman"/>
      </w:rPr>
    </w:lvl>
    <w:lvl w:ilvl="2" w:tplc="0419001B" w:tentative="1">
      <w:start w:val="1"/>
      <w:numFmt w:val="lowerRoman"/>
      <w:lvlText w:val="%3."/>
      <w:lvlJc w:val="right"/>
      <w:pPr>
        <w:ind w:left="2265" w:hanging="180"/>
      </w:pPr>
      <w:rPr>
        <w:rFonts w:cs="Times New Roman"/>
      </w:rPr>
    </w:lvl>
    <w:lvl w:ilvl="3" w:tplc="0419000F" w:tentative="1">
      <w:start w:val="1"/>
      <w:numFmt w:val="decimal"/>
      <w:lvlText w:val="%4."/>
      <w:lvlJc w:val="left"/>
      <w:pPr>
        <w:ind w:left="2985" w:hanging="360"/>
      </w:pPr>
      <w:rPr>
        <w:rFonts w:cs="Times New Roman"/>
      </w:rPr>
    </w:lvl>
    <w:lvl w:ilvl="4" w:tplc="04190019" w:tentative="1">
      <w:start w:val="1"/>
      <w:numFmt w:val="lowerLetter"/>
      <w:lvlText w:val="%5."/>
      <w:lvlJc w:val="left"/>
      <w:pPr>
        <w:ind w:left="3705" w:hanging="360"/>
      </w:pPr>
      <w:rPr>
        <w:rFonts w:cs="Times New Roman"/>
      </w:rPr>
    </w:lvl>
    <w:lvl w:ilvl="5" w:tplc="0419001B" w:tentative="1">
      <w:start w:val="1"/>
      <w:numFmt w:val="lowerRoman"/>
      <w:lvlText w:val="%6."/>
      <w:lvlJc w:val="right"/>
      <w:pPr>
        <w:ind w:left="4425" w:hanging="180"/>
      </w:pPr>
      <w:rPr>
        <w:rFonts w:cs="Times New Roman"/>
      </w:rPr>
    </w:lvl>
    <w:lvl w:ilvl="6" w:tplc="0419000F" w:tentative="1">
      <w:start w:val="1"/>
      <w:numFmt w:val="decimal"/>
      <w:lvlText w:val="%7."/>
      <w:lvlJc w:val="left"/>
      <w:pPr>
        <w:ind w:left="5145" w:hanging="360"/>
      </w:pPr>
      <w:rPr>
        <w:rFonts w:cs="Times New Roman"/>
      </w:rPr>
    </w:lvl>
    <w:lvl w:ilvl="7" w:tplc="04190019" w:tentative="1">
      <w:start w:val="1"/>
      <w:numFmt w:val="lowerLetter"/>
      <w:lvlText w:val="%8."/>
      <w:lvlJc w:val="left"/>
      <w:pPr>
        <w:ind w:left="5865" w:hanging="360"/>
      </w:pPr>
      <w:rPr>
        <w:rFonts w:cs="Times New Roman"/>
      </w:rPr>
    </w:lvl>
    <w:lvl w:ilvl="8" w:tplc="0419001B" w:tentative="1">
      <w:start w:val="1"/>
      <w:numFmt w:val="lowerRoman"/>
      <w:lvlText w:val="%9."/>
      <w:lvlJc w:val="right"/>
      <w:pPr>
        <w:ind w:left="6585" w:hanging="180"/>
      </w:pPr>
      <w:rPr>
        <w:rFonts w:cs="Times New Roman"/>
      </w:rPr>
    </w:lvl>
  </w:abstractNum>
  <w:num w:numId="1">
    <w:abstractNumId w:val="5"/>
  </w:num>
  <w:num w:numId="2">
    <w:abstractNumId w:val="19"/>
  </w:num>
  <w:num w:numId="3">
    <w:abstractNumId w:val="10"/>
  </w:num>
  <w:num w:numId="4">
    <w:abstractNumId w:val="17"/>
  </w:num>
  <w:num w:numId="5">
    <w:abstractNumId w:val="1"/>
  </w:num>
  <w:num w:numId="6">
    <w:abstractNumId w:val="0"/>
  </w:num>
  <w:num w:numId="7">
    <w:abstractNumId w:val="14"/>
  </w:num>
  <w:num w:numId="8">
    <w:abstractNumId w:val="13"/>
  </w:num>
  <w:num w:numId="9">
    <w:abstractNumId w:val="16"/>
  </w:num>
  <w:num w:numId="10">
    <w:abstractNumId w:val="9"/>
  </w:num>
  <w:num w:numId="11">
    <w:abstractNumId w:val="2"/>
  </w:num>
  <w:num w:numId="12">
    <w:abstractNumId w:val="15"/>
  </w:num>
  <w:num w:numId="13">
    <w:abstractNumId w:val="21"/>
  </w:num>
  <w:num w:numId="14">
    <w:abstractNumId w:val="7"/>
  </w:num>
  <w:num w:numId="15">
    <w:abstractNumId w:val="3"/>
  </w:num>
  <w:num w:numId="16">
    <w:abstractNumId w:val="20"/>
  </w:num>
  <w:num w:numId="17">
    <w:abstractNumId w:val="8"/>
  </w:num>
  <w:num w:numId="18">
    <w:abstractNumId w:val="4"/>
  </w:num>
  <w:num w:numId="19">
    <w:abstractNumId w:val="18"/>
  </w:num>
  <w:num w:numId="20">
    <w:abstractNumId w:val="12"/>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78"/>
    <w:rsid w:val="00012A04"/>
    <w:rsid w:val="00054511"/>
    <w:rsid w:val="000553F5"/>
    <w:rsid w:val="000713FC"/>
    <w:rsid w:val="00073498"/>
    <w:rsid w:val="00096557"/>
    <w:rsid w:val="000A6759"/>
    <w:rsid w:val="000A7DD1"/>
    <w:rsid w:val="000D7988"/>
    <w:rsid w:val="000F5634"/>
    <w:rsid w:val="0010330C"/>
    <w:rsid w:val="00111C67"/>
    <w:rsid w:val="00116FC8"/>
    <w:rsid w:val="001202A6"/>
    <w:rsid w:val="00123D6A"/>
    <w:rsid w:val="00134D44"/>
    <w:rsid w:val="001908EB"/>
    <w:rsid w:val="001A1AA3"/>
    <w:rsid w:val="001A392D"/>
    <w:rsid w:val="001C5E19"/>
    <w:rsid w:val="001E2E5A"/>
    <w:rsid w:val="0022019D"/>
    <w:rsid w:val="00222532"/>
    <w:rsid w:val="00230EE6"/>
    <w:rsid w:val="00234BCE"/>
    <w:rsid w:val="0024655C"/>
    <w:rsid w:val="00250FDE"/>
    <w:rsid w:val="002539D7"/>
    <w:rsid w:val="00255C73"/>
    <w:rsid w:val="00262E72"/>
    <w:rsid w:val="00273E05"/>
    <w:rsid w:val="0028065F"/>
    <w:rsid w:val="002A5A40"/>
    <w:rsid w:val="002C4460"/>
    <w:rsid w:val="002D6B2E"/>
    <w:rsid w:val="002E11FE"/>
    <w:rsid w:val="002F1218"/>
    <w:rsid w:val="002F6BAA"/>
    <w:rsid w:val="00334D7C"/>
    <w:rsid w:val="00362323"/>
    <w:rsid w:val="00371E9E"/>
    <w:rsid w:val="003B0482"/>
    <w:rsid w:val="003B6BBD"/>
    <w:rsid w:val="003C08D7"/>
    <w:rsid w:val="003D327B"/>
    <w:rsid w:val="003E473B"/>
    <w:rsid w:val="004022CB"/>
    <w:rsid w:val="004219E8"/>
    <w:rsid w:val="0042655A"/>
    <w:rsid w:val="00455172"/>
    <w:rsid w:val="00472812"/>
    <w:rsid w:val="004A025A"/>
    <w:rsid w:val="004A7C79"/>
    <w:rsid w:val="004B1629"/>
    <w:rsid w:val="004C280B"/>
    <w:rsid w:val="004D6EB0"/>
    <w:rsid w:val="004F5549"/>
    <w:rsid w:val="00517A1D"/>
    <w:rsid w:val="00524E25"/>
    <w:rsid w:val="00532E0F"/>
    <w:rsid w:val="0058427B"/>
    <w:rsid w:val="00597896"/>
    <w:rsid w:val="005B51C8"/>
    <w:rsid w:val="005D780C"/>
    <w:rsid w:val="00606EDC"/>
    <w:rsid w:val="00626519"/>
    <w:rsid w:val="006274EC"/>
    <w:rsid w:val="0063375C"/>
    <w:rsid w:val="00653C9E"/>
    <w:rsid w:val="00655277"/>
    <w:rsid w:val="00666277"/>
    <w:rsid w:val="00681575"/>
    <w:rsid w:val="006C027F"/>
    <w:rsid w:val="006C1CB4"/>
    <w:rsid w:val="006F0DEA"/>
    <w:rsid w:val="00714376"/>
    <w:rsid w:val="00725ED2"/>
    <w:rsid w:val="0073486E"/>
    <w:rsid w:val="007701CE"/>
    <w:rsid w:val="0077667E"/>
    <w:rsid w:val="007843E7"/>
    <w:rsid w:val="00790DC0"/>
    <w:rsid w:val="00791E19"/>
    <w:rsid w:val="007A15D0"/>
    <w:rsid w:val="007B6E7A"/>
    <w:rsid w:val="007D7205"/>
    <w:rsid w:val="007F53FC"/>
    <w:rsid w:val="007F72FB"/>
    <w:rsid w:val="008024E8"/>
    <w:rsid w:val="00812CA4"/>
    <w:rsid w:val="00824849"/>
    <w:rsid w:val="0083201D"/>
    <w:rsid w:val="00837A69"/>
    <w:rsid w:val="00850C94"/>
    <w:rsid w:val="008527CC"/>
    <w:rsid w:val="00882F3A"/>
    <w:rsid w:val="00887C24"/>
    <w:rsid w:val="008A1911"/>
    <w:rsid w:val="008A34CB"/>
    <w:rsid w:val="008D6F5D"/>
    <w:rsid w:val="008E3D54"/>
    <w:rsid w:val="008E4422"/>
    <w:rsid w:val="00932B82"/>
    <w:rsid w:val="0093713D"/>
    <w:rsid w:val="00937522"/>
    <w:rsid w:val="00952532"/>
    <w:rsid w:val="009942E3"/>
    <w:rsid w:val="009B25CF"/>
    <w:rsid w:val="009F2ED1"/>
    <w:rsid w:val="00A276C4"/>
    <w:rsid w:val="00AA61F7"/>
    <w:rsid w:val="00AB761A"/>
    <w:rsid w:val="00AF71B9"/>
    <w:rsid w:val="00B01478"/>
    <w:rsid w:val="00B13878"/>
    <w:rsid w:val="00B263A4"/>
    <w:rsid w:val="00B37F17"/>
    <w:rsid w:val="00B453B6"/>
    <w:rsid w:val="00B71719"/>
    <w:rsid w:val="00B76C19"/>
    <w:rsid w:val="00BC48D7"/>
    <w:rsid w:val="00BD7F17"/>
    <w:rsid w:val="00BE4C46"/>
    <w:rsid w:val="00BE71BD"/>
    <w:rsid w:val="00C02551"/>
    <w:rsid w:val="00C06CCA"/>
    <w:rsid w:val="00C22F20"/>
    <w:rsid w:val="00C4433A"/>
    <w:rsid w:val="00C458B8"/>
    <w:rsid w:val="00C54900"/>
    <w:rsid w:val="00C579D8"/>
    <w:rsid w:val="00C81427"/>
    <w:rsid w:val="00C92703"/>
    <w:rsid w:val="00CA282E"/>
    <w:rsid w:val="00CB4499"/>
    <w:rsid w:val="00D32EA9"/>
    <w:rsid w:val="00D960D1"/>
    <w:rsid w:val="00D967AE"/>
    <w:rsid w:val="00DB1623"/>
    <w:rsid w:val="00DB75C6"/>
    <w:rsid w:val="00DE7567"/>
    <w:rsid w:val="00DF4314"/>
    <w:rsid w:val="00E15BE7"/>
    <w:rsid w:val="00E3533B"/>
    <w:rsid w:val="00E41291"/>
    <w:rsid w:val="00E53504"/>
    <w:rsid w:val="00E5469B"/>
    <w:rsid w:val="00E938DA"/>
    <w:rsid w:val="00ED6BD2"/>
    <w:rsid w:val="00EE0322"/>
    <w:rsid w:val="00EE3271"/>
    <w:rsid w:val="00F13C93"/>
    <w:rsid w:val="00F35228"/>
    <w:rsid w:val="00F372E4"/>
    <w:rsid w:val="00F81DD4"/>
    <w:rsid w:val="00F944E4"/>
    <w:rsid w:val="00FA7583"/>
    <w:rsid w:val="00FC42C7"/>
    <w:rsid w:val="00FE08B5"/>
    <w:rsid w:val="00FE5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79167-1EE5-4A17-BA9B-11425150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4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134D44"/>
    <w:pPr>
      <w:spacing w:after="0" w:line="240" w:lineRule="auto"/>
      <w:ind w:firstLine="1134"/>
      <w:jc w:val="both"/>
    </w:pPr>
    <w:rPr>
      <w:rFonts w:ascii="Times New Roman" w:eastAsia="Times New Roman" w:hAnsi="Times New Roman"/>
      <w:sz w:val="28"/>
      <w:szCs w:val="20"/>
      <w:lang w:val="ro-RO" w:eastAsia="ru-RU"/>
    </w:rPr>
  </w:style>
  <w:style w:type="character" w:customStyle="1" w:styleId="BodyTextIndentChar">
    <w:name w:val="Body Text Indent Char"/>
    <w:basedOn w:val="DefaultParagraphFont"/>
    <w:link w:val="BodyTextIndent"/>
    <w:uiPriority w:val="99"/>
    <w:rsid w:val="00134D44"/>
    <w:rPr>
      <w:rFonts w:ascii="Times New Roman" w:eastAsia="Times New Roman" w:hAnsi="Times New Roman" w:cs="Times New Roman"/>
      <w:sz w:val="28"/>
      <w:szCs w:val="20"/>
      <w:lang w:val="ro-RO" w:eastAsia="ru-RU"/>
    </w:rPr>
  </w:style>
  <w:style w:type="paragraph" w:styleId="BodyTextIndent3">
    <w:name w:val="Body Text Indent 3"/>
    <w:basedOn w:val="Normal"/>
    <w:link w:val="BodyTextIndent3Char"/>
    <w:uiPriority w:val="99"/>
    <w:rsid w:val="00134D44"/>
    <w:pPr>
      <w:spacing w:after="0" w:line="240" w:lineRule="auto"/>
      <w:ind w:firstLine="1134"/>
    </w:pPr>
    <w:rPr>
      <w:rFonts w:ascii="Times New Roman" w:eastAsia="Times New Roman" w:hAnsi="Times New Roman"/>
      <w:sz w:val="28"/>
      <w:szCs w:val="20"/>
      <w:lang w:val="ro-RO" w:eastAsia="ru-RU"/>
    </w:rPr>
  </w:style>
  <w:style w:type="character" w:customStyle="1" w:styleId="BodyTextIndent3Char">
    <w:name w:val="Body Text Indent 3 Char"/>
    <w:basedOn w:val="DefaultParagraphFont"/>
    <w:link w:val="BodyTextIndent3"/>
    <w:uiPriority w:val="99"/>
    <w:rsid w:val="00134D44"/>
    <w:rPr>
      <w:rFonts w:ascii="Times New Roman" w:eastAsia="Times New Roman" w:hAnsi="Times New Roman" w:cs="Times New Roman"/>
      <w:sz w:val="28"/>
      <w:szCs w:val="20"/>
      <w:lang w:val="ro-RO" w:eastAsia="ru-RU"/>
    </w:rPr>
  </w:style>
  <w:style w:type="character" w:customStyle="1" w:styleId="apple-converted-space">
    <w:name w:val="apple-converted-space"/>
    <w:basedOn w:val="DefaultParagraphFont"/>
    <w:uiPriority w:val="99"/>
    <w:rsid w:val="00134D44"/>
    <w:rPr>
      <w:rFonts w:cs="Times New Roman"/>
    </w:rPr>
  </w:style>
  <w:style w:type="paragraph" w:styleId="ListParagraph">
    <w:name w:val="List Paragraph"/>
    <w:basedOn w:val="Normal"/>
    <w:uiPriority w:val="99"/>
    <w:qFormat/>
    <w:rsid w:val="00C458B8"/>
    <w:pPr>
      <w:ind w:left="720"/>
      <w:contextualSpacing/>
    </w:pPr>
  </w:style>
  <w:style w:type="paragraph" w:styleId="Header">
    <w:name w:val="header"/>
    <w:basedOn w:val="Normal"/>
    <w:link w:val="HeaderChar"/>
    <w:uiPriority w:val="99"/>
    <w:unhideWhenUsed/>
    <w:rsid w:val="007F7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2FB"/>
    <w:rPr>
      <w:rFonts w:ascii="Calibri" w:eastAsia="Calibri" w:hAnsi="Calibri" w:cs="Times New Roman"/>
    </w:rPr>
  </w:style>
  <w:style w:type="paragraph" w:styleId="Footer">
    <w:name w:val="footer"/>
    <w:basedOn w:val="Normal"/>
    <w:link w:val="FooterChar"/>
    <w:uiPriority w:val="99"/>
    <w:unhideWhenUsed/>
    <w:rsid w:val="007F7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2FB"/>
    <w:rPr>
      <w:rFonts w:ascii="Calibri" w:eastAsia="Calibri" w:hAnsi="Calibri" w:cs="Times New Roman"/>
    </w:rPr>
  </w:style>
  <w:style w:type="paragraph" w:styleId="BalloonText">
    <w:name w:val="Balloon Text"/>
    <w:basedOn w:val="Normal"/>
    <w:link w:val="BalloonTextChar"/>
    <w:uiPriority w:val="99"/>
    <w:semiHidden/>
    <w:unhideWhenUsed/>
    <w:rsid w:val="00F81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DD4"/>
    <w:rPr>
      <w:rFonts w:ascii="Tahoma" w:eastAsia="Calibri" w:hAnsi="Tahoma" w:cs="Tahoma"/>
      <w:sz w:val="16"/>
      <w:szCs w:val="16"/>
    </w:rPr>
  </w:style>
  <w:style w:type="paragraph" w:customStyle="1" w:styleId="Default">
    <w:name w:val="Default"/>
    <w:rsid w:val="002F1218"/>
    <w:pPr>
      <w:autoSpaceDE w:val="0"/>
      <w:autoSpaceDN w:val="0"/>
      <w:adjustRightInd w:val="0"/>
      <w:spacing w:after="0" w:line="240" w:lineRule="auto"/>
    </w:pPr>
    <w:rPr>
      <w:rFonts w:ascii="EUAlbertina" w:hAnsi="EUAlbertina" w:cs="EUAlbertina"/>
      <w:color w:val="000000"/>
      <w:sz w:val="24"/>
      <w:szCs w:val="24"/>
      <w:lang w:val="en-US"/>
    </w:rPr>
  </w:style>
  <w:style w:type="paragraph" w:customStyle="1" w:styleId="CM1">
    <w:name w:val="CM1"/>
    <w:basedOn w:val="Default"/>
    <w:next w:val="Default"/>
    <w:uiPriority w:val="99"/>
    <w:rsid w:val="002F1218"/>
    <w:rPr>
      <w:rFonts w:cstheme="minorBidi"/>
      <w:color w:val="auto"/>
    </w:rPr>
  </w:style>
  <w:style w:type="paragraph" w:customStyle="1" w:styleId="CM3">
    <w:name w:val="CM3"/>
    <w:basedOn w:val="Default"/>
    <w:next w:val="Default"/>
    <w:uiPriority w:val="99"/>
    <w:rsid w:val="002F1218"/>
    <w:rPr>
      <w:rFonts w:cstheme="minorBidi"/>
      <w:color w:val="auto"/>
    </w:rPr>
  </w:style>
  <w:style w:type="paragraph" w:customStyle="1" w:styleId="CM4">
    <w:name w:val="CM4"/>
    <w:basedOn w:val="Default"/>
    <w:next w:val="Default"/>
    <w:uiPriority w:val="99"/>
    <w:rsid w:val="002F1218"/>
    <w:rPr>
      <w:rFonts w:cstheme="minorBidi"/>
      <w:color w:val="auto"/>
    </w:rPr>
  </w:style>
  <w:style w:type="paragraph" w:customStyle="1" w:styleId="cb">
    <w:name w:val="cb"/>
    <w:basedOn w:val="Normal"/>
    <w:rsid w:val="00C02551"/>
    <w:pPr>
      <w:spacing w:after="0" w:line="240" w:lineRule="auto"/>
      <w:jc w:val="center"/>
    </w:pPr>
    <w:rPr>
      <w:rFonts w:ascii="Times New Roman" w:eastAsia="Times New Roman" w:hAnsi="Times New Roman"/>
      <w:b/>
      <w:bCs/>
      <w:sz w:val="24"/>
      <w:szCs w:val="24"/>
      <w:lang w:val="ro-RO" w:eastAsia="ru-RU"/>
    </w:rPr>
  </w:style>
  <w:style w:type="paragraph" w:styleId="NormalWeb">
    <w:name w:val="Normal (Web)"/>
    <w:basedOn w:val="Normal"/>
    <w:uiPriority w:val="99"/>
    <w:rsid w:val="00C02551"/>
    <w:pPr>
      <w:spacing w:after="0" w:line="240" w:lineRule="auto"/>
      <w:ind w:firstLine="567"/>
      <w:jc w:val="both"/>
    </w:pPr>
    <w:rPr>
      <w:rFonts w:ascii="Times New Roman" w:eastAsia="Times New Roman" w:hAnsi="Times New Roman"/>
      <w:sz w:val="24"/>
      <w:szCs w:val="24"/>
      <w:lang w:val="ro-RO" w:eastAsia="ru-RU"/>
    </w:rPr>
  </w:style>
  <w:style w:type="paragraph" w:customStyle="1" w:styleId="tt">
    <w:name w:val="tt"/>
    <w:basedOn w:val="Normal"/>
    <w:rsid w:val="00C02551"/>
    <w:pPr>
      <w:spacing w:after="0" w:line="240" w:lineRule="auto"/>
      <w:jc w:val="center"/>
    </w:pPr>
    <w:rPr>
      <w:rFonts w:ascii="Times New Roman" w:eastAsia="Times New Roman" w:hAnsi="Times New Roman"/>
      <w:b/>
      <w:bCs/>
      <w:sz w:val="24"/>
      <w:szCs w:val="24"/>
      <w:lang w:val="ro-RO" w:eastAsia="ru-RU"/>
    </w:rPr>
  </w:style>
  <w:style w:type="paragraph" w:customStyle="1" w:styleId="cn">
    <w:name w:val="cn"/>
    <w:basedOn w:val="Normal"/>
    <w:rsid w:val="00C02551"/>
    <w:pPr>
      <w:spacing w:after="0" w:line="240" w:lineRule="auto"/>
      <w:jc w:val="center"/>
    </w:pPr>
    <w:rPr>
      <w:rFonts w:ascii="Times New Roman" w:eastAsia="Times New Roman" w:hAnsi="Times New Roman"/>
      <w:sz w:val="24"/>
      <w:szCs w:val="24"/>
      <w:lang w:val="ro-RO" w:eastAsia="ru-RU"/>
    </w:rPr>
  </w:style>
  <w:style w:type="paragraph" w:customStyle="1" w:styleId="rg">
    <w:name w:val="rg"/>
    <w:basedOn w:val="Normal"/>
    <w:rsid w:val="00C02551"/>
    <w:pPr>
      <w:spacing w:after="0" w:line="240" w:lineRule="auto"/>
      <w:jc w:val="righ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0141">
      <w:bodyDiv w:val="1"/>
      <w:marLeft w:val="0"/>
      <w:marRight w:val="0"/>
      <w:marTop w:val="0"/>
      <w:marBottom w:val="0"/>
      <w:divBdr>
        <w:top w:val="none" w:sz="0" w:space="0" w:color="auto"/>
        <w:left w:val="none" w:sz="0" w:space="0" w:color="auto"/>
        <w:bottom w:val="none" w:sz="0" w:space="0" w:color="auto"/>
        <w:right w:val="none" w:sz="0" w:space="0" w:color="auto"/>
      </w:divBdr>
    </w:div>
    <w:div w:id="482745913">
      <w:bodyDiv w:val="1"/>
      <w:marLeft w:val="0"/>
      <w:marRight w:val="0"/>
      <w:marTop w:val="0"/>
      <w:marBottom w:val="0"/>
      <w:divBdr>
        <w:top w:val="none" w:sz="0" w:space="0" w:color="auto"/>
        <w:left w:val="none" w:sz="0" w:space="0" w:color="auto"/>
        <w:bottom w:val="none" w:sz="0" w:space="0" w:color="auto"/>
        <w:right w:val="none" w:sz="0" w:space="0" w:color="auto"/>
      </w:divBdr>
    </w:div>
    <w:div w:id="491793705">
      <w:bodyDiv w:val="1"/>
      <w:marLeft w:val="0"/>
      <w:marRight w:val="0"/>
      <w:marTop w:val="0"/>
      <w:marBottom w:val="0"/>
      <w:divBdr>
        <w:top w:val="none" w:sz="0" w:space="0" w:color="auto"/>
        <w:left w:val="none" w:sz="0" w:space="0" w:color="auto"/>
        <w:bottom w:val="none" w:sz="0" w:space="0" w:color="auto"/>
        <w:right w:val="none" w:sz="0" w:space="0" w:color="auto"/>
      </w:divBdr>
    </w:div>
    <w:div w:id="619605200">
      <w:bodyDiv w:val="1"/>
      <w:marLeft w:val="0"/>
      <w:marRight w:val="0"/>
      <w:marTop w:val="0"/>
      <w:marBottom w:val="0"/>
      <w:divBdr>
        <w:top w:val="none" w:sz="0" w:space="0" w:color="auto"/>
        <w:left w:val="none" w:sz="0" w:space="0" w:color="auto"/>
        <w:bottom w:val="none" w:sz="0" w:space="0" w:color="auto"/>
        <w:right w:val="none" w:sz="0" w:space="0" w:color="auto"/>
      </w:divBdr>
    </w:div>
    <w:div w:id="658339405">
      <w:bodyDiv w:val="1"/>
      <w:marLeft w:val="0"/>
      <w:marRight w:val="0"/>
      <w:marTop w:val="0"/>
      <w:marBottom w:val="0"/>
      <w:divBdr>
        <w:top w:val="none" w:sz="0" w:space="0" w:color="auto"/>
        <w:left w:val="none" w:sz="0" w:space="0" w:color="auto"/>
        <w:bottom w:val="none" w:sz="0" w:space="0" w:color="auto"/>
        <w:right w:val="none" w:sz="0" w:space="0" w:color="auto"/>
      </w:divBdr>
    </w:div>
    <w:div w:id="828593577">
      <w:bodyDiv w:val="1"/>
      <w:marLeft w:val="0"/>
      <w:marRight w:val="0"/>
      <w:marTop w:val="0"/>
      <w:marBottom w:val="0"/>
      <w:divBdr>
        <w:top w:val="none" w:sz="0" w:space="0" w:color="auto"/>
        <w:left w:val="none" w:sz="0" w:space="0" w:color="auto"/>
        <w:bottom w:val="none" w:sz="0" w:space="0" w:color="auto"/>
        <w:right w:val="none" w:sz="0" w:space="0" w:color="auto"/>
      </w:divBdr>
    </w:div>
    <w:div w:id="1003430294">
      <w:bodyDiv w:val="1"/>
      <w:marLeft w:val="0"/>
      <w:marRight w:val="0"/>
      <w:marTop w:val="0"/>
      <w:marBottom w:val="0"/>
      <w:divBdr>
        <w:top w:val="none" w:sz="0" w:space="0" w:color="auto"/>
        <w:left w:val="none" w:sz="0" w:space="0" w:color="auto"/>
        <w:bottom w:val="none" w:sz="0" w:space="0" w:color="auto"/>
        <w:right w:val="none" w:sz="0" w:space="0" w:color="auto"/>
      </w:divBdr>
    </w:div>
    <w:div w:id="1087535422">
      <w:bodyDiv w:val="1"/>
      <w:marLeft w:val="0"/>
      <w:marRight w:val="0"/>
      <w:marTop w:val="0"/>
      <w:marBottom w:val="0"/>
      <w:divBdr>
        <w:top w:val="none" w:sz="0" w:space="0" w:color="auto"/>
        <w:left w:val="none" w:sz="0" w:space="0" w:color="auto"/>
        <w:bottom w:val="none" w:sz="0" w:space="0" w:color="auto"/>
        <w:right w:val="none" w:sz="0" w:space="0" w:color="auto"/>
      </w:divBdr>
    </w:div>
    <w:div w:id="1236666980">
      <w:bodyDiv w:val="1"/>
      <w:marLeft w:val="0"/>
      <w:marRight w:val="0"/>
      <w:marTop w:val="0"/>
      <w:marBottom w:val="0"/>
      <w:divBdr>
        <w:top w:val="none" w:sz="0" w:space="0" w:color="auto"/>
        <w:left w:val="none" w:sz="0" w:space="0" w:color="auto"/>
        <w:bottom w:val="none" w:sz="0" w:space="0" w:color="auto"/>
        <w:right w:val="none" w:sz="0" w:space="0" w:color="auto"/>
      </w:divBdr>
    </w:div>
    <w:div w:id="1363634434">
      <w:bodyDiv w:val="1"/>
      <w:marLeft w:val="0"/>
      <w:marRight w:val="0"/>
      <w:marTop w:val="0"/>
      <w:marBottom w:val="0"/>
      <w:divBdr>
        <w:top w:val="none" w:sz="0" w:space="0" w:color="auto"/>
        <w:left w:val="none" w:sz="0" w:space="0" w:color="auto"/>
        <w:bottom w:val="none" w:sz="0" w:space="0" w:color="auto"/>
        <w:right w:val="none" w:sz="0" w:space="0" w:color="auto"/>
      </w:divBdr>
    </w:div>
    <w:div w:id="1376003962">
      <w:bodyDiv w:val="1"/>
      <w:marLeft w:val="0"/>
      <w:marRight w:val="0"/>
      <w:marTop w:val="0"/>
      <w:marBottom w:val="0"/>
      <w:divBdr>
        <w:top w:val="none" w:sz="0" w:space="0" w:color="auto"/>
        <w:left w:val="none" w:sz="0" w:space="0" w:color="auto"/>
        <w:bottom w:val="none" w:sz="0" w:space="0" w:color="auto"/>
        <w:right w:val="none" w:sz="0" w:space="0" w:color="auto"/>
      </w:divBdr>
    </w:div>
    <w:div w:id="1543713317">
      <w:bodyDiv w:val="1"/>
      <w:marLeft w:val="0"/>
      <w:marRight w:val="0"/>
      <w:marTop w:val="0"/>
      <w:marBottom w:val="0"/>
      <w:divBdr>
        <w:top w:val="none" w:sz="0" w:space="0" w:color="auto"/>
        <w:left w:val="none" w:sz="0" w:space="0" w:color="auto"/>
        <w:bottom w:val="none" w:sz="0" w:space="0" w:color="auto"/>
        <w:right w:val="none" w:sz="0" w:space="0" w:color="auto"/>
      </w:divBdr>
    </w:div>
    <w:div w:id="1583029865">
      <w:bodyDiv w:val="1"/>
      <w:marLeft w:val="0"/>
      <w:marRight w:val="0"/>
      <w:marTop w:val="0"/>
      <w:marBottom w:val="0"/>
      <w:divBdr>
        <w:top w:val="none" w:sz="0" w:space="0" w:color="auto"/>
        <w:left w:val="none" w:sz="0" w:space="0" w:color="auto"/>
        <w:bottom w:val="none" w:sz="0" w:space="0" w:color="auto"/>
        <w:right w:val="none" w:sz="0" w:space="0" w:color="auto"/>
      </w:divBdr>
    </w:div>
    <w:div w:id="1631394617">
      <w:bodyDiv w:val="1"/>
      <w:marLeft w:val="0"/>
      <w:marRight w:val="0"/>
      <w:marTop w:val="0"/>
      <w:marBottom w:val="0"/>
      <w:divBdr>
        <w:top w:val="none" w:sz="0" w:space="0" w:color="auto"/>
        <w:left w:val="none" w:sz="0" w:space="0" w:color="auto"/>
        <w:bottom w:val="none" w:sz="0" w:space="0" w:color="auto"/>
        <w:right w:val="none" w:sz="0" w:space="0" w:color="auto"/>
      </w:divBdr>
    </w:div>
    <w:div w:id="1688679202">
      <w:bodyDiv w:val="1"/>
      <w:marLeft w:val="0"/>
      <w:marRight w:val="0"/>
      <w:marTop w:val="0"/>
      <w:marBottom w:val="0"/>
      <w:divBdr>
        <w:top w:val="none" w:sz="0" w:space="0" w:color="auto"/>
        <w:left w:val="none" w:sz="0" w:space="0" w:color="auto"/>
        <w:bottom w:val="none" w:sz="0" w:space="0" w:color="auto"/>
        <w:right w:val="none" w:sz="0" w:space="0" w:color="auto"/>
      </w:divBdr>
    </w:div>
    <w:div w:id="1694914265">
      <w:bodyDiv w:val="1"/>
      <w:marLeft w:val="0"/>
      <w:marRight w:val="0"/>
      <w:marTop w:val="0"/>
      <w:marBottom w:val="0"/>
      <w:divBdr>
        <w:top w:val="none" w:sz="0" w:space="0" w:color="auto"/>
        <w:left w:val="none" w:sz="0" w:space="0" w:color="auto"/>
        <w:bottom w:val="none" w:sz="0" w:space="0" w:color="auto"/>
        <w:right w:val="none" w:sz="0" w:space="0" w:color="auto"/>
      </w:divBdr>
    </w:div>
    <w:div w:id="1789929965">
      <w:bodyDiv w:val="1"/>
      <w:marLeft w:val="0"/>
      <w:marRight w:val="0"/>
      <w:marTop w:val="0"/>
      <w:marBottom w:val="0"/>
      <w:divBdr>
        <w:top w:val="none" w:sz="0" w:space="0" w:color="auto"/>
        <w:left w:val="none" w:sz="0" w:space="0" w:color="auto"/>
        <w:bottom w:val="none" w:sz="0" w:space="0" w:color="auto"/>
        <w:right w:val="none" w:sz="0" w:space="0" w:color="auto"/>
      </w:divBdr>
    </w:div>
    <w:div w:id="1793595258">
      <w:bodyDiv w:val="1"/>
      <w:marLeft w:val="0"/>
      <w:marRight w:val="0"/>
      <w:marTop w:val="0"/>
      <w:marBottom w:val="0"/>
      <w:divBdr>
        <w:top w:val="none" w:sz="0" w:space="0" w:color="auto"/>
        <w:left w:val="none" w:sz="0" w:space="0" w:color="auto"/>
        <w:bottom w:val="none" w:sz="0" w:space="0" w:color="auto"/>
        <w:right w:val="none" w:sz="0" w:space="0" w:color="auto"/>
      </w:divBdr>
    </w:div>
    <w:div w:id="20880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FBE4B-A686-4AF6-A3BD-D7520370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3125</Words>
  <Characters>17817</Characters>
  <Application>Microsoft Office Word</Application>
  <DocSecurity>0</DocSecurity>
  <Lines>148</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dc:creator>
  <cp:lastModifiedBy>Galina</cp:lastModifiedBy>
  <cp:revision>19</cp:revision>
  <cp:lastPrinted>2013-10-28T14:29:00Z</cp:lastPrinted>
  <dcterms:created xsi:type="dcterms:W3CDTF">2015-10-16T06:23:00Z</dcterms:created>
  <dcterms:modified xsi:type="dcterms:W3CDTF">2015-10-19T11:20:00Z</dcterms:modified>
</cp:coreProperties>
</file>