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0A" w:rsidRPr="00275261" w:rsidRDefault="00B3640A" w:rsidP="00B3640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640A" w:rsidRPr="00275261" w:rsidRDefault="00B3640A" w:rsidP="00B36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B3640A" w:rsidRPr="00275261" w:rsidRDefault="00B3640A" w:rsidP="00B364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</w:pPr>
      <w:proofErr w:type="gram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proiectul de modificare Regulamentului privind condiţiile de plasare pe piaţă a dispozitivelor medicale aprobat prin</w:t>
      </w:r>
      <w:r w:rsidRPr="001023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102352">
        <w:rPr>
          <w:rFonts w:ascii="Times New Roman" w:hAnsi="Times New Roman" w:cs="Times New Roman"/>
          <w:b/>
          <w:sz w:val="28"/>
          <w:szCs w:val="28"/>
        </w:rPr>
        <w:t>G nr</w:t>
      </w:r>
      <w:r>
        <w:rPr>
          <w:rFonts w:ascii="Times New Roman" w:hAnsi="Times New Roman" w:cs="Times New Roman"/>
          <w:b/>
          <w:sz w:val="28"/>
          <w:szCs w:val="28"/>
        </w:rPr>
        <w:t>.418 din 05.06.2014</w:t>
      </w:r>
    </w:p>
    <w:p w:rsidR="00B3640A" w:rsidRDefault="00B3640A" w:rsidP="00B3640A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</w:p>
    <w:p w:rsidR="00B3640A" w:rsidRPr="00275261" w:rsidRDefault="00B3640A" w:rsidP="00B3640A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Condiţiile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impus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elaborarea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proietului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</w:p>
    <w:p w:rsidR="00B3640A" w:rsidRDefault="00B3640A" w:rsidP="00B3640A">
      <w:pPr>
        <w:spacing w:before="240"/>
        <w:ind w:right="396"/>
        <w:jc w:val="both"/>
        <w:rPr>
          <w:rFonts w:ascii="Times New Roman" w:hAnsi="Times New Roman"/>
          <w:color w:val="000000"/>
          <w:sz w:val="28"/>
          <w:szCs w:val="28"/>
        </w:rPr>
      </w:pP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</w:t>
      </w: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B2855">
        <w:rPr>
          <w:rFonts w:ascii="Times New Roman" w:hAnsi="Times New Roman" w:cs="Times New Roman"/>
          <w:sz w:val="28"/>
          <w:szCs w:val="28"/>
        </w:rPr>
        <w:t>otărîr</w:t>
      </w:r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Guvern</w:t>
      </w:r>
      <w:r w:rsidRPr="00DB2855">
        <w:rPr>
          <w:rFonts w:ascii="Times New Roman" w:hAnsi="Times New Roman" w:cs="Times New Roman"/>
          <w:sz w:val="28"/>
          <w:szCs w:val="28"/>
        </w:rPr>
        <w:t xml:space="preserve"> pentru modificarea </w:t>
      </w:r>
      <w:r>
        <w:rPr>
          <w:rFonts w:ascii="Times New Roman" w:hAnsi="Times New Roman" w:cs="Times New Roman"/>
          <w:sz w:val="28"/>
          <w:szCs w:val="28"/>
        </w:rPr>
        <w:t>„ R</w:t>
      </w:r>
      <w:r w:rsidRPr="00DB2855">
        <w:rPr>
          <w:rFonts w:ascii="Times New Roman" w:hAnsi="Times New Roman" w:cs="Times New Roman"/>
          <w:sz w:val="28"/>
          <w:szCs w:val="28"/>
        </w:rPr>
        <w:t>egulamentului</w:t>
      </w:r>
      <w:r>
        <w:rPr>
          <w:rFonts w:ascii="Times New Roman" w:hAnsi="Times New Roman" w:cs="Times New Roman"/>
          <w:sz w:val="28"/>
          <w:szCs w:val="28"/>
        </w:rPr>
        <w:t xml:space="preserve"> privind condiţiile de plasare pe piaţă a dispozitivelor medicale” aprobat prin</w:t>
      </w:r>
      <w:r w:rsidRPr="00EB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5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DB2855">
        <w:rPr>
          <w:rFonts w:ascii="Times New Roman" w:hAnsi="Times New Roman" w:cs="Times New Roman"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sz w:val="28"/>
          <w:szCs w:val="28"/>
        </w:rPr>
        <w:t>418</w:t>
      </w:r>
      <w:r w:rsidRPr="00DB2855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06.06.2014</w:t>
      </w:r>
      <w:r w:rsidRPr="00DB2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fost elaborat nemijlocit de către Ministerul Sănătă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DB2855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2855">
        <w:rPr>
          <w:rFonts w:ascii="Times New Roman" w:hAnsi="Times New Roman" w:cs="Times New Roman"/>
          <w:sz w:val="28"/>
          <w:szCs w:val="28"/>
        </w:rPr>
        <w:t xml:space="preserve"> Drept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855">
        <w:rPr>
          <w:rFonts w:ascii="Times New Roman" w:hAnsi="Times New Roman" w:cs="Times New Roman"/>
          <w:sz w:val="28"/>
          <w:szCs w:val="28"/>
        </w:rPr>
        <w:t xml:space="preserve">temei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serv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analiza </w:t>
      </w:r>
      <w:r>
        <w:rPr>
          <w:rFonts w:ascii="Times New Roman" w:hAnsi="Times New Roman"/>
          <w:color w:val="000000"/>
          <w:sz w:val="28"/>
          <w:szCs w:val="28"/>
        </w:rPr>
        <w:t xml:space="preserve">preliminară a </w:t>
      </w:r>
      <w:r w:rsidRPr="00EB50EB">
        <w:rPr>
          <w:rFonts w:ascii="Times New Roman" w:hAnsi="Times New Roman"/>
          <w:color w:val="000000"/>
          <w:sz w:val="28"/>
          <w:szCs w:val="28"/>
        </w:rPr>
        <w:t>expertizei solicita</w:t>
      </w:r>
      <w:r>
        <w:rPr>
          <w:rFonts w:ascii="Times New Roman" w:hAnsi="Times New Roman"/>
          <w:color w:val="000000"/>
          <w:sz w:val="28"/>
          <w:szCs w:val="28"/>
        </w:rPr>
        <w:t>te de către  Comisia Europeană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care  va fi efectuată </w:t>
      </w:r>
      <w:r>
        <w:rPr>
          <w:rFonts w:ascii="Times New Roman" w:hAnsi="Times New Roman"/>
          <w:color w:val="000000"/>
          <w:sz w:val="28"/>
          <w:szCs w:val="28"/>
        </w:rPr>
        <w:t xml:space="preserve"> de către experţ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ii DG GROWTH (European </w:t>
      </w:r>
      <w:proofErr w:type="spellStart"/>
      <w:r w:rsidRPr="00EB50EB">
        <w:rPr>
          <w:rFonts w:ascii="Times New Roman" w:hAnsi="Times New Roman"/>
          <w:color w:val="000000"/>
          <w:sz w:val="28"/>
          <w:szCs w:val="28"/>
        </w:rPr>
        <w:t>Commission</w:t>
      </w:r>
      <w:proofErr w:type="spellEnd"/>
      <w:r w:rsidRPr="00EB50EB">
        <w:rPr>
          <w:rFonts w:ascii="Times New Roman" w:hAnsi="Times New Roman"/>
          <w:color w:val="000000"/>
          <w:sz w:val="28"/>
          <w:szCs w:val="28"/>
        </w:rPr>
        <w:t>) în cadrul examinării procesului de armonizare</w:t>
      </w:r>
      <w:r>
        <w:rPr>
          <w:rFonts w:ascii="Times New Roman" w:hAnsi="Times New Roman"/>
          <w:color w:val="000000"/>
          <w:sz w:val="28"/>
          <w:szCs w:val="28"/>
        </w:rPr>
        <w:t xml:space="preserve">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executării prevederilor cap.3 al Acordului DCFTA.  Anexa XVI al Acordului DCFTA </w:t>
      </w:r>
      <w:r>
        <w:rPr>
          <w:rFonts w:ascii="Times New Roman" w:hAnsi="Times New Roman"/>
          <w:color w:val="000000"/>
          <w:sz w:val="28"/>
          <w:szCs w:val="28"/>
        </w:rPr>
        <w:t>conţ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ine </w:t>
      </w:r>
      <w:r>
        <w:rPr>
          <w:rFonts w:ascii="Times New Roman" w:hAnsi="Times New Roman"/>
          <w:color w:val="000000"/>
          <w:sz w:val="28"/>
          <w:szCs w:val="28"/>
        </w:rPr>
        <w:t>lista legislaţ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iei pentru armonizare, </w:t>
      </w:r>
      <w:r>
        <w:rPr>
          <w:rFonts w:ascii="Times New Roman" w:hAnsi="Times New Roman"/>
          <w:color w:val="000000"/>
          <w:sz w:val="28"/>
          <w:szCs w:val="28"/>
        </w:rPr>
        <w:t>care expres specifică condiţ</w:t>
      </w:r>
      <w:r w:rsidRPr="00EB50EB">
        <w:rPr>
          <w:rFonts w:ascii="Times New Roman" w:hAnsi="Times New Roman"/>
          <w:color w:val="000000"/>
          <w:sz w:val="28"/>
          <w:szCs w:val="28"/>
        </w:rPr>
        <w:t>ia armonizării depline</w:t>
      </w:r>
      <w:r>
        <w:rPr>
          <w:rFonts w:ascii="Times New Roman" w:hAnsi="Times New Roman"/>
          <w:color w:val="000000"/>
          <w:sz w:val="28"/>
          <w:szCs w:val="28"/>
        </w:rPr>
        <w:t xml:space="preserve"> a legislaţiei naţi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onale cu cea europeană. Domeniul dispozitivelor medicale este reglementat de Directiva </w:t>
      </w:r>
      <w:r>
        <w:rPr>
          <w:rFonts w:ascii="Times New Roman" w:hAnsi="Times New Roman"/>
          <w:color w:val="000000"/>
          <w:sz w:val="28"/>
          <w:szCs w:val="28"/>
        </w:rPr>
        <w:t>93/42/CEE, prevederile căreia su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nt necesare de transpus </w:t>
      </w:r>
      <w:r>
        <w:rPr>
          <w:rFonts w:ascii="Times New Roman" w:hAnsi="Times New Roman"/>
          <w:color w:val="000000"/>
          <w:sz w:val="28"/>
          <w:szCs w:val="28"/>
        </w:rPr>
        <w:t>în legislaţia naţ</w:t>
      </w:r>
      <w:r w:rsidRPr="00EB50EB">
        <w:rPr>
          <w:rFonts w:ascii="Times New Roman" w:hAnsi="Times New Roman"/>
          <w:color w:val="000000"/>
          <w:sz w:val="28"/>
          <w:szCs w:val="28"/>
        </w:rPr>
        <w:t>ională. Ca urmare</w:t>
      </w:r>
      <w:r>
        <w:rPr>
          <w:rFonts w:ascii="Times New Roman" w:hAnsi="Times New Roman"/>
          <w:color w:val="000000"/>
          <w:sz w:val="28"/>
          <w:szCs w:val="28"/>
        </w:rPr>
        <w:t>, Acordul DCFTA stabileşte revizuirea legislaţiei naţ</w:t>
      </w:r>
      <w:r w:rsidRPr="00EB50EB">
        <w:rPr>
          <w:rFonts w:ascii="Times New Roman" w:hAnsi="Times New Roman"/>
          <w:color w:val="000000"/>
          <w:sz w:val="28"/>
          <w:szCs w:val="28"/>
        </w:rPr>
        <w:t>ionale în domeniul dispozitivelor medicale  în scopul  armonizării depline   în anul 2015.</w:t>
      </w:r>
    </w:p>
    <w:p w:rsidR="00B3640A" w:rsidRPr="00D62E06" w:rsidRDefault="00B3640A" w:rsidP="00B3640A">
      <w:pPr>
        <w:spacing w:before="240"/>
        <w:ind w:right="396"/>
        <w:jc w:val="both"/>
        <w:rPr>
          <w:rFonts w:ascii="Times New Roman" w:hAnsi="Times New Roman"/>
          <w:color w:val="000000"/>
          <w:sz w:val="28"/>
          <w:szCs w:val="28"/>
        </w:rPr>
      </w:pPr>
      <w:r w:rsidRPr="00C40A96">
        <w:rPr>
          <w:rStyle w:val="Bodytext2"/>
          <w:rFonts w:eastAsiaTheme="minorEastAsia"/>
          <w:sz w:val="28"/>
          <w:szCs w:val="28"/>
        </w:rPr>
        <w:t>Principalele prevederi şi elemente noi ale proiectului</w:t>
      </w:r>
      <w:r w:rsidRPr="00C40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0A" w:rsidRDefault="00B3640A" w:rsidP="00B3640A">
      <w:pPr>
        <w:pStyle w:val="Default"/>
        <w:spacing w:line="276" w:lineRule="auto"/>
        <w:ind w:right="306" w:firstLine="708"/>
        <w:jc w:val="both"/>
        <w:rPr>
          <w:sz w:val="28"/>
          <w:szCs w:val="28"/>
        </w:rPr>
      </w:pPr>
      <w:proofErr w:type="spellStart"/>
      <w:r w:rsidRPr="00C40A96">
        <w:rPr>
          <w:sz w:val="28"/>
          <w:szCs w:val="28"/>
        </w:rPr>
        <w:t>Prin</w:t>
      </w:r>
      <w:proofErr w:type="spellEnd"/>
      <w:r w:rsidRPr="00C40A96">
        <w:rPr>
          <w:sz w:val="28"/>
          <w:szCs w:val="28"/>
        </w:rPr>
        <w:t xml:space="preserve"> </w:t>
      </w:r>
      <w:proofErr w:type="spellStart"/>
      <w:r w:rsidRPr="00C40A96">
        <w:rPr>
          <w:sz w:val="28"/>
          <w:szCs w:val="28"/>
        </w:rPr>
        <w:t>proiect</w:t>
      </w:r>
      <w:proofErr w:type="spellEnd"/>
      <w:r w:rsidRPr="00C40A96">
        <w:rPr>
          <w:sz w:val="28"/>
          <w:szCs w:val="28"/>
        </w:rPr>
        <w:t xml:space="preserve">, se </w:t>
      </w:r>
      <w:proofErr w:type="spellStart"/>
      <w:proofErr w:type="gramStart"/>
      <w:r w:rsidRPr="00C40A96">
        <w:rPr>
          <w:sz w:val="28"/>
          <w:szCs w:val="28"/>
        </w:rPr>
        <w:t>propune</w:t>
      </w:r>
      <w:proofErr w:type="spellEnd"/>
      <w:r w:rsidRPr="00C40A9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3640A" w:rsidRPr="00B41FDB" w:rsidRDefault="00B3640A" w:rsidP="00B3640A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</w:rPr>
        <w:t xml:space="preserve">1) </w:t>
      </w:r>
      <w:r w:rsidRPr="00C40A96">
        <w:rPr>
          <w:sz w:val="28"/>
          <w:szCs w:val="28"/>
          <w:lang w:val="ro-MO"/>
        </w:rPr>
        <w:t>pe tot parcursul textului</w:t>
      </w:r>
      <w:r w:rsidRPr="00A87B40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sintagma </w:t>
      </w:r>
      <w:r w:rsidRPr="00A87B40">
        <w:rPr>
          <w:b/>
          <w:lang w:val="ro-RO"/>
        </w:rPr>
        <w:t>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;</w:t>
      </w:r>
    </w:p>
    <w:p w:rsidR="00B3640A" w:rsidRPr="00933E51" w:rsidRDefault="00B3640A" w:rsidP="00B3640A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Pr="00BE50CA">
        <w:rPr>
          <w:sz w:val="28"/>
          <w:szCs w:val="28"/>
          <w:lang w:val="ro-RO"/>
        </w:rPr>
        <w:t>la punctul 36 sintag</w:t>
      </w:r>
      <w:r>
        <w:rPr>
          <w:sz w:val="28"/>
          <w:szCs w:val="28"/>
          <w:lang w:val="ro-RO"/>
        </w:rPr>
        <w:t>ma</w:t>
      </w:r>
      <w:r w:rsidRPr="00933E51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  <w:r w:rsidRPr="00933E51">
        <w:rPr>
          <w:sz w:val="28"/>
          <w:szCs w:val="28"/>
          <w:lang w:val="ro-RO"/>
        </w:rPr>
        <w:t xml:space="preserve">”În scopul prevenirii incidentelor menţionate la pct.28 din prezentul Regulament, dispozitivele medicale de clasa I, </w:t>
      </w:r>
      <w:proofErr w:type="spellStart"/>
      <w:r w:rsidRPr="00933E51">
        <w:rPr>
          <w:sz w:val="28"/>
          <w:szCs w:val="28"/>
          <w:lang w:val="ro-RO"/>
        </w:rPr>
        <w:t>IIa</w:t>
      </w:r>
      <w:proofErr w:type="spellEnd"/>
      <w:r w:rsidRPr="00933E51">
        <w:rPr>
          <w:sz w:val="28"/>
          <w:szCs w:val="28"/>
          <w:lang w:val="ro-RO"/>
        </w:rPr>
        <w:t xml:space="preserve">, </w:t>
      </w:r>
      <w:proofErr w:type="spellStart"/>
      <w:r w:rsidRPr="00933E51">
        <w:rPr>
          <w:sz w:val="28"/>
          <w:szCs w:val="28"/>
          <w:lang w:val="ro-RO"/>
        </w:rPr>
        <w:t>IIb</w:t>
      </w:r>
      <w:proofErr w:type="spellEnd"/>
      <w:r w:rsidRPr="00933E51">
        <w:rPr>
          <w:sz w:val="28"/>
          <w:szCs w:val="28"/>
          <w:lang w:val="ro-RO"/>
        </w:rPr>
        <w:t xml:space="preserve"> şi III, puse în funcţiune şi aflate în utilizare se supun verificărilor periodice şi verificărilor după reparaţie sau modificare, de către organismele recunoscute de evaluare a conformităţii.</w:t>
      </w:r>
      <w:r>
        <w:rPr>
          <w:sz w:val="28"/>
          <w:szCs w:val="28"/>
          <w:lang w:val="ro-RO"/>
        </w:rPr>
        <w:t xml:space="preserve"> </w:t>
      </w:r>
      <w:r w:rsidRPr="00933E51">
        <w:rPr>
          <w:sz w:val="28"/>
          <w:szCs w:val="28"/>
          <w:lang w:val="ro-RO"/>
        </w:rPr>
        <w:t>Agenţia Medicamentului şi Dispoz</w:t>
      </w:r>
      <w:r>
        <w:rPr>
          <w:sz w:val="28"/>
          <w:szCs w:val="28"/>
          <w:lang w:val="ro-RO"/>
        </w:rPr>
        <w:t>itivelor Medicale va elabora şi</w:t>
      </w:r>
      <w:r w:rsidRPr="00933E51">
        <w:rPr>
          <w:sz w:val="28"/>
          <w:szCs w:val="28"/>
          <w:lang w:val="ro-RO"/>
        </w:rPr>
        <w:t xml:space="preserve"> aproba instrucţiuni pentru determinarea volumului şi periodicităţii verificărilor în dependenţă de domeniul de utilizare, riscul şi complex</w:t>
      </w:r>
      <w:r>
        <w:rPr>
          <w:sz w:val="28"/>
          <w:szCs w:val="28"/>
          <w:lang w:val="ro-RO"/>
        </w:rPr>
        <w:t>itatea dispozitivelor medicale” se exclude.</w:t>
      </w:r>
    </w:p>
    <w:p w:rsidR="00B3640A" w:rsidRPr="009E74CC" w:rsidRDefault="00B3640A" w:rsidP="00B364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CC">
        <w:rPr>
          <w:rStyle w:val="Bodytext2"/>
          <w:rFonts w:eastAsiaTheme="minorEastAsia"/>
          <w:sz w:val="28"/>
          <w:szCs w:val="28"/>
        </w:rPr>
        <w:t>Fundamentarea economico-financiară</w:t>
      </w:r>
    </w:p>
    <w:p w:rsidR="00B3640A" w:rsidRPr="00275261" w:rsidRDefault="00B3640A" w:rsidP="00B364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261">
        <w:rPr>
          <w:rFonts w:ascii="Times New Roman" w:hAnsi="Times New Roman" w:cs="Times New Roman"/>
          <w:sz w:val="28"/>
          <w:szCs w:val="28"/>
        </w:rPr>
        <w:t>Realizarea modificărilor nu va n</w:t>
      </w:r>
      <w:r>
        <w:rPr>
          <w:rFonts w:ascii="Times New Roman" w:hAnsi="Times New Roman" w:cs="Times New Roman"/>
          <w:sz w:val="28"/>
          <w:szCs w:val="28"/>
        </w:rPr>
        <w:t>ecesita cheltuieli suplimentare din bugetul de stat.</w:t>
      </w:r>
      <w:r w:rsidRPr="00275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0A" w:rsidRDefault="00B3640A" w:rsidP="00B364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40A" w:rsidRDefault="00B3640A" w:rsidP="00B3640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77D24" w:rsidRPr="00B3640A" w:rsidRDefault="00B3640A" w:rsidP="00B3640A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C18D5">
        <w:rPr>
          <w:rFonts w:ascii="Times New Roman" w:hAnsi="Times New Roman" w:cs="Times New Roman"/>
          <w:b/>
          <w:sz w:val="28"/>
          <w:szCs w:val="28"/>
        </w:rPr>
        <w:t>Ministru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Ruxanda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GLAVAN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</w:p>
    <w:sectPr w:rsidR="00677D24" w:rsidRPr="00B3640A" w:rsidSect="0067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40A"/>
    <w:rsid w:val="000E1AB2"/>
    <w:rsid w:val="00195E20"/>
    <w:rsid w:val="001B6642"/>
    <w:rsid w:val="003C3BC5"/>
    <w:rsid w:val="00442EE8"/>
    <w:rsid w:val="004A7551"/>
    <w:rsid w:val="005B4266"/>
    <w:rsid w:val="006437B1"/>
    <w:rsid w:val="00677D24"/>
    <w:rsid w:val="006A41B1"/>
    <w:rsid w:val="006C61FA"/>
    <w:rsid w:val="008231F1"/>
    <w:rsid w:val="008466B5"/>
    <w:rsid w:val="008C5E66"/>
    <w:rsid w:val="00A7698A"/>
    <w:rsid w:val="00B3640A"/>
    <w:rsid w:val="00B44674"/>
    <w:rsid w:val="00C04500"/>
    <w:rsid w:val="00C470AA"/>
    <w:rsid w:val="00C633D5"/>
    <w:rsid w:val="00D11948"/>
    <w:rsid w:val="00DC20A8"/>
    <w:rsid w:val="00DE5FB8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0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B36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Default">
    <w:name w:val="Default"/>
    <w:rsid w:val="00B36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>Krokoz™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2015-10-20T12:45:00Z</dcterms:created>
  <dcterms:modified xsi:type="dcterms:W3CDTF">2015-10-20T12:46:00Z</dcterms:modified>
</cp:coreProperties>
</file>