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 xml:space="preserve">Notă </w:t>
      </w:r>
      <w:r w:rsidR="00ED5879" w:rsidRPr="00876DFC">
        <w:rPr>
          <w:rFonts w:ascii="Times New Roman" w:hAnsi="Times New Roman"/>
          <w:b/>
          <w:sz w:val="28"/>
          <w:szCs w:val="28"/>
        </w:rPr>
        <w:t>inform</w:t>
      </w:r>
      <w:r w:rsidRPr="00876DFC">
        <w:rPr>
          <w:rFonts w:ascii="Times New Roman" w:hAnsi="Times New Roman"/>
          <w:b/>
          <w:sz w:val="28"/>
          <w:szCs w:val="28"/>
        </w:rPr>
        <w:t>ativă</w:t>
      </w:r>
    </w:p>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la proiectul de lege pentru modificarea şi completarea</w:t>
      </w:r>
    </w:p>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unor acte legislative, ce rezultă din politica bugetară pe anul 2016</w:t>
      </w:r>
    </w:p>
    <w:p w:rsidR="0051280A" w:rsidRPr="00876DFC" w:rsidRDefault="0051280A" w:rsidP="0051280A">
      <w:pPr>
        <w:tabs>
          <w:tab w:val="left" w:pos="0"/>
        </w:tabs>
        <w:spacing w:after="0" w:line="360" w:lineRule="auto"/>
        <w:jc w:val="both"/>
        <w:rPr>
          <w:rFonts w:ascii="Times New Roman" w:hAnsi="Times New Roman"/>
          <w:b/>
          <w:sz w:val="24"/>
          <w:szCs w:val="24"/>
        </w:rPr>
      </w:pPr>
    </w:p>
    <w:p w:rsidR="003339C7" w:rsidRPr="002B5005" w:rsidRDefault="00E42C8A" w:rsidP="003E5BBA">
      <w:pPr>
        <w:spacing w:after="0"/>
        <w:ind w:firstLine="567"/>
        <w:jc w:val="both"/>
        <w:rPr>
          <w:rFonts w:ascii="Times New Roman" w:eastAsia="Times New Roman" w:hAnsi="Times New Roman" w:cs="Times New Roman"/>
          <w:sz w:val="28"/>
          <w:szCs w:val="28"/>
          <w:lang w:val="en-US" w:eastAsia="ru-RU"/>
        </w:rPr>
      </w:pPr>
      <w:r>
        <w:rPr>
          <w:rFonts w:ascii="Times New Roman" w:hAnsi="Times New Roman" w:cs="Times New Roman"/>
          <w:b/>
          <w:sz w:val="28"/>
          <w:szCs w:val="28"/>
        </w:rPr>
        <w:t xml:space="preserve">1. </w:t>
      </w:r>
      <w:r w:rsidR="00260135" w:rsidRPr="002B5005">
        <w:rPr>
          <w:rFonts w:ascii="Times New Roman" w:hAnsi="Times New Roman" w:cs="Times New Roman"/>
          <w:b/>
          <w:sz w:val="28"/>
          <w:szCs w:val="28"/>
        </w:rPr>
        <w:t>Legea nr.909-XII din 30 ianuarie 1992 privind protecţia socială a cetăţenilor care au avut de suferit de pe urma catastrofei de la Cernobîl</w:t>
      </w:r>
      <w:r w:rsidR="008E64E7" w:rsidRPr="002B5005">
        <w:rPr>
          <w:rFonts w:ascii="Times New Roman" w:hAnsi="Times New Roman" w:cs="Times New Roman"/>
          <w:b/>
          <w:sz w:val="28"/>
          <w:szCs w:val="28"/>
        </w:rPr>
        <w:t xml:space="preserve"> și Legea nr.190-XV din 8 mai 2003 cu privire la veterani</w:t>
      </w:r>
      <w:r w:rsidR="00260135" w:rsidRPr="002B5005">
        <w:rPr>
          <w:rFonts w:ascii="Times New Roman" w:hAnsi="Times New Roman" w:cs="Times New Roman"/>
          <w:sz w:val="28"/>
          <w:szCs w:val="28"/>
        </w:rPr>
        <w:t xml:space="preserve">, prevede că unele categorii de cetăţeni </w:t>
      </w:r>
      <w:r w:rsidR="00E049DE" w:rsidRPr="002B5005">
        <w:rPr>
          <w:rFonts w:ascii="Times New Roman" w:hAnsi="Times New Roman" w:cs="Times New Roman"/>
          <w:sz w:val="28"/>
          <w:szCs w:val="28"/>
        </w:rPr>
        <w:t xml:space="preserve">ai Republicii Moldova </w:t>
      </w:r>
      <w:r w:rsidR="00260135" w:rsidRPr="002B5005">
        <w:rPr>
          <w:rFonts w:ascii="Times New Roman" w:hAnsi="Times New Roman" w:cs="Times New Roman"/>
          <w:sz w:val="28"/>
          <w:szCs w:val="28"/>
        </w:rPr>
        <w:t>care au participat la lichidarea consecinţelor catastrofe</w:t>
      </w:r>
      <w:r w:rsidR="008E64E7" w:rsidRPr="002B5005">
        <w:rPr>
          <w:rFonts w:ascii="Times New Roman" w:hAnsi="Times New Roman" w:cs="Times New Roman"/>
          <w:sz w:val="28"/>
          <w:szCs w:val="28"/>
        </w:rPr>
        <w:t xml:space="preserve">i de la Cernobîl, precum și unele </w:t>
      </w:r>
      <w:r w:rsidR="00260135" w:rsidRPr="002B5005">
        <w:rPr>
          <w:rFonts w:ascii="Times New Roman" w:hAnsi="Times New Roman" w:cs="Times New Roman"/>
          <w:sz w:val="28"/>
          <w:szCs w:val="28"/>
        </w:rPr>
        <w:t xml:space="preserve"> </w:t>
      </w:r>
      <w:r w:rsidR="008E64E7" w:rsidRPr="002B5005">
        <w:rPr>
          <w:rFonts w:ascii="Times New Roman" w:eastAsia="Times New Roman" w:hAnsi="Times New Roman" w:cs="Times New Roman"/>
          <w:sz w:val="28"/>
          <w:szCs w:val="28"/>
          <w:lang w:val="en-US" w:eastAsia="ru-RU"/>
        </w:rPr>
        <w:t xml:space="preserve">categorii de veterani </w:t>
      </w:r>
      <w:r w:rsidR="00E049DE" w:rsidRPr="002B5005">
        <w:rPr>
          <w:rFonts w:ascii="Times New Roman" w:hAnsi="Times New Roman" w:cs="Times New Roman"/>
          <w:sz w:val="28"/>
          <w:szCs w:val="28"/>
        </w:rPr>
        <w:t>cetăţeni ai Republicii Moldova</w:t>
      </w:r>
      <w:r w:rsidR="00E049DE" w:rsidRPr="002B5005">
        <w:rPr>
          <w:rFonts w:ascii="Times New Roman" w:eastAsia="Times New Roman" w:hAnsi="Times New Roman" w:cs="Times New Roman"/>
          <w:sz w:val="28"/>
          <w:szCs w:val="28"/>
          <w:lang w:val="en-US" w:eastAsia="ru-RU"/>
        </w:rPr>
        <w:t xml:space="preserve"> </w:t>
      </w:r>
      <w:r w:rsidR="008E64E7" w:rsidRPr="002B5005">
        <w:rPr>
          <w:rFonts w:ascii="Times New Roman" w:eastAsia="Times New Roman" w:hAnsi="Times New Roman" w:cs="Times New Roman"/>
          <w:sz w:val="28"/>
          <w:szCs w:val="28"/>
          <w:lang w:val="en-US" w:eastAsia="ru-RU"/>
        </w:rPr>
        <w:t>şi membrilor familiilor lor</w:t>
      </w:r>
      <w:r w:rsidR="008E64E7" w:rsidRPr="002B5005">
        <w:rPr>
          <w:rFonts w:ascii="Times New Roman" w:hAnsi="Times New Roman" w:cs="Times New Roman"/>
          <w:sz w:val="28"/>
          <w:szCs w:val="28"/>
        </w:rPr>
        <w:t xml:space="preserve"> </w:t>
      </w:r>
      <w:r w:rsidR="00260135" w:rsidRPr="002B5005">
        <w:rPr>
          <w:rFonts w:ascii="Times New Roman" w:hAnsi="Times New Roman" w:cs="Times New Roman"/>
          <w:sz w:val="28"/>
          <w:szCs w:val="28"/>
        </w:rPr>
        <w:t xml:space="preserve">au dreptul de a beneficia de indemnizaţii pentru asigurarea cu spaţiu locativ, dacă, la situaţia din 1 ianuarie 2010, deţin scrisori de garanţie pentru obţinerea creditelor preferenţiale, eliberate de autorităţile administraţiei publice locale şi nu au obţinut creditele nominalizate. </w:t>
      </w:r>
      <w:r w:rsidR="005B217C" w:rsidRPr="002B5005">
        <w:rPr>
          <w:rFonts w:ascii="Times New Roman" w:hAnsi="Times New Roman" w:cs="Times New Roman"/>
          <w:sz w:val="28"/>
          <w:szCs w:val="28"/>
        </w:rPr>
        <w:t>Totodată, persoanele care nu şi-au realizat dreptul la asigurarea cu spaţiu locativ, la credite preferenţiale şi nu deţin scrisori de garanţie corespunzătoare pot beneficia de acest drept în modul stabilit de Guvern.</w:t>
      </w:r>
      <w:r w:rsidR="00664799" w:rsidRPr="002B5005">
        <w:rPr>
          <w:rFonts w:ascii="Times New Roman" w:hAnsi="Times New Roman" w:cs="Times New Roman"/>
          <w:sz w:val="28"/>
          <w:szCs w:val="28"/>
        </w:rPr>
        <w:t xml:space="preserve"> Termenul de acordare a indemnizațiilor pentru persoanele care dețin scrisori de garanție a fost stabilit pînă la 31 decembrie 2014, iar </w:t>
      </w:r>
      <w:r w:rsidR="00E049DE" w:rsidRPr="002B5005">
        <w:rPr>
          <w:rFonts w:ascii="Times New Roman" w:hAnsi="Times New Roman" w:cs="Times New Roman"/>
          <w:sz w:val="28"/>
          <w:szCs w:val="28"/>
        </w:rPr>
        <w:t xml:space="preserve">pentru persoanele care nu şi-au realizat dreptul la asigurarea cu spaţiu locativ, la credite preferenţiale şi nu deţin scrisori de garanţie corespunzătoare – este reeșalonat </w:t>
      </w:r>
      <w:r w:rsidR="00E049DE" w:rsidRPr="002B5005">
        <w:rPr>
          <w:rFonts w:ascii="Times New Roman" w:eastAsia="Times New Roman" w:hAnsi="Times New Roman" w:cs="Times New Roman"/>
          <w:sz w:val="28"/>
          <w:szCs w:val="28"/>
          <w:lang w:val="en-US" w:eastAsia="ru-RU"/>
        </w:rPr>
        <w:t>pe o perioadă de pînă la 5 ani, începînd cu 1 ianuarie 2014 pînă la 31 decembrie 2018.</w:t>
      </w:r>
      <w:r w:rsidR="00F926A9" w:rsidRPr="002B5005">
        <w:rPr>
          <w:rFonts w:ascii="Times New Roman" w:eastAsia="Times New Roman" w:hAnsi="Times New Roman" w:cs="Times New Roman"/>
          <w:sz w:val="28"/>
          <w:szCs w:val="28"/>
          <w:lang w:val="en-US" w:eastAsia="ru-RU"/>
        </w:rPr>
        <w:t xml:space="preserve"> </w:t>
      </w:r>
    </w:p>
    <w:p w:rsidR="004A7E7C" w:rsidRPr="002B5005" w:rsidRDefault="004A7E7C" w:rsidP="003E5BBA">
      <w:pPr>
        <w:spacing w:after="0"/>
        <w:ind w:firstLine="567"/>
        <w:jc w:val="both"/>
        <w:rPr>
          <w:rFonts w:ascii="Times New Roman" w:eastAsia="Times New Roman" w:hAnsi="Times New Roman" w:cs="Times New Roman"/>
          <w:sz w:val="28"/>
          <w:szCs w:val="28"/>
          <w:lang w:eastAsia="ru-RU"/>
        </w:rPr>
      </w:pPr>
      <w:r w:rsidRPr="002B5005">
        <w:rPr>
          <w:rFonts w:ascii="Times New Roman" w:eastAsia="Times New Roman" w:hAnsi="Times New Roman" w:cs="Times New Roman"/>
          <w:sz w:val="28"/>
          <w:szCs w:val="28"/>
          <w:lang w:eastAsia="ru-RU"/>
        </w:rPr>
        <w:t>Pe parcursul anilor 2010-2014, 2186 beneficiari au primit</w:t>
      </w:r>
      <w:r w:rsidR="00395D2A" w:rsidRPr="002B5005">
        <w:rPr>
          <w:rFonts w:ascii="Times New Roman" w:eastAsia="Times New Roman" w:hAnsi="Times New Roman" w:cs="Times New Roman"/>
          <w:sz w:val="28"/>
          <w:szCs w:val="28"/>
          <w:lang w:eastAsia="ru-RU"/>
        </w:rPr>
        <w:t>,</w:t>
      </w:r>
      <w:r w:rsidRPr="002B5005">
        <w:rPr>
          <w:rFonts w:ascii="Times New Roman" w:eastAsia="Times New Roman" w:hAnsi="Times New Roman" w:cs="Times New Roman"/>
          <w:sz w:val="28"/>
          <w:szCs w:val="28"/>
          <w:lang w:eastAsia="ru-RU"/>
        </w:rPr>
        <w:t xml:space="preserve"> în baza scrisorilor de garanții eliberate de către autorităţile publice locale, indemnizații unice din contul bugetului de stat în sumă de 88,8 mil.lei.</w:t>
      </w:r>
    </w:p>
    <w:p w:rsidR="004A7E7C" w:rsidRPr="002B5005" w:rsidRDefault="004A7E7C" w:rsidP="003E5BBA">
      <w:pPr>
        <w:spacing w:after="0"/>
        <w:ind w:firstLine="567"/>
        <w:jc w:val="both"/>
        <w:rPr>
          <w:rFonts w:ascii="Times New Roman" w:eastAsia="Times New Roman" w:hAnsi="Times New Roman" w:cs="Times New Roman"/>
          <w:sz w:val="28"/>
          <w:szCs w:val="28"/>
          <w:lang w:eastAsia="ru-RU"/>
        </w:rPr>
      </w:pPr>
      <w:r w:rsidRPr="002B5005">
        <w:rPr>
          <w:rFonts w:ascii="Times New Roman" w:eastAsia="Times New Roman" w:hAnsi="Times New Roman" w:cs="Times New Roman"/>
          <w:sz w:val="28"/>
          <w:szCs w:val="28"/>
          <w:lang w:eastAsia="ru-RU"/>
        </w:rPr>
        <w:t>În anul 2014, 163 beneficiari care nu au deținut scrisori de garanție, au primit indemnizații unice din contul bugetului de stat în sumă de 7,6 mil.lei. Pînă la finele anului 2018, 3364 beneficiari urmează să-şi realizeze dreptul la indemnizația unică, dintre care 1584 beneficiari domiciliați în localitățile din stînga Nistrului, care</w:t>
      </w:r>
      <w:r w:rsidR="00395D2A" w:rsidRPr="002B5005">
        <w:rPr>
          <w:rFonts w:ascii="Times New Roman" w:eastAsia="Times New Roman" w:hAnsi="Times New Roman" w:cs="Times New Roman"/>
          <w:sz w:val="28"/>
          <w:szCs w:val="28"/>
          <w:lang w:eastAsia="ru-RU"/>
        </w:rPr>
        <w:t>,</w:t>
      </w:r>
      <w:r w:rsidRPr="002B5005">
        <w:rPr>
          <w:rFonts w:ascii="Times New Roman" w:eastAsia="Times New Roman" w:hAnsi="Times New Roman" w:cs="Times New Roman"/>
          <w:sz w:val="28"/>
          <w:szCs w:val="28"/>
          <w:lang w:eastAsia="ru-RU"/>
        </w:rPr>
        <w:t xml:space="preserve"> la momentul dat</w:t>
      </w:r>
      <w:r w:rsidR="00395D2A" w:rsidRPr="002B5005">
        <w:rPr>
          <w:rFonts w:ascii="Times New Roman" w:eastAsia="Times New Roman" w:hAnsi="Times New Roman" w:cs="Times New Roman"/>
          <w:sz w:val="28"/>
          <w:szCs w:val="28"/>
          <w:lang w:eastAsia="ru-RU"/>
        </w:rPr>
        <w:t>,</w:t>
      </w:r>
      <w:r w:rsidRPr="002B5005">
        <w:rPr>
          <w:rFonts w:ascii="Times New Roman" w:eastAsia="Times New Roman" w:hAnsi="Times New Roman" w:cs="Times New Roman"/>
          <w:sz w:val="28"/>
          <w:szCs w:val="28"/>
          <w:lang w:eastAsia="ru-RU"/>
        </w:rPr>
        <w:t xml:space="preserve"> nu şi-au realizat acest drept din cauza unor </w:t>
      </w:r>
      <w:r w:rsidR="00F026ED" w:rsidRPr="002B5005">
        <w:rPr>
          <w:rFonts w:ascii="Times New Roman" w:eastAsia="Times New Roman" w:hAnsi="Times New Roman" w:cs="Times New Roman"/>
          <w:sz w:val="28"/>
          <w:szCs w:val="28"/>
          <w:lang w:eastAsia="ru-RU"/>
        </w:rPr>
        <w:t>neclarități</w:t>
      </w:r>
      <w:r w:rsidRPr="002B5005">
        <w:rPr>
          <w:rFonts w:ascii="Times New Roman" w:eastAsia="Times New Roman" w:hAnsi="Times New Roman" w:cs="Times New Roman"/>
          <w:sz w:val="28"/>
          <w:szCs w:val="28"/>
          <w:lang w:eastAsia="ru-RU"/>
        </w:rPr>
        <w:t xml:space="preserve"> apărute în procesul de examinare a cererilor de către comisiile speciale.</w:t>
      </w:r>
    </w:p>
    <w:p w:rsidR="00395D2A" w:rsidRDefault="003E5BBA" w:rsidP="00395D2A">
      <w:pPr>
        <w:pStyle w:val="a3"/>
        <w:spacing w:line="276" w:lineRule="auto"/>
        <w:rPr>
          <w:sz w:val="28"/>
          <w:szCs w:val="28"/>
        </w:rPr>
      </w:pPr>
      <w:r w:rsidRPr="002B5005">
        <w:rPr>
          <w:sz w:val="28"/>
          <w:szCs w:val="28"/>
        </w:rPr>
        <w:t xml:space="preserve">Pentru asigurarea </w:t>
      </w:r>
      <w:r w:rsidR="004A134B" w:rsidRPr="002B5005">
        <w:rPr>
          <w:sz w:val="28"/>
          <w:szCs w:val="28"/>
        </w:rPr>
        <w:t xml:space="preserve">drepturilor </w:t>
      </w:r>
      <w:r w:rsidR="00395D2A" w:rsidRPr="002B5005">
        <w:rPr>
          <w:sz w:val="28"/>
          <w:szCs w:val="28"/>
        </w:rPr>
        <w:t xml:space="preserve">și garanțiilor sociale ale </w:t>
      </w:r>
      <w:r w:rsidR="004A134B" w:rsidRPr="002B5005">
        <w:rPr>
          <w:sz w:val="28"/>
          <w:szCs w:val="28"/>
        </w:rPr>
        <w:t>cetățenilor Republicii Moldova</w:t>
      </w:r>
      <w:r w:rsidRPr="002B5005">
        <w:rPr>
          <w:sz w:val="28"/>
          <w:szCs w:val="28"/>
        </w:rPr>
        <w:t xml:space="preserve">, se propune extinderea competențelor comisiilor speciale din localitățile limitrofe </w:t>
      </w:r>
      <w:r w:rsidR="00F26977" w:rsidRPr="002B5005">
        <w:rPr>
          <w:sz w:val="28"/>
          <w:szCs w:val="28"/>
        </w:rPr>
        <w:t>respective</w:t>
      </w:r>
      <w:r w:rsidR="002774A3">
        <w:rPr>
          <w:sz w:val="28"/>
          <w:szCs w:val="28"/>
        </w:rPr>
        <w:t xml:space="preserve"> </w:t>
      </w:r>
      <w:r w:rsidRPr="002B5005">
        <w:rPr>
          <w:sz w:val="28"/>
          <w:szCs w:val="28"/>
        </w:rPr>
        <w:t>în privința examinării cererilor depuse de către solicitanți de indemnizaț</w:t>
      </w:r>
      <w:r w:rsidR="00DD31D7" w:rsidRPr="002B5005">
        <w:rPr>
          <w:sz w:val="28"/>
          <w:szCs w:val="28"/>
        </w:rPr>
        <w:t>ii</w:t>
      </w:r>
      <w:r w:rsidRPr="002B5005">
        <w:rPr>
          <w:sz w:val="28"/>
          <w:szCs w:val="28"/>
        </w:rPr>
        <w:t xml:space="preserve"> unic</w:t>
      </w:r>
      <w:r w:rsidR="00DD31D7" w:rsidRPr="002B5005">
        <w:rPr>
          <w:sz w:val="28"/>
          <w:szCs w:val="28"/>
        </w:rPr>
        <w:t>e</w:t>
      </w:r>
      <w:r w:rsidRPr="002B5005">
        <w:rPr>
          <w:sz w:val="28"/>
          <w:szCs w:val="28"/>
        </w:rPr>
        <w:t xml:space="preserve"> domiciliați în localitățile din stîngă Nistrului, efectuîndu-se completările respective la Legea nr.909-XII din 30 ianuarie 1992 privind protecţia socială a cetăţenilor care au avut de suferit de pe urma catastrofei de la Cernobîl și Legea nr.190-XV din 8 mai 2003 cu privire la veterani.</w:t>
      </w:r>
      <w:r w:rsidR="000534EF">
        <w:rPr>
          <w:sz w:val="28"/>
          <w:szCs w:val="28"/>
        </w:rPr>
        <w:t xml:space="preserve"> </w:t>
      </w:r>
    </w:p>
    <w:p w:rsidR="000534EF" w:rsidRPr="000534EF" w:rsidRDefault="000534EF" w:rsidP="000534EF">
      <w:pPr>
        <w:pStyle w:val="a3"/>
        <w:spacing w:line="276" w:lineRule="auto"/>
        <w:rPr>
          <w:sz w:val="28"/>
          <w:szCs w:val="28"/>
        </w:rPr>
      </w:pPr>
      <w:r w:rsidRPr="000534EF">
        <w:rPr>
          <w:sz w:val="28"/>
          <w:szCs w:val="28"/>
        </w:rPr>
        <w:t xml:space="preserve">Impactul asupra bugetului de stat se estimează anual în sumă de </w:t>
      </w:r>
      <w:r>
        <w:rPr>
          <w:sz w:val="28"/>
          <w:szCs w:val="28"/>
        </w:rPr>
        <w:t>circă 6,0</w:t>
      </w:r>
      <w:r w:rsidRPr="000534EF">
        <w:rPr>
          <w:sz w:val="28"/>
          <w:szCs w:val="28"/>
        </w:rPr>
        <w:t xml:space="preserve"> mi</w:t>
      </w:r>
      <w:r>
        <w:rPr>
          <w:sz w:val="28"/>
          <w:szCs w:val="28"/>
        </w:rPr>
        <w:t>l.</w:t>
      </w:r>
      <w:r w:rsidRPr="000534EF">
        <w:rPr>
          <w:sz w:val="28"/>
          <w:szCs w:val="28"/>
        </w:rPr>
        <w:t xml:space="preserve"> lei.</w:t>
      </w:r>
    </w:p>
    <w:p w:rsidR="00B00697" w:rsidRDefault="00E42C8A" w:rsidP="00B00697">
      <w:pPr>
        <w:pStyle w:val="a3"/>
        <w:spacing w:line="276" w:lineRule="auto"/>
        <w:rPr>
          <w:sz w:val="28"/>
          <w:szCs w:val="28"/>
        </w:rPr>
      </w:pPr>
      <w:r>
        <w:rPr>
          <w:b/>
          <w:sz w:val="28"/>
          <w:szCs w:val="28"/>
        </w:rPr>
        <w:lastRenderedPageBreak/>
        <w:t xml:space="preserve">2. </w:t>
      </w:r>
      <w:r w:rsidR="00B00697" w:rsidRPr="001A5210">
        <w:rPr>
          <w:b/>
          <w:sz w:val="28"/>
          <w:szCs w:val="28"/>
        </w:rPr>
        <w:t>Leg</w:t>
      </w:r>
      <w:r w:rsidR="00B00697">
        <w:rPr>
          <w:b/>
          <w:sz w:val="28"/>
          <w:szCs w:val="28"/>
        </w:rPr>
        <w:t>ea</w:t>
      </w:r>
      <w:r w:rsidR="00B00697" w:rsidRPr="001A5210">
        <w:rPr>
          <w:b/>
          <w:sz w:val="28"/>
          <w:szCs w:val="28"/>
        </w:rPr>
        <w:t xml:space="preserve"> nr.548-XIII din 21 iulie 1995</w:t>
      </w:r>
      <w:r w:rsidR="00B00697">
        <w:rPr>
          <w:b/>
          <w:sz w:val="28"/>
          <w:szCs w:val="28"/>
        </w:rPr>
        <w:t xml:space="preserve"> </w:t>
      </w:r>
      <w:r w:rsidR="00B00697" w:rsidRPr="001A5210">
        <w:rPr>
          <w:b/>
          <w:sz w:val="28"/>
          <w:szCs w:val="28"/>
        </w:rPr>
        <w:t>cu privire la Banca Naţională a Moldovei</w:t>
      </w:r>
      <w:r w:rsidR="00B00697">
        <w:rPr>
          <w:b/>
          <w:sz w:val="28"/>
          <w:szCs w:val="28"/>
        </w:rPr>
        <w:t xml:space="preserve"> </w:t>
      </w:r>
      <w:r w:rsidR="00B00697">
        <w:rPr>
          <w:sz w:val="28"/>
          <w:szCs w:val="28"/>
        </w:rPr>
        <w:t>prevede, că</w:t>
      </w:r>
      <w:r w:rsidR="00B00697" w:rsidRPr="001A5210">
        <w:rPr>
          <w:sz w:val="28"/>
          <w:szCs w:val="28"/>
        </w:rPr>
        <w:t xml:space="preserve"> profitul disponibil poate fi distribuit pentru majorarea capitalului statutar al Băncii Naţionale a Moldovei </w:t>
      </w:r>
      <w:r w:rsidR="00B00697">
        <w:rPr>
          <w:sz w:val="28"/>
          <w:szCs w:val="28"/>
        </w:rPr>
        <w:t>pî</w:t>
      </w:r>
      <w:r w:rsidR="00B00697" w:rsidRPr="001A5210">
        <w:rPr>
          <w:sz w:val="28"/>
          <w:szCs w:val="28"/>
        </w:rPr>
        <w:t>nă c</w:t>
      </w:r>
      <w:r w:rsidR="00B00697">
        <w:rPr>
          <w:sz w:val="28"/>
          <w:szCs w:val="28"/>
        </w:rPr>
        <w:t>î</w:t>
      </w:r>
      <w:r w:rsidR="00B00697" w:rsidRPr="001A5210">
        <w:rPr>
          <w:sz w:val="28"/>
          <w:szCs w:val="28"/>
        </w:rPr>
        <w:t>nd mărimea acestuia atinge 10% din totalul obligaţiunilor monetare al acesteia.</w:t>
      </w:r>
      <w:r w:rsidR="00B00697">
        <w:rPr>
          <w:sz w:val="28"/>
          <w:szCs w:val="28"/>
        </w:rPr>
        <w:t xml:space="preserve"> </w:t>
      </w:r>
      <w:r w:rsidR="00B00697" w:rsidRPr="001A5210">
        <w:rPr>
          <w:sz w:val="28"/>
          <w:szCs w:val="28"/>
        </w:rPr>
        <w:t>Ulterior, soldul profitului disponibil pentru distribuire se transferă la bugetul de stat în termen de 15 zile după primirea raportului auditorului extern asupra situaţiilor financiare ale Băncii Naţionale a Moldovei.</w:t>
      </w:r>
      <w:r w:rsidR="00B00697">
        <w:rPr>
          <w:sz w:val="28"/>
          <w:szCs w:val="28"/>
        </w:rPr>
        <w:t xml:space="preserve"> Luînd în considerare că </w:t>
      </w:r>
      <w:r w:rsidR="00B00697" w:rsidRPr="00A74660">
        <w:rPr>
          <w:sz w:val="28"/>
          <w:szCs w:val="28"/>
        </w:rPr>
        <w:t>capitalul statutar este dinamic</w:t>
      </w:r>
      <w:r w:rsidR="00B00697">
        <w:rPr>
          <w:sz w:val="28"/>
          <w:szCs w:val="28"/>
        </w:rPr>
        <w:t xml:space="preserve">, poate să apară situații cînd Banca Națională a Moldovei nu va avea </w:t>
      </w:r>
      <w:r w:rsidR="00B00697" w:rsidRPr="00D84A77">
        <w:rPr>
          <w:sz w:val="28"/>
          <w:szCs w:val="28"/>
        </w:rPr>
        <w:t>obligațiunile de a participa la formarea veniturilor bugetului de stat.</w:t>
      </w:r>
      <w:r w:rsidR="00B00697">
        <w:rPr>
          <w:sz w:val="28"/>
          <w:szCs w:val="28"/>
        </w:rPr>
        <w:t xml:space="preserve"> </w:t>
      </w:r>
    </w:p>
    <w:p w:rsidR="00B00697" w:rsidRDefault="00B00697" w:rsidP="00B00697">
      <w:pPr>
        <w:pStyle w:val="a3"/>
        <w:spacing w:line="276" w:lineRule="auto"/>
        <w:rPr>
          <w:sz w:val="28"/>
          <w:szCs w:val="28"/>
        </w:rPr>
      </w:pPr>
      <w:r>
        <w:rPr>
          <w:sz w:val="28"/>
          <w:szCs w:val="28"/>
        </w:rPr>
        <w:t xml:space="preserve">Actualmente, în </w:t>
      </w:r>
      <w:r w:rsidRPr="001A5210">
        <w:rPr>
          <w:sz w:val="28"/>
          <w:szCs w:val="28"/>
        </w:rPr>
        <w:t>condiţiile de austeritate ale bugetului</w:t>
      </w:r>
      <w:r>
        <w:rPr>
          <w:sz w:val="28"/>
          <w:szCs w:val="28"/>
        </w:rPr>
        <w:t xml:space="preserve"> de stat în u</w:t>
      </w:r>
      <w:r w:rsidRPr="001A5210">
        <w:rPr>
          <w:sz w:val="28"/>
          <w:szCs w:val="28"/>
        </w:rPr>
        <w:t xml:space="preserve">rma conjuncturii economice naţionale, situaţiei create pe piaţa financiar-bancară autohtonă, evoluţiei comerţului exterior determinate de circumstanţele pe plan extern, </w:t>
      </w:r>
      <w:r>
        <w:rPr>
          <w:sz w:val="28"/>
          <w:szCs w:val="28"/>
        </w:rPr>
        <w:t xml:space="preserve">Guvernul </w:t>
      </w:r>
      <w:r w:rsidRPr="001A5210">
        <w:rPr>
          <w:sz w:val="28"/>
          <w:szCs w:val="28"/>
        </w:rPr>
        <w:t>nu este capabil se asigure finanțarea angajamentelor deja asumate.</w:t>
      </w:r>
    </w:p>
    <w:p w:rsidR="00B00697" w:rsidRPr="00800B8F" w:rsidRDefault="00B00697" w:rsidP="00B00697">
      <w:pPr>
        <w:pStyle w:val="a3"/>
        <w:spacing w:line="276" w:lineRule="auto"/>
        <w:rPr>
          <w:sz w:val="28"/>
          <w:szCs w:val="28"/>
        </w:rPr>
      </w:pPr>
      <w:r w:rsidRPr="001A5210">
        <w:rPr>
          <w:sz w:val="28"/>
          <w:szCs w:val="28"/>
        </w:rPr>
        <w:t xml:space="preserve">În scopul acumulării veniturilor suplimentare la buget, se propune ca profitul Bancii Naționale a Moldovei disponibil pentru distribuire </w:t>
      </w:r>
      <w:r>
        <w:rPr>
          <w:sz w:val="28"/>
          <w:szCs w:val="28"/>
        </w:rPr>
        <w:t>să</w:t>
      </w:r>
      <w:r w:rsidRPr="001A5210">
        <w:rPr>
          <w:sz w:val="28"/>
          <w:szCs w:val="28"/>
        </w:rPr>
        <w:t xml:space="preserve"> fi</w:t>
      </w:r>
      <w:r>
        <w:rPr>
          <w:sz w:val="28"/>
          <w:szCs w:val="28"/>
        </w:rPr>
        <w:t>e</w:t>
      </w:r>
      <w:r w:rsidRPr="001A5210">
        <w:rPr>
          <w:sz w:val="28"/>
          <w:szCs w:val="28"/>
        </w:rPr>
        <w:t xml:space="preserve"> alocat pentru majorarea  capitalului statutar în proporție de cel mult 50%, indiferent de valoarea capitalului statutar al acesteia</w:t>
      </w:r>
      <w:r>
        <w:rPr>
          <w:sz w:val="28"/>
          <w:szCs w:val="28"/>
        </w:rPr>
        <w:t xml:space="preserve"> stabilit prin lege</w:t>
      </w:r>
      <w:r w:rsidRPr="001A5210">
        <w:rPr>
          <w:sz w:val="28"/>
          <w:szCs w:val="28"/>
        </w:rPr>
        <w:t>, iar restul - transferat la bugetul de stat</w:t>
      </w:r>
      <w:r>
        <w:rPr>
          <w:sz w:val="28"/>
          <w:szCs w:val="28"/>
        </w:rPr>
        <w:t xml:space="preserve">, efectuîndu-se modificările respective </w:t>
      </w:r>
      <w:r w:rsidRPr="00800B8F">
        <w:rPr>
          <w:sz w:val="28"/>
          <w:szCs w:val="28"/>
        </w:rPr>
        <w:t>la Legea nr.548-XIII din 21 iulie 1995 cu privire la Banca Naţională a Moldovei și abrogarea prevederilor Legii nr.147 din 30 iulie 2015 pentru modificarea şi completarea unor acte legislative.</w:t>
      </w:r>
    </w:p>
    <w:p w:rsidR="00B00697" w:rsidRPr="00200663" w:rsidRDefault="00B00697" w:rsidP="00657926">
      <w:pPr>
        <w:spacing w:after="0"/>
        <w:ind w:firstLine="567"/>
        <w:jc w:val="both"/>
        <w:rPr>
          <w:rFonts w:ascii="Times New Roman" w:hAnsi="Times New Roman" w:cs="Times New Roman"/>
          <w:b/>
          <w:sz w:val="16"/>
          <w:szCs w:val="16"/>
        </w:rPr>
      </w:pPr>
    </w:p>
    <w:p w:rsidR="00F26977" w:rsidRPr="008869FB" w:rsidRDefault="00E42C8A" w:rsidP="00657926">
      <w:pPr>
        <w:spacing w:after="0"/>
        <w:ind w:firstLine="567"/>
        <w:jc w:val="both"/>
        <w:rPr>
          <w:rFonts w:ascii="Times New Roman" w:hAnsi="Times New Roman" w:cs="Times New Roman"/>
          <w:sz w:val="28"/>
          <w:szCs w:val="28"/>
        </w:rPr>
      </w:pPr>
      <w:r>
        <w:rPr>
          <w:rFonts w:ascii="Times New Roman" w:hAnsi="Times New Roman" w:cs="Times New Roman"/>
          <w:b/>
          <w:sz w:val="28"/>
          <w:szCs w:val="28"/>
        </w:rPr>
        <w:t xml:space="preserve">3. </w:t>
      </w:r>
      <w:r w:rsidR="00F26977" w:rsidRPr="008869FB">
        <w:rPr>
          <w:rFonts w:ascii="Times New Roman" w:hAnsi="Times New Roman" w:cs="Times New Roman"/>
          <w:b/>
          <w:sz w:val="28"/>
          <w:szCs w:val="28"/>
        </w:rPr>
        <w:t>Legea nr.1104-XV din 6 iulie 2002 cu privire la Centrul Național Anticorupție</w:t>
      </w:r>
      <w:r w:rsidR="00F26977" w:rsidRPr="008869FB">
        <w:rPr>
          <w:rFonts w:ascii="Times New Roman" w:hAnsi="Times New Roman" w:cs="Times New Roman"/>
          <w:b/>
          <w:i/>
          <w:sz w:val="28"/>
          <w:szCs w:val="28"/>
        </w:rPr>
        <w:t xml:space="preserve"> </w:t>
      </w:r>
      <w:r w:rsidR="00F26977" w:rsidRPr="008869FB">
        <w:rPr>
          <w:rFonts w:ascii="Times New Roman" w:hAnsi="Times New Roman" w:cs="Times New Roman"/>
          <w:sz w:val="28"/>
          <w:szCs w:val="28"/>
        </w:rPr>
        <w:t xml:space="preserve">prevede că, angajatul CNA neasigurat cu locuinţă de serviciu are dreptul la compensarea cheltuielilor pentru închirierea (subînchirierea) unei locuinţe în cuantumul prevăzut de contractul de închiriere (subînchiriere) a locuinţei, dar care nu poate depăşi salariul lui de funcţie. </w:t>
      </w:r>
    </w:p>
    <w:p w:rsidR="00F26977" w:rsidRPr="008869FB" w:rsidRDefault="00F26977" w:rsidP="00F26977">
      <w:pPr>
        <w:spacing w:after="0"/>
        <w:ind w:firstLine="567"/>
        <w:jc w:val="both"/>
        <w:rPr>
          <w:rFonts w:ascii="Times New Roman" w:hAnsi="Times New Roman" w:cs="Times New Roman"/>
          <w:sz w:val="28"/>
          <w:szCs w:val="28"/>
        </w:rPr>
      </w:pPr>
      <w:r w:rsidRPr="008869FB">
        <w:rPr>
          <w:rFonts w:ascii="Times New Roman" w:hAnsi="Times New Roman" w:cs="Times New Roman"/>
          <w:sz w:val="28"/>
          <w:szCs w:val="28"/>
        </w:rPr>
        <w:t xml:space="preserve">Totodată, prin Legea nr.90-XVIII din 4 decembrie 2009 pentru modificarea şi completarea unor acte legislative, a fost exclus acest drept pentru toate categoriile de beneficiari (angajații cu statut militar/special ai structurilor de forță, judecători, procurori, etc.). </w:t>
      </w:r>
    </w:p>
    <w:p w:rsidR="00F26977" w:rsidRPr="008869FB" w:rsidRDefault="00F26977" w:rsidP="00F26977">
      <w:pPr>
        <w:spacing w:after="0"/>
        <w:ind w:firstLine="567"/>
        <w:jc w:val="both"/>
        <w:rPr>
          <w:rFonts w:ascii="Times New Roman" w:hAnsi="Times New Roman" w:cs="Times New Roman"/>
          <w:sz w:val="28"/>
          <w:szCs w:val="28"/>
        </w:rPr>
      </w:pPr>
      <w:r w:rsidRPr="008869FB">
        <w:rPr>
          <w:rFonts w:ascii="Times New Roman" w:hAnsi="Times New Roman" w:cs="Times New Roman"/>
          <w:sz w:val="28"/>
          <w:szCs w:val="28"/>
        </w:rPr>
        <w:t>Existența dreptului menționat pentru colaboratorii CNA, în condițiile stabilirii unor drepturi mai avantajoase la remunerarea muncii față de alte categorii de persoane care activează în condiții similare, creează spațiu pentru încălcarea principiului de echitate socială între salariaţii din cadrul deferitelor structuri de forță.</w:t>
      </w:r>
    </w:p>
    <w:p w:rsidR="00F26977" w:rsidRPr="00800B8F" w:rsidRDefault="00F26977" w:rsidP="00F26977">
      <w:pPr>
        <w:spacing w:after="0"/>
        <w:ind w:firstLine="567"/>
        <w:jc w:val="both"/>
        <w:rPr>
          <w:rFonts w:ascii="Times New Roman" w:hAnsi="Times New Roman" w:cs="Times New Roman"/>
          <w:sz w:val="28"/>
          <w:szCs w:val="28"/>
        </w:rPr>
      </w:pPr>
      <w:r w:rsidRPr="008869FB">
        <w:rPr>
          <w:rFonts w:ascii="Times New Roman" w:hAnsi="Times New Roman" w:cs="Times New Roman"/>
          <w:sz w:val="28"/>
          <w:szCs w:val="28"/>
        </w:rPr>
        <w:t xml:space="preserve">Întru evitarea acestui fenomen, se propune modificarea respectivă la </w:t>
      </w:r>
      <w:r w:rsidRPr="00800B8F">
        <w:rPr>
          <w:rFonts w:ascii="Times New Roman" w:hAnsi="Times New Roman" w:cs="Times New Roman"/>
          <w:sz w:val="28"/>
          <w:szCs w:val="28"/>
        </w:rPr>
        <w:t>Legea cu privire la Centrul Național Anticorupție.</w:t>
      </w:r>
    </w:p>
    <w:p w:rsidR="003E5BBA" w:rsidRPr="00200663" w:rsidRDefault="003E5BBA" w:rsidP="008869FB">
      <w:pPr>
        <w:pStyle w:val="a3"/>
        <w:ind w:firstLine="0"/>
        <w:rPr>
          <w:sz w:val="16"/>
          <w:szCs w:val="16"/>
        </w:rPr>
      </w:pPr>
    </w:p>
    <w:p w:rsidR="00273023" w:rsidRPr="00876DFC" w:rsidRDefault="00E42C8A" w:rsidP="0071532F">
      <w:pPr>
        <w:spacing w:after="0"/>
        <w:ind w:firstLine="567"/>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4. </w:t>
      </w:r>
      <w:r w:rsidR="00EF2DBB" w:rsidRPr="00876DFC">
        <w:rPr>
          <w:rFonts w:ascii="Times New Roman" w:hAnsi="Times New Roman" w:cs="Times New Roman"/>
          <w:b/>
          <w:bCs/>
          <w:sz w:val="28"/>
          <w:szCs w:val="28"/>
        </w:rPr>
        <w:t>Legea nr.397-XV din 16 octombrie 2003 privind finanțele publice locale</w:t>
      </w:r>
      <w:r w:rsidR="00EF2DBB" w:rsidRPr="00876DFC">
        <w:rPr>
          <w:rFonts w:ascii="Times New Roman" w:hAnsi="Times New Roman" w:cs="Times New Roman"/>
          <w:bCs/>
          <w:sz w:val="28"/>
          <w:szCs w:val="28"/>
        </w:rPr>
        <w:t xml:space="preserve"> </w:t>
      </w:r>
      <w:r w:rsidR="00EF2DBB" w:rsidRPr="00876DFC">
        <w:rPr>
          <w:rFonts w:ascii="Times New Roman" w:hAnsi="Times New Roman" w:cs="Times New Roman"/>
          <w:sz w:val="28"/>
          <w:szCs w:val="28"/>
        </w:rPr>
        <w:t xml:space="preserve">stabilește, că autoritățile publice locale au obligația să vireze transferurile cu destinație specială </w:t>
      </w:r>
      <w:r w:rsidR="0071532F" w:rsidRPr="00876DFC">
        <w:rPr>
          <w:rFonts w:ascii="Times New Roman" w:hAnsi="Times New Roman" w:cs="Times New Roman"/>
          <w:sz w:val="28"/>
          <w:szCs w:val="28"/>
        </w:rPr>
        <w:t xml:space="preserve">pentru finanţarea învăţămîntului preşcolar, primar, secundar general, </w:t>
      </w:r>
      <w:r w:rsidR="0071532F" w:rsidRPr="00527B8D">
        <w:rPr>
          <w:rFonts w:ascii="Times New Roman" w:hAnsi="Times New Roman" w:cs="Times New Roman"/>
          <w:sz w:val="28"/>
          <w:szCs w:val="28"/>
        </w:rPr>
        <w:t>special</w:t>
      </w:r>
      <w:r w:rsidR="0071532F" w:rsidRPr="00876DFC">
        <w:rPr>
          <w:rFonts w:ascii="Times New Roman" w:hAnsi="Times New Roman" w:cs="Times New Roman"/>
          <w:sz w:val="28"/>
          <w:szCs w:val="28"/>
        </w:rPr>
        <w:t xml:space="preserve"> şi complementar (extraşcolar) </w:t>
      </w:r>
      <w:r w:rsidR="00EF2DBB" w:rsidRPr="00876DFC">
        <w:rPr>
          <w:rFonts w:ascii="Times New Roman" w:hAnsi="Times New Roman" w:cs="Times New Roman"/>
          <w:sz w:val="28"/>
          <w:szCs w:val="28"/>
        </w:rPr>
        <w:t>utilizate contrar destinației, pînă la sfîrșitul anului bugetar, în mărimea sumei respective</w:t>
      </w:r>
      <w:r w:rsidR="00734E65" w:rsidRPr="00876DFC">
        <w:rPr>
          <w:rFonts w:ascii="Times New Roman" w:hAnsi="Times New Roman" w:cs="Times New Roman"/>
          <w:sz w:val="28"/>
          <w:szCs w:val="28"/>
        </w:rPr>
        <w:t xml:space="preserve"> în bugetul de la care au fost primite</w:t>
      </w:r>
      <w:r w:rsidR="00EF2DBB" w:rsidRPr="00876DFC">
        <w:rPr>
          <w:rFonts w:ascii="Times New Roman" w:hAnsi="Times New Roman" w:cs="Times New Roman"/>
          <w:sz w:val="28"/>
          <w:szCs w:val="28"/>
        </w:rPr>
        <w:t xml:space="preserve">. </w:t>
      </w:r>
      <w:r w:rsidR="00D1638A" w:rsidRPr="00876DFC">
        <w:rPr>
          <w:rFonts w:ascii="Times New Roman" w:hAnsi="Times New Roman" w:cs="Times New Roman"/>
          <w:sz w:val="28"/>
          <w:szCs w:val="28"/>
        </w:rPr>
        <w:t>În cazul în care suma corespunzătoare nu este virată de bugetul respectiv, Ministerul Finanţelor, în baza dării de seamă anuale, este în drept să restabilească forţat la bugetul de stat sumele transferurilor utilizate contrar destinaţiei prin intermediul relaţiilor interbugetare.</w:t>
      </w:r>
      <w:r w:rsidR="002D43F4" w:rsidRPr="00876DFC">
        <w:rPr>
          <w:rFonts w:ascii="Times New Roman" w:hAnsi="Times New Roman" w:cs="Times New Roman"/>
          <w:sz w:val="28"/>
          <w:szCs w:val="28"/>
        </w:rPr>
        <w:t xml:space="preserve"> </w:t>
      </w:r>
    </w:p>
    <w:p w:rsidR="00A75D12" w:rsidRPr="00876DFC" w:rsidRDefault="002D43F4" w:rsidP="003B6030">
      <w:pPr>
        <w:spacing w:after="0"/>
        <w:ind w:firstLine="567"/>
        <w:jc w:val="both"/>
        <w:rPr>
          <w:rFonts w:ascii="Times New Roman" w:hAnsi="Times New Roman" w:cs="Times New Roman"/>
          <w:sz w:val="28"/>
          <w:szCs w:val="28"/>
        </w:rPr>
      </w:pPr>
      <w:r w:rsidRPr="00876DFC">
        <w:rPr>
          <w:rFonts w:ascii="Times New Roman" w:hAnsi="Times New Roman" w:cs="Times New Roman"/>
          <w:sz w:val="28"/>
          <w:szCs w:val="28"/>
        </w:rPr>
        <w:t>E de menţionat că,</w:t>
      </w:r>
      <w:r w:rsidR="00EF2DBB" w:rsidRPr="00876DFC">
        <w:rPr>
          <w:rFonts w:ascii="Times New Roman" w:hAnsi="Times New Roman" w:cs="Times New Roman"/>
          <w:sz w:val="28"/>
          <w:szCs w:val="28"/>
        </w:rPr>
        <w:t xml:space="preserve"> </w:t>
      </w:r>
      <w:r w:rsidR="00A75D12" w:rsidRPr="00876DFC">
        <w:rPr>
          <w:rFonts w:ascii="Times New Roman" w:hAnsi="Times New Roman" w:cs="Times New Roman"/>
          <w:sz w:val="28"/>
          <w:szCs w:val="28"/>
        </w:rPr>
        <w:t xml:space="preserve">cadrul legal </w:t>
      </w:r>
      <w:r w:rsidR="00D15642" w:rsidRPr="00876DFC">
        <w:rPr>
          <w:rFonts w:ascii="Times New Roman" w:hAnsi="Times New Roman" w:cs="Times New Roman"/>
          <w:sz w:val="28"/>
          <w:szCs w:val="28"/>
        </w:rPr>
        <w:t xml:space="preserve">vizat </w:t>
      </w:r>
      <w:r w:rsidR="00A75D12" w:rsidRPr="00876DFC">
        <w:rPr>
          <w:rFonts w:ascii="Times New Roman" w:hAnsi="Times New Roman" w:cs="Times New Roman"/>
          <w:sz w:val="28"/>
          <w:szCs w:val="28"/>
        </w:rPr>
        <w:t>nu reglementează situația nevalorificării transferurilor cu destinație specială alocate bugetelor unităților administrativ-teritoriale de la bugetul de stat, care nu au fost utilizate pe parcursul anului bugetar, deși, acestea s</w:t>
      </w:r>
      <w:r w:rsidR="00CA5699" w:rsidRPr="00876DFC">
        <w:rPr>
          <w:rFonts w:ascii="Times New Roman" w:hAnsi="Times New Roman" w:cs="Times New Roman"/>
          <w:sz w:val="28"/>
          <w:szCs w:val="28"/>
        </w:rPr>
        <w:t>î</w:t>
      </w:r>
      <w:r w:rsidR="00A75D12" w:rsidRPr="00876DFC">
        <w:rPr>
          <w:rFonts w:ascii="Times New Roman" w:hAnsi="Times New Roman" w:cs="Times New Roman"/>
          <w:sz w:val="28"/>
          <w:szCs w:val="28"/>
        </w:rPr>
        <w:t xml:space="preserve">nt alocate cu titlul condiționat. În rezultat, aceste mijloace financiare rămîn la dispoziția autorităților publice locale ca mijloace nevalorificate (solduri). Practica denotă, că la majoritatea bugetelor </w:t>
      </w:r>
      <w:r w:rsidR="00D15642" w:rsidRPr="00876DFC">
        <w:rPr>
          <w:rFonts w:ascii="Times New Roman" w:hAnsi="Times New Roman" w:cs="Times New Roman"/>
          <w:sz w:val="28"/>
          <w:szCs w:val="28"/>
        </w:rPr>
        <w:t>unităților administrativ-teritoriale</w:t>
      </w:r>
      <w:r w:rsidR="00A75D12" w:rsidRPr="00876DFC">
        <w:rPr>
          <w:rFonts w:ascii="Times New Roman" w:hAnsi="Times New Roman" w:cs="Times New Roman"/>
          <w:sz w:val="28"/>
          <w:szCs w:val="28"/>
        </w:rPr>
        <w:t xml:space="preserve"> nivelul finanțării cheltuielilor este sub nivelul indicilor planificați, majorînd intenționat soldurile mijloacelor la conturile trezoreriale ale acestora, în condițiile în care bugetul de stat nu are suficiente resurse pentru </w:t>
      </w:r>
      <w:r w:rsidR="0019121E" w:rsidRPr="00876DFC">
        <w:rPr>
          <w:rFonts w:ascii="Times New Roman" w:hAnsi="Times New Roman" w:cs="Times New Roman"/>
          <w:sz w:val="28"/>
          <w:szCs w:val="28"/>
        </w:rPr>
        <w:t>finanţarea altor priorităţi</w:t>
      </w:r>
      <w:r w:rsidR="00A75D12" w:rsidRPr="00876DFC">
        <w:rPr>
          <w:rFonts w:ascii="Times New Roman" w:hAnsi="Times New Roman" w:cs="Times New Roman"/>
          <w:sz w:val="28"/>
          <w:szCs w:val="28"/>
        </w:rPr>
        <w:t xml:space="preserve">. </w:t>
      </w:r>
      <w:r w:rsidR="0019121E" w:rsidRPr="00876DFC">
        <w:rPr>
          <w:rFonts w:ascii="Times New Roman" w:hAnsi="Times New Roman" w:cs="Times New Roman"/>
          <w:sz w:val="28"/>
          <w:szCs w:val="28"/>
        </w:rPr>
        <w:t>În situaţia</w:t>
      </w:r>
      <w:r w:rsidR="00D15642" w:rsidRPr="00876DFC">
        <w:rPr>
          <w:rFonts w:ascii="Times New Roman" w:hAnsi="Times New Roman" w:cs="Times New Roman"/>
          <w:sz w:val="28"/>
          <w:szCs w:val="28"/>
        </w:rPr>
        <w:t>,</w:t>
      </w:r>
      <w:r w:rsidR="0019121E" w:rsidRPr="00876DFC">
        <w:rPr>
          <w:rFonts w:ascii="Times New Roman" w:hAnsi="Times New Roman" w:cs="Times New Roman"/>
          <w:sz w:val="28"/>
          <w:szCs w:val="28"/>
        </w:rPr>
        <w:t xml:space="preserve"> cînd nivelul deficitului bugetului public naţional este restricţionat, utilizarea </w:t>
      </w:r>
      <w:r w:rsidR="00A75D12" w:rsidRPr="00876DFC">
        <w:rPr>
          <w:rFonts w:ascii="Times New Roman" w:hAnsi="Times New Roman" w:cs="Times New Roman"/>
          <w:sz w:val="28"/>
          <w:szCs w:val="28"/>
        </w:rPr>
        <w:t>soldurilor menţionate</w:t>
      </w:r>
      <w:r w:rsidR="0019121E" w:rsidRPr="00876DFC">
        <w:rPr>
          <w:rFonts w:ascii="Times New Roman" w:hAnsi="Times New Roman" w:cs="Times New Roman"/>
          <w:sz w:val="28"/>
          <w:szCs w:val="28"/>
        </w:rPr>
        <w:t xml:space="preserve"> va duce la creşterea deficitului bugetelor </w:t>
      </w:r>
      <w:r w:rsidR="00D15642" w:rsidRPr="00876DFC">
        <w:rPr>
          <w:rFonts w:ascii="Times New Roman" w:hAnsi="Times New Roman" w:cs="Times New Roman"/>
          <w:sz w:val="28"/>
          <w:szCs w:val="28"/>
        </w:rPr>
        <w:t>unităților administrativ-teritoriale</w:t>
      </w:r>
      <w:r w:rsidR="006F6190" w:rsidRPr="00876DFC">
        <w:rPr>
          <w:rFonts w:ascii="Times New Roman" w:hAnsi="Times New Roman" w:cs="Times New Roman"/>
          <w:sz w:val="28"/>
          <w:szCs w:val="28"/>
        </w:rPr>
        <w:t>.</w:t>
      </w:r>
      <w:r w:rsidR="0019121E" w:rsidRPr="00876DFC">
        <w:rPr>
          <w:rFonts w:ascii="Times New Roman" w:hAnsi="Times New Roman" w:cs="Times New Roman"/>
          <w:sz w:val="28"/>
          <w:szCs w:val="28"/>
        </w:rPr>
        <w:t xml:space="preserve"> </w:t>
      </w:r>
      <w:r w:rsidR="006F6190" w:rsidRPr="00876DFC">
        <w:rPr>
          <w:rFonts w:ascii="Times New Roman" w:hAnsi="Times New Roman" w:cs="Times New Roman"/>
          <w:sz w:val="28"/>
          <w:szCs w:val="28"/>
        </w:rPr>
        <w:t>Î</w:t>
      </w:r>
      <w:r w:rsidR="00A97EC1" w:rsidRPr="00876DFC">
        <w:rPr>
          <w:rFonts w:ascii="Times New Roman" w:hAnsi="Times New Roman" w:cs="Times New Roman"/>
          <w:sz w:val="28"/>
          <w:szCs w:val="28"/>
        </w:rPr>
        <w:t xml:space="preserve">n scopul asigurării nivelului deficitului bugetului public național </w:t>
      </w:r>
      <w:r w:rsidR="006F6190" w:rsidRPr="00876DFC">
        <w:rPr>
          <w:rFonts w:ascii="Times New Roman" w:hAnsi="Times New Roman" w:cs="Times New Roman"/>
          <w:sz w:val="28"/>
          <w:szCs w:val="28"/>
        </w:rPr>
        <w:t xml:space="preserve">apare </w:t>
      </w:r>
      <w:r w:rsidR="0019121E" w:rsidRPr="00876DFC">
        <w:rPr>
          <w:rFonts w:ascii="Times New Roman" w:hAnsi="Times New Roman" w:cs="Times New Roman"/>
          <w:sz w:val="28"/>
          <w:szCs w:val="28"/>
        </w:rPr>
        <w:t>necesit</w:t>
      </w:r>
      <w:r w:rsidR="006F6190" w:rsidRPr="00876DFC">
        <w:rPr>
          <w:rFonts w:ascii="Times New Roman" w:hAnsi="Times New Roman" w:cs="Times New Roman"/>
          <w:sz w:val="28"/>
          <w:szCs w:val="28"/>
        </w:rPr>
        <w:t>atea</w:t>
      </w:r>
      <w:r w:rsidR="0019121E" w:rsidRPr="00876DFC">
        <w:rPr>
          <w:rFonts w:ascii="Times New Roman" w:hAnsi="Times New Roman" w:cs="Times New Roman"/>
          <w:sz w:val="28"/>
          <w:szCs w:val="28"/>
        </w:rPr>
        <w:t xml:space="preserve"> </w:t>
      </w:r>
      <w:r w:rsidR="006F6190" w:rsidRPr="00876DFC">
        <w:rPr>
          <w:rFonts w:ascii="Times New Roman" w:hAnsi="Times New Roman" w:cs="Times New Roman"/>
          <w:sz w:val="28"/>
          <w:szCs w:val="28"/>
        </w:rPr>
        <w:t>întreprinderii</w:t>
      </w:r>
      <w:r w:rsidR="00A97EC1" w:rsidRPr="00876DFC">
        <w:rPr>
          <w:rFonts w:ascii="Times New Roman" w:hAnsi="Times New Roman" w:cs="Times New Roman"/>
          <w:sz w:val="28"/>
          <w:szCs w:val="28"/>
        </w:rPr>
        <w:t xml:space="preserve"> măsurilor pentru </w:t>
      </w:r>
      <w:r w:rsidR="0019121E" w:rsidRPr="00876DFC">
        <w:rPr>
          <w:rFonts w:ascii="Times New Roman" w:hAnsi="Times New Roman" w:cs="Times New Roman"/>
          <w:sz w:val="28"/>
          <w:szCs w:val="28"/>
        </w:rPr>
        <w:t>reducer</w:t>
      </w:r>
      <w:r w:rsidR="00A97EC1" w:rsidRPr="00876DFC">
        <w:rPr>
          <w:rFonts w:ascii="Times New Roman" w:hAnsi="Times New Roman" w:cs="Times New Roman"/>
          <w:sz w:val="28"/>
          <w:szCs w:val="28"/>
        </w:rPr>
        <w:t>ea</w:t>
      </w:r>
      <w:r w:rsidR="0019121E" w:rsidRPr="00876DFC">
        <w:rPr>
          <w:rFonts w:ascii="Times New Roman" w:hAnsi="Times New Roman" w:cs="Times New Roman"/>
          <w:sz w:val="28"/>
          <w:szCs w:val="28"/>
        </w:rPr>
        <w:t xml:space="preserve"> deficitului bugetului de stat şi, respectiv, </w:t>
      </w:r>
      <w:r w:rsidR="00F418DA" w:rsidRPr="00876DFC">
        <w:rPr>
          <w:rFonts w:ascii="Times New Roman" w:hAnsi="Times New Roman" w:cs="Times New Roman"/>
          <w:sz w:val="28"/>
          <w:szCs w:val="28"/>
        </w:rPr>
        <w:t>finanţ</w:t>
      </w:r>
      <w:r w:rsidR="00A97EC1" w:rsidRPr="00876DFC">
        <w:rPr>
          <w:rFonts w:ascii="Times New Roman" w:hAnsi="Times New Roman" w:cs="Times New Roman"/>
          <w:sz w:val="28"/>
          <w:szCs w:val="28"/>
        </w:rPr>
        <w:t>ării</w:t>
      </w:r>
      <w:r w:rsidR="00F418DA" w:rsidRPr="00876DFC">
        <w:rPr>
          <w:rFonts w:ascii="Times New Roman" w:hAnsi="Times New Roman" w:cs="Times New Roman"/>
          <w:sz w:val="28"/>
          <w:szCs w:val="28"/>
        </w:rPr>
        <w:t xml:space="preserve"> obligaţiunilor deja asumate de Guvern.</w:t>
      </w:r>
    </w:p>
    <w:p w:rsidR="00A75D12" w:rsidRPr="00876DFC" w:rsidRDefault="00A75D12" w:rsidP="003B6030">
      <w:pPr>
        <w:spacing w:after="0"/>
        <w:ind w:firstLine="567"/>
        <w:jc w:val="both"/>
        <w:rPr>
          <w:rFonts w:ascii="Times New Roman" w:hAnsi="Times New Roman" w:cs="Times New Roman"/>
          <w:sz w:val="28"/>
          <w:szCs w:val="28"/>
        </w:rPr>
      </w:pPr>
      <w:r w:rsidRPr="00876DFC">
        <w:rPr>
          <w:rFonts w:ascii="Times New Roman" w:hAnsi="Times New Roman" w:cs="Times New Roman"/>
          <w:sz w:val="28"/>
          <w:szCs w:val="28"/>
        </w:rPr>
        <w:t xml:space="preserve">Pentru informare, în anul 2014, doar pentru raioanele Basarabeasca, Ocnița, Rîșcani și mun.Chișinău, care au implementat noul sistem de formare a bugetelor </w:t>
      </w:r>
      <w:r w:rsidR="00EC6C39" w:rsidRPr="00876DFC">
        <w:rPr>
          <w:rFonts w:ascii="Times New Roman" w:hAnsi="Times New Roman" w:cs="Times New Roman"/>
          <w:sz w:val="28"/>
          <w:szCs w:val="28"/>
        </w:rPr>
        <w:t>unităților administrativ-teritoriale</w:t>
      </w:r>
      <w:r w:rsidRPr="00876DFC">
        <w:rPr>
          <w:rFonts w:ascii="Times New Roman" w:hAnsi="Times New Roman" w:cs="Times New Roman"/>
          <w:sz w:val="28"/>
          <w:szCs w:val="28"/>
        </w:rPr>
        <w:t xml:space="preserve">, nevalorificarea în totalitate a transferurilor în cauză a dus la creșterea soldului cu circa 66,0 mil.lei (învățămînt și asistență socială, respectiv, 62,1 </w:t>
      </w:r>
      <w:r w:rsidR="00A97EC1" w:rsidRPr="00876DFC">
        <w:rPr>
          <w:rFonts w:ascii="Times New Roman" w:hAnsi="Times New Roman" w:cs="Times New Roman"/>
          <w:sz w:val="28"/>
          <w:szCs w:val="28"/>
        </w:rPr>
        <w:t xml:space="preserve">mil.lei </w:t>
      </w:r>
      <w:r w:rsidRPr="00876DFC">
        <w:rPr>
          <w:rFonts w:ascii="Times New Roman" w:hAnsi="Times New Roman" w:cs="Times New Roman"/>
          <w:sz w:val="28"/>
          <w:szCs w:val="28"/>
        </w:rPr>
        <w:t>și 3,9 mil.lei).</w:t>
      </w:r>
    </w:p>
    <w:p w:rsidR="00A75D12" w:rsidRDefault="00F418DA" w:rsidP="000534EF">
      <w:pPr>
        <w:spacing w:after="0"/>
        <w:ind w:firstLine="567"/>
        <w:jc w:val="both"/>
        <w:rPr>
          <w:rFonts w:ascii="Times New Roman" w:hAnsi="Times New Roman" w:cs="Times New Roman"/>
          <w:sz w:val="28"/>
          <w:szCs w:val="28"/>
        </w:rPr>
      </w:pPr>
      <w:r w:rsidRPr="00876DFC">
        <w:rPr>
          <w:rFonts w:ascii="Times New Roman" w:hAnsi="Times New Roman" w:cs="Times New Roman"/>
          <w:sz w:val="28"/>
          <w:szCs w:val="28"/>
        </w:rPr>
        <w:t>Întru</w:t>
      </w:r>
      <w:r w:rsidR="00A75D12" w:rsidRPr="00876DFC">
        <w:rPr>
          <w:rFonts w:ascii="Times New Roman" w:hAnsi="Times New Roman" w:cs="Times New Roman"/>
          <w:sz w:val="28"/>
          <w:szCs w:val="28"/>
        </w:rPr>
        <w:t xml:space="preserve"> îmbunătățirea disciplinei financiare </w:t>
      </w:r>
      <w:r w:rsidR="00093B16" w:rsidRPr="00876DFC">
        <w:rPr>
          <w:rFonts w:ascii="Times New Roman" w:hAnsi="Times New Roman" w:cs="Times New Roman"/>
          <w:sz w:val="28"/>
          <w:szCs w:val="28"/>
        </w:rPr>
        <w:t xml:space="preserve">și asigurarea financiară durabilă de la bugetul de stat, </w:t>
      </w:r>
      <w:r w:rsidR="00E426F8" w:rsidRPr="00876DFC">
        <w:rPr>
          <w:rFonts w:ascii="Times New Roman" w:hAnsi="Times New Roman" w:cs="Times New Roman"/>
          <w:sz w:val="28"/>
          <w:szCs w:val="28"/>
        </w:rPr>
        <w:t xml:space="preserve">neadmiterii creșterii neîntemeiate a soldurilor la conturile bugetelor unităților administrativ-teritoriale, </w:t>
      </w:r>
      <w:r w:rsidR="00AE6963" w:rsidRPr="00876DFC">
        <w:rPr>
          <w:rFonts w:ascii="Times New Roman" w:hAnsi="Times New Roman" w:cs="Times New Roman"/>
          <w:sz w:val="28"/>
          <w:szCs w:val="28"/>
        </w:rPr>
        <w:t xml:space="preserve">diminuării influenței asupra nivelului deficitului bugetului public național, </w:t>
      </w:r>
      <w:r w:rsidR="00093B16" w:rsidRPr="00876DFC">
        <w:rPr>
          <w:rFonts w:ascii="Times New Roman" w:hAnsi="Times New Roman" w:cs="Times New Roman"/>
          <w:sz w:val="28"/>
          <w:szCs w:val="28"/>
        </w:rPr>
        <w:t xml:space="preserve">excluderii dificultăţilor evidenței separate a soldurilor la începutul anului bugetar următor, se propune introducerea obligativităţii rambursării </w:t>
      </w:r>
      <w:r w:rsidR="00FE3D41" w:rsidRPr="00876DFC">
        <w:rPr>
          <w:rFonts w:ascii="Times New Roman" w:hAnsi="Times New Roman" w:cs="Times New Roman"/>
          <w:sz w:val="28"/>
          <w:szCs w:val="28"/>
        </w:rPr>
        <w:t xml:space="preserve">pînă la sfîrşitul anului bugetar </w:t>
      </w:r>
      <w:r w:rsidR="00093B16" w:rsidRPr="00876DFC">
        <w:rPr>
          <w:rFonts w:ascii="Times New Roman" w:hAnsi="Times New Roman" w:cs="Times New Roman"/>
          <w:sz w:val="28"/>
          <w:szCs w:val="28"/>
        </w:rPr>
        <w:t>şi a soldurilor mijloacelor bănești din transferurile cu destinație specială, înregistrate la data încheierii anului bugetar</w:t>
      </w:r>
      <w:r w:rsidR="00513A46" w:rsidRPr="00876DFC">
        <w:rPr>
          <w:rFonts w:ascii="Times New Roman" w:hAnsi="Times New Roman" w:cs="Times New Roman"/>
          <w:sz w:val="28"/>
          <w:szCs w:val="28"/>
        </w:rPr>
        <w:t>, în bugetul de la care au fost primite</w:t>
      </w:r>
      <w:r w:rsidR="00093B16" w:rsidRPr="00876DFC">
        <w:rPr>
          <w:rFonts w:ascii="Times New Roman" w:hAnsi="Times New Roman" w:cs="Times New Roman"/>
          <w:sz w:val="28"/>
          <w:szCs w:val="28"/>
        </w:rPr>
        <w:t>.</w:t>
      </w:r>
    </w:p>
    <w:p w:rsidR="000534EF" w:rsidRPr="00E42C8A" w:rsidRDefault="000534EF" w:rsidP="000534EF">
      <w:pPr>
        <w:spacing w:after="0"/>
        <w:ind w:firstLine="567"/>
        <w:jc w:val="both"/>
        <w:rPr>
          <w:rFonts w:ascii="Times New Roman" w:hAnsi="Times New Roman" w:cs="Times New Roman"/>
          <w:sz w:val="16"/>
          <w:szCs w:val="16"/>
        </w:rPr>
      </w:pPr>
    </w:p>
    <w:p w:rsidR="000534EF" w:rsidRPr="000534EF" w:rsidRDefault="000534EF" w:rsidP="000534EF">
      <w:pPr>
        <w:spacing w:after="0"/>
        <w:ind w:firstLine="540"/>
        <w:jc w:val="both"/>
        <w:rPr>
          <w:rFonts w:ascii="Times New Roman" w:hAnsi="Times New Roman" w:cs="Times New Roman"/>
          <w:sz w:val="28"/>
          <w:szCs w:val="28"/>
        </w:rPr>
      </w:pPr>
      <w:r w:rsidRPr="000534EF">
        <w:rPr>
          <w:rFonts w:ascii="Times New Roman" w:hAnsi="Times New Roman" w:cs="Times New Roman"/>
          <w:sz w:val="28"/>
          <w:szCs w:val="28"/>
        </w:rPr>
        <w:t xml:space="preserve">Strategia națională de descentralizare, aprobată prin Legea nr.68 din 5 aprilie 2015, în partea ce ține de componenta descentralizării financiare, pentru a atinge </w:t>
      </w:r>
      <w:r w:rsidRPr="000534EF">
        <w:rPr>
          <w:rFonts w:ascii="Times New Roman" w:hAnsi="Times New Roman" w:cs="Times New Roman"/>
          <w:sz w:val="28"/>
          <w:szCs w:val="28"/>
        </w:rPr>
        <w:lastRenderedPageBreak/>
        <w:t>obiectivul specific trasat privind perfecționarea actualului sistem de finanțe publice locale, astfel încît să  se asigure autonomia financiară a APL, prevede consolidarea bazei de venituri proprii ale APL și a autonomiei de decizie asupra lor.</w:t>
      </w:r>
    </w:p>
    <w:p w:rsidR="000534EF" w:rsidRPr="000534EF" w:rsidRDefault="000534EF" w:rsidP="000534EF">
      <w:pPr>
        <w:spacing w:after="0"/>
        <w:ind w:firstLine="540"/>
        <w:jc w:val="both"/>
        <w:rPr>
          <w:rFonts w:ascii="Times New Roman" w:hAnsi="Times New Roman" w:cs="Times New Roman"/>
          <w:sz w:val="28"/>
          <w:szCs w:val="28"/>
        </w:rPr>
      </w:pPr>
      <w:r w:rsidRPr="000534EF">
        <w:rPr>
          <w:rFonts w:ascii="Times New Roman" w:hAnsi="Times New Roman" w:cs="Times New Roman"/>
          <w:sz w:val="28"/>
          <w:szCs w:val="28"/>
        </w:rPr>
        <w:t>Aceasta urmărește revizuirea cadrului legal existent pentru a determina creșterea veniturilor proprii ale APL, pentru a stimula colectarea proprie și a întări autonomia locală, inclusiv identificarea și introducerea unor noi surse de venituri locale, unor cote suplimentare la cele existente sau învestirea cu dreptul de a oferi facilități fiscale locale.</w:t>
      </w:r>
    </w:p>
    <w:p w:rsidR="000534EF" w:rsidRPr="000534EF" w:rsidRDefault="000534EF" w:rsidP="000534EF">
      <w:pPr>
        <w:spacing w:after="0"/>
        <w:ind w:firstLine="540"/>
        <w:jc w:val="both"/>
        <w:rPr>
          <w:rFonts w:ascii="Times New Roman" w:hAnsi="Times New Roman" w:cs="Times New Roman"/>
          <w:sz w:val="28"/>
          <w:szCs w:val="28"/>
        </w:rPr>
      </w:pPr>
      <w:r w:rsidRPr="000534EF">
        <w:rPr>
          <w:rFonts w:ascii="Times New Roman" w:hAnsi="Times New Roman" w:cs="Times New Roman"/>
          <w:sz w:val="28"/>
          <w:szCs w:val="28"/>
        </w:rPr>
        <w:t>Actualmente taxa pentru folosirea drumurilor de către autovehiculele înmatriculate în Republica Moldova reprezintă surse de reglementare a veniturilor sistemului bugetar. Conform prevederilor actuale ale Legii nr.397-XV din 16 octombrie 2003 privind finanțele publice locale, ca sursă a bugetelor unităților administrativ-teritoriale de nivelul al doilea servește taxa prenotată, fiind defalcate în bugetele respective 50% din volumul total colectat pe teritoriul unității administrativ-teritoriale, restul de 50% constituie sursă de formare a Fondului rutier.</w:t>
      </w:r>
    </w:p>
    <w:p w:rsidR="00432A99" w:rsidRDefault="000534EF" w:rsidP="00432A99">
      <w:pPr>
        <w:spacing w:after="0"/>
        <w:ind w:firstLine="540"/>
        <w:jc w:val="both"/>
        <w:rPr>
          <w:rFonts w:ascii="Times New Roman" w:hAnsi="Times New Roman" w:cs="Times New Roman"/>
          <w:sz w:val="28"/>
          <w:szCs w:val="28"/>
        </w:rPr>
      </w:pPr>
      <w:r w:rsidRPr="000534EF">
        <w:rPr>
          <w:rFonts w:ascii="Times New Roman" w:hAnsi="Times New Roman" w:cs="Times New Roman"/>
          <w:sz w:val="28"/>
          <w:szCs w:val="28"/>
        </w:rPr>
        <w:t xml:space="preserve">Întru atingerea țintei trasate în Strategia națională de descentralizare, obiectivele politicii fiscale pe termen mediu (anii 2016-2018) prevăd ca taxa pentru folosirea drumurilor de către autovehiculele înmatriculate în Republica Moldova să fi exclusă din sistemul impozitelor și taxelor de stat, și trecerea acesteia la categoria taxelor locale, devenind sursă de venituri proprii ale bugetelor unităților administrativ-teritoriale de nivelul întîi, respectiv, fiind exclusă din categoria surselor Fondului rutier. Aceasta permite autorităților publice locale de nivelul întîi să beneficieze de mijloace pentru întreținerea drumurilor comunale și a străzilor (reparația și reconstrucția). Conform estimărilor (în condițiile mărimii existente a taxei), </w:t>
      </w:r>
      <w:r w:rsidR="00175628" w:rsidRPr="00175628">
        <w:rPr>
          <w:rFonts w:ascii="Times New Roman" w:hAnsi="Times New Roman" w:cs="Times New Roman"/>
          <w:sz w:val="28"/>
          <w:szCs w:val="28"/>
        </w:rPr>
        <w:t>sumele taxei rutiere redirecționate pentru autoritățile publice locale de nivelul întîi pentru anul 2016 vor constitui -  348,0 mil.lei, respectiv, 2017- 360,0 mil.lei și 2018 – 370,0 mil.lei.</w:t>
      </w:r>
    </w:p>
    <w:p w:rsidR="000534EF" w:rsidRPr="00800B8F" w:rsidRDefault="000534EF" w:rsidP="00432A99">
      <w:pPr>
        <w:spacing w:after="0"/>
        <w:ind w:firstLine="540"/>
        <w:jc w:val="both"/>
        <w:rPr>
          <w:rFonts w:ascii="Times New Roman" w:hAnsi="Times New Roman" w:cs="Times New Roman"/>
          <w:sz w:val="28"/>
          <w:szCs w:val="28"/>
        </w:rPr>
      </w:pPr>
      <w:r w:rsidRPr="000534EF">
        <w:rPr>
          <w:rFonts w:ascii="Times New Roman" w:hAnsi="Times New Roman" w:cs="Times New Roman"/>
          <w:sz w:val="28"/>
          <w:szCs w:val="28"/>
        </w:rPr>
        <w:t xml:space="preserve">Reieșind din aceasta, se propun modificările respective la </w:t>
      </w:r>
      <w:r w:rsidRPr="00800B8F">
        <w:rPr>
          <w:rFonts w:ascii="Times New Roman" w:hAnsi="Times New Roman" w:cs="Times New Roman"/>
          <w:sz w:val="28"/>
          <w:szCs w:val="28"/>
        </w:rPr>
        <w:t>Legea fondului rutier nr.720-XII din 2 februarie 1996, Leg</w:t>
      </w:r>
      <w:r w:rsidR="00334A1A" w:rsidRPr="00800B8F">
        <w:rPr>
          <w:rFonts w:ascii="Times New Roman" w:hAnsi="Times New Roman" w:cs="Times New Roman"/>
          <w:sz w:val="28"/>
          <w:szCs w:val="28"/>
        </w:rPr>
        <w:t>ea</w:t>
      </w:r>
      <w:r w:rsidRPr="00800B8F">
        <w:rPr>
          <w:rFonts w:ascii="Times New Roman" w:hAnsi="Times New Roman" w:cs="Times New Roman"/>
          <w:sz w:val="28"/>
          <w:szCs w:val="28"/>
        </w:rPr>
        <w:t xml:space="preserve"> nr.397-XV din 16 octombrie 2003 privind finanțele publice locale și Hotărîrea Parlamentului nr.893–XIII din 26 iunie 1996 pentru aprobarea Regulamentului cu privire și utilizarea fondului rutier.  </w:t>
      </w:r>
    </w:p>
    <w:p w:rsidR="00432A99" w:rsidRPr="00876DFC" w:rsidRDefault="00432A99" w:rsidP="003D7F7B">
      <w:pPr>
        <w:spacing w:after="0" w:line="360" w:lineRule="auto"/>
        <w:ind w:firstLine="567"/>
        <w:jc w:val="both"/>
        <w:rPr>
          <w:rFonts w:ascii="Times New Roman" w:hAnsi="Times New Roman" w:cs="Times New Roman"/>
          <w:sz w:val="16"/>
          <w:szCs w:val="16"/>
        </w:rPr>
      </w:pPr>
    </w:p>
    <w:p w:rsidR="00E25D90" w:rsidRPr="00E25D90" w:rsidRDefault="00E42C8A" w:rsidP="00E25D90">
      <w:pPr>
        <w:spacing w:after="0"/>
        <w:ind w:firstLine="540"/>
        <w:jc w:val="both"/>
        <w:rPr>
          <w:rFonts w:ascii="Times New Roman" w:hAnsi="Times New Roman"/>
          <w:sz w:val="28"/>
          <w:szCs w:val="28"/>
        </w:rPr>
      </w:pPr>
      <w:r>
        <w:rPr>
          <w:rFonts w:ascii="Times New Roman" w:hAnsi="Times New Roman"/>
          <w:b/>
          <w:bCs/>
          <w:sz w:val="28"/>
          <w:szCs w:val="28"/>
        </w:rPr>
        <w:t xml:space="preserve">5. </w:t>
      </w:r>
      <w:r w:rsidR="00E25D90" w:rsidRPr="00E25D90">
        <w:rPr>
          <w:rFonts w:ascii="Times New Roman" w:hAnsi="Times New Roman"/>
          <w:b/>
          <w:bCs/>
          <w:sz w:val="28"/>
          <w:szCs w:val="28"/>
        </w:rPr>
        <w:t xml:space="preserve">Legea nr.419-XVI din 22 decembrie 2006 cu privire la datoria sectorului public, garanţiile de stat şi recreditarea de stat </w:t>
      </w:r>
      <w:r w:rsidR="00E25D90" w:rsidRPr="00E25D90">
        <w:rPr>
          <w:rFonts w:ascii="Times New Roman" w:hAnsi="Times New Roman"/>
          <w:sz w:val="28"/>
          <w:szCs w:val="28"/>
        </w:rPr>
        <w:t>stabileşte că</w:t>
      </w:r>
      <w:r w:rsidR="00E25D90" w:rsidRPr="00E25D90">
        <w:rPr>
          <w:rFonts w:ascii="Times New Roman" w:hAnsi="Times New Roman"/>
          <w:b/>
          <w:bCs/>
          <w:sz w:val="28"/>
          <w:szCs w:val="28"/>
        </w:rPr>
        <w:t xml:space="preserve"> </w:t>
      </w:r>
      <w:r w:rsidR="00E25D90" w:rsidRPr="00E25D90">
        <w:rPr>
          <w:rFonts w:ascii="Times New Roman" w:hAnsi="Times New Roman"/>
          <w:sz w:val="28"/>
          <w:szCs w:val="28"/>
        </w:rPr>
        <w:t xml:space="preserve">Ministerul Finanţelor elaborează, cu consultarea Băncii Naţionale a Moldovei şi a altor instituţii interesate, programul </w:t>
      </w:r>
      <w:r w:rsidR="00334A1A">
        <w:rPr>
          <w:rFonts w:ascii="Times New Roman" w:hAnsi="Times New Roman"/>
          <w:sz w:val="28"/>
          <w:szCs w:val="28"/>
        </w:rPr>
        <w:t>„</w:t>
      </w:r>
      <w:r w:rsidR="00E25D90" w:rsidRPr="00E25D90">
        <w:rPr>
          <w:rFonts w:ascii="Times New Roman" w:hAnsi="Times New Roman"/>
          <w:sz w:val="28"/>
          <w:szCs w:val="28"/>
        </w:rPr>
        <w:t xml:space="preserve">Managementul datoriei de stat pe termen mediu”, pe care îl înaintează spre aprobare Guvernului. Totodată, programul </w:t>
      </w:r>
      <w:r w:rsidR="00E25D90" w:rsidRPr="00E25D90">
        <w:rPr>
          <w:rFonts w:ascii="Times New Roman" w:hAnsi="Times New Roman"/>
          <w:sz w:val="28"/>
          <w:szCs w:val="28"/>
        </w:rPr>
        <w:lastRenderedPageBreak/>
        <w:t>„Managementul datoriei de stat pe termen mediu” este revizuit şi actualizat anual, concomitent cu actualizarea prognozelor din Cadrul bugetar pe termen mediu.</w:t>
      </w:r>
    </w:p>
    <w:p w:rsidR="00A05DDC" w:rsidRPr="00200663" w:rsidRDefault="00E25D90" w:rsidP="00200663">
      <w:pPr>
        <w:ind w:firstLine="540"/>
        <w:jc w:val="both"/>
        <w:rPr>
          <w:rFonts w:ascii="Times New Roman" w:hAnsi="Times New Roman"/>
          <w:sz w:val="28"/>
          <w:szCs w:val="28"/>
        </w:rPr>
      </w:pPr>
      <w:r w:rsidRPr="00E25D90">
        <w:rPr>
          <w:rFonts w:ascii="Times New Roman" w:hAnsi="Times New Roman"/>
          <w:sz w:val="28"/>
          <w:szCs w:val="28"/>
        </w:rPr>
        <w:t>Astfel, în vederea asigurării unui grad mai înalt de transparenţă în domeniul managementului datoriei de stat, se propune ca revizuirea și actualizarea programului „Managementul datoriei de stat pe termen mediu” să fie aprobată prin hotărîre de Guvern, similar procedurii aplicate la aprobarea inițială</w:t>
      </w:r>
      <w:r w:rsidR="00BD5878">
        <w:rPr>
          <w:rFonts w:ascii="Times New Roman" w:hAnsi="Times New Roman"/>
          <w:sz w:val="28"/>
          <w:szCs w:val="28"/>
        </w:rPr>
        <w:t>, modificîndu-se lege</w:t>
      </w:r>
      <w:r w:rsidR="00C72263">
        <w:rPr>
          <w:rFonts w:ascii="Times New Roman" w:hAnsi="Times New Roman"/>
          <w:sz w:val="28"/>
          <w:szCs w:val="28"/>
        </w:rPr>
        <w:t>a</w:t>
      </w:r>
      <w:r w:rsidR="00BD5878">
        <w:rPr>
          <w:rFonts w:ascii="Times New Roman" w:hAnsi="Times New Roman"/>
          <w:sz w:val="28"/>
          <w:szCs w:val="28"/>
        </w:rPr>
        <w:t xml:space="preserve"> în cauză</w:t>
      </w:r>
      <w:r w:rsidRPr="00E25D90">
        <w:rPr>
          <w:rFonts w:ascii="Times New Roman" w:hAnsi="Times New Roman"/>
          <w:sz w:val="28"/>
          <w:szCs w:val="28"/>
        </w:rPr>
        <w:t>.</w:t>
      </w:r>
    </w:p>
    <w:p w:rsidR="00FD5E55" w:rsidRPr="00876DFC" w:rsidRDefault="00E42C8A" w:rsidP="00D401BB">
      <w:pPr>
        <w:spacing w:after="0"/>
        <w:ind w:right="-1" w:firstLine="567"/>
        <w:jc w:val="both"/>
        <w:rPr>
          <w:rFonts w:ascii="Times New Roman" w:hAnsi="Times New Roman" w:cs="Times New Roman"/>
          <w:sz w:val="28"/>
          <w:szCs w:val="28"/>
        </w:rPr>
      </w:pPr>
      <w:r>
        <w:rPr>
          <w:rFonts w:ascii="Times New Roman" w:hAnsi="Times New Roman" w:cs="Times New Roman"/>
          <w:b/>
          <w:sz w:val="28"/>
          <w:szCs w:val="28"/>
        </w:rPr>
        <w:t>6.</w:t>
      </w:r>
      <w:r w:rsidR="00200663">
        <w:rPr>
          <w:rFonts w:ascii="Times New Roman" w:hAnsi="Times New Roman" w:cs="Times New Roman"/>
          <w:b/>
          <w:sz w:val="28"/>
          <w:szCs w:val="28"/>
        </w:rPr>
        <w:t xml:space="preserve"> </w:t>
      </w:r>
      <w:r w:rsidR="00111125" w:rsidRPr="00876DFC">
        <w:rPr>
          <w:rFonts w:ascii="Times New Roman" w:hAnsi="Times New Roman" w:cs="Times New Roman"/>
          <w:b/>
          <w:sz w:val="28"/>
          <w:szCs w:val="28"/>
        </w:rPr>
        <w:t>Legea</w:t>
      </w:r>
      <w:r w:rsidR="00111125" w:rsidRPr="00876DFC">
        <w:rPr>
          <w:rFonts w:ascii="Times New Roman" w:hAnsi="Times New Roman" w:cs="Times New Roman"/>
          <w:sz w:val="28"/>
          <w:szCs w:val="28"/>
        </w:rPr>
        <w:t xml:space="preserve"> </w:t>
      </w:r>
      <w:r w:rsidR="00111125" w:rsidRPr="00876DFC">
        <w:rPr>
          <w:rFonts w:ascii="Times New Roman" w:hAnsi="Times New Roman" w:cs="Times New Roman"/>
          <w:b/>
          <w:sz w:val="28"/>
          <w:szCs w:val="28"/>
        </w:rPr>
        <w:t xml:space="preserve">nr.121-XVI din 4 mai 2007 privind administrarea și deetatizarea proprietății publice </w:t>
      </w:r>
      <w:r w:rsidR="00D401BB" w:rsidRPr="00876DFC">
        <w:rPr>
          <w:rFonts w:ascii="Times New Roman" w:hAnsi="Times New Roman" w:cs="Times New Roman"/>
          <w:sz w:val="28"/>
          <w:szCs w:val="28"/>
        </w:rPr>
        <w:t>stabilește</w:t>
      </w:r>
      <w:r w:rsidR="00111125" w:rsidRPr="00876DFC">
        <w:rPr>
          <w:rFonts w:ascii="Times New Roman" w:hAnsi="Times New Roman" w:cs="Times New Roman"/>
          <w:sz w:val="28"/>
          <w:szCs w:val="28"/>
        </w:rPr>
        <w:t xml:space="preserve"> </w:t>
      </w:r>
      <w:r w:rsidR="00F02AEB" w:rsidRPr="00876DFC">
        <w:rPr>
          <w:rFonts w:ascii="Times New Roman" w:hAnsi="Times New Roman" w:cs="Times New Roman"/>
          <w:sz w:val="28"/>
          <w:szCs w:val="28"/>
        </w:rPr>
        <w:t>competenț</w:t>
      </w:r>
      <w:r w:rsidR="009A6C1A" w:rsidRPr="00876DFC">
        <w:rPr>
          <w:rFonts w:ascii="Times New Roman" w:hAnsi="Times New Roman" w:cs="Times New Roman"/>
          <w:sz w:val="28"/>
          <w:szCs w:val="28"/>
        </w:rPr>
        <w:t>ele</w:t>
      </w:r>
      <w:r w:rsidR="00F02AEB" w:rsidRPr="00876DFC">
        <w:rPr>
          <w:rFonts w:ascii="Times New Roman" w:hAnsi="Times New Roman" w:cs="Times New Roman"/>
          <w:sz w:val="28"/>
          <w:szCs w:val="28"/>
        </w:rPr>
        <w:t xml:space="preserve"> Guvernului în domeniul administrării proprietății publice</w:t>
      </w:r>
      <w:r w:rsidR="009A6C1A" w:rsidRPr="00876DFC">
        <w:rPr>
          <w:rFonts w:ascii="Times New Roman" w:hAnsi="Times New Roman" w:cs="Times New Roman"/>
          <w:sz w:val="28"/>
          <w:szCs w:val="28"/>
        </w:rPr>
        <w:t xml:space="preserve">. </w:t>
      </w:r>
      <w:r w:rsidR="00D401BB" w:rsidRPr="00876DFC">
        <w:rPr>
          <w:rFonts w:ascii="Times New Roman" w:hAnsi="Times New Roman" w:cs="Times New Roman"/>
          <w:sz w:val="28"/>
          <w:szCs w:val="28"/>
        </w:rPr>
        <w:t xml:space="preserve">Conform legii, </w:t>
      </w:r>
      <w:r w:rsidR="00344F32" w:rsidRPr="00876DFC">
        <w:rPr>
          <w:rFonts w:ascii="Times New Roman" w:hAnsi="Times New Roman" w:cs="Times New Roman"/>
          <w:sz w:val="28"/>
          <w:szCs w:val="28"/>
        </w:rPr>
        <w:t xml:space="preserve">atribuirea </w:t>
      </w:r>
      <w:r w:rsidR="00F02AEB" w:rsidRPr="00876DFC">
        <w:rPr>
          <w:rFonts w:ascii="Times New Roman" w:hAnsi="Times New Roman" w:cs="Times New Roman"/>
          <w:sz w:val="28"/>
          <w:szCs w:val="28"/>
        </w:rPr>
        <w:t>bunurilor proprietate de stat domeniului public sau domeniului privat al statului</w:t>
      </w:r>
      <w:r w:rsidR="00344F32" w:rsidRPr="00876DFC">
        <w:rPr>
          <w:rFonts w:ascii="Times New Roman" w:hAnsi="Times New Roman" w:cs="Times New Roman"/>
          <w:sz w:val="28"/>
          <w:szCs w:val="28"/>
        </w:rPr>
        <w:t>,</w:t>
      </w:r>
      <w:r w:rsidR="00F02AEB" w:rsidRPr="00876DFC">
        <w:rPr>
          <w:rFonts w:ascii="Times New Roman" w:hAnsi="Times New Roman" w:cs="Times New Roman"/>
          <w:sz w:val="28"/>
          <w:szCs w:val="28"/>
        </w:rPr>
        <w:t xml:space="preserve"> </w:t>
      </w:r>
      <w:r w:rsidR="00344F32" w:rsidRPr="00876DFC">
        <w:rPr>
          <w:rFonts w:ascii="Times New Roman" w:hAnsi="Times New Roman" w:cs="Times New Roman"/>
          <w:sz w:val="28"/>
          <w:szCs w:val="28"/>
        </w:rPr>
        <w:t xml:space="preserve">trecerea </w:t>
      </w:r>
      <w:r w:rsidR="00F02AEB" w:rsidRPr="00876DFC">
        <w:rPr>
          <w:rFonts w:ascii="Times New Roman" w:hAnsi="Times New Roman" w:cs="Times New Roman"/>
          <w:sz w:val="28"/>
          <w:szCs w:val="28"/>
        </w:rPr>
        <w:t>dintr-un domeniu în altul sau în proprietatea unităților administrativ-teritoriale</w:t>
      </w:r>
      <w:r w:rsidR="00055549" w:rsidRPr="00876DFC">
        <w:rPr>
          <w:rFonts w:ascii="Times New Roman" w:hAnsi="Times New Roman" w:cs="Times New Roman"/>
          <w:sz w:val="28"/>
          <w:szCs w:val="28"/>
        </w:rPr>
        <w:t xml:space="preserve">, precum și trecerea întreprinderilor de stat şi a bunurilor imobile proprietate publică a statului din administrarea unei autorităţi a administraţiei publice centrale în administrarea altei autorităţi a administraţiei publice centrale, </w:t>
      </w:r>
      <w:r w:rsidR="0034718C" w:rsidRPr="00876DFC">
        <w:rPr>
          <w:rFonts w:ascii="Times New Roman" w:hAnsi="Times New Roman" w:cs="Times New Roman"/>
          <w:sz w:val="28"/>
          <w:szCs w:val="28"/>
        </w:rPr>
        <w:t xml:space="preserve">se efectuează în baza </w:t>
      </w:r>
      <w:r w:rsidR="00FD5E55" w:rsidRPr="00876DFC">
        <w:rPr>
          <w:rFonts w:ascii="Times New Roman" w:hAnsi="Times New Roman" w:cs="Times New Roman"/>
          <w:sz w:val="28"/>
          <w:szCs w:val="28"/>
        </w:rPr>
        <w:t xml:space="preserve"> </w:t>
      </w:r>
      <w:r w:rsidR="0034718C" w:rsidRPr="00876DFC">
        <w:rPr>
          <w:rFonts w:ascii="Times New Roman" w:hAnsi="Times New Roman" w:cs="Times New Roman"/>
          <w:sz w:val="28"/>
          <w:szCs w:val="28"/>
        </w:rPr>
        <w:t>hotărîrilor de Guvern.</w:t>
      </w:r>
    </w:p>
    <w:p w:rsidR="00111125" w:rsidRPr="00876DFC" w:rsidRDefault="0034718C" w:rsidP="00D401BB">
      <w:pPr>
        <w:spacing w:after="0"/>
        <w:ind w:right="-1" w:firstLine="567"/>
        <w:jc w:val="both"/>
        <w:rPr>
          <w:rFonts w:ascii="Times New Roman" w:hAnsi="Times New Roman" w:cs="Times New Roman"/>
          <w:sz w:val="28"/>
          <w:szCs w:val="28"/>
        </w:rPr>
      </w:pPr>
      <w:r w:rsidRPr="00876DFC">
        <w:rPr>
          <w:rFonts w:ascii="Times New Roman" w:hAnsi="Times New Roman" w:cs="Times New Roman"/>
          <w:sz w:val="28"/>
          <w:szCs w:val="28"/>
        </w:rPr>
        <w:t xml:space="preserve">Astfel, modalitatea </w:t>
      </w:r>
      <w:r w:rsidR="000836DA" w:rsidRPr="00876DFC">
        <w:rPr>
          <w:rFonts w:ascii="Times New Roman" w:hAnsi="Times New Roman" w:cs="Times New Roman"/>
          <w:sz w:val="28"/>
          <w:szCs w:val="28"/>
        </w:rPr>
        <w:t xml:space="preserve">vizată </w:t>
      </w:r>
      <w:r w:rsidR="00C675CB" w:rsidRPr="00876DFC">
        <w:rPr>
          <w:rFonts w:ascii="Times New Roman" w:hAnsi="Times New Roman" w:cs="Times New Roman"/>
          <w:sz w:val="28"/>
          <w:szCs w:val="28"/>
        </w:rPr>
        <w:t xml:space="preserve">se </w:t>
      </w:r>
      <w:r w:rsidR="000836DA" w:rsidRPr="00876DFC">
        <w:rPr>
          <w:rFonts w:ascii="Times New Roman" w:hAnsi="Times New Roman" w:cs="Times New Roman"/>
          <w:sz w:val="28"/>
          <w:szCs w:val="28"/>
        </w:rPr>
        <w:t>răsfrînge asupra tuturor bunurilor proprietate de stat domeniului public, inclusiv și cel</w:t>
      </w:r>
      <w:r w:rsidR="00BD0953" w:rsidRPr="00876DFC">
        <w:rPr>
          <w:rFonts w:ascii="Times New Roman" w:hAnsi="Times New Roman" w:cs="Times New Roman"/>
          <w:sz w:val="28"/>
          <w:szCs w:val="28"/>
        </w:rPr>
        <w:t>or</w:t>
      </w:r>
      <w:r w:rsidR="000836DA" w:rsidRPr="00876DFC">
        <w:rPr>
          <w:rFonts w:ascii="Times New Roman" w:hAnsi="Times New Roman" w:cs="Times New Roman"/>
          <w:sz w:val="28"/>
          <w:szCs w:val="28"/>
        </w:rPr>
        <w:t xml:space="preserve"> mobile (calculato</w:t>
      </w:r>
      <w:r w:rsidR="00C675CB" w:rsidRPr="00876DFC">
        <w:rPr>
          <w:rFonts w:ascii="Times New Roman" w:hAnsi="Times New Roman" w:cs="Times New Roman"/>
          <w:sz w:val="28"/>
          <w:szCs w:val="28"/>
        </w:rPr>
        <w:t>a</w:t>
      </w:r>
      <w:r w:rsidR="000836DA" w:rsidRPr="00876DFC">
        <w:rPr>
          <w:rFonts w:ascii="Times New Roman" w:hAnsi="Times New Roman" w:cs="Times New Roman"/>
          <w:sz w:val="28"/>
          <w:szCs w:val="28"/>
        </w:rPr>
        <w:t>r</w:t>
      </w:r>
      <w:r w:rsidR="00C675CB" w:rsidRPr="00876DFC">
        <w:rPr>
          <w:rFonts w:ascii="Times New Roman" w:hAnsi="Times New Roman" w:cs="Times New Roman"/>
          <w:sz w:val="28"/>
          <w:szCs w:val="28"/>
        </w:rPr>
        <w:t>e</w:t>
      </w:r>
      <w:r w:rsidR="000836DA" w:rsidRPr="00876DFC">
        <w:rPr>
          <w:rFonts w:ascii="Times New Roman" w:hAnsi="Times New Roman" w:cs="Times New Roman"/>
          <w:sz w:val="28"/>
          <w:szCs w:val="28"/>
        </w:rPr>
        <w:t xml:space="preserve"> </w:t>
      </w:r>
      <w:r w:rsidR="00A30FF5" w:rsidRPr="00876DFC">
        <w:rPr>
          <w:rFonts w:ascii="Times New Roman" w:hAnsi="Times New Roman" w:cs="Times New Roman"/>
          <w:sz w:val="28"/>
          <w:szCs w:val="28"/>
        </w:rPr>
        <w:t>învechi</w:t>
      </w:r>
      <w:r w:rsidR="000836DA" w:rsidRPr="00876DFC">
        <w:rPr>
          <w:rFonts w:ascii="Times New Roman" w:hAnsi="Times New Roman" w:cs="Times New Roman"/>
          <w:sz w:val="28"/>
          <w:szCs w:val="28"/>
        </w:rPr>
        <w:t>t</w:t>
      </w:r>
      <w:r w:rsidR="00C675CB" w:rsidRPr="00876DFC">
        <w:rPr>
          <w:rFonts w:ascii="Times New Roman" w:hAnsi="Times New Roman" w:cs="Times New Roman"/>
          <w:sz w:val="28"/>
          <w:szCs w:val="28"/>
        </w:rPr>
        <w:t>e</w:t>
      </w:r>
      <w:r w:rsidR="00265A21">
        <w:rPr>
          <w:rFonts w:ascii="Times New Roman" w:hAnsi="Times New Roman" w:cs="Times New Roman"/>
          <w:sz w:val="28"/>
          <w:szCs w:val="28"/>
        </w:rPr>
        <w:t xml:space="preserve"> moral</w:t>
      </w:r>
      <w:r w:rsidR="003F4F8E" w:rsidRPr="00876DFC">
        <w:rPr>
          <w:rFonts w:ascii="Times New Roman" w:hAnsi="Times New Roman" w:cs="Times New Roman"/>
          <w:sz w:val="28"/>
          <w:szCs w:val="28"/>
        </w:rPr>
        <w:t>;</w:t>
      </w:r>
      <w:r w:rsidR="000836DA" w:rsidRPr="00876DFC">
        <w:rPr>
          <w:rFonts w:ascii="Times New Roman" w:hAnsi="Times New Roman" w:cs="Times New Roman"/>
          <w:sz w:val="28"/>
          <w:szCs w:val="28"/>
        </w:rPr>
        <w:t xml:space="preserve"> mese, scaune, etc.). </w:t>
      </w:r>
      <w:r w:rsidR="00512013" w:rsidRPr="00876DFC">
        <w:rPr>
          <w:rFonts w:ascii="Times New Roman" w:hAnsi="Times New Roman" w:cs="Times New Roman"/>
          <w:sz w:val="28"/>
          <w:szCs w:val="28"/>
        </w:rPr>
        <w:t>P</w:t>
      </w:r>
      <w:r w:rsidR="000836DA" w:rsidRPr="00876DFC">
        <w:rPr>
          <w:rFonts w:ascii="Times New Roman" w:hAnsi="Times New Roman" w:cs="Times New Roman"/>
          <w:sz w:val="28"/>
          <w:szCs w:val="28"/>
        </w:rPr>
        <w:t xml:space="preserve">rocedura de transmitere a bunurilor </w:t>
      </w:r>
      <w:r w:rsidR="00F91ABB" w:rsidRPr="00876DFC">
        <w:rPr>
          <w:rFonts w:ascii="Times New Roman" w:hAnsi="Times New Roman" w:cs="Times New Roman"/>
          <w:sz w:val="28"/>
          <w:szCs w:val="28"/>
        </w:rPr>
        <w:t xml:space="preserve">autorităților publice centrale </w:t>
      </w:r>
      <w:r w:rsidR="000836DA" w:rsidRPr="00876DFC">
        <w:rPr>
          <w:rFonts w:ascii="Times New Roman" w:hAnsi="Times New Roman" w:cs="Times New Roman"/>
          <w:sz w:val="28"/>
          <w:szCs w:val="28"/>
        </w:rPr>
        <w:t>către unitățile administrativ-teritoriale</w:t>
      </w:r>
      <w:r w:rsidR="00512013" w:rsidRPr="00876DFC">
        <w:rPr>
          <w:rFonts w:ascii="Times New Roman" w:hAnsi="Times New Roman" w:cs="Times New Roman"/>
          <w:sz w:val="28"/>
          <w:szCs w:val="28"/>
        </w:rPr>
        <w:t xml:space="preserve"> este complicată și durează mult timp</w:t>
      </w:r>
      <w:r w:rsidR="00F91ABB" w:rsidRPr="00876DFC">
        <w:rPr>
          <w:rFonts w:ascii="Times New Roman" w:hAnsi="Times New Roman" w:cs="Times New Roman"/>
          <w:sz w:val="28"/>
          <w:szCs w:val="28"/>
        </w:rPr>
        <w:t>.</w:t>
      </w:r>
      <w:r w:rsidR="00512013" w:rsidRPr="00876DFC">
        <w:rPr>
          <w:rFonts w:ascii="Times New Roman" w:hAnsi="Times New Roman" w:cs="Times New Roman"/>
          <w:sz w:val="28"/>
          <w:szCs w:val="28"/>
        </w:rPr>
        <w:t xml:space="preserve"> Ca urmare</w:t>
      </w:r>
      <w:r w:rsidR="000836DA" w:rsidRPr="00876DFC">
        <w:rPr>
          <w:rFonts w:ascii="Times New Roman" w:hAnsi="Times New Roman" w:cs="Times New Roman"/>
          <w:sz w:val="28"/>
          <w:szCs w:val="28"/>
        </w:rPr>
        <w:t>, autoritățile publice centrale</w:t>
      </w:r>
      <w:r w:rsidR="00437ABF" w:rsidRPr="00876DFC">
        <w:rPr>
          <w:rFonts w:ascii="Times New Roman" w:hAnsi="Times New Roman" w:cs="Times New Roman"/>
          <w:sz w:val="28"/>
          <w:szCs w:val="28"/>
        </w:rPr>
        <w:t>,</w:t>
      </w:r>
      <w:r w:rsidR="000836DA" w:rsidRPr="00876DFC">
        <w:rPr>
          <w:rFonts w:ascii="Times New Roman" w:hAnsi="Times New Roman" w:cs="Times New Roman"/>
          <w:sz w:val="28"/>
          <w:szCs w:val="28"/>
        </w:rPr>
        <w:t xml:space="preserve"> </w:t>
      </w:r>
      <w:r w:rsidR="00512013" w:rsidRPr="00876DFC">
        <w:rPr>
          <w:rFonts w:ascii="Times New Roman" w:hAnsi="Times New Roman" w:cs="Times New Roman"/>
          <w:sz w:val="28"/>
          <w:szCs w:val="28"/>
        </w:rPr>
        <w:t>în multe cazuri</w:t>
      </w:r>
      <w:r w:rsidR="00437ABF" w:rsidRPr="00876DFC">
        <w:rPr>
          <w:rFonts w:ascii="Times New Roman" w:hAnsi="Times New Roman" w:cs="Times New Roman"/>
          <w:sz w:val="28"/>
          <w:szCs w:val="28"/>
        </w:rPr>
        <w:t>,</w:t>
      </w:r>
      <w:r w:rsidR="00512013" w:rsidRPr="00876DFC">
        <w:rPr>
          <w:rFonts w:ascii="Times New Roman" w:hAnsi="Times New Roman" w:cs="Times New Roman"/>
          <w:sz w:val="28"/>
          <w:szCs w:val="28"/>
        </w:rPr>
        <w:t xml:space="preserve"> </w:t>
      </w:r>
      <w:r w:rsidR="000836DA" w:rsidRPr="00876DFC">
        <w:rPr>
          <w:rFonts w:ascii="Times New Roman" w:hAnsi="Times New Roman" w:cs="Times New Roman"/>
          <w:sz w:val="28"/>
          <w:szCs w:val="28"/>
        </w:rPr>
        <w:t xml:space="preserve">renunță la </w:t>
      </w:r>
      <w:r w:rsidR="00437ABF" w:rsidRPr="00876DFC">
        <w:rPr>
          <w:rFonts w:ascii="Times New Roman" w:hAnsi="Times New Roman" w:cs="Times New Roman"/>
          <w:sz w:val="28"/>
          <w:szCs w:val="28"/>
        </w:rPr>
        <w:t xml:space="preserve">transmiterea bunurilor mobile către unitățile administrativ-teritoriale </w:t>
      </w:r>
      <w:r w:rsidR="000836DA" w:rsidRPr="00876DFC">
        <w:rPr>
          <w:rFonts w:ascii="Times New Roman" w:hAnsi="Times New Roman" w:cs="Times New Roman"/>
          <w:sz w:val="28"/>
          <w:szCs w:val="28"/>
        </w:rPr>
        <w:t>și</w:t>
      </w:r>
      <w:r w:rsidR="00437ABF" w:rsidRPr="00876DFC">
        <w:rPr>
          <w:rFonts w:ascii="Times New Roman" w:hAnsi="Times New Roman" w:cs="Times New Roman"/>
          <w:sz w:val="28"/>
          <w:szCs w:val="28"/>
        </w:rPr>
        <w:t>,</w:t>
      </w:r>
      <w:r w:rsidR="000836DA" w:rsidRPr="00876DFC">
        <w:rPr>
          <w:rFonts w:ascii="Times New Roman" w:hAnsi="Times New Roman" w:cs="Times New Roman"/>
          <w:sz w:val="28"/>
          <w:szCs w:val="28"/>
        </w:rPr>
        <w:t xml:space="preserve"> după caz</w:t>
      </w:r>
      <w:r w:rsidR="00437ABF" w:rsidRPr="00876DFC">
        <w:rPr>
          <w:rFonts w:ascii="Times New Roman" w:hAnsi="Times New Roman" w:cs="Times New Roman"/>
          <w:sz w:val="28"/>
          <w:szCs w:val="28"/>
        </w:rPr>
        <w:t>,</w:t>
      </w:r>
      <w:r w:rsidR="000836DA" w:rsidRPr="00876DFC">
        <w:rPr>
          <w:rFonts w:ascii="Times New Roman" w:hAnsi="Times New Roman" w:cs="Times New Roman"/>
          <w:sz w:val="28"/>
          <w:szCs w:val="28"/>
        </w:rPr>
        <w:t xml:space="preserve"> le păstrează în depozite sau le </w:t>
      </w:r>
      <w:r w:rsidR="00FA7628" w:rsidRPr="00876DFC">
        <w:rPr>
          <w:rFonts w:ascii="Times New Roman" w:hAnsi="Times New Roman" w:cs="Times New Roman"/>
          <w:sz w:val="28"/>
          <w:szCs w:val="28"/>
        </w:rPr>
        <w:t>casează</w:t>
      </w:r>
      <w:r w:rsidR="000836DA" w:rsidRPr="00876DFC">
        <w:rPr>
          <w:rFonts w:ascii="Times New Roman" w:hAnsi="Times New Roman" w:cs="Times New Roman"/>
          <w:sz w:val="28"/>
          <w:szCs w:val="28"/>
        </w:rPr>
        <w:t>.</w:t>
      </w:r>
    </w:p>
    <w:p w:rsidR="0034718C" w:rsidRPr="00876DFC" w:rsidRDefault="00D5317A" w:rsidP="00D401BB">
      <w:pPr>
        <w:spacing w:after="0"/>
        <w:ind w:right="-1" w:firstLine="567"/>
        <w:jc w:val="both"/>
        <w:rPr>
          <w:rFonts w:ascii="Times New Roman" w:hAnsi="Times New Roman" w:cs="Times New Roman"/>
          <w:sz w:val="28"/>
          <w:szCs w:val="28"/>
        </w:rPr>
      </w:pPr>
      <w:r w:rsidRPr="00876DFC">
        <w:rPr>
          <w:rFonts w:ascii="Times New Roman" w:hAnsi="Times New Roman" w:cs="Times New Roman"/>
          <w:sz w:val="28"/>
          <w:szCs w:val="28"/>
        </w:rPr>
        <w:t>Pentru simplificarea proceduri</w:t>
      </w:r>
      <w:r w:rsidR="00EE156B" w:rsidRPr="00876DFC">
        <w:rPr>
          <w:rFonts w:ascii="Times New Roman" w:hAnsi="Times New Roman" w:cs="Times New Roman"/>
          <w:sz w:val="28"/>
          <w:szCs w:val="28"/>
        </w:rPr>
        <w:t>lor</w:t>
      </w:r>
      <w:r w:rsidRPr="00876DFC">
        <w:rPr>
          <w:rFonts w:ascii="Times New Roman" w:hAnsi="Times New Roman" w:cs="Times New Roman"/>
          <w:sz w:val="28"/>
          <w:szCs w:val="28"/>
        </w:rPr>
        <w:t xml:space="preserve"> de transmitere a patrimoniului din proprietatea publică a statului</w:t>
      </w:r>
      <w:r w:rsidR="00D91A7C" w:rsidRPr="00876DFC">
        <w:rPr>
          <w:rFonts w:ascii="Times New Roman" w:hAnsi="Times New Roman" w:cs="Times New Roman"/>
          <w:sz w:val="28"/>
          <w:szCs w:val="28"/>
        </w:rPr>
        <w:t xml:space="preserve"> </w:t>
      </w:r>
      <w:r w:rsidRPr="00876DFC">
        <w:rPr>
          <w:rFonts w:ascii="Times New Roman" w:hAnsi="Times New Roman" w:cs="Times New Roman"/>
          <w:sz w:val="28"/>
          <w:szCs w:val="28"/>
        </w:rPr>
        <w:t>în proprietatea publică a unităților administrativ-teritoriale</w:t>
      </w:r>
      <w:r w:rsidR="00D4073A" w:rsidRPr="00876DFC">
        <w:rPr>
          <w:rFonts w:ascii="Times New Roman" w:hAnsi="Times New Roman" w:cs="Times New Roman"/>
          <w:sz w:val="28"/>
          <w:szCs w:val="28"/>
        </w:rPr>
        <w:t xml:space="preserve">, </w:t>
      </w:r>
      <w:r w:rsidRPr="00876DFC">
        <w:rPr>
          <w:rFonts w:ascii="Times New Roman" w:hAnsi="Times New Roman" w:cs="Times New Roman"/>
          <w:sz w:val="28"/>
          <w:szCs w:val="28"/>
        </w:rPr>
        <w:t xml:space="preserve">se propune </w:t>
      </w:r>
      <w:r w:rsidR="00BD0953" w:rsidRPr="00876DFC">
        <w:rPr>
          <w:rFonts w:ascii="Times New Roman" w:hAnsi="Times New Roman" w:cs="Times New Roman"/>
          <w:sz w:val="28"/>
          <w:szCs w:val="28"/>
        </w:rPr>
        <w:t>de a delimita competenț</w:t>
      </w:r>
      <w:r w:rsidR="00C675CB" w:rsidRPr="00876DFC">
        <w:rPr>
          <w:rFonts w:ascii="Times New Roman" w:hAnsi="Times New Roman" w:cs="Times New Roman"/>
          <w:sz w:val="28"/>
          <w:szCs w:val="28"/>
        </w:rPr>
        <w:t>e</w:t>
      </w:r>
      <w:r w:rsidR="00C72263">
        <w:rPr>
          <w:rFonts w:ascii="Times New Roman" w:hAnsi="Times New Roman" w:cs="Times New Roman"/>
          <w:sz w:val="28"/>
          <w:szCs w:val="28"/>
        </w:rPr>
        <w:t>le</w:t>
      </w:r>
      <w:r w:rsidR="00BD0953" w:rsidRPr="00876DFC">
        <w:rPr>
          <w:rFonts w:ascii="Times New Roman" w:hAnsi="Times New Roman" w:cs="Times New Roman"/>
          <w:sz w:val="28"/>
          <w:szCs w:val="28"/>
        </w:rPr>
        <w:t xml:space="preserve"> Guvernului </w:t>
      </w:r>
      <w:r w:rsidR="00C675CB" w:rsidRPr="00876DFC">
        <w:rPr>
          <w:rFonts w:ascii="Times New Roman" w:hAnsi="Times New Roman" w:cs="Times New Roman"/>
          <w:sz w:val="28"/>
          <w:szCs w:val="28"/>
        </w:rPr>
        <w:t>și</w:t>
      </w:r>
      <w:r w:rsidR="00BD0953" w:rsidRPr="00876DFC">
        <w:rPr>
          <w:rFonts w:ascii="Times New Roman" w:hAnsi="Times New Roman" w:cs="Times New Roman"/>
          <w:sz w:val="28"/>
          <w:szCs w:val="28"/>
        </w:rPr>
        <w:t xml:space="preserve"> competenț</w:t>
      </w:r>
      <w:r w:rsidR="00C675CB" w:rsidRPr="00876DFC">
        <w:rPr>
          <w:rFonts w:ascii="Times New Roman" w:hAnsi="Times New Roman" w:cs="Times New Roman"/>
          <w:sz w:val="28"/>
          <w:szCs w:val="28"/>
        </w:rPr>
        <w:t>e</w:t>
      </w:r>
      <w:r w:rsidR="00C72263">
        <w:rPr>
          <w:rFonts w:ascii="Times New Roman" w:hAnsi="Times New Roman" w:cs="Times New Roman"/>
          <w:sz w:val="28"/>
          <w:szCs w:val="28"/>
        </w:rPr>
        <w:t>le</w:t>
      </w:r>
      <w:r w:rsidR="00BD0953" w:rsidRPr="00876DFC">
        <w:rPr>
          <w:rFonts w:ascii="Times New Roman" w:hAnsi="Times New Roman" w:cs="Times New Roman"/>
          <w:sz w:val="28"/>
          <w:szCs w:val="28"/>
        </w:rPr>
        <w:t xml:space="preserve"> autorităților publice centrale în administrarea proprietății publice</w:t>
      </w:r>
      <w:r w:rsidR="002E007A" w:rsidRPr="00876DFC">
        <w:rPr>
          <w:rFonts w:ascii="Times New Roman" w:hAnsi="Times New Roman" w:cs="Times New Roman"/>
          <w:sz w:val="28"/>
          <w:szCs w:val="28"/>
        </w:rPr>
        <w:t xml:space="preserve">, și anume: </w:t>
      </w:r>
      <w:r w:rsidR="00924FF0" w:rsidRPr="00876DFC">
        <w:rPr>
          <w:rFonts w:ascii="Times New Roman" w:hAnsi="Times New Roman" w:cs="Times New Roman"/>
          <w:sz w:val="28"/>
          <w:szCs w:val="28"/>
        </w:rPr>
        <w:t>Guvernul s</w:t>
      </w:r>
      <w:r w:rsidR="00C675CB" w:rsidRPr="00876DFC">
        <w:rPr>
          <w:rFonts w:ascii="Times New Roman" w:hAnsi="Times New Roman" w:cs="Times New Roman"/>
          <w:sz w:val="28"/>
          <w:szCs w:val="28"/>
        </w:rPr>
        <w:t>ă</w:t>
      </w:r>
      <w:r w:rsidR="00924FF0" w:rsidRPr="00876DFC">
        <w:rPr>
          <w:rFonts w:ascii="Times New Roman" w:hAnsi="Times New Roman" w:cs="Times New Roman"/>
          <w:sz w:val="28"/>
          <w:szCs w:val="28"/>
        </w:rPr>
        <w:t xml:space="preserve"> aprob</w:t>
      </w:r>
      <w:r w:rsidR="00C675CB" w:rsidRPr="00876DFC">
        <w:rPr>
          <w:rFonts w:ascii="Times New Roman" w:hAnsi="Times New Roman" w:cs="Times New Roman"/>
          <w:sz w:val="28"/>
          <w:szCs w:val="28"/>
        </w:rPr>
        <w:t>e</w:t>
      </w:r>
      <w:r w:rsidR="00924FF0" w:rsidRPr="00876DFC">
        <w:rPr>
          <w:rFonts w:ascii="Times New Roman" w:hAnsi="Times New Roman" w:cs="Times New Roman"/>
          <w:sz w:val="28"/>
          <w:szCs w:val="28"/>
        </w:rPr>
        <w:t xml:space="preserve"> hotărîrile privind transmiterea întreprinderilor de stat și bunurilor imobile proprietate publică a statului</w:t>
      </w:r>
      <w:r w:rsidR="00EE156B" w:rsidRPr="00876DFC">
        <w:rPr>
          <w:rFonts w:ascii="Times New Roman" w:hAnsi="Times New Roman" w:cs="Times New Roman"/>
          <w:sz w:val="28"/>
          <w:szCs w:val="28"/>
        </w:rPr>
        <w:t>, iar autoritățile publice centrale s</w:t>
      </w:r>
      <w:r w:rsidR="00C675CB" w:rsidRPr="00876DFC">
        <w:rPr>
          <w:rFonts w:ascii="Times New Roman" w:hAnsi="Times New Roman" w:cs="Times New Roman"/>
          <w:sz w:val="28"/>
          <w:szCs w:val="28"/>
        </w:rPr>
        <w:t>ă</w:t>
      </w:r>
      <w:r w:rsidR="00F93A37" w:rsidRPr="00876DFC">
        <w:rPr>
          <w:rFonts w:ascii="Times New Roman" w:hAnsi="Times New Roman" w:cs="Times New Roman"/>
          <w:sz w:val="28"/>
          <w:szCs w:val="28"/>
        </w:rPr>
        <w:t xml:space="preserve"> ia decizii</w:t>
      </w:r>
      <w:r w:rsidR="00FD5E6A" w:rsidRPr="00876DFC">
        <w:rPr>
          <w:rFonts w:ascii="Times New Roman" w:hAnsi="Times New Roman" w:cs="Times New Roman"/>
          <w:sz w:val="28"/>
          <w:szCs w:val="28"/>
        </w:rPr>
        <w:t>le</w:t>
      </w:r>
      <w:r w:rsidR="0054471A" w:rsidRPr="00876DFC">
        <w:rPr>
          <w:rFonts w:ascii="Times New Roman" w:hAnsi="Times New Roman" w:cs="Times New Roman"/>
          <w:sz w:val="28"/>
          <w:szCs w:val="28"/>
        </w:rPr>
        <w:t xml:space="preserve"> </w:t>
      </w:r>
      <w:r w:rsidR="00F93A37" w:rsidRPr="00876DFC">
        <w:rPr>
          <w:rFonts w:ascii="Times New Roman" w:hAnsi="Times New Roman" w:cs="Times New Roman"/>
          <w:sz w:val="28"/>
          <w:szCs w:val="28"/>
        </w:rPr>
        <w:t xml:space="preserve">privind </w:t>
      </w:r>
      <w:r w:rsidR="00EE156B" w:rsidRPr="00876DFC">
        <w:rPr>
          <w:rFonts w:ascii="Times New Roman" w:hAnsi="Times New Roman" w:cs="Times New Roman"/>
          <w:sz w:val="28"/>
          <w:szCs w:val="28"/>
        </w:rPr>
        <w:t>transmiterea bunurilor proprietate publică</w:t>
      </w:r>
      <w:r w:rsidR="00F93A37" w:rsidRPr="00876DFC">
        <w:rPr>
          <w:rFonts w:ascii="Times New Roman" w:hAnsi="Times New Roman" w:cs="Times New Roman"/>
          <w:sz w:val="28"/>
          <w:szCs w:val="28"/>
        </w:rPr>
        <w:t xml:space="preserve"> altor decît </w:t>
      </w:r>
      <w:r w:rsidR="00EE156B" w:rsidRPr="00876DFC">
        <w:rPr>
          <w:rFonts w:ascii="Times New Roman" w:hAnsi="Times New Roman" w:cs="Times New Roman"/>
          <w:sz w:val="28"/>
          <w:szCs w:val="28"/>
        </w:rPr>
        <w:t>întreprinderil</w:t>
      </w:r>
      <w:r w:rsidR="00C675CB" w:rsidRPr="00876DFC">
        <w:rPr>
          <w:rFonts w:ascii="Times New Roman" w:hAnsi="Times New Roman" w:cs="Times New Roman"/>
          <w:sz w:val="28"/>
          <w:szCs w:val="28"/>
        </w:rPr>
        <w:t>or</w:t>
      </w:r>
      <w:r w:rsidR="00EE156B" w:rsidRPr="00876DFC">
        <w:rPr>
          <w:rFonts w:ascii="Times New Roman" w:hAnsi="Times New Roman" w:cs="Times New Roman"/>
          <w:sz w:val="28"/>
          <w:szCs w:val="28"/>
        </w:rPr>
        <w:t xml:space="preserve"> de stat și bunuril</w:t>
      </w:r>
      <w:r w:rsidR="00C675CB" w:rsidRPr="00876DFC">
        <w:rPr>
          <w:rFonts w:ascii="Times New Roman" w:hAnsi="Times New Roman" w:cs="Times New Roman"/>
          <w:sz w:val="28"/>
          <w:szCs w:val="28"/>
        </w:rPr>
        <w:t>or</w:t>
      </w:r>
      <w:r w:rsidR="00EE156B" w:rsidRPr="00876DFC">
        <w:rPr>
          <w:rFonts w:ascii="Times New Roman" w:hAnsi="Times New Roman" w:cs="Times New Roman"/>
          <w:sz w:val="28"/>
          <w:szCs w:val="28"/>
        </w:rPr>
        <w:t xml:space="preserve"> imobile proprietate publică a statului</w:t>
      </w:r>
      <w:r w:rsidR="00980A30" w:rsidRPr="00876DFC">
        <w:rPr>
          <w:rFonts w:ascii="Times New Roman" w:hAnsi="Times New Roman" w:cs="Times New Roman"/>
          <w:sz w:val="28"/>
          <w:szCs w:val="28"/>
        </w:rPr>
        <w:t>, cu acordul consiliului local respectiv</w:t>
      </w:r>
      <w:r w:rsidR="00EE156B" w:rsidRPr="00876DFC">
        <w:rPr>
          <w:rFonts w:ascii="Times New Roman" w:hAnsi="Times New Roman" w:cs="Times New Roman"/>
          <w:sz w:val="28"/>
          <w:szCs w:val="28"/>
        </w:rPr>
        <w:t>.</w:t>
      </w:r>
    </w:p>
    <w:p w:rsidR="00241B13" w:rsidRPr="00800B8F" w:rsidRDefault="00241B13" w:rsidP="00D401BB">
      <w:pPr>
        <w:spacing w:after="0"/>
        <w:ind w:right="-1" w:firstLine="567"/>
        <w:jc w:val="both"/>
        <w:rPr>
          <w:rFonts w:ascii="Times New Roman" w:hAnsi="Times New Roman" w:cs="Times New Roman"/>
          <w:sz w:val="28"/>
          <w:szCs w:val="28"/>
        </w:rPr>
      </w:pPr>
      <w:r w:rsidRPr="00876DFC">
        <w:rPr>
          <w:rFonts w:ascii="Times New Roman" w:hAnsi="Times New Roman" w:cs="Times New Roman"/>
          <w:sz w:val="28"/>
          <w:szCs w:val="28"/>
        </w:rPr>
        <w:t>În contextul dat, se propune efectuarea modificărilor respectiv</w:t>
      </w:r>
      <w:r w:rsidR="001D1C69" w:rsidRPr="00876DFC">
        <w:rPr>
          <w:rFonts w:ascii="Times New Roman" w:hAnsi="Times New Roman" w:cs="Times New Roman"/>
          <w:sz w:val="28"/>
          <w:szCs w:val="28"/>
        </w:rPr>
        <w:t>e</w:t>
      </w:r>
      <w:r w:rsidRPr="00876DFC">
        <w:rPr>
          <w:rFonts w:ascii="Times New Roman" w:hAnsi="Times New Roman" w:cs="Times New Roman"/>
          <w:sz w:val="28"/>
          <w:szCs w:val="28"/>
        </w:rPr>
        <w:t xml:space="preserve"> la </w:t>
      </w:r>
      <w:r w:rsidR="00111125" w:rsidRPr="00800B8F">
        <w:rPr>
          <w:rFonts w:ascii="Times New Roman" w:hAnsi="Times New Roman" w:cs="Times New Roman"/>
          <w:sz w:val="28"/>
          <w:szCs w:val="28"/>
        </w:rPr>
        <w:t>Leg</w:t>
      </w:r>
      <w:r w:rsidRPr="00800B8F">
        <w:rPr>
          <w:rFonts w:ascii="Times New Roman" w:hAnsi="Times New Roman" w:cs="Times New Roman"/>
          <w:sz w:val="28"/>
          <w:szCs w:val="28"/>
        </w:rPr>
        <w:t>ea</w:t>
      </w:r>
      <w:r w:rsidR="00111125" w:rsidRPr="00800B8F">
        <w:rPr>
          <w:rFonts w:ascii="Times New Roman" w:hAnsi="Times New Roman" w:cs="Times New Roman"/>
          <w:sz w:val="28"/>
          <w:szCs w:val="28"/>
        </w:rPr>
        <w:t xml:space="preserve"> nr.121</w:t>
      </w:r>
      <w:r w:rsidRPr="00800B8F">
        <w:rPr>
          <w:rFonts w:ascii="Times New Roman" w:hAnsi="Times New Roman" w:cs="Times New Roman"/>
          <w:sz w:val="28"/>
          <w:szCs w:val="28"/>
        </w:rPr>
        <w:t>-XVI</w:t>
      </w:r>
      <w:r w:rsidR="00111125" w:rsidRPr="00800B8F">
        <w:rPr>
          <w:rFonts w:ascii="Times New Roman" w:hAnsi="Times New Roman" w:cs="Times New Roman"/>
          <w:sz w:val="28"/>
          <w:szCs w:val="28"/>
        </w:rPr>
        <w:t xml:space="preserve"> din 4 mai 2007 privind administrarea și deetatizarea </w:t>
      </w:r>
      <w:r w:rsidRPr="00800B8F">
        <w:rPr>
          <w:rFonts w:ascii="Times New Roman" w:hAnsi="Times New Roman" w:cs="Times New Roman"/>
          <w:sz w:val="28"/>
          <w:szCs w:val="28"/>
        </w:rPr>
        <w:t>proprietății</w:t>
      </w:r>
      <w:r w:rsidR="00111125" w:rsidRPr="00800B8F">
        <w:rPr>
          <w:rFonts w:ascii="Times New Roman" w:hAnsi="Times New Roman" w:cs="Times New Roman"/>
          <w:sz w:val="28"/>
          <w:szCs w:val="28"/>
        </w:rPr>
        <w:t xml:space="preserve"> publice</w:t>
      </w:r>
      <w:r w:rsidRPr="00800B8F">
        <w:rPr>
          <w:rFonts w:ascii="Times New Roman" w:hAnsi="Times New Roman" w:cs="Times New Roman"/>
          <w:sz w:val="28"/>
          <w:szCs w:val="28"/>
        </w:rPr>
        <w:t>.</w:t>
      </w:r>
    </w:p>
    <w:p w:rsidR="00241B13" w:rsidRPr="00876DFC" w:rsidRDefault="00241B13" w:rsidP="00D401BB">
      <w:pPr>
        <w:spacing w:after="0"/>
        <w:ind w:right="-1" w:firstLine="567"/>
        <w:jc w:val="both"/>
        <w:rPr>
          <w:rFonts w:ascii="Times New Roman" w:hAnsi="Times New Roman" w:cs="Times New Roman"/>
          <w:sz w:val="28"/>
          <w:szCs w:val="28"/>
        </w:rPr>
      </w:pPr>
      <w:r w:rsidRPr="00876DFC">
        <w:rPr>
          <w:rFonts w:ascii="Times New Roman" w:hAnsi="Times New Roman" w:cs="Times New Roman"/>
          <w:sz w:val="28"/>
          <w:szCs w:val="28"/>
        </w:rPr>
        <w:t xml:space="preserve">Reieșind din modificările vizate la Legea </w:t>
      </w:r>
      <w:r w:rsidR="009C5BA4" w:rsidRPr="00876DFC">
        <w:rPr>
          <w:rFonts w:ascii="Times New Roman" w:hAnsi="Times New Roman" w:cs="Times New Roman"/>
          <w:sz w:val="28"/>
          <w:szCs w:val="28"/>
        </w:rPr>
        <w:t xml:space="preserve">nr.121-XVI din 4 mai 2007 </w:t>
      </w:r>
      <w:r w:rsidRPr="00876DFC">
        <w:rPr>
          <w:rFonts w:ascii="Times New Roman" w:hAnsi="Times New Roman" w:cs="Times New Roman"/>
          <w:sz w:val="28"/>
          <w:szCs w:val="28"/>
        </w:rPr>
        <w:t xml:space="preserve">care este legea de bază în </w:t>
      </w:r>
      <w:r w:rsidR="009C5BA4" w:rsidRPr="00876DFC">
        <w:rPr>
          <w:rFonts w:ascii="Times New Roman" w:hAnsi="Times New Roman" w:cs="Times New Roman"/>
          <w:sz w:val="28"/>
          <w:szCs w:val="28"/>
        </w:rPr>
        <w:t xml:space="preserve">reglementarea raporturilor ce ţin de administrarea şi deetatizarea proprietăţii publice, </w:t>
      </w:r>
      <w:r w:rsidRPr="00876DFC">
        <w:rPr>
          <w:rFonts w:ascii="Times New Roman" w:hAnsi="Times New Roman" w:cs="Times New Roman"/>
          <w:sz w:val="28"/>
          <w:szCs w:val="28"/>
        </w:rPr>
        <w:t xml:space="preserve">se propune efectuarea modificărilor similare şi la </w:t>
      </w:r>
      <w:r w:rsidRPr="00800B8F">
        <w:rPr>
          <w:rFonts w:ascii="Times New Roman" w:hAnsi="Times New Roman" w:cs="Times New Roman"/>
          <w:sz w:val="28"/>
          <w:szCs w:val="28"/>
        </w:rPr>
        <w:lastRenderedPageBreak/>
        <w:t xml:space="preserve">Legea </w:t>
      </w:r>
      <w:r w:rsidR="009C5BA4" w:rsidRPr="00800B8F">
        <w:rPr>
          <w:rFonts w:ascii="Times New Roman" w:hAnsi="Times New Roman" w:cs="Times New Roman"/>
          <w:sz w:val="28"/>
          <w:szCs w:val="28"/>
        </w:rPr>
        <w:t>nr.523-XIV din 16 iulie 1999 cu privire la proprietatea publică a unităților administrativ-teritoriale</w:t>
      </w:r>
      <w:r w:rsidRPr="00800B8F">
        <w:rPr>
          <w:rFonts w:ascii="Times New Roman" w:hAnsi="Times New Roman" w:cs="Times New Roman"/>
          <w:sz w:val="28"/>
          <w:szCs w:val="28"/>
        </w:rPr>
        <w:t>.</w:t>
      </w:r>
    </w:p>
    <w:p w:rsidR="00241B13" w:rsidRPr="00876DFC" w:rsidRDefault="00241B13" w:rsidP="00111125">
      <w:pPr>
        <w:spacing w:after="0" w:line="360" w:lineRule="auto"/>
        <w:ind w:left="432" w:right="432" w:firstLine="708"/>
        <w:jc w:val="both"/>
        <w:rPr>
          <w:rFonts w:ascii="Times New Roman" w:hAnsi="Times New Roman" w:cs="Times New Roman"/>
          <w:b/>
          <w:sz w:val="16"/>
          <w:szCs w:val="16"/>
        </w:rPr>
      </w:pPr>
    </w:p>
    <w:p w:rsidR="0016708C" w:rsidRPr="00B00697" w:rsidRDefault="00200663" w:rsidP="0016708C">
      <w:pPr>
        <w:pStyle w:val="a3"/>
        <w:spacing w:line="276" w:lineRule="auto"/>
        <w:rPr>
          <w:sz w:val="28"/>
          <w:szCs w:val="28"/>
        </w:rPr>
      </w:pPr>
      <w:r>
        <w:rPr>
          <w:b/>
          <w:sz w:val="28"/>
          <w:szCs w:val="28"/>
        </w:rPr>
        <w:t xml:space="preserve">7. </w:t>
      </w:r>
      <w:r w:rsidR="0016708C" w:rsidRPr="00B00697">
        <w:rPr>
          <w:b/>
          <w:sz w:val="28"/>
          <w:szCs w:val="28"/>
        </w:rPr>
        <w:t>Codul contravenţional al Republicii Moldova nr.218-XVI din 24 octombrie 2008</w:t>
      </w:r>
      <w:r w:rsidR="0016708C" w:rsidRPr="00B00697">
        <w:rPr>
          <w:sz w:val="28"/>
          <w:szCs w:val="28"/>
        </w:rPr>
        <w:t xml:space="preserve"> stabilește prescripţia de înlăturare a răspunderii contravenţionale, și anume: termenul general este de 3 luni și termenul special pentru contravențiile ce afectează activitatea de întreprinzător, fiscalitatea, activitatea vamală şi valorile mobiliare este de 12 luni. Astfel, termenul de prescripție pentru înlăturarea răspunderii în cazul sancțiunilor contravenționale prevăzute la încălcarea regulilor de inițiere și desfășurare a procedurilor de achiziții publice este de 3 luni.</w:t>
      </w:r>
    </w:p>
    <w:p w:rsidR="0016708C" w:rsidRPr="00800B8F" w:rsidRDefault="0016708C" w:rsidP="00200663">
      <w:pPr>
        <w:pStyle w:val="a3"/>
        <w:spacing w:after="60" w:line="276" w:lineRule="auto"/>
        <w:rPr>
          <w:sz w:val="28"/>
          <w:szCs w:val="28"/>
        </w:rPr>
      </w:pPr>
      <w:r w:rsidRPr="00B00697">
        <w:rPr>
          <w:sz w:val="28"/>
          <w:szCs w:val="28"/>
        </w:rPr>
        <w:t xml:space="preserve">Perioada indicată nu este suficientă pentru întocmirea procesului-verbal contravențional și adoptarea deciziei privind aplicarea  sancțiunii, întrucît în multe cazuri faptele ce constituie contravenție în domeniul achizițiilor publice, sînt depistate după expirarea termenului de 3 luni. În scopul sporirii responsabilităţii persoanelor cu funcţii de răspundere şi posibilității organelor competente cu drept de control/inspectare de a stabili contravenţii, se propune extinderea termenului de prescripţie a răspunderii contravenţionale în cazul dat pînă la 12 luni, modificîndu-se, respectiv, </w:t>
      </w:r>
      <w:r w:rsidRPr="00800B8F">
        <w:rPr>
          <w:sz w:val="28"/>
          <w:szCs w:val="28"/>
        </w:rPr>
        <w:t>Codul contravențional.</w:t>
      </w:r>
    </w:p>
    <w:p w:rsidR="0016708C" w:rsidRPr="00200663" w:rsidRDefault="0016708C" w:rsidP="0016708C">
      <w:pPr>
        <w:pStyle w:val="a3"/>
        <w:spacing w:line="276" w:lineRule="auto"/>
        <w:ind w:firstLine="720"/>
        <w:rPr>
          <w:sz w:val="16"/>
          <w:szCs w:val="16"/>
        </w:rPr>
      </w:pPr>
    </w:p>
    <w:p w:rsidR="0016708C" w:rsidRPr="00B00697" w:rsidRDefault="0016708C" w:rsidP="0016708C">
      <w:pPr>
        <w:spacing w:after="0"/>
        <w:ind w:firstLine="708"/>
        <w:jc w:val="both"/>
        <w:rPr>
          <w:rFonts w:ascii="Times New Roman" w:eastAsia="Times New Roman" w:hAnsi="Times New Roman" w:cs="Times New Roman"/>
          <w:sz w:val="28"/>
          <w:szCs w:val="28"/>
          <w:lang w:eastAsia="ru-RU"/>
        </w:rPr>
      </w:pPr>
      <w:r w:rsidRPr="00B00697">
        <w:rPr>
          <w:rFonts w:ascii="Times New Roman" w:eastAsia="Times New Roman" w:hAnsi="Times New Roman" w:cs="Times New Roman"/>
          <w:sz w:val="28"/>
          <w:szCs w:val="28"/>
          <w:lang w:eastAsia="ru-RU"/>
        </w:rPr>
        <w:t>Legea nr.146-XIII din 16 iunie 1994 cu privire la întreprinderea de stat stabilește, că fondatorul îşi exercită drepturile de gestionar al întreprinderii prin intermediul consiliului de administraţie şi al administratorului întreprinderii (organul executiv). Astfel, constituirea consiliilor de administrație de către fondator este obligatorie.</w:t>
      </w:r>
    </w:p>
    <w:p w:rsidR="0016708C" w:rsidRPr="00B00697" w:rsidRDefault="0016708C" w:rsidP="0016708C">
      <w:pPr>
        <w:spacing w:after="0"/>
        <w:ind w:firstLine="708"/>
        <w:jc w:val="both"/>
        <w:rPr>
          <w:rFonts w:ascii="Times New Roman" w:eastAsia="Times New Roman" w:hAnsi="Times New Roman" w:cs="Times New Roman"/>
          <w:sz w:val="28"/>
          <w:szCs w:val="28"/>
          <w:lang w:eastAsia="ru-RU"/>
        </w:rPr>
      </w:pPr>
      <w:r w:rsidRPr="00B00697">
        <w:rPr>
          <w:rFonts w:ascii="Times New Roman" w:eastAsia="Times New Roman" w:hAnsi="Times New Roman" w:cs="Times New Roman"/>
          <w:sz w:val="28"/>
          <w:szCs w:val="28"/>
          <w:lang w:eastAsia="ru-RU"/>
        </w:rPr>
        <w:t>Consiliul de administraţie este organul colegial de administrare a întreprinderii, reprezintă interesele statului şi îşi exercită activitatea în conformitate cu legea prenotată şi Regulamentul consiliului de administraţie al întreprinderii de stat aprobat de fondator.</w:t>
      </w:r>
    </w:p>
    <w:p w:rsidR="0016708C" w:rsidRPr="00B00697" w:rsidRDefault="0016708C" w:rsidP="0016708C">
      <w:pPr>
        <w:spacing w:after="0"/>
        <w:ind w:firstLine="708"/>
        <w:jc w:val="both"/>
        <w:rPr>
          <w:rFonts w:ascii="Times New Roman" w:eastAsia="Times New Roman" w:hAnsi="Times New Roman" w:cs="Times New Roman"/>
          <w:sz w:val="28"/>
          <w:szCs w:val="28"/>
          <w:lang w:eastAsia="ru-RU"/>
        </w:rPr>
      </w:pPr>
      <w:r w:rsidRPr="00B00697">
        <w:rPr>
          <w:rFonts w:ascii="Times New Roman" w:eastAsia="Times New Roman" w:hAnsi="Times New Roman" w:cs="Times New Roman"/>
          <w:sz w:val="28"/>
          <w:szCs w:val="28"/>
          <w:lang w:eastAsia="ru-RU"/>
        </w:rPr>
        <w:t xml:space="preserve">Conform Legii cu privire la întreprinderea de stat, consiliul de administrație îndeplinește o serie de atribuții menite să conducă la asigurarea transparenței procedurilor de achiziţie a bunurilor, lucrărilor şi serviciilor destinate atît acoperirii necesităţilor, cît şi asigurării bazei tehnico-materiale şi formării programului de producţie al întreprinderii, asigurarea integrității și folosirii eficiente a bunurilor întreprinderii, monitorizarea/exercitarea unui control asupra veniturilor și cheltuielilor întreprinderii etc. </w:t>
      </w:r>
    </w:p>
    <w:p w:rsidR="0016708C" w:rsidRPr="00B00697" w:rsidRDefault="0016708C" w:rsidP="0016708C">
      <w:pPr>
        <w:spacing w:after="0"/>
        <w:ind w:firstLine="708"/>
        <w:jc w:val="both"/>
        <w:rPr>
          <w:rFonts w:ascii="Times New Roman" w:eastAsia="Times New Roman" w:hAnsi="Times New Roman" w:cs="Times New Roman"/>
          <w:sz w:val="28"/>
          <w:szCs w:val="28"/>
          <w:lang w:eastAsia="ru-RU"/>
        </w:rPr>
      </w:pPr>
      <w:r w:rsidRPr="00B00697">
        <w:rPr>
          <w:rFonts w:ascii="Times New Roman" w:eastAsia="Times New Roman" w:hAnsi="Times New Roman" w:cs="Times New Roman"/>
          <w:sz w:val="28"/>
          <w:szCs w:val="28"/>
          <w:lang w:eastAsia="ru-RU"/>
        </w:rPr>
        <w:t xml:space="preserve">Rezultatele inspectărilor (controalelor) denotă despre încălcarea legislației în domeniul gestionării întreprinderilor de stat, în special neinstituirea consiliilor de administrație de către fondator. </w:t>
      </w:r>
    </w:p>
    <w:p w:rsidR="0016708C" w:rsidRPr="00AF4B1A" w:rsidRDefault="0016708C" w:rsidP="0016708C">
      <w:pPr>
        <w:spacing w:after="0"/>
        <w:ind w:firstLine="708"/>
        <w:jc w:val="both"/>
        <w:rPr>
          <w:rFonts w:ascii="Times New Roman" w:eastAsia="Times New Roman" w:hAnsi="Times New Roman" w:cs="Times New Roman"/>
          <w:sz w:val="28"/>
          <w:szCs w:val="28"/>
          <w:lang w:eastAsia="ru-RU"/>
        </w:rPr>
      </w:pPr>
      <w:r w:rsidRPr="00B00697">
        <w:rPr>
          <w:rFonts w:ascii="Times New Roman" w:eastAsia="Times New Roman" w:hAnsi="Times New Roman" w:cs="Times New Roman"/>
          <w:sz w:val="28"/>
          <w:szCs w:val="28"/>
          <w:lang w:eastAsia="ru-RU"/>
        </w:rPr>
        <w:lastRenderedPageBreak/>
        <w:t xml:space="preserve">Reieșind din importanța activității consiliului de administrație în cadrul unei entități economice cu capital de stat, precum și necesitatea asigurării transparenței și echității deciziilor luate în cadrul entităților – proprietate a statului, se propune completarea </w:t>
      </w:r>
      <w:r w:rsidRPr="00800B8F">
        <w:rPr>
          <w:rFonts w:ascii="Times New Roman" w:eastAsia="Times New Roman" w:hAnsi="Times New Roman" w:cs="Times New Roman"/>
          <w:sz w:val="28"/>
          <w:szCs w:val="28"/>
          <w:lang w:eastAsia="ru-RU"/>
        </w:rPr>
        <w:t>Codului contravenţional</w:t>
      </w:r>
      <w:r w:rsidRPr="00B00697">
        <w:rPr>
          <w:rFonts w:ascii="Times New Roman" w:eastAsia="Times New Roman" w:hAnsi="Times New Roman" w:cs="Times New Roman"/>
          <w:b/>
          <w:sz w:val="28"/>
          <w:szCs w:val="28"/>
          <w:lang w:eastAsia="ru-RU"/>
        </w:rPr>
        <w:t xml:space="preserve"> </w:t>
      </w:r>
      <w:r w:rsidRPr="00B00697">
        <w:rPr>
          <w:rFonts w:ascii="Times New Roman" w:eastAsia="Times New Roman" w:hAnsi="Times New Roman" w:cs="Times New Roman"/>
          <w:sz w:val="28"/>
          <w:szCs w:val="28"/>
          <w:lang w:eastAsia="ru-RU"/>
        </w:rPr>
        <w:t>cu norma, conform căreia sancțiunile vor fi aplicate persoanei cu funcție de răspundere din cadrul autorităților administrației publice ce au în administrarea sa întreprinderi de stat, în cazul neconstituirii consiliilor de administrație.</w:t>
      </w:r>
      <w:r w:rsidRPr="00AF4B1A">
        <w:rPr>
          <w:rFonts w:ascii="Times New Roman" w:eastAsia="Times New Roman" w:hAnsi="Times New Roman" w:cs="Times New Roman"/>
          <w:sz w:val="28"/>
          <w:szCs w:val="28"/>
          <w:lang w:eastAsia="ru-RU"/>
        </w:rPr>
        <w:t xml:space="preserve"> </w:t>
      </w:r>
    </w:p>
    <w:p w:rsidR="0016708C" w:rsidRPr="00200663" w:rsidRDefault="0016708C" w:rsidP="003B6030">
      <w:pPr>
        <w:spacing w:after="0"/>
        <w:ind w:firstLine="708"/>
        <w:jc w:val="both"/>
        <w:rPr>
          <w:rFonts w:ascii="Times New Roman" w:hAnsi="Times New Roman" w:cs="Times New Roman"/>
          <w:b/>
          <w:iCs/>
          <w:sz w:val="16"/>
          <w:szCs w:val="16"/>
        </w:rPr>
      </w:pPr>
    </w:p>
    <w:p w:rsidR="00257B96" w:rsidRPr="00876DFC" w:rsidRDefault="00200663" w:rsidP="003B6030">
      <w:pPr>
        <w:spacing w:after="0"/>
        <w:ind w:firstLine="708"/>
        <w:jc w:val="both"/>
        <w:rPr>
          <w:rFonts w:ascii="Times New Roman" w:hAnsi="Times New Roman" w:cs="Times New Roman"/>
          <w:iCs/>
          <w:sz w:val="28"/>
          <w:szCs w:val="28"/>
        </w:rPr>
      </w:pPr>
      <w:r>
        <w:rPr>
          <w:rFonts w:ascii="Times New Roman" w:hAnsi="Times New Roman" w:cs="Times New Roman"/>
          <w:b/>
          <w:iCs/>
          <w:sz w:val="28"/>
          <w:szCs w:val="28"/>
        </w:rPr>
        <w:t xml:space="preserve">8. </w:t>
      </w:r>
      <w:r w:rsidR="00257B96" w:rsidRPr="00876DFC">
        <w:rPr>
          <w:rFonts w:ascii="Times New Roman" w:hAnsi="Times New Roman" w:cs="Times New Roman"/>
          <w:b/>
          <w:iCs/>
          <w:sz w:val="28"/>
          <w:szCs w:val="28"/>
        </w:rPr>
        <w:t xml:space="preserve">Legea nr.80 din 7 mai 2010 cu privire la statutul personalului din cabinetul persoanelor cu funcții de demnitate publică </w:t>
      </w:r>
      <w:r w:rsidR="00257B96" w:rsidRPr="00876DFC">
        <w:rPr>
          <w:rFonts w:ascii="Times New Roman" w:hAnsi="Times New Roman" w:cs="Times New Roman"/>
          <w:iCs/>
          <w:sz w:val="28"/>
          <w:szCs w:val="28"/>
        </w:rPr>
        <w:t>stabilește, că la expirarea mandatului, în caz de demisie, revocare, eliberare din funcţie a persoanei cu funcţie de demnitate publică sau în caz de deces al acesteia, personalul încadrat în cabinetul persoanelor cu funcţii de demnitate publică căruia i-a încetat contractul individual de muncă şi care nu a fost încadrat în noul cabinet al persoanelor cu funcţii de demnitate publică beneficiază de o indemnizaţie unică egală cu 6 salarii medii lunare</w:t>
      </w:r>
      <w:r w:rsidR="00257B96" w:rsidRPr="00876DFC">
        <w:rPr>
          <w:rFonts w:ascii="Times New Roman" w:hAnsi="Times New Roman" w:cs="Times New Roman"/>
          <w:sz w:val="28"/>
          <w:szCs w:val="28"/>
        </w:rPr>
        <w:t xml:space="preserve">, iar în cazul cînd nu este încadrat în cîmpul muncii - </w:t>
      </w:r>
      <w:r w:rsidR="00257B96" w:rsidRPr="00876DFC">
        <w:rPr>
          <w:rFonts w:ascii="Times New Roman" w:hAnsi="Times New Roman" w:cs="Times New Roman"/>
          <w:iCs/>
          <w:sz w:val="28"/>
          <w:szCs w:val="28"/>
        </w:rPr>
        <w:t>beneficiază de o indemnizaţie egală cu un salariu mediu lunar.</w:t>
      </w:r>
    </w:p>
    <w:p w:rsidR="00257B96" w:rsidRPr="00876DFC" w:rsidRDefault="00257B96" w:rsidP="003B6030">
      <w:pPr>
        <w:spacing w:after="0"/>
        <w:ind w:firstLine="708"/>
        <w:jc w:val="both"/>
        <w:rPr>
          <w:rFonts w:ascii="Times New Roman" w:hAnsi="Times New Roman" w:cs="Times New Roman"/>
          <w:sz w:val="28"/>
          <w:szCs w:val="28"/>
        </w:rPr>
      </w:pPr>
      <w:r w:rsidRPr="00876DFC">
        <w:rPr>
          <w:rFonts w:ascii="Times New Roman" w:hAnsi="Times New Roman" w:cs="Times New Roman"/>
          <w:iCs/>
          <w:sz w:val="28"/>
          <w:szCs w:val="28"/>
        </w:rPr>
        <w:t xml:space="preserve">În același timp, persoanele cu funcții de demnitate publică pe lîngă care activează </w:t>
      </w:r>
      <w:r w:rsidRPr="00876DFC">
        <w:rPr>
          <w:rFonts w:ascii="Times New Roman" w:hAnsi="Times New Roman" w:cs="Times New Roman"/>
          <w:sz w:val="28"/>
          <w:szCs w:val="28"/>
        </w:rPr>
        <w:t xml:space="preserve">cabinetul persoanelor cu funcţii de demnitate publică, </w:t>
      </w:r>
      <w:r w:rsidRPr="00876DFC">
        <w:rPr>
          <w:rFonts w:ascii="Times New Roman" w:hAnsi="Times New Roman" w:cs="Times New Roman"/>
          <w:iCs/>
          <w:sz w:val="28"/>
          <w:szCs w:val="28"/>
        </w:rPr>
        <w:t>la expirarea mandatului, în caz de demisie, revocare sau eliberare din funcţie, persoana cu funcţie de demnitate publică beneficiază, conform Legii nr.199 din 16 iulie 2010 cu privire la statutul persoanelor,</w:t>
      </w:r>
      <w:r w:rsidRPr="00876DFC">
        <w:rPr>
          <w:rFonts w:ascii="Times New Roman" w:hAnsi="Times New Roman" w:cs="Times New Roman"/>
          <w:b/>
          <w:iCs/>
          <w:sz w:val="28"/>
          <w:szCs w:val="28"/>
        </w:rPr>
        <w:t xml:space="preserve"> </w:t>
      </w:r>
      <w:r w:rsidRPr="00876DFC">
        <w:rPr>
          <w:rFonts w:ascii="Times New Roman" w:hAnsi="Times New Roman" w:cs="Times New Roman"/>
          <w:iCs/>
          <w:sz w:val="28"/>
          <w:szCs w:val="28"/>
        </w:rPr>
        <w:t xml:space="preserve">de o indemnizaţie unică egală cu 2 salarii ale funcţiei, dacă legea specială ce reglementează activitatea acestei persoane nu prevede un alt cuantum al indemnizaţiei, iar </w:t>
      </w:r>
      <w:r w:rsidRPr="00876DFC">
        <w:rPr>
          <w:rFonts w:ascii="Times New Roman" w:hAnsi="Times New Roman" w:cs="Times New Roman"/>
          <w:sz w:val="28"/>
          <w:szCs w:val="28"/>
        </w:rPr>
        <w:t>dacă după 2 luni de la încetarea mandatului persoana cu funcţie de demnitate publică nu este încadrată în cîmpul muncii, ea beneficiază de o indemnizaţie egală cu un salariu al funcţiei.</w:t>
      </w:r>
    </w:p>
    <w:p w:rsidR="00257B96" w:rsidRPr="00876DFC" w:rsidRDefault="00257B96" w:rsidP="003B6030">
      <w:pPr>
        <w:spacing w:after="0"/>
        <w:ind w:firstLine="708"/>
        <w:jc w:val="both"/>
        <w:rPr>
          <w:rFonts w:ascii="Times New Roman" w:hAnsi="Times New Roman" w:cs="Times New Roman"/>
          <w:iCs/>
          <w:sz w:val="28"/>
          <w:szCs w:val="28"/>
        </w:rPr>
      </w:pPr>
      <w:r w:rsidRPr="00876DFC">
        <w:rPr>
          <w:rFonts w:ascii="Times New Roman" w:hAnsi="Times New Roman" w:cs="Times New Roman"/>
          <w:sz w:val="28"/>
          <w:szCs w:val="28"/>
        </w:rPr>
        <w:t xml:space="preserve">Din prevederile acestor legi reiese, că baza </w:t>
      </w:r>
      <w:r w:rsidRPr="00876DFC">
        <w:rPr>
          <w:rFonts w:ascii="Times New Roman" w:hAnsi="Times New Roman" w:cs="Times New Roman"/>
          <w:iCs/>
          <w:sz w:val="28"/>
          <w:szCs w:val="28"/>
        </w:rPr>
        <w:t xml:space="preserve">pentru calcularea indemnizațiilor acordate </w:t>
      </w:r>
      <w:r w:rsidRPr="00876DFC">
        <w:rPr>
          <w:rFonts w:ascii="Times New Roman" w:hAnsi="Times New Roman" w:cs="Times New Roman"/>
          <w:sz w:val="28"/>
          <w:szCs w:val="28"/>
        </w:rPr>
        <w:t xml:space="preserve">personalului din </w:t>
      </w:r>
      <w:r w:rsidRPr="00876DFC">
        <w:rPr>
          <w:rFonts w:ascii="Times New Roman" w:hAnsi="Times New Roman" w:cs="Times New Roman"/>
          <w:iCs/>
          <w:sz w:val="28"/>
          <w:szCs w:val="28"/>
        </w:rPr>
        <w:t xml:space="preserve">cabinetul persoanelor cu funcţii de demnitate publică și persoanelor cu funcții de demnitate publică, în condițiile egale, este diferită - salariu mediu lunar și </w:t>
      </w:r>
      <w:r w:rsidRPr="00876DFC">
        <w:rPr>
          <w:rFonts w:ascii="Times New Roman" w:hAnsi="Times New Roman" w:cs="Times New Roman"/>
          <w:sz w:val="28"/>
          <w:szCs w:val="28"/>
        </w:rPr>
        <w:t>salariu al funcţiei, respectiv</w:t>
      </w:r>
      <w:r w:rsidR="00F567E0" w:rsidRPr="00876DFC">
        <w:rPr>
          <w:rFonts w:ascii="Times New Roman" w:hAnsi="Times New Roman" w:cs="Times New Roman"/>
          <w:sz w:val="28"/>
          <w:szCs w:val="28"/>
        </w:rPr>
        <w:t>, precum și numărul de salarii</w:t>
      </w:r>
      <w:r w:rsidRPr="00876DFC">
        <w:rPr>
          <w:rFonts w:ascii="Times New Roman" w:hAnsi="Times New Roman" w:cs="Times New Roman"/>
          <w:iCs/>
          <w:sz w:val="28"/>
          <w:szCs w:val="28"/>
        </w:rPr>
        <w:t>.</w:t>
      </w:r>
    </w:p>
    <w:p w:rsidR="00257B96" w:rsidRPr="00800B8F" w:rsidRDefault="00257B96" w:rsidP="003B6030">
      <w:pPr>
        <w:spacing w:after="0"/>
        <w:ind w:firstLine="708"/>
        <w:jc w:val="both"/>
        <w:rPr>
          <w:rFonts w:ascii="Times New Roman" w:hAnsi="Times New Roman" w:cs="Times New Roman"/>
          <w:iCs/>
          <w:sz w:val="28"/>
          <w:szCs w:val="28"/>
        </w:rPr>
      </w:pPr>
      <w:r w:rsidRPr="00876DFC">
        <w:rPr>
          <w:rFonts w:ascii="Times New Roman" w:hAnsi="Times New Roman" w:cs="Times New Roman"/>
          <w:iCs/>
          <w:sz w:val="28"/>
          <w:szCs w:val="28"/>
        </w:rPr>
        <w:t xml:space="preserve">Întru uniformizarea condițiilor de acordare a indemnizațiilor în ambele cazuri, se propune ca </w:t>
      </w:r>
      <w:r w:rsidR="00467963" w:rsidRPr="00876DFC">
        <w:rPr>
          <w:rFonts w:ascii="Times New Roman" w:hAnsi="Times New Roman" w:cs="Times New Roman"/>
          <w:iCs/>
          <w:sz w:val="28"/>
          <w:szCs w:val="28"/>
        </w:rPr>
        <w:t>indemnizațiile pentru personalul din cabinetul persoanelor cu funcții de demnitate publică</w:t>
      </w:r>
      <w:r w:rsidRPr="00876DFC">
        <w:rPr>
          <w:rFonts w:ascii="Times New Roman" w:hAnsi="Times New Roman" w:cs="Times New Roman"/>
          <w:iCs/>
          <w:sz w:val="28"/>
          <w:szCs w:val="28"/>
        </w:rPr>
        <w:t xml:space="preserve"> să fie </w:t>
      </w:r>
      <w:r w:rsidR="00106B37" w:rsidRPr="00876DFC">
        <w:rPr>
          <w:rFonts w:ascii="Times New Roman" w:hAnsi="Times New Roman" w:cs="Times New Roman"/>
          <w:iCs/>
          <w:sz w:val="28"/>
          <w:szCs w:val="28"/>
        </w:rPr>
        <w:t xml:space="preserve">egale cu 2 </w:t>
      </w:r>
      <w:r w:rsidR="00467963" w:rsidRPr="00876DFC">
        <w:rPr>
          <w:rFonts w:ascii="Times New Roman" w:hAnsi="Times New Roman" w:cs="Times New Roman"/>
          <w:iCs/>
          <w:sz w:val="28"/>
          <w:szCs w:val="28"/>
        </w:rPr>
        <w:t xml:space="preserve">salarii ale funcţiei </w:t>
      </w:r>
      <w:r w:rsidR="00106B37" w:rsidRPr="00876DFC">
        <w:rPr>
          <w:rFonts w:ascii="Times New Roman" w:hAnsi="Times New Roman" w:cs="Times New Roman"/>
          <w:iCs/>
          <w:sz w:val="28"/>
          <w:szCs w:val="28"/>
        </w:rPr>
        <w:t xml:space="preserve">și un salariu </w:t>
      </w:r>
      <w:r w:rsidR="00467963" w:rsidRPr="00876DFC">
        <w:rPr>
          <w:rFonts w:ascii="Times New Roman" w:hAnsi="Times New Roman" w:cs="Times New Roman"/>
          <w:iCs/>
          <w:sz w:val="28"/>
          <w:szCs w:val="28"/>
        </w:rPr>
        <w:t>al funcției</w:t>
      </w:r>
      <w:r w:rsidRPr="00876DFC">
        <w:rPr>
          <w:rFonts w:ascii="Times New Roman" w:hAnsi="Times New Roman" w:cs="Times New Roman"/>
          <w:iCs/>
          <w:sz w:val="28"/>
          <w:szCs w:val="28"/>
        </w:rPr>
        <w:t xml:space="preserve">, modificîndu-se respectiv </w:t>
      </w:r>
      <w:r w:rsidRPr="00800B8F">
        <w:rPr>
          <w:rFonts w:ascii="Times New Roman" w:hAnsi="Times New Roman" w:cs="Times New Roman"/>
          <w:iCs/>
          <w:sz w:val="28"/>
          <w:szCs w:val="28"/>
        </w:rPr>
        <w:t>Legea nr.80 din 7 mai 2010.</w:t>
      </w:r>
    </w:p>
    <w:p w:rsidR="00740BCC" w:rsidRPr="00876DFC" w:rsidRDefault="00257B96" w:rsidP="003B6030">
      <w:pPr>
        <w:spacing w:after="0"/>
        <w:ind w:firstLine="708"/>
        <w:jc w:val="both"/>
        <w:rPr>
          <w:rFonts w:ascii="Times New Roman" w:hAnsi="Times New Roman" w:cs="Times New Roman"/>
          <w:iCs/>
          <w:sz w:val="28"/>
          <w:szCs w:val="28"/>
        </w:rPr>
      </w:pPr>
      <w:r w:rsidRPr="00876DFC">
        <w:rPr>
          <w:rFonts w:ascii="Times New Roman" w:hAnsi="Times New Roman" w:cs="Times New Roman"/>
          <w:iCs/>
          <w:sz w:val="28"/>
          <w:szCs w:val="28"/>
        </w:rPr>
        <w:t xml:space="preserve">E de menționat, că indemnizațiile menționate personalului din cabinetul persoanelor cu funcții de demnitate publică se acordă fără stabilirea careva condiții care se </w:t>
      </w:r>
      <w:r w:rsidR="00E90ABD" w:rsidRPr="00876DFC">
        <w:rPr>
          <w:rFonts w:ascii="Times New Roman" w:hAnsi="Times New Roman" w:cs="Times New Roman"/>
          <w:iCs/>
          <w:sz w:val="28"/>
          <w:szCs w:val="28"/>
        </w:rPr>
        <w:t>regăsesc</w:t>
      </w:r>
      <w:r w:rsidRPr="00876DFC">
        <w:rPr>
          <w:rFonts w:ascii="Times New Roman" w:hAnsi="Times New Roman" w:cs="Times New Roman"/>
          <w:iCs/>
          <w:sz w:val="28"/>
          <w:szCs w:val="28"/>
        </w:rPr>
        <w:t xml:space="preserve"> la alte categorii de personal ce activează în serviciul public. Așa </w:t>
      </w:r>
      <w:r w:rsidR="00F40451" w:rsidRPr="00876DFC">
        <w:rPr>
          <w:rFonts w:ascii="Times New Roman" w:hAnsi="Times New Roman" w:cs="Times New Roman"/>
          <w:iCs/>
          <w:sz w:val="28"/>
          <w:szCs w:val="28"/>
        </w:rPr>
        <w:t xml:space="preserve">dar, </w:t>
      </w:r>
      <w:r w:rsidRPr="00876DFC">
        <w:rPr>
          <w:rFonts w:ascii="Times New Roman" w:hAnsi="Times New Roman" w:cs="Times New Roman"/>
          <w:iCs/>
          <w:sz w:val="28"/>
          <w:szCs w:val="28"/>
        </w:rPr>
        <w:t xml:space="preserve">conform Legii nr.158 din 4 iulie 2008 cu privire la funcţia publică şi statutul funcţionarului public, indemnizații nu se acordă în cazul în care funcţionarii </w:t>
      </w:r>
      <w:r w:rsidRPr="00876DFC">
        <w:rPr>
          <w:rFonts w:ascii="Times New Roman" w:hAnsi="Times New Roman" w:cs="Times New Roman"/>
          <w:iCs/>
          <w:sz w:val="28"/>
          <w:szCs w:val="28"/>
        </w:rPr>
        <w:lastRenderedPageBreak/>
        <w:t xml:space="preserve">publici au o vechime în serviciul public mai mică de 2 ani, </w:t>
      </w:r>
      <w:r w:rsidR="000C6CF2" w:rsidRPr="00876DFC">
        <w:rPr>
          <w:rFonts w:ascii="Times New Roman" w:hAnsi="Times New Roman" w:cs="Times New Roman"/>
          <w:iCs/>
          <w:sz w:val="28"/>
          <w:szCs w:val="28"/>
        </w:rPr>
        <w:t xml:space="preserve">și-a suspendat raportul de </w:t>
      </w:r>
      <w:r w:rsidR="009544F2">
        <w:rPr>
          <w:rFonts w:ascii="Times New Roman" w:hAnsi="Times New Roman" w:cs="Times New Roman"/>
          <w:iCs/>
          <w:sz w:val="28"/>
          <w:szCs w:val="28"/>
        </w:rPr>
        <w:t>muncă/</w:t>
      </w:r>
      <w:r w:rsidR="000C6CF2" w:rsidRPr="00876DFC">
        <w:rPr>
          <w:rFonts w:ascii="Times New Roman" w:hAnsi="Times New Roman" w:cs="Times New Roman"/>
          <w:iCs/>
          <w:sz w:val="28"/>
          <w:szCs w:val="28"/>
        </w:rPr>
        <w:t xml:space="preserve">serviciu și se reîncadrează la locul de muncă (serviciu) precedent, </w:t>
      </w:r>
      <w:r w:rsidRPr="00876DFC">
        <w:rPr>
          <w:rFonts w:ascii="Times New Roman" w:hAnsi="Times New Roman" w:cs="Times New Roman"/>
          <w:iCs/>
          <w:sz w:val="28"/>
          <w:szCs w:val="28"/>
        </w:rPr>
        <w:t>beneficiază de pensie pentru vechime în muncă în conformitate cu actele legislative speciale, de pensie pentru limită de vîrstă sau în cazul celor care au dreptul la pensie anticipată conform Legii privind pensiile de asigurări sociale de stat</w:t>
      </w:r>
      <w:r w:rsidR="00740BCC" w:rsidRPr="00876DFC">
        <w:rPr>
          <w:rFonts w:ascii="Times New Roman" w:hAnsi="Times New Roman" w:cs="Times New Roman"/>
          <w:iCs/>
          <w:sz w:val="28"/>
          <w:szCs w:val="28"/>
        </w:rPr>
        <w:t xml:space="preserve">. </w:t>
      </w:r>
    </w:p>
    <w:p w:rsidR="00257B96" w:rsidRPr="00876DFC" w:rsidRDefault="00257B96" w:rsidP="003B6030">
      <w:pPr>
        <w:spacing w:after="0"/>
        <w:ind w:firstLine="708"/>
        <w:jc w:val="both"/>
        <w:rPr>
          <w:rFonts w:ascii="Times New Roman" w:hAnsi="Times New Roman" w:cs="Times New Roman"/>
          <w:iCs/>
          <w:sz w:val="28"/>
          <w:szCs w:val="28"/>
        </w:rPr>
      </w:pPr>
      <w:r w:rsidRPr="00876DFC">
        <w:rPr>
          <w:rFonts w:ascii="Times New Roman" w:hAnsi="Times New Roman" w:cs="Times New Roman"/>
          <w:iCs/>
          <w:sz w:val="28"/>
          <w:szCs w:val="28"/>
        </w:rPr>
        <w:t xml:space="preserve">Pentru a asigura un tratament nediscriminatoriu la acordarea indemnizațiilor </w:t>
      </w:r>
      <w:r w:rsidR="00666310" w:rsidRPr="00876DFC">
        <w:rPr>
          <w:rFonts w:ascii="Times New Roman" w:hAnsi="Times New Roman" w:cs="Times New Roman"/>
          <w:iCs/>
          <w:sz w:val="28"/>
          <w:szCs w:val="28"/>
        </w:rPr>
        <w:t>menționate categoriilor de funcționari</w:t>
      </w:r>
      <w:r w:rsidRPr="00876DFC">
        <w:rPr>
          <w:rFonts w:ascii="Times New Roman" w:hAnsi="Times New Roman" w:cs="Times New Roman"/>
          <w:iCs/>
          <w:sz w:val="28"/>
          <w:szCs w:val="28"/>
        </w:rPr>
        <w:t xml:space="preserve">, </w:t>
      </w:r>
      <w:r w:rsidR="0071357E" w:rsidRPr="00876DFC">
        <w:rPr>
          <w:rFonts w:ascii="Times New Roman" w:hAnsi="Times New Roman" w:cs="Times New Roman"/>
          <w:iCs/>
          <w:sz w:val="28"/>
          <w:szCs w:val="28"/>
        </w:rPr>
        <w:t xml:space="preserve">precum și evitarea unei indemnizații în legătură cu încetarea contractului de muncă disproporțională față de perioada de activitate în funcție sau alte garanții sociale de care persoana deja beneficiază, </w:t>
      </w:r>
      <w:r w:rsidRPr="00876DFC">
        <w:rPr>
          <w:rFonts w:ascii="Times New Roman" w:hAnsi="Times New Roman" w:cs="Times New Roman"/>
          <w:iCs/>
          <w:sz w:val="28"/>
          <w:szCs w:val="28"/>
        </w:rPr>
        <w:t xml:space="preserve">se propune completarea </w:t>
      </w:r>
      <w:r w:rsidRPr="00800B8F">
        <w:rPr>
          <w:rFonts w:ascii="Times New Roman" w:hAnsi="Times New Roman" w:cs="Times New Roman"/>
          <w:iCs/>
          <w:sz w:val="28"/>
          <w:szCs w:val="28"/>
        </w:rPr>
        <w:t>Legii nr.80 din 7 mai 2010</w:t>
      </w:r>
      <w:r w:rsidRPr="00876DFC">
        <w:rPr>
          <w:rFonts w:ascii="Times New Roman" w:hAnsi="Times New Roman" w:cs="Times New Roman"/>
          <w:iCs/>
          <w:sz w:val="28"/>
          <w:szCs w:val="28"/>
        </w:rPr>
        <w:t xml:space="preserve"> cu aceste prevede</w:t>
      </w:r>
      <w:r w:rsidR="00175C6D" w:rsidRPr="00876DFC">
        <w:rPr>
          <w:rFonts w:ascii="Times New Roman" w:hAnsi="Times New Roman" w:cs="Times New Roman"/>
          <w:iCs/>
          <w:sz w:val="28"/>
          <w:szCs w:val="28"/>
        </w:rPr>
        <w:t>r</w:t>
      </w:r>
      <w:r w:rsidRPr="00876DFC">
        <w:rPr>
          <w:rFonts w:ascii="Times New Roman" w:hAnsi="Times New Roman" w:cs="Times New Roman"/>
          <w:iCs/>
          <w:sz w:val="28"/>
          <w:szCs w:val="28"/>
        </w:rPr>
        <w:t>i.</w:t>
      </w:r>
    </w:p>
    <w:p w:rsidR="00257B96" w:rsidRPr="00876DFC" w:rsidRDefault="00257B96" w:rsidP="003B6030">
      <w:pPr>
        <w:spacing w:after="0"/>
        <w:jc w:val="both"/>
        <w:rPr>
          <w:rFonts w:ascii="Times New Roman" w:hAnsi="Times New Roman" w:cs="Times New Roman"/>
          <w:iCs/>
          <w:sz w:val="16"/>
          <w:szCs w:val="16"/>
          <w:lang w:val="en-US"/>
        </w:rPr>
      </w:pPr>
    </w:p>
    <w:p w:rsidR="003B6030" w:rsidRPr="00876DFC" w:rsidRDefault="00257B96" w:rsidP="003B6030">
      <w:pPr>
        <w:spacing w:after="0"/>
        <w:ind w:firstLine="708"/>
        <w:jc w:val="both"/>
        <w:rPr>
          <w:rFonts w:ascii="Times New Roman" w:hAnsi="Times New Roman" w:cs="Times New Roman"/>
          <w:b/>
          <w:iCs/>
          <w:sz w:val="28"/>
          <w:szCs w:val="28"/>
        </w:rPr>
      </w:pPr>
      <w:r w:rsidRPr="00876DFC">
        <w:rPr>
          <w:rFonts w:ascii="Times New Roman" w:hAnsi="Times New Roman" w:cs="Times New Roman"/>
          <w:iCs/>
          <w:sz w:val="28"/>
          <w:szCs w:val="28"/>
        </w:rPr>
        <w:t xml:space="preserve">Totodată, se propune aducerea în concordanță cu prevederile Legii nr.199 din 16 iulie 2010 cu privire la statutul persoanelor cu funcții de demnitate publică și a prevederilor </w:t>
      </w:r>
      <w:r w:rsidRPr="00800B8F">
        <w:rPr>
          <w:rFonts w:ascii="Times New Roman" w:hAnsi="Times New Roman" w:cs="Times New Roman"/>
          <w:iCs/>
          <w:sz w:val="28"/>
          <w:szCs w:val="28"/>
        </w:rPr>
        <w:t>Legii nr.760-XIV din 24 decembrie 1999 privind garanţiile sociale ale membrilor de Guvern în cazul demisionării, reorganizării Guvernului sau expirării mandatului său</w:t>
      </w:r>
      <w:r w:rsidRPr="00876DFC">
        <w:rPr>
          <w:rFonts w:ascii="Times New Roman" w:hAnsi="Times New Roman" w:cs="Times New Roman"/>
          <w:iCs/>
          <w:sz w:val="28"/>
          <w:szCs w:val="28"/>
        </w:rPr>
        <w:t xml:space="preserve"> </w:t>
      </w:r>
      <w:r w:rsidR="00F40451" w:rsidRPr="00876DFC">
        <w:rPr>
          <w:rFonts w:ascii="Times New Roman" w:hAnsi="Times New Roman" w:cs="Times New Roman"/>
          <w:iCs/>
          <w:sz w:val="28"/>
          <w:szCs w:val="28"/>
        </w:rPr>
        <w:t>la partea</w:t>
      </w:r>
      <w:r w:rsidRPr="00876DFC">
        <w:rPr>
          <w:rFonts w:ascii="Times New Roman" w:hAnsi="Times New Roman" w:cs="Times New Roman"/>
          <w:iCs/>
          <w:sz w:val="28"/>
          <w:szCs w:val="28"/>
        </w:rPr>
        <w:t xml:space="preserve"> ce</w:t>
      </w:r>
      <w:r w:rsidR="00F40451" w:rsidRPr="00876DFC">
        <w:rPr>
          <w:rFonts w:ascii="Times New Roman" w:hAnsi="Times New Roman" w:cs="Times New Roman"/>
          <w:iCs/>
          <w:sz w:val="28"/>
          <w:szCs w:val="28"/>
        </w:rPr>
        <w:t xml:space="preserve"> se</w:t>
      </w:r>
      <w:r w:rsidRPr="00876DFC">
        <w:rPr>
          <w:rFonts w:ascii="Times New Roman" w:hAnsi="Times New Roman" w:cs="Times New Roman"/>
          <w:iCs/>
          <w:sz w:val="28"/>
          <w:szCs w:val="28"/>
        </w:rPr>
        <w:t xml:space="preserve"> referă la determinarea indemnizațiilor acordate  membrilor de Guvern în cazul demisionării, reorganizării Guvernului sau expirării mandatului său, adică calcularea acestora în funcție de cuantumul salariului al funcției. </w:t>
      </w:r>
      <w:r w:rsidRPr="00876DFC">
        <w:rPr>
          <w:rFonts w:ascii="Times New Roman" w:hAnsi="Times New Roman" w:cs="Times New Roman"/>
          <w:b/>
          <w:iCs/>
          <w:sz w:val="28"/>
          <w:szCs w:val="28"/>
        </w:rPr>
        <w:t xml:space="preserve"> </w:t>
      </w:r>
    </w:p>
    <w:p w:rsidR="00257B96" w:rsidRPr="00876DFC" w:rsidRDefault="00257B96" w:rsidP="003B6030">
      <w:pPr>
        <w:spacing w:after="0"/>
        <w:ind w:firstLine="708"/>
        <w:jc w:val="both"/>
        <w:rPr>
          <w:rFonts w:ascii="Times New Roman" w:hAnsi="Times New Roman" w:cs="Times New Roman"/>
          <w:b/>
          <w:iCs/>
          <w:sz w:val="16"/>
          <w:szCs w:val="16"/>
        </w:rPr>
      </w:pPr>
      <w:r w:rsidRPr="00876DFC">
        <w:rPr>
          <w:rFonts w:ascii="Times New Roman" w:hAnsi="Times New Roman" w:cs="Times New Roman"/>
          <w:b/>
          <w:iCs/>
          <w:sz w:val="28"/>
          <w:szCs w:val="28"/>
        </w:rPr>
        <w:t xml:space="preserve"> </w:t>
      </w:r>
    </w:p>
    <w:p w:rsidR="003D7F7B" w:rsidRPr="00876DFC" w:rsidRDefault="00200663" w:rsidP="007B63FB">
      <w:pPr>
        <w:spacing w:after="0"/>
        <w:ind w:firstLine="709"/>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9. </w:t>
      </w:r>
      <w:r w:rsidR="003D7F7B" w:rsidRPr="00876DFC">
        <w:rPr>
          <w:rFonts w:ascii="Times New Roman" w:eastAsia="Times New Roman" w:hAnsi="Times New Roman"/>
          <w:b/>
          <w:bCs/>
          <w:sz w:val="28"/>
          <w:szCs w:val="28"/>
          <w:lang w:eastAsia="ru-RU"/>
        </w:rPr>
        <w:t>Legea privind controlul financiar public intern nr.229 din 23 septembrie 2010</w:t>
      </w:r>
      <w:r w:rsidR="003D7F7B" w:rsidRPr="00876DFC">
        <w:rPr>
          <w:rFonts w:ascii="Times New Roman" w:eastAsia="Times New Roman" w:hAnsi="Times New Roman"/>
          <w:bCs/>
          <w:sz w:val="28"/>
          <w:szCs w:val="28"/>
          <w:lang w:eastAsia="ru-RU"/>
        </w:rPr>
        <w:t xml:space="preserve"> prevede, că </w:t>
      </w:r>
      <w:r w:rsidR="003D7F7B" w:rsidRPr="00876DFC">
        <w:rPr>
          <w:rFonts w:ascii="Times New Roman" w:eastAsia="Times New Roman" w:hAnsi="Times New Roman"/>
          <w:sz w:val="28"/>
          <w:szCs w:val="28"/>
          <w:lang w:eastAsia="ru-RU"/>
        </w:rPr>
        <w:t>managerul entităţii publice organizează funcţia de audit intern instituind o unitate de audit intern în structura organizaţională a entităţii publice. Prin lege sunt stabilite şi obligaţiile conducătorului unităţii de audit intern, dintre care principalele sînt: elaborarea c</w:t>
      </w:r>
      <w:r w:rsidR="006F6190" w:rsidRPr="00876DFC">
        <w:rPr>
          <w:rFonts w:ascii="Times New Roman" w:eastAsia="Times New Roman" w:hAnsi="Times New Roman"/>
          <w:sz w:val="28"/>
          <w:szCs w:val="28"/>
          <w:lang w:eastAsia="ru-RU"/>
        </w:rPr>
        <w:t>ărți</w:t>
      </w:r>
      <w:r w:rsidR="003D7F7B" w:rsidRPr="00876DFC">
        <w:rPr>
          <w:rFonts w:ascii="Times New Roman" w:eastAsia="Times New Roman" w:hAnsi="Times New Roman"/>
          <w:sz w:val="28"/>
          <w:szCs w:val="28"/>
          <w:lang w:eastAsia="ru-RU"/>
        </w:rPr>
        <w:t>i de audit intern, planului strategic al activităţii de audit intern, planului anual al activităţii de audit intern, instrucţiunilor proprii de aplicare a Normelor metodologice de audit intern în sectorul public, precum şi raportul anual al activităţii de audit intern.</w:t>
      </w:r>
    </w:p>
    <w:p w:rsidR="003D7F7B" w:rsidRPr="00876DFC" w:rsidRDefault="003D7F7B" w:rsidP="007B63FB">
      <w:pPr>
        <w:tabs>
          <w:tab w:val="left" w:pos="0"/>
        </w:tabs>
        <w:spacing w:after="0"/>
        <w:ind w:firstLine="709"/>
        <w:jc w:val="both"/>
        <w:rPr>
          <w:rFonts w:ascii="Times New Roman" w:hAnsi="Times New Roman"/>
          <w:sz w:val="28"/>
          <w:szCs w:val="28"/>
        </w:rPr>
      </w:pPr>
      <w:r w:rsidRPr="00876DFC">
        <w:rPr>
          <w:rFonts w:ascii="Times New Roman" w:eastAsia="Times New Roman" w:hAnsi="Times New Roman"/>
          <w:bCs/>
          <w:sz w:val="28"/>
          <w:szCs w:val="28"/>
          <w:lang w:eastAsia="ru-RU"/>
        </w:rPr>
        <w:t>Totodată, conform</w:t>
      </w:r>
      <w:r w:rsidRPr="00876DFC">
        <w:rPr>
          <w:rFonts w:ascii="Times New Roman" w:eastAsia="Times New Roman" w:hAnsi="Times New Roman"/>
          <w:b/>
          <w:bCs/>
          <w:sz w:val="28"/>
          <w:szCs w:val="28"/>
          <w:lang w:eastAsia="ru-RU"/>
        </w:rPr>
        <w:t xml:space="preserve"> </w:t>
      </w:r>
      <w:r w:rsidRPr="00876DFC">
        <w:rPr>
          <w:rFonts w:ascii="Times New Roman" w:eastAsia="Times New Roman" w:hAnsi="Times New Roman"/>
          <w:bCs/>
          <w:sz w:val="28"/>
          <w:szCs w:val="28"/>
          <w:lang w:eastAsia="ru-RU"/>
        </w:rPr>
        <w:t xml:space="preserve">practicii internaţionale, </w:t>
      </w:r>
      <w:r w:rsidRPr="00876DFC">
        <w:rPr>
          <w:rFonts w:ascii="Times New Roman" w:hAnsi="Times New Roman"/>
          <w:sz w:val="28"/>
          <w:szCs w:val="28"/>
        </w:rPr>
        <w:t xml:space="preserve">conducătorul unităţii de audit intern este responsabil de elaborarea Programului de asigurare şi îmbunătăţire a calităţii activităţii de audit intern. Acest Program reprezintă baza pentru </w:t>
      </w:r>
      <w:r w:rsidRPr="00876DFC">
        <w:rPr>
          <w:rFonts w:ascii="Times New Roman" w:eastAsia="Times New Roman" w:hAnsi="Times New Roman"/>
          <w:bCs/>
          <w:sz w:val="28"/>
          <w:szCs w:val="28"/>
          <w:lang w:eastAsia="ru-RU"/>
        </w:rPr>
        <w:t xml:space="preserve">dezvoltarea şi consolidarea activităţii unităţii de audit intern, constituind şi </w:t>
      </w:r>
      <w:r w:rsidRPr="00876DFC">
        <w:rPr>
          <w:rFonts w:ascii="Times New Roman" w:hAnsi="Times New Roman"/>
          <w:sz w:val="28"/>
          <w:szCs w:val="28"/>
        </w:rPr>
        <w:t>un instrument de apreciere a activităţii acesteia, asigurat prin monitorizare continuă şi autoevaluare. Programul nominalizat oferă concluzii privind calitatea activităţii de audit intern şi recomandări relevante de fortificare a acesteia.</w:t>
      </w:r>
    </w:p>
    <w:p w:rsidR="003D7F7B" w:rsidRPr="00876DFC" w:rsidRDefault="003D7F7B" w:rsidP="007B63FB">
      <w:pPr>
        <w:tabs>
          <w:tab w:val="left" w:pos="0"/>
        </w:tabs>
        <w:spacing w:after="0"/>
        <w:ind w:firstLine="709"/>
        <w:jc w:val="both"/>
        <w:rPr>
          <w:rFonts w:ascii="Times New Roman" w:hAnsi="Times New Roman"/>
          <w:sz w:val="28"/>
          <w:szCs w:val="28"/>
        </w:rPr>
      </w:pPr>
      <w:r w:rsidRPr="00876DFC">
        <w:rPr>
          <w:rFonts w:ascii="Times New Roman" w:hAnsi="Times New Roman"/>
          <w:sz w:val="28"/>
          <w:szCs w:val="28"/>
        </w:rPr>
        <w:t xml:space="preserve">În același timp, una din atribuţiile de bază a Ministerului Finanţelor reprezintă monitorizarea şi evaluarea calităţii activităţii unităţilor de audit intern, care este periodic efectuată la începutul fiecărui an, fiind generalizată în Raportul anual consolidat privind controlul financiar public intern, prezentat anual </w:t>
      </w:r>
      <w:r w:rsidRPr="00876DFC">
        <w:rPr>
          <w:rFonts w:ascii="Times New Roman" w:hAnsi="Times New Roman"/>
          <w:sz w:val="28"/>
          <w:szCs w:val="28"/>
        </w:rPr>
        <w:lastRenderedPageBreak/>
        <w:t>Guvernului. Pentru asigurarea unei informaţii mai obiective în raportul nominalizat Ministerul Finanţelor necesită informaţii incluse în Programul de asigurare şi îmbunătăţire a calităţii activităţii de audit intern, care cuprinde toate aspectele ce ţin de activitatea unităţii de audit intern. Prin urmare, prezentarea copiei Programului vizat către Ministerul Finanţelor va permite aprecierea activităţii unităţilor de audit intern, identificarea lacunelor şi, ulterior, întreprinderea măsurilor corective pentru consolidarea acesteia. Reieşind din aceasta, se propune modificarea respectivă la Legea privind controlul financiar public intern.</w:t>
      </w:r>
    </w:p>
    <w:p w:rsidR="003D7F7B" w:rsidRPr="00E90ABD" w:rsidRDefault="003D7F7B" w:rsidP="007B63FB">
      <w:pPr>
        <w:tabs>
          <w:tab w:val="left" w:pos="0"/>
        </w:tabs>
        <w:spacing w:after="0"/>
        <w:ind w:firstLine="709"/>
        <w:jc w:val="both"/>
        <w:rPr>
          <w:rFonts w:ascii="Times New Roman" w:hAnsi="Times New Roman"/>
          <w:sz w:val="28"/>
          <w:szCs w:val="28"/>
        </w:rPr>
      </w:pPr>
      <w:r w:rsidRPr="00E90ABD">
        <w:rPr>
          <w:rFonts w:ascii="Times New Roman" w:hAnsi="Times New Roman"/>
          <w:sz w:val="28"/>
          <w:szCs w:val="28"/>
        </w:rPr>
        <w:t xml:space="preserve">Conform legii în cauză, </w:t>
      </w:r>
      <w:r w:rsidRPr="00E90ABD">
        <w:rPr>
          <w:rFonts w:ascii="Times New Roman" w:eastAsia="Times New Roman" w:hAnsi="Times New Roman"/>
          <w:sz w:val="28"/>
          <w:szCs w:val="28"/>
          <w:lang w:eastAsia="ru-RU"/>
        </w:rPr>
        <w:t xml:space="preserve">Ministerul Finanţelor, în procesul de coordonare a controlului financiar public intern, este responsabil </w:t>
      </w:r>
      <w:r w:rsidRPr="00E90ABD">
        <w:rPr>
          <w:rFonts w:ascii="Times New Roman" w:hAnsi="Times New Roman"/>
          <w:sz w:val="28"/>
          <w:szCs w:val="28"/>
        </w:rPr>
        <w:t>de evaluarea calităţii sistemului de management financiar şi control. De asemenea, legea menţionată prevede, că auditul intern are menirea să ajute entitatea publică în atingerea obiectivelor sale, evaluînd printr-o abordare sistematică şi metodică sistemul de management financiar şi control şi oferind recomandări pentru consolidarea eficacităţii acestuia. Astfel, responsabilitatea directă pentru evaluarea calităţii sistemului de management financiar şi control din cadrul entităţilor publice aparţine unităţilor de audit intern.</w:t>
      </w:r>
    </w:p>
    <w:p w:rsidR="003D7F7B" w:rsidRPr="00E90ABD" w:rsidRDefault="003D7F7B" w:rsidP="007B63FB">
      <w:pPr>
        <w:tabs>
          <w:tab w:val="left" w:pos="0"/>
        </w:tabs>
        <w:spacing w:after="0"/>
        <w:ind w:firstLine="709"/>
        <w:jc w:val="both"/>
        <w:rPr>
          <w:rFonts w:ascii="Times New Roman" w:hAnsi="Times New Roman"/>
          <w:sz w:val="28"/>
          <w:szCs w:val="28"/>
        </w:rPr>
      </w:pPr>
      <w:r w:rsidRPr="00E90ABD">
        <w:rPr>
          <w:rFonts w:ascii="Times New Roman" w:hAnsi="Times New Roman"/>
          <w:sz w:val="28"/>
          <w:szCs w:val="28"/>
        </w:rPr>
        <w:t xml:space="preserve">În scopul evitării contradicţiilor, se propune stabilirea prin lege că, Ministerul Finanţelor  are atribuţia de a </w:t>
      </w:r>
      <w:r w:rsidR="00090FC4">
        <w:rPr>
          <w:rFonts w:ascii="Times New Roman" w:hAnsi="Times New Roman"/>
          <w:sz w:val="28"/>
          <w:szCs w:val="28"/>
        </w:rPr>
        <w:t xml:space="preserve">monitoriza </w:t>
      </w:r>
      <w:r w:rsidRPr="00E90ABD">
        <w:rPr>
          <w:rFonts w:ascii="Times New Roman" w:hAnsi="Times New Roman"/>
          <w:sz w:val="28"/>
          <w:szCs w:val="28"/>
        </w:rPr>
        <w:t>dezvolta</w:t>
      </w:r>
      <w:r w:rsidR="00090FC4">
        <w:rPr>
          <w:rFonts w:ascii="Times New Roman" w:hAnsi="Times New Roman"/>
          <w:sz w:val="28"/>
          <w:szCs w:val="28"/>
        </w:rPr>
        <w:t>rea</w:t>
      </w:r>
      <w:r w:rsidRPr="00E90ABD">
        <w:rPr>
          <w:rFonts w:ascii="Times New Roman" w:hAnsi="Times New Roman"/>
          <w:sz w:val="28"/>
          <w:szCs w:val="28"/>
        </w:rPr>
        <w:t xml:space="preserve"> sistemul</w:t>
      </w:r>
      <w:r w:rsidR="00090FC4">
        <w:rPr>
          <w:rFonts w:ascii="Times New Roman" w:hAnsi="Times New Roman"/>
          <w:sz w:val="28"/>
          <w:szCs w:val="28"/>
        </w:rPr>
        <w:t>ui</w:t>
      </w:r>
      <w:r w:rsidRPr="00E90ABD">
        <w:rPr>
          <w:rFonts w:ascii="Times New Roman" w:hAnsi="Times New Roman"/>
          <w:sz w:val="28"/>
          <w:szCs w:val="28"/>
        </w:rPr>
        <w:t xml:space="preserve"> de management financiar şi control, efectuîndu</w:t>
      </w:r>
      <w:r w:rsidRPr="00E90ABD">
        <w:rPr>
          <w:rFonts w:ascii="Times New Roman" w:eastAsia="Times New Roman" w:hAnsi="Times New Roman"/>
          <w:sz w:val="28"/>
          <w:szCs w:val="28"/>
          <w:lang w:eastAsia="ru-RU"/>
        </w:rPr>
        <w:t>–</w:t>
      </w:r>
      <w:r w:rsidRPr="00E90ABD">
        <w:rPr>
          <w:rFonts w:ascii="Times New Roman" w:hAnsi="Times New Roman"/>
          <w:sz w:val="28"/>
          <w:szCs w:val="28"/>
        </w:rPr>
        <w:t>se modificarea respectivă.</w:t>
      </w:r>
    </w:p>
    <w:p w:rsidR="0069053A" w:rsidRPr="00200663" w:rsidRDefault="0069053A" w:rsidP="007B63FB">
      <w:pPr>
        <w:spacing w:after="0"/>
        <w:ind w:firstLine="709"/>
        <w:jc w:val="both"/>
        <w:rPr>
          <w:rFonts w:ascii="Times New Roman" w:hAnsi="Times New Roman" w:cs="Times New Roman"/>
          <w:b/>
          <w:sz w:val="16"/>
          <w:szCs w:val="16"/>
        </w:rPr>
      </w:pPr>
    </w:p>
    <w:p w:rsidR="00DD6377" w:rsidRDefault="00200663" w:rsidP="0069053A">
      <w:pPr>
        <w:tabs>
          <w:tab w:val="left" w:pos="0"/>
        </w:tabs>
        <w:spacing w:after="0"/>
        <w:ind w:firstLine="709"/>
        <w:jc w:val="both"/>
        <w:rPr>
          <w:rFonts w:ascii="Times New Roman" w:hAnsi="Times New Roman"/>
          <w:sz w:val="28"/>
          <w:szCs w:val="28"/>
        </w:rPr>
      </w:pPr>
      <w:r w:rsidRPr="00200663">
        <w:rPr>
          <w:rFonts w:ascii="Times New Roman" w:hAnsi="Times New Roman"/>
          <w:b/>
          <w:sz w:val="28"/>
          <w:szCs w:val="28"/>
        </w:rPr>
        <w:t>10.</w:t>
      </w:r>
      <w:r>
        <w:rPr>
          <w:rFonts w:ascii="Times New Roman" w:hAnsi="Times New Roman"/>
          <w:sz w:val="28"/>
          <w:szCs w:val="28"/>
        </w:rPr>
        <w:t xml:space="preserve"> </w:t>
      </w:r>
      <w:r w:rsidR="008869FB" w:rsidRPr="008869FB">
        <w:rPr>
          <w:rFonts w:ascii="Times New Roman" w:hAnsi="Times New Roman"/>
          <w:sz w:val="28"/>
          <w:szCs w:val="28"/>
        </w:rPr>
        <w:t xml:space="preserve">Conform </w:t>
      </w:r>
      <w:r w:rsidR="008869FB" w:rsidRPr="008869FB">
        <w:rPr>
          <w:rFonts w:ascii="Times New Roman" w:hAnsi="Times New Roman"/>
          <w:b/>
          <w:sz w:val="28"/>
          <w:szCs w:val="28"/>
        </w:rPr>
        <w:t>Legii nr.59 din 29 martie 2012 privind activitatea specială de investigaţii</w:t>
      </w:r>
      <w:r w:rsidR="008869FB" w:rsidRPr="008869FB">
        <w:rPr>
          <w:rFonts w:ascii="Times New Roman" w:hAnsi="Times New Roman"/>
          <w:sz w:val="28"/>
          <w:szCs w:val="28"/>
        </w:rPr>
        <w:t xml:space="preserve">, mijloacele pentru finanțarea activităților speciale de investigații se alocă de la bugetul de stat autorităților publice ale căror subdiviziuni specializate sunt împuternicite cu efectuarea măsurilor speciale de investigații, iar controlul utilizării mijloacelor respective este exercitat de către conducătorii acestor autorități, precum și de către un reprezentant al Ministerului Finanțelor special împuternicit, conform regulilor speciale aprobate de Guvern. Totodată, legea vizată prevede că, modul de utilizare a mijloacelor alocate pentru efectuarea măsurilor speciale de investigații, este stabilit în Regulamentul comun al autorităților care efectuează activitatea specială de investigații de comun acord cu </w:t>
      </w:r>
      <w:r w:rsidR="00C72263">
        <w:rPr>
          <w:rFonts w:ascii="Times New Roman" w:hAnsi="Times New Roman"/>
          <w:sz w:val="28"/>
          <w:szCs w:val="28"/>
        </w:rPr>
        <w:t>P</w:t>
      </w:r>
      <w:r w:rsidR="008869FB" w:rsidRPr="008869FB">
        <w:rPr>
          <w:rFonts w:ascii="Times New Roman" w:hAnsi="Times New Roman"/>
          <w:sz w:val="28"/>
          <w:szCs w:val="28"/>
        </w:rPr>
        <w:t>rocuratura Generală.</w:t>
      </w:r>
    </w:p>
    <w:p w:rsidR="00DD6377" w:rsidRDefault="008869FB" w:rsidP="0069053A">
      <w:pPr>
        <w:tabs>
          <w:tab w:val="left" w:pos="0"/>
        </w:tabs>
        <w:spacing w:after="0"/>
        <w:ind w:firstLine="709"/>
        <w:jc w:val="both"/>
        <w:rPr>
          <w:rFonts w:ascii="Times New Roman" w:hAnsi="Times New Roman"/>
          <w:sz w:val="28"/>
          <w:szCs w:val="28"/>
        </w:rPr>
      </w:pPr>
      <w:r w:rsidRPr="008869FB">
        <w:rPr>
          <w:rFonts w:ascii="Times New Roman" w:hAnsi="Times New Roman"/>
          <w:sz w:val="28"/>
          <w:szCs w:val="28"/>
        </w:rPr>
        <w:t>Dat fiind faptul că, mijloacele financiare alocate pentru activitatea specială de investigaţi sunt mijloace publice, controlul utilizării acestora urmează a fi bazat pe principiile generale stabilite prin legislație</w:t>
      </w:r>
      <w:r w:rsidR="00DD6377">
        <w:rPr>
          <w:rFonts w:ascii="Times New Roman" w:hAnsi="Times New Roman"/>
          <w:sz w:val="28"/>
          <w:szCs w:val="28"/>
        </w:rPr>
        <w:t xml:space="preserve"> cu aplicarea </w:t>
      </w:r>
      <w:r w:rsidRPr="008869FB">
        <w:rPr>
          <w:rFonts w:ascii="Times New Roman" w:hAnsi="Times New Roman"/>
          <w:sz w:val="28"/>
          <w:szCs w:val="28"/>
        </w:rPr>
        <w:t>prevederil</w:t>
      </w:r>
      <w:r w:rsidR="00DD6377">
        <w:rPr>
          <w:rFonts w:ascii="Times New Roman" w:hAnsi="Times New Roman"/>
          <w:sz w:val="28"/>
          <w:szCs w:val="28"/>
        </w:rPr>
        <w:t>or</w:t>
      </w:r>
      <w:r w:rsidRPr="008869FB">
        <w:rPr>
          <w:rFonts w:ascii="Times New Roman" w:hAnsi="Times New Roman"/>
          <w:sz w:val="28"/>
          <w:szCs w:val="28"/>
        </w:rPr>
        <w:t xml:space="preserve"> regulamentului menționat.</w:t>
      </w:r>
    </w:p>
    <w:p w:rsidR="0069053A" w:rsidRPr="0069053A" w:rsidRDefault="008869FB" w:rsidP="0069053A">
      <w:pPr>
        <w:tabs>
          <w:tab w:val="left" w:pos="0"/>
        </w:tabs>
        <w:spacing w:after="0"/>
        <w:ind w:firstLine="709"/>
        <w:jc w:val="both"/>
        <w:rPr>
          <w:rFonts w:ascii="Times New Roman" w:hAnsi="Times New Roman"/>
          <w:sz w:val="28"/>
          <w:szCs w:val="28"/>
        </w:rPr>
      </w:pPr>
      <w:r w:rsidRPr="008869FB">
        <w:rPr>
          <w:rFonts w:ascii="Times New Roman" w:hAnsi="Times New Roman"/>
          <w:sz w:val="28"/>
          <w:szCs w:val="28"/>
        </w:rPr>
        <w:t>Reieșind din cele expuse</w:t>
      </w:r>
      <w:r w:rsidR="00DD6377">
        <w:rPr>
          <w:rFonts w:ascii="Times New Roman" w:hAnsi="Times New Roman"/>
          <w:sz w:val="28"/>
          <w:szCs w:val="28"/>
        </w:rPr>
        <w:t>,</w:t>
      </w:r>
      <w:r w:rsidRPr="008869FB">
        <w:rPr>
          <w:rFonts w:ascii="Times New Roman" w:hAnsi="Times New Roman"/>
          <w:sz w:val="28"/>
          <w:szCs w:val="28"/>
        </w:rPr>
        <w:t xml:space="preserve"> se propune excluderea necesității de aprobare de către Guvern a regulilor speciale de control, prin operarea modificărilor respective în </w:t>
      </w:r>
      <w:r w:rsidRPr="00800B8F">
        <w:rPr>
          <w:rFonts w:ascii="Times New Roman" w:hAnsi="Times New Roman"/>
          <w:sz w:val="28"/>
          <w:szCs w:val="28"/>
        </w:rPr>
        <w:t>Legea privind activitatea specială de investigaţii</w:t>
      </w:r>
      <w:r w:rsidRPr="008869FB">
        <w:rPr>
          <w:rFonts w:ascii="Times New Roman" w:hAnsi="Times New Roman"/>
          <w:sz w:val="28"/>
          <w:szCs w:val="28"/>
        </w:rPr>
        <w:t>.</w:t>
      </w:r>
    </w:p>
    <w:p w:rsidR="00F900A0" w:rsidRPr="00876DFC" w:rsidRDefault="00200663" w:rsidP="007B63FB">
      <w:pPr>
        <w:spacing w:after="0"/>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11. </w:t>
      </w:r>
      <w:r w:rsidR="0094419C" w:rsidRPr="00876DFC">
        <w:rPr>
          <w:rFonts w:ascii="Times New Roman" w:hAnsi="Times New Roman" w:cs="Times New Roman"/>
          <w:b/>
          <w:sz w:val="28"/>
          <w:szCs w:val="28"/>
        </w:rPr>
        <w:t xml:space="preserve">Codul educaţiei </w:t>
      </w:r>
      <w:r w:rsidR="00EB2D67" w:rsidRPr="00876DFC">
        <w:rPr>
          <w:rFonts w:ascii="Times New Roman" w:hAnsi="Times New Roman" w:cs="Times New Roman"/>
          <w:b/>
          <w:sz w:val="28"/>
          <w:szCs w:val="28"/>
        </w:rPr>
        <w:t xml:space="preserve">nr.152 din 17 iulie 2014 </w:t>
      </w:r>
      <w:r w:rsidR="0094419C" w:rsidRPr="00876DFC">
        <w:rPr>
          <w:rFonts w:ascii="Times New Roman" w:hAnsi="Times New Roman" w:cs="Times New Roman"/>
          <w:sz w:val="28"/>
          <w:szCs w:val="28"/>
        </w:rPr>
        <w:t>stipulează</w:t>
      </w:r>
      <w:r w:rsidR="00C877EC" w:rsidRPr="00876DFC">
        <w:rPr>
          <w:rFonts w:ascii="Times New Roman" w:hAnsi="Times New Roman" w:cs="Times New Roman"/>
          <w:sz w:val="28"/>
          <w:szCs w:val="28"/>
        </w:rPr>
        <w:t>,</w:t>
      </w:r>
      <w:r w:rsidR="0094419C" w:rsidRPr="00876DFC">
        <w:rPr>
          <w:rFonts w:ascii="Times New Roman" w:hAnsi="Times New Roman" w:cs="Times New Roman"/>
          <w:sz w:val="28"/>
          <w:szCs w:val="28"/>
        </w:rPr>
        <w:t xml:space="preserve"> că </w:t>
      </w:r>
      <w:r w:rsidR="00744E99" w:rsidRPr="00876DFC">
        <w:rPr>
          <w:rFonts w:ascii="Times New Roman" w:hAnsi="Times New Roman" w:cs="Times New Roman"/>
          <w:sz w:val="28"/>
          <w:szCs w:val="28"/>
        </w:rPr>
        <w:t>instituţiile de educaţie antepreşcolară şi preşcolară, de învăţămînt primar, gimnazial, liceal şi extraşcolar sînt</w:t>
      </w:r>
      <w:r w:rsidR="0094419C" w:rsidRPr="00876DFC">
        <w:rPr>
          <w:rFonts w:ascii="Times New Roman" w:hAnsi="Times New Roman" w:cs="Times New Roman"/>
          <w:sz w:val="28"/>
          <w:szCs w:val="28"/>
        </w:rPr>
        <w:t xml:space="preserve"> finanțat</w:t>
      </w:r>
      <w:r w:rsidR="00744E99" w:rsidRPr="00876DFC">
        <w:rPr>
          <w:rFonts w:ascii="Times New Roman" w:hAnsi="Times New Roman" w:cs="Times New Roman"/>
          <w:sz w:val="28"/>
          <w:szCs w:val="28"/>
        </w:rPr>
        <w:t>e</w:t>
      </w:r>
      <w:r w:rsidR="0094419C" w:rsidRPr="00876DFC">
        <w:rPr>
          <w:rFonts w:ascii="Times New Roman" w:hAnsi="Times New Roman" w:cs="Times New Roman"/>
          <w:sz w:val="28"/>
          <w:szCs w:val="28"/>
        </w:rPr>
        <w:t xml:space="preserve"> din bugetul de stat, prin intermediul transferurilor cu destinație specială. Totodată, </w:t>
      </w:r>
      <w:r w:rsidR="00744E99" w:rsidRPr="00876DFC">
        <w:rPr>
          <w:rFonts w:ascii="Times New Roman" w:hAnsi="Times New Roman" w:cs="Times New Roman"/>
          <w:sz w:val="28"/>
          <w:szCs w:val="28"/>
        </w:rPr>
        <w:t>codul</w:t>
      </w:r>
      <w:r w:rsidR="0094419C" w:rsidRPr="00876DFC">
        <w:rPr>
          <w:rFonts w:ascii="Times New Roman" w:hAnsi="Times New Roman" w:cs="Times New Roman"/>
          <w:sz w:val="28"/>
          <w:szCs w:val="28"/>
        </w:rPr>
        <w:t xml:space="preserve"> </w:t>
      </w:r>
      <w:r w:rsidR="00E66043" w:rsidRPr="00876DFC">
        <w:rPr>
          <w:rFonts w:ascii="Times New Roman" w:hAnsi="Times New Roman" w:cs="Times New Roman"/>
          <w:sz w:val="28"/>
          <w:szCs w:val="28"/>
        </w:rPr>
        <w:t>prevede</w:t>
      </w:r>
      <w:r w:rsidR="0094419C" w:rsidRPr="00876DFC">
        <w:rPr>
          <w:rFonts w:ascii="Times New Roman" w:hAnsi="Times New Roman" w:cs="Times New Roman"/>
          <w:sz w:val="28"/>
          <w:szCs w:val="28"/>
        </w:rPr>
        <w:t xml:space="preserve"> că autoritățile locale decid lărgirea rețelei de instituții de învățămînt general</w:t>
      </w:r>
      <w:r w:rsidR="00744E99" w:rsidRPr="00876DFC">
        <w:rPr>
          <w:rFonts w:ascii="Times New Roman" w:hAnsi="Times New Roman" w:cs="Times New Roman"/>
          <w:sz w:val="28"/>
          <w:szCs w:val="28"/>
        </w:rPr>
        <w:t>, iar organul local de specialitate în domeniul învăţămîntului stabileşte normativele privind numărul de clase pe ani de studii din instituţia de învăţămînt publică</w:t>
      </w:r>
      <w:r w:rsidR="0094419C" w:rsidRPr="00876DFC">
        <w:rPr>
          <w:rFonts w:ascii="Times New Roman" w:hAnsi="Times New Roman" w:cs="Times New Roman"/>
          <w:sz w:val="28"/>
          <w:szCs w:val="28"/>
        </w:rPr>
        <w:t xml:space="preserve">. În modul acesta, se creează o discrepanță în planificarea transferurilor cu destinație specială în vederea acoperirii cheltuielilor suplimentare, dar și generează o presiune necontrolabilă asupra bugetului de stat. </w:t>
      </w:r>
      <w:r w:rsidR="00EB2D67" w:rsidRPr="00876DFC">
        <w:rPr>
          <w:rFonts w:ascii="Times New Roman" w:hAnsi="Times New Roman" w:cs="Times New Roman"/>
          <w:sz w:val="28"/>
          <w:szCs w:val="28"/>
        </w:rPr>
        <w:t xml:space="preserve">Întru depășirea acestei situației, se propune ca inițiativele respective să fie coordonate </w:t>
      </w:r>
      <w:r w:rsidR="004F33BA">
        <w:rPr>
          <w:rFonts w:ascii="Times New Roman" w:hAnsi="Times New Roman" w:cs="Times New Roman"/>
          <w:sz w:val="28"/>
          <w:szCs w:val="28"/>
        </w:rPr>
        <w:t xml:space="preserve">prealabil </w:t>
      </w:r>
      <w:r w:rsidR="00EB2D67" w:rsidRPr="00876DFC">
        <w:rPr>
          <w:rFonts w:ascii="Times New Roman" w:hAnsi="Times New Roman" w:cs="Times New Roman"/>
          <w:sz w:val="28"/>
          <w:szCs w:val="28"/>
        </w:rPr>
        <w:t>cu Ministerul Educației, care, conform Legii finanțelor publice și responsabilității bugetar-fiscale, urmează să determine transferurile cu destinație specială.</w:t>
      </w:r>
      <w:r w:rsidR="00744E99" w:rsidRPr="00876DFC">
        <w:rPr>
          <w:rFonts w:ascii="Times New Roman" w:hAnsi="Times New Roman" w:cs="Times New Roman"/>
          <w:sz w:val="28"/>
          <w:szCs w:val="28"/>
        </w:rPr>
        <w:t xml:space="preserve"> </w:t>
      </w:r>
    </w:p>
    <w:p w:rsidR="00F900A0" w:rsidRDefault="00792B1A" w:rsidP="00BF64AB">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Totodată, c</w:t>
      </w:r>
      <w:r w:rsidR="00145C46" w:rsidRPr="00876DFC">
        <w:rPr>
          <w:rFonts w:ascii="Times New Roman" w:hAnsi="Times New Roman" w:cs="Times New Roman"/>
          <w:sz w:val="28"/>
          <w:szCs w:val="28"/>
        </w:rPr>
        <w:t>onform</w:t>
      </w:r>
      <w:r w:rsidR="00BF64AB" w:rsidRPr="00BF64AB">
        <w:rPr>
          <w:rFonts w:ascii="Times New Roman" w:hAnsi="Times New Roman" w:cs="Times New Roman"/>
          <w:sz w:val="28"/>
          <w:szCs w:val="28"/>
        </w:rPr>
        <w:t xml:space="preserve"> </w:t>
      </w:r>
      <w:r w:rsidR="00BF64AB" w:rsidRPr="00876DFC">
        <w:rPr>
          <w:rFonts w:ascii="Times New Roman" w:hAnsi="Times New Roman" w:cs="Times New Roman"/>
          <w:sz w:val="28"/>
          <w:szCs w:val="28"/>
        </w:rPr>
        <w:t>Codului educaţiei</w:t>
      </w:r>
      <w:r w:rsidR="00145C46" w:rsidRPr="00876DFC">
        <w:rPr>
          <w:rFonts w:ascii="Times New Roman" w:hAnsi="Times New Roman" w:cs="Times New Roman"/>
          <w:sz w:val="28"/>
          <w:szCs w:val="28"/>
        </w:rPr>
        <w:t xml:space="preserve">, </w:t>
      </w:r>
      <w:r w:rsidR="00F86589">
        <w:rPr>
          <w:rFonts w:ascii="Times New Roman" w:hAnsi="Times New Roman" w:cs="Times New Roman"/>
          <w:sz w:val="28"/>
          <w:szCs w:val="28"/>
        </w:rPr>
        <w:t xml:space="preserve">una din sursele </w:t>
      </w:r>
      <w:r w:rsidR="00BF64AB" w:rsidRPr="00F86589">
        <w:rPr>
          <w:rFonts w:ascii="Times New Roman" w:hAnsi="Times New Roman" w:cs="Times New Roman"/>
          <w:sz w:val="28"/>
          <w:szCs w:val="28"/>
        </w:rPr>
        <w:t>prioritar</w:t>
      </w:r>
      <w:r w:rsidR="00BF64AB">
        <w:rPr>
          <w:rFonts w:ascii="Times New Roman" w:hAnsi="Times New Roman" w:cs="Times New Roman"/>
          <w:sz w:val="28"/>
          <w:szCs w:val="28"/>
        </w:rPr>
        <w:t>e</w:t>
      </w:r>
      <w:r w:rsidR="00BF64AB" w:rsidRPr="00F86589">
        <w:rPr>
          <w:rFonts w:ascii="Times New Roman" w:hAnsi="Times New Roman" w:cs="Times New Roman"/>
          <w:sz w:val="28"/>
          <w:szCs w:val="28"/>
        </w:rPr>
        <w:t xml:space="preserve"> de finanţare a sistemului de învăţămînt public</w:t>
      </w:r>
      <w:r w:rsidR="00BF64AB">
        <w:rPr>
          <w:rFonts w:ascii="Times New Roman" w:hAnsi="Times New Roman" w:cs="Times New Roman"/>
          <w:sz w:val="28"/>
          <w:szCs w:val="28"/>
        </w:rPr>
        <w:t xml:space="preserve"> sînt </w:t>
      </w:r>
      <w:r w:rsidR="00BF64AB" w:rsidRPr="00F86589">
        <w:rPr>
          <w:rFonts w:ascii="Times New Roman" w:hAnsi="Times New Roman" w:cs="Times New Roman"/>
          <w:sz w:val="28"/>
          <w:szCs w:val="28"/>
        </w:rPr>
        <w:t>transferurile cu destinaţie specială de la bugetul de stat la bugetele locale, pentru instituţiile de educaţie antepreşcolară şi preşcolară, de învăţămînt primar, gimnazial, liceal şi extraşcolar</w:t>
      </w:r>
      <w:r w:rsidR="00BF64AB">
        <w:rPr>
          <w:rFonts w:ascii="Times New Roman" w:hAnsi="Times New Roman" w:cs="Times New Roman"/>
          <w:sz w:val="28"/>
          <w:szCs w:val="28"/>
        </w:rPr>
        <w:t xml:space="preserve">. Tot potrivit </w:t>
      </w:r>
      <w:r w:rsidR="00BF64AB" w:rsidRPr="00876DFC">
        <w:rPr>
          <w:rFonts w:ascii="Times New Roman" w:hAnsi="Times New Roman" w:cs="Times New Roman"/>
          <w:sz w:val="28"/>
          <w:szCs w:val="28"/>
        </w:rPr>
        <w:t>Codului educaţiei</w:t>
      </w:r>
      <w:r w:rsidR="00BF64AB">
        <w:rPr>
          <w:rFonts w:ascii="Times New Roman" w:hAnsi="Times New Roman" w:cs="Times New Roman"/>
          <w:sz w:val="28"/>
          <w:szCs w:val="28"/>
        </w:rPr>
        <w:t xml:space="preserve">, </w:t>
      </w:r>
      <w:r w:rsidR="00145C46" w:rsidRPr="00876DFC">
        <w:rPr>
          <w:rFonts w:ascii="Times New Roman" w:hAnsi="Times New Roman" w:cs="Times New Roman"/>
          <w:sz w:val="28"/>
          <w:szCs w:val="28"/>
        </w:rPr>
        <w:t xml:space="preserve">educația antepreșcolară se realizează în familie şi poate fi organizată, la solicitarea părinților, de către autoritățile APL cu finanţare din  bugetele locale. </w:t>
      </w:r>
      <w:r w:rsidR="00EB2D67" w:rsidRPr="00876DFC">
        <w:rPr>
          <w:rFonts w:ascii="Times New Roman" w:hAnsi="Times New Roman" w:cs="Times New Roman"/>
          <w:sz w:val="28"/>
          <w:szCs w:val="28"/>
        </w:rPr>
        <w:t>Astfel</w:t>
      </w:r>
      <w:r w:rsidR="00145C46" w:rsidRPr="00876DFC">
        <w:rPr>
          <w:rFonts w:ascii="Times New Roman" w:hAnsi="Times New Roman" w:cs="Times New Roman"/>
          <w:sz w:val="28"/>
          <w:szCs w:val="28"/>
        </w:rPr>
        <w:t>, transferurile cu destinație specială n</w:t>
      </w:r>
      <w:r w:rsidRPr="00876DFC">
        <w:rPr>
          <w:rFonts w:ascii="Times New Roman" w:hAnsi="Times New Roman" w:cs="Times New Roman"/>
          <w:sz w:val="28"/>
          <w:szCs w:val="28"/>
        </w:rPr>
        <w:t>u pot include ciclul respectiv.</w:t>
      </w:r>
    </w:p>
    <w:p w:rsidR="00F86589" w:rsidRDefault="00792B1A" w:rsidP="00876DFC">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 xml:space="preserve">În scopul eliminării acestor contradicții, se propune </w:t>
      </w:r>
      <w:r w:rsidR="00F02EB2" w:rsidRPr="00876DFC">
        <w:rPr>
          <w:rFonts w:ascii="Times New Roman" w:hAnsi="Times New Roman" w:cs="Times New Roman"/>
          <w:sz w:val="28"/>
          <w:szCs w:val="28"/>
        </w:rPr>
        <w:t xml:space="preserve">excluderea </w:t>
      </w:r>
      <w:r w:rsidR="003B4BCE" w:rsidRPr="00876DFC">
        <w:rPr>
          <w:rFonts w:ascii="Times New Roman" w:hAnsi="Times New Roman" w:cs="Times New Roman"/>
          <w:sz w:val="28"/>
          <w:szCs w:val="28"/>
        </w:rPr>
        <w:t>preveder</w:t>
      </w:r>
      <w:r w:rsidR="008B0386" w:rsidRPr="00876DFC">
        <w:rPr>
          <w:rFonts w:ascii="Times New Roman" w:hAnsi="Times New Roman" w:cs="Times New Roman"/>
          <w:sz w:val="28"/>
          <w:szCs w:val="28"/>
        </w:rPr>
        <w:t>ii de finanțare a instituţiilor de educaţie antepreşcolară din contul bugetului de stat prin intermediul transferurilor cu destinaţie specială către bugetele locale</w:t>
      </w:r>
      <w:r w:rsidR="003B4BCE" w:rsidRPr="00876DFC">
        <w:rPr>
          <w:rFonts w:ascii="Times New Roman" w:hAnsi="Times New Roman" w:cs="Times New Roman"/>
          <w:sz w:val="28"/>
          <w:szCs w:val="28"/>
        </w:rPr>
        <w:t xml:space="preserve">, modificîndu-se respectiv </w:t>
      </w:r>
      <w:r w:rsidR="00F02EB2" w:rsidRPr="00800B8F">
        <w:rPr>
          <w:rFonts w:ascii="Times New Roman" w:hAnsi="Times New Roman" w:cs="Times New Roman"/>
          <w:sz w:val="28"/>
          <w:szCs w:val="28"/>
        </w:rPr>
        <w:t>Codul educației</w:t>
      </w:r>
      <w:r w:rsidR="003B4BCE" w:rsidRPr="00876DFC">
        <w:rPr>
          <w:rFonts w:ascii="Times New Roman" w:hAnsi="Times New Roman" w:cs="Times New Roman"/>
          <w:sz w:val="28"/>
          <w:szCs w:val="28"/>
        </w:rPr>
        <w:t>.</w:t>
      </w:r>
      <w:r w:rsidR="00F86589" w:rsidRPr="00F86589">
        <w:rPr>
          <w:rFonts w:ascii="Times New Roman" w:hAnsi="Times New Roman" w:cs="Times New Roman"/>
          <w:sz w:val="28"/>
          <w:szCs w:val="28"/>
        </w:rPr>
        <w:t xml:space="preserve"> </w:t>
      </w:r>
    </w:p>
    <w:p w:rsidR="00B76DF4" w:rsidRPr="00B76DF4" w:rsidRDefault="00B76DF4" w:rsidP="00200663">
      <w:pPr>
        <w:spacing w:after="120"/>
        <w:ind w:firstLine="709"/>
        <w:jc w:val="both"/>
        <w:rPr>
          <w:rFonts w:ascii="Times New Roman" w:hAnsi="Times New Roman" w:cs="Times New Roman"/>
          <w:sz w:val="28"/>
          <w:szCs w:val="28"/>
        </w:rPr>
      </w:pPr>
      <w:r w:rsidRPr="00B76DF4">
        <w:rPr>
          <w:rFonts w:ascii="Times New Roman" w:hAnsi="Times New Roman" w:cs="Times New Roman"/>
          <w:sz w:val="28"/>
          <w:szCs w:val="28"/>
        </w:rPr>
        <w:t xml:space="preserve">Concomitent, se propune de precizat </w:t>
      </w:r>
      <w:r>
        <w:rPr>
          <w:rFonts w:ascii="Times New Roman" w:hAnsi="Times New Roman" w:cs="Times New Roman"/>
          <w:sz w:val="28"/>
          <w:szCs w:val="28"/>
        </w:rPr>
        <w:t xml:space="preserve">prin lege </w:t>
      </w:r>
      <w:r w:rsidRPr="00B76DF4">
        <w:rPr>
          <w:rFonts w:ascii="Times New Roman" w:hAnsi="Times New Roman" w:cs="Times New Roman"/>
          <w:sz w:val="28"/>
          <w:szCs w:val="28"/>
        </w:rPr>
        <w:t xml:space="preserve">că transferurile se acordă nu doar pentru instituţii, </w:t>
      </w:r>
      <w:r w:rsidR="004F33BA" w:rsidRPr="004F33BA">
        <w:rPr>
          <w:rFonts w:ascii="Times New Roman" w:hAnsi="Times New Roman" w:cs="Times New Roman"/>
          <w:sz w:val="28"/>
          <w:szCs w:val="28"/>
        </w:rPr>
        <w:t>dar pentru desfășurarea procesului educațional</w:t>
      </w:r>
      <w:r w:rsidRPr="00B76DF4">
        <w:rPr>
          <w:rFonts w:ascii="Times New Roman" w:hAnsi="Times New Roman" w:cs="Times New Roman"/>
          <w:sz w:val="28"/>
          <w:szCs w:val="28"/>
        </w:rPr>
        <w:t xml:space="preserve">. În cazul dat vor fi asigurată finanţarea ansamblului de măsuri aplicate în mod sistematic în vederea formării şi dezvoltării însuşirilor  intelectuale, morale şi fizice a copiilor. Instituţia de învățîmănt este </w:t>
      </w:r>
      <w:r>
        <w:rPr>
          <w:rFonts w:ascii="Times New Roman" w:hAnsi="Times New Roman" w:cs="Times New Roman"/>
          <w:sz w:val="28"/>
          <w:szCs w:val="28"/>
        </w:rPr>
        <w:t xml:space="preserve">numai </w:t>
      </w:r>
      <w:r w:rsidRPr="00B76DF4">
        <w:rPr>
          <w:rFonts w:ascii="Times New Roman" w:hAnsi="Times New Roman" w:cs="Times New Roman"/>
          <w:sz w:val="28"/>
          <w:szCs w:val="28"/>
        </w:rPr>
        <w:t>o formă de organizare care desfăşoară  anumite funcţii educative.</w:t>
      </w:r>
    </w:p>
    <w:p w:rsidR="005B37C7" w:rsidRPr="00876DFC" w:rsidRDefault="00B00795" w:rsidP="00876DFC">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Codul</w:t>
      </w:r>
      <w:r w:rsidR="00747300" w:rsidRPr="00876DFC">
        <w:rPr>
          <w:rFonts w:ascii="Times New Roman" w:hAnsi="Times New Roman" w:cs="Times New Roman"/>
          <w:sz w:val="28"/>
          <w:szCs w:val="28"/>
        </w:rPr>
        <w:t xml:space="preserve"> </w:t>
      </w:r>
      <w:r w:rsidR="001C35D4" w:rsidRPr="00876DFC">
        <w:rPr>
          <w:rFonts w:ascii="Times New Roman" w:hAnsi="Times New Roman" w:cs="Times New Roman"/>
          <w:sz w:val="28"/>
          <w:szCs w:val="28"/>
        </w:rPr>
        <w:t xml:space="preserve">educației </w:t>
      </w:r>
      <w:r w:rsidRPr="00876DFC">
        <w:rPr>
          <w:rFonts w:ascii="Times New Roman" w:hAnsi="Times New Roman" w:cs="Times New Roman"/>
          <w:sz w:val="28"/>
          <w:szCs w:val="28"/>
        </w:rPr>
        <w:t>stabileşte</w:t>
      </w:r>
      <w:r w:rsidR="004A2CBC" w:rsidRPr="00876DFC">
        <w:rPr>
          <w:rFonts w:ascii="Times New Roman" w:hAnsi="Times New Roman" w:cs="Times New Roman"/>
          <w:sz w:val="28"/>
          <w:szCs w:val="28"/>
        </w:rPr>
        <w:t>,</w:t>
      </w:r>
      <w:r w:rsidRPr="00876DFC">
        <w:rPr>
          <w:rFonts w:ascii="Times New Roman" w:hAnsi="Times New Roman" w:cs="Times New Roman"/>
          <w:sz w:val="28"/>
          <w:szCs w:val="28"/>
        </w:rPr>
        <w:t xml:space="preserve"> că </w:t>
      </w:r>
      <w:r w:rsidR="00361AC1" w:rsidRPr="00876DFC">
        <w:rPr>
          <w:rFonts w:ascii="Times New Roman" w:hAnsi="Times New Roman" w:cs="Times New Roman"/>
          <w:sz w:val="28"/>
          <w:szCs w:val="28"/>
        </w:rPr>
        <w:t xml:space="preserve">învăţămîntul superior este structurat pe trei cicluri, din care ciclul III </w:t>
      </w:r>
      <w:r w:rsidR="00747300" w:rsidRPr="00876DFC">
        <w:rPr>
          <w:rFonts w:ascii="Times New Roman" w:hAnsi="Times New Roman" w:cs="Times New Roman"/>
          <w:sz w:val="28"/>
          <w:szCs w:val="28"/>
        </w:rPr>
        <w:t>– studii superioare de doctorat, și se finanţează</w:t>
      </w:r>
      <w:r w:rsidR="001C35D4" w:rsidRPr="00876DFC">
        <w:rPr>
          <w:rFonts w:ascii="Times New Roman" w:hAnsi="Times New Roman" w:cs="Times New Roman"/>
          <w:sz w:val="28"/>
          <w:szCs w:val="28"/>
        </w:rPr>
        <w:t xml:space="preserve">, inclusiv </w:t>
      </w:r>
      <w:r w:rsidR="00747300" w:rsidRPr="00876DFC">
        <w:rPr>
          <w:rFonts w:ascii="Times New Roman" w:hAnsi="Times New Roman" w:cs="Times New Roman"/>
          <w:sz w:val="28"/>
          <w:szCs w:val="28"/>
        </w:rPr>
        <w:t xml:space="preserve"> de la bugetul de stat în limita planului de admitere aprobat anual de Guvern.</w:t>
      </w:r>
      <w:r w:rsidR="00747300" w:rsidRPr="00876DFC">
        <w:rPr>
          <w:rFonts w:ascii="Times New Roman" w:eastAsia="Times New Roman" w:hAnsi="Times New Roman" w:cs="Times New Roman"/>
          <w:sz w:val="24"/>
          <w:szCs w:val="24"/>
          <w:lang w:val="en-US" w:eastAsia="ru-RU"/>
        </w:rPr>
        <w:t xml:space="preserve"> </w:t>
      </w:r>
      <w:r w:rsidR="005B37C7" w:rsidRPr="00876DFC">
        <w:rPr>
          <w:rFonts w:ascii="Times New Roman" w:hAnsi="Times New Roman" w:cs="Times New Roman"/>
          <w:sz w:val="28"/>
          <w:szCs w:val="28"/>
        </w:rPr>
        <w:t>Programele de studii superioare de doctorat se desfăşoară în şcoli doctorale</w:t>
      </w:r>
      <w:r w:rsidR="00063A15" w:rsidRPr="00876DFC">
        <w:rPr>
          <w:rFonts w:ascii="Times New Roman" w:hAnsi="Times New Roman" w:cs="Times New Roman"/>
          <w:sz w:val="28"/>
          <w:szCs w:val="28"/>
        </w:rPr>
        <w:t>.</w:t>
      </w:r>
      <w:r w:rsidR="005B37C7" w:rsidRPr="00876DFC">
        <w:rPr>
          <w:rFonts w:ascii="Times New Roman" w:hAnsi="Times New Roman" w:cs="Times New Roman"/>
          <w:sz w:val="28"/>
          <w:szCs w:val="28"/>
        </w:rPr>
        <w:t xml:space="preserve"> Şcolile doctorale se organizează în cadrul instituţiilor de învăţămînt superior, precum şi în cadrul consorţiilor sau parteneriatelor naţionale şi internaţionale, constituite inclusiv cu participarea organizaţiilor din sfera ştiinţei şi inovării.</w:t>
      </w:r>
      <w:r w:rsidR="007D4914" w:rsidRPr="00876DFC">
        <w:rPr>
          <w:rFonts w:ascii="Times New Roman" w:hAnsi="Times New Roman" w:cs="Times New Roman"/>
          <w:sz w:val="28"/>
          <w:szCs w:val="28"/>
        </w:rPr>
        <w:t xml:space="preserve"> Admiterea în ciclul III de studii superioare se organizează de instituţiile de învăţămînt superior, </w:t>
      </w:r>
      <w:r w:rsidR="007D4914" w:rsidRPr="00876DFC">
        <w:rPr>
          <w:rFonts w:ascii="Times New Roman" w:hAnsi="Times New Roman" w:cs="Times New Roman"/>
          <w:sz w:val="28"/>
          <w:szCs w:val="28"/>
        </w:rPr>
        <w:lastRenderedPageBreak/>
        <w:t>de consorţiile, parteneriatele naţionale şi internaţionale, inclusiv de cele constituite cu participarea organizaţiilor din sfera ştiinţei şi inovării, la programe de doctorat acreditate sau autorizate provizoriu.</w:t>
      </w:r>
    </w:p>
    <w:p w:rsidR="00CC12F6" w:rsidRPr="00876DFC" w:rsidRDefault="00CC12F6" w:rsidP="007B63FB">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 xml:space="preserve">Astfel, Codul educației nu stipulează obligativitatea creării </w:t>
      </w:r>
      <w:r w:rsidR="00553B06" w:rsidRPr="00876DFC">
        <w:rPr>
          <w:rFonts w:ascii="Times New Roman" w:hAnsi="Times New Roman" w:cs="Times New Roman"/>
          <w:sz w:val="28"/>
          <w:szCs w:val="28"/>
        </w:rPr>
        <w:t>consorțiilor nemijlocit de către instituţiile de învăţămînt superior ce oferă posibilitatea finanțării la direct a membrilor consorțiilor</w:t>
      </w:r>
      <w:r w:rsidR="005B3656" w:rsidRPr="00876DFC">
        <w:rPr>
          <w:rFonts w:ascii="Times New Roman" w:hAnsi="Times New Roman" w:cs="Times New Roman"/>
          <w:sz w:val="28"/>
          <w:szCs w:val="28"/>
        </w:rPr>
        <w:t>/parteneriatelor</w:t>
      </w:r>
      <w:r w:rsidR="00553B06" w:rsidRPr="00876DFC">
        <w:rPr>
          <w:rFonts w:ascii="Times New Roman" w:hAnsi="Times New Roman" w:cs="Times New Roman"/>
          <w:sz w:val="28"/>
          <w:szCs w:val="28"/>
        </w:rPr>
        <w:t xml:space="preserve"> altor decît instituţiile de învăţămînt.</w:t>
      </w:r>
      <w:r w:rsidR="005B3656" w:rsidRPr="00876DFC">
        <w:rPr>
          <w:rFonts w:ascii="Times New Roman" w:hAnsi="Times New Roman" w:cs="Times New Roman"/>
          <w:sz w:val="28"/>
          <w:szCs w:val="28"/>
        </w:rPr>
        <w:t xml:space="preserve"> </w:t>
      </w:r>
      <w:r w:rsidR="00586C32" w:rsidRPr="00876DFC">
        <w:rPr>
          <w:rFonts w:ascii="Times New Roman" w:hAnsi="Times New Roman" w:cs="Times New Roman"/>
          <w:sz w:val="28"/>
          <w:szCs w:val="28"/>
        </w:rPr>
        <w:t>Dat fiind faptul, că studiile superioare de doctorat sunt ciclu al învățîmîntului superior,  finanțarea programelor de doctorat urmează a fi efectuată doar prin intermediul instituţiilor de învăţămînt superior, care la rîndul său, în bază contractuală, vor avea relații cu instituțiile/organizațiile din consorțiu sau parteneriate.</w:t>
      </w:r>
    </w:p>
    <w:p w:rsidR="000E174A" w:rsidRPr="00876DFC" w:rsidRDefault="000E174A" w:rsidP="007B63FB">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 xml:space="preserve">Reieșind din aceasta, se propune stabilirea prin lege, că consorțiile urmează a fi create numai de către instituţiile de învăţămînt superior, </w:t>
      </w:r>
      <w:r w:rsidR="00634F6A" w:rsidRPr="00876DFC">
        <w:rPr>
          <w:rFonts w:ascii="Times New Roman" w:hAnsi="Times New Roman" w:cs="Times New Roman"/>
          <w:sz w:val="28"/>
          <w:szCs w:val="28"/>
        </w:rPr>
        <w:t>cu introducerea modificării</w:t>
      </w:r>
      <w:r w:rsidRPr="00876DFC">
        <w:rPr>
          <w:rFonts w:ascii="Times New Roman" w:hAnsi="Times New Roman" w:cs="Times New Roman"/>
          <w:sz w:val="28"/>
          <w:szCs w:val="28"/>
        </w:rPr>
        <w:t xml:space="preserve"> </w:t>
      </w:r>
      <w:r w:rsidR="00634F6A" w:rsidRPr="00876DFC">
        <w:rPr>
          <w:rFonts w:ascii="Times New Roman" w:hAnsi="Times New Roman" w:cs="Times New Roman"/>
          <w:sz w:val="28"/>
          <w:szCs w:val="28"/>
        </w:rPr>
        <w:t xml:space="preserve">respective în </w:t>
      </w:r>
      <w:r w:rsidR="00634F6A" w:rsidRPr="00800B8F">
        <w:rPr>
          <w:rFonts w:ascii="Times New Roman" w:hAnsi="Times New Roman" w:cs="Times New Roman"/>
          <w:sz w:val="28"/>
          <w:szCs w:val="28"/>
        </w:rPr>
        <w:t>Codul educației</w:t>
      </w:r>
      <w:r w:rsidR="00634F6A" w:rsidRPr="00876DFC">
        <w:rPr>
          <w:rFonts w:ascii="Times New Roman" w:hAnsi="Times New Roman" w:cs="Times New Roman"/>
          <w:sz w:val="28"/>
          <w:szCs w:val="28"/>
        </w:rPr>
        <w:t>.</w:t>
      </w:r>
    </w:p>
    <w:p w:rsidR="00335B0D" w:rsidRPr="00876DFC" w:rsidRDefault="00335B0D" w:rsidP="00E47230">
      <w:pPr>
        <w:pStyle w:val="a3"/>
        <w:spacing w:line="360" w:lineRule="auto"/>
        <w:ind w:firstLine="720"/>
        <w:rPr>
          <w:b/>
          <w:sz w:val="16"/>
          <w:szCs w:val="16"/>
        </w:rPr>
      </w:pPr>
    </w:p>
    <w:p w:rsidR="00923A06" w:rsidRPr="00876DFC" w:rsidRDefault="00200663" w:rsidP="003B6030">
      <w:pPr>
        <w:pStyle w:val="a3"/>
        <w:spacing w:line="276" w:lineRule="auto"/>
        <w:ind w:firstLine="720"/>
        <w:rPr>
          <w:sz w:val="28"/>
          <w:szCs w:val="28"/>
        </w:rPr>
      </w:pPr>
      <w:r>
        <w:rPr>
          <w:b/>
          <w:sz w:val="28"/>
          <w:szCs w:val="28"/>
        </w:rPr>
        <w:t xml:space="preserve">12. </w:t>
      </w:r>
      <w:r w:rsidR="008004FE" w:rsidRPr="00876DFC">
        <w:rPr>
          <w:b/>
          <w:sz w:val="28"/>
          <w:szCs w:val="28"/>
        </w:rPr>
        <w:t>Legea finanţelor publice şi responsabilităţii bugetar</w:t>
      </w:r>
      <w:r w:rsidR="00563E89" w:rsidRPr="00876DFC">
        <w:rPr>
          <w:b/>
          <w:sz w:val="28"/>
          <w:szCs w:val="28"/>
        </w:rPr>
        <w:t>-</w:t>
      </w:r>
      <w:r w:rsidR="008004FE" w:rsidRPr="00876DFC">
        <w:rPr>
          <w:b/>
          <w:sz w:val="28"/>
          <w:szCs w:val="28"/>
        </w:rPr>
        <w:t>fiscale nr.181 din 25 iulie 2014</w:t>
      </w:r>
      <w:r w:rsidR="008004FE" w:rsidRPr="00876DFC">
        <w:rPr>
          <w:sz w:val="28"/>
          <w:szCs w:val="28"/>
        </w:rPr>
        <w:t xml:space="preserve"> stabileşte, </w:t>
      </w:r>
      <w:r w:rsidR="00146D04" w:rsidRPr="00876DFC">
        <w:rPr>
          <w:sz w:val="28"/>
          <w:szCs w:val="28"/>
        </w:rPr>
        <w:t>că în termen de 30 de zile de la data publicării legii bugetului de stat pe anul respectiv, autorităţile administraţiei publice locale de toate nivelurile aduc bugetele aprobate corespunzătoare în concordanţă cu prevederile legii menţionate.</w:t>
      </w:r>
      <w:r w:rsidR="00DC2830" w:rsidRPr="00876DFC">
        <w:rPr>
          <w:sz w:val="28"/>
          <w:szCs w:val="28"/>
        </w:rPr>
        <w:t xml:space="preserve"> Aceasta nu se referă la modificarea legii bugetului de stat pe parcursul anului, care afectează relațiile interbugetare.</w:t>
      </w:r>
    </w:p>
    <w:p w:rsidR="00DC2830" w:rsidRPr="00876DFC" w:rsidRDefault="00923A06" w:rsidP="003B6030">
      <w:pPr>
        <w:spacing w:after="0"/>
        <w:ind w:firstLine="709"/>
        <w:jc w:val="both"/>
        <w:rPr>
          <w:rFonts w:ascii="Times New Roman" w:hAnsi="Times New Roman" w:cs="Times New Roman"/>
          <w:strike/>
          <w:sz w:val="28"/>
          <w:szCs w:val="28"/>
        </w:rPr>
      </w:pPr>
      <w:r w:rsidRPr="00876DFC">
        <w:rPr>
          <w:rFonts w:ascii="Times New Roman" w:hAnsi="Times New Roman" w:cs="Times New Roman"/>
          <w:sz w:val="28"/>
          <w:szCs w:val="28"/>
        </w:rPr>
        <w:t xml:space="preserve">Întru eliminarea acestei lacune, se propune </w:t>
      </w:r>
      <w:r w:rsidR="00F37D79" w:rsidRPr="00876DFC">
        <w:rPr>
          <w:rFonts w:ascii="Times New Roman" w:hAnsi="Times New Roman" w:cs="Times New Roman"/>
          <w:sz w:val="28"/>
          <w:szCs w:val="28"/>
        </w:rPr>
        <w:t xml:space="preserve">de a obliga autoritățile </w:t>
      </w:r>
      <w:r w:rsidR="0071532F" w:rsidRPr="00876DFC">
        <w:rPr>
          <w:rFonts w:ascii="Times New Roman" w:hAnsi="Times New Roman" w:cs="Times New Roman"/>
          <w:sz w:val="28"/>
          <w:szCs w:val="28"/>
        </w:rPr>
        <w:t xml:space="preserve">administrației </w:t>
      </w:r>
      <w:r w:rsidR="00F37D79" w:rsidRPr="00876DFC">
        <w:rPr>
          <w:rFonts w:ascii="Times New Roman" w:hAnsi="Times New Roman" w:cs="Times New Roman"/>
          <w:sz w:val="28"/>
          <w:szCs w:val="28"/>
        </w:rPr>
        <w:t>publice locale s</w:t>
      </w:r>
      <w:r w:rsidR="003B4BCE" w:rsidRPr="00876DFC">
        <w:rPr>
          <w:rFonts w:ascii="Times New Roman" w:hAnsi="Times New Roman" w:cs="Times New Roman"/>
          <w:sz w:val="28"/>
          <w:szCs w:val="28"/>
        </w:rPr>
        <w:t>ă</w:t>
      </w:r>
      <w:r w:rsidR="00F37D79" w:rsidRPr="00876DFC">
        <w:rPr>
          <w:rFonts w:ascii="Times New Roman" w:hAnsi="Times New Roman" w:cs="Times New Roman"/>
          <w:sz w:val="28"/>
          <w:szCs w:val="28"/>
        </w:rPr>
        <w:t xml:space="preserve"> aduc</w:t>
      </w:r>
      <w:r w:rsidR="003B4BCE" w:rsidRPr="00876DFC">
        <w:rPr>
          <w:rFonts w:ascii="Times New Roman" w:hAnsi="Times New Roman" w:cs="Times New Roman"/>
          <w:sz w:val="28"/>
          <w:szCs w:val="28"/>
        </w:rPr>
        <w:t>ă</w:t>
      </w:r>
      <w:r w:rsidR="00F37D79" w:rsidRPr="00876DFC">
        <w:rPr>
          <w:rFonts w:ascii="Times New Roman" w:hAnsi="Times New Roman" w:cs="Times New Roman"/>
          <w:sz w:val="28"/>
          <w:szCs w:val="28"/>
        </w:rPr>
        <w:t xml:space="preserve"> bugetele </w:t>
      </w:r>
      <w:r w:rsidR="00F86760" w:rsidRPr="00876DFC">
        <w:rPr>
          <w:rFonts w:ascii="Times New Roman" w:hAnsi="Times New Roman" w:cs="Times New Roman"/>
          <w:sz w:val="28"/>
          <w:szCs w:val="28"/>
        </w:rPr>
        <w:t xml:space="preserve">sale </w:t>
      </w:r>
      <w:r w:rsidR="00F37D79" w:rsidRPr="00876DFC">
        <w:rPr>
          <w:rFonts w:ascii="Times New Roman" w:hAnsi="Times New Roman" w:cs="Times New Roman"/>
          <w:sz w:val="28"/>
          <w:szCs w:val="28"/>
        </w:rPr>
        <w:t>în concordanță și cu modificările operate la legea bugetului de stat pe parcursul anului bugetar</w:t>
      </w:r>
      <w:r w:rsidR="009F51A0" w:rsidRPr="00876DFC">
        <w:rPr>
          <w:rFonts w:ascii="Times New Roman" w:hAnsi="Times New Roman" w:cs="Times New Roman"/>
          <w:sz w:val="28"/>
          <w:szCs w:val="28"/>
        </w:rPr>
        <w:t>, efectuîndu-se modificările respective la Legea finanţelor publice şi responsabilităţii bugetar-fiscale</w:t>
      </w:r>
      <w:r w:rsidR="00F86760" w:rsidRPr="00876DFC">
        <w:rPr>
          <w:rFonts w:ascii="Times New Roman" w:hAnsi="Times New Roman" w:cs="Times New Roman"/>
          <w:sz w:val="28"/>
          <w:szCs w:val="28"/>
        </w:rPr>
        <w:t>.</w:t>
      </w:r>
    </w:p>
    <w:p w:rsidR="00F86760" w:rsidRPr="00527B8D" w:rsidRDefault="00146D04" w:rsidP="003B6030">
      <w:pPr>
        <w:pStyle w:val="a3"/>
        <w:spacing w:line="276" w:lineRule="auto"/>
        <w:ind w:firstLine="720"/>
        <w:rPr>
          <w:strike/>
          <w:sz w:val="28"/>
          <w:szCs w:val="28"/>
        </w:rPr>
      </w:pPr>
      <w:r w:rsidRPr="00876DFC">
        <w:rPr>
          <w:sz w:val="28"/>
          <w:szCs w:val="28"/>
        </w:rPr>
        <w:t xml:space="preserve"> </w:t>
      </w:r>
      <w:r w:rsidR="009F51A0" w:rsidRPr="00876DFC">
        <w:rPr>
          <w:sz w:val="28"/>
          <w:szCs w:val="28"/>
        </w:rPr>
        <w:t>Totodată, î</w:t>
      </w:r>
      <w:r w:rsidRPr="00876DFC">
        <w:rPr>
          <w:sz w:val="28"/>
          <w:szCs w:val="28"/>
        </w:rPr>
        <w:t xml:space="preserve">n baza </w:t>
      </w:r>
      <w:r w:rsidR="009F51A0" w:rsidRPr="00876DFC">
        <w:rPr>
          <w:sz w:val="28"/>
          <w:szCs w:val="28"/>
        </w:rPr>
        <w:t>L</w:t>
      </w:r>
      <w:r w:rsidRPr="00876DFC">
        <w:rPr>
          <w:sz w:val="28"/>
          <w:szCs w:val="28"/>
        </w:rPr>
        <w:t xml:space="preserve">egii </w:t>
      </w:r>
      <w:r w:rsidR="009F51A0" w:rsidRPr="00876DFC">
        <w:rPr>
          <w:sz w:val="28"/>
          <w:szCs w:val="28"/>
        </w:rPr>
        <w:t>nr.181 din 25 iulie 2014</w:t>
      </w:r>
      <w:r w:rsidRPr="00876DFC">
        <w:rPr>
          <w:sz w:val="28"/>
          <w:szCs w:val="28"/>
        </w:rPr>
        <w:t xml:space="preserve">, dacă </w:t>
      </w:r>
      <w:r w:rsidR="009F51A0" w:rsidRPr="00876DFC">
        <w:rPr>
          <w:sz w:val="28"/>
          <w:szCs w:val="28"/>
        </w:rPr>
        <w:t>autorităţile administraţiei publice locale</w:t>
      </w:r>
      <w:r w:rsidRPr="00876DFC">
        <w:rPr>
          <w:sz w:val="28"/>
          <w:szCs w:val="28"/>
        </w:rPr>
        <w:t xml:space="preserve"> nu aduc în concordanță bugetele unităților administrativ-teritoriale cu prevederile legii  adoptate și publicate a bugetului de stat, transferurile cu destinaţie generală vor fi suspendate pînă la efectuarea ajustărilor corespunzătoare. Pentru responsabilizarea autorităților </w:t>
      </w:r>
      <w:r w:rsidR="0071532F" w:rsidRPr="00876DFC">
        <w:rPr>
          <w:sz w:val="28"/>
          <w:szCs w:val="28"/>
        </w:rPr>
        <w:t xml:space="preserve">administrației </w:t>
      </w:r>
      <w:r w:rsidRPr="00876DFC">
        <w:rPr>
          <w:sz w:val="28"/>
          <w:szCs w:val="28"/>
        </w:rPr>
        <w:t xml:space="preserve">publice locale privind aducerea în concordanță a bugetelor unităților administrativ-teritoriale cu prevederile legii bugetului de stat anuale, inclusiv modificările acesteia, se propune introducerea pîrghiei suplimentare de influență asupra lor. </w:t>
      </w:r>
      <w:r w:rsidR="00557C68">
        <w:rPr>
          <w:sz w:val="28"/>
          <w:szCs w:val="28"/>
        </w:rPr>
        <w:t>Se</w:t>
      </w:r>
      <w:r w:rsidRPr="00876DFC">
        <w:rPr>
          <w:sz w:val="28"/>
          <w:szCs w:val="28"/>
        </w:rPr>
        <w:t xml:space="preserve"> propune </w:t>
      </w:r>
      <w:r w:rsidR="00A81B2A" w:rsidRPr="00876DFC">
        <w:rPr>
          <w:sz w:val="28"/>
          <w:szCs w:val="28"/>
        </w:rPr>
        <w:t>extinderea restricții</w:t>
      </w:r>
      <w:r w:rsidR="003A6549">
        <w:rPr>
          <w:sz w:val="28"/>
          <w:szCs w:val="28"/>
        </w:rPr>
        <w:t xml:space="preserve"> de suspendare</w:t>
      </w:r>
      <w:r w:rsidR="00A81B2A" w:rsidRPr="00876DFC">
        <w:rPr>
          <w:sz w:val="28"/>
          <w:szCs w:val="28"/>
        </w:rPr>
        <w:t xml:space="preserve"> </w:t>
      </w:r>
      <w:r w:rsidRPr="00876DFC">
        <w:rPr>
          <w:sz w:val="28"/>
          <w:szCs w:val="28"/>
        </w:rPr>
        <w:t xml:space="preserve">şi </w:t>
      </w:r>
      <w:r w:rsidR="00A81B2A" w:rsidRPr="00876DFC">
        <w:rPr>
          <w:sz w:val="28"/>
          <w:szCs w:val="28"/>
        </w:rPr>
        <w:t>asupra</w:t>
      </w:r>
      <w:r w:rsidRPr="00876DFC">
        <w:rPr>
          <w:sz w:val="28"/>
          <w:szCs w:val="28"/>
        </w:rPr>
        <w:t xml:space="preserve"> transferurilor cu destinaţie specială alocate bugetelor </w:t>
      </w:r>
      <w:r w:rsidR="00A81B2A" w:rsidRPr="00876DFC">
        <w:rPr>
          <w:sz w:val="28"/>
          <w:szCs w:val="28"/>
        </w:rPr>
        <w:t>unităților administrativ-teritoriale</w:t>
      </w:r>
      <w:r w:rsidRPr="00876DFC">
        <w:rPr>
          <w:sz w:val="28"/>
          <w:szCs w:val="28"/>
        </w:rPr>
        <w:t xml:space="preserve"> pentru finanţarea învățămîntului preșcolar, primar, gimnazial, liceal</w:t>
      </w:r>
      <w:r w:rsidR="00527B8D">
        <w:rPr>
          <w:sz w:val="28"/>
          <w:szCs w:val="28"/>
        </w:rPr>
        <w:t>, special</w:t>
      </w:r>
      <w:r w:rsidRPr="00876DFC">
        <w:rPr>
          <w:sz w:val="28"/>
          <w:szCs w:val="28"/>
        </w:rPr>
        <w:t xml:space="preserve"> și extrașcolar</w:t>
      </w:r>
      <w:r w:rsidR="00491124" w:rsidRPr="00876DFC">
        <w:rPr>
          <w:sz w:val="28"/>
          <w:szCs w:val="28"/>
        </w:rPr>
        <w:t xml:space="preserve"> analogic transferurilor cu destinație generală</w:t>
      </w:r>
      <w:r w:rsidRPr="00876DFC">
        <w:rPr>
          <w:sz w:val="28"/>
          <w:szCs w:val="28"/>
        </w:rPr>
        <w:t xml:space="preserve">. </w:t>
      </w:r>
    </w:p>
    <w:p w:rsidR="000F1A38" w:rsidRPr="00800B8F" w:rsidRDefault="00264B6E" w:rsidP="003B6030">
      <w:pPr>
        <w:pStyle w:val="a3"/>
        <w:spacing w:line="276" w:lineRule="auto"/>
        <w:ind w:firstLine="720"/>
        <w:rPr>
          <w:sz w:val="28"/>
          <w:szCs w:val="28"/>
        </w:rPr>
      </w:pPr>
      <w:r w:rsidRPr="00876DFC">
        <w:rPr>
          <w:sz w:val="28"/>
          <w:szCs w:val="28"/>
        </w:rPr>
        <w:lastRenderedPageBreak/>
        <w:t xml:space="preserve">Reieșind din modificările </w:t>
      </w:r>
      <w:r w:rsidR="00A53617" w:rsidRPr="00876DFC">
        <w:rPr>
          <w:sz w:val="28"/>
          <w:szCs w:val="28"/>
        </w:rPr>
        <w:t>vizate</w:t>
      </w:r>
      <w:r w:rsidRPr="00876DFC">
        <w:rPr>
          <w:sz w:val="28"/>
          <w:szCs w:val="28"/>
        </w:rPr>
        <w:t xml:space="preserve"> la Legea </w:t>
      </w:r>
      <w:r w:rsidR="00217F80" w:rsidRPr="00876DFC">
        <w:rPr>
          <w:sz w:val="28"/>
          <w:szCs w:val="28"/>
        </w:rPr>
        <w:t>nr.181 din 25 iulie 2015</w:t>
      </w:r>
      <w:r w:rsidRPr="00876DFC">
        <w:rPr>
          <w:sz w:val="28"/>
          <w:szCs w:val="28"/>
        </w:rPr>
        <w:t xml:space="preserve"> care</w:t>
      </w:r>
      <w:r w:rsidR="002358A2" w:rsidRPr="00876DFC">
        <w:rPr>
          <w:sz w:val="28"/>
          <w:szCs w:val="28"/>
        </w:rPr>
        <w:t xml:space="preserve"> este legea de bază în stabilirea principiilor, regulilor şi </w:t>
      </w:r>
      <w:r w:rsidR="0081368D" w:rsidRPr="00876DFC">
        <w:rPr>
          <w:sz w:val="28"/>
          <w:szCs w:val="28"/>
        </w:rPr>
        <w:t xml:space="preserve">responsabilităților </w:t>
      </w:r>
      <w:r w:rsidR="00A6239D" w:rsidRPr="00876DFC">
        <w:rPr>
          <w:sz w:val="28"/>
          <w:szCs w:val="28"/>
        </w:rPr>
        <w:t>în domeniul finanțelor publice</w:t>
      </w:r>
      <w:r w:rsidR="002358A2" w:rsidRPr="00876DFC">
        <w:rPr>
          <w:sz w:val="28"/>
          <w:szCs w:val="28"/>
        </w:rPr>
        <w:t xml:space="preserve">, se propune </w:t>
      </w:r>
      <w:r w:rsidRPr="00876DFC">
        <w:rPr>
          <w:sz w:val="28"/>
          <w:szCs w:val="28"/>
        </w:rPr>
        <w:t xml:space="preserve">efectuarea modificărilor similare şi la </w:t>
      </w:r>
      <w:r w:rsidRPr="00800B8F">
        <w:rPr>
          <w:sz w:val="28"/>
          <w:szCs w:val="28"/>
        </w:rPr>
        <w:t>Legea finanţelor publice locale</w:t>
      </w:r>
      <w:r w:rsidR="0081368D" w:rsidRPr="00800B8F">
        <w:rPr>
          <w:sz w:val="28"/>
          <w:szCs w:val="28"/>
        </w:rPr>
        <w:t xml:space="preserve"> nr.397-XV din </w:t>
      </w:r>
      <w:r w:rsidR="001E75C6" w:rsidRPr="00800B8F">
        <w:rPr>
          <w:sz w:val="28"/>
          <w:szCs w:val="28"/>
        </w:rPr>
        <w:t>16</w:t>
      </w:r>
      <w:r w:rsidR="0081368D" w:rsidRPr="00800B8F">
        <w:rPr>
          <w:sz w:val="28"/>
          <w:szCs w:val="28"/>
        </w:rPr>
        <w:t xml:space="preserve"> octombrie 2003</w:t>
      </w:r>
      <w:r w:rsidRPr="00800B8F">
        <w:rPr>
          <w:sz w:val="28"/>
          <w:szCs w:val="28"/>
        </w:rPr>
        <w:t>.</w:t>
      </w:r>
    </w:p>
    <w:p w:rsidR="001A5210" w:rsidRPr="00200663" w:rsidRDefault="001A5210" w:rsidP="001A5210">
      <w:pPr>
        <w:pStyle w:val="a3"/>
        <w:spacing w:line="276" w:lineRule="auto"/>
        <w:ind w:firstLine="720"/>
        <w:rPr>
          <w:sz w:val="16"/>
          <w:szCs w:val="16"/>
        </w:rPr>
      </w:pPr>
    </w:p>
    <w:p w:rsidR="003B6030" w:rsidRPr="003A6549" w:rsidRDefault="00200663" w:rsidP="00896CA7">
      <w:pPr>
        <w:pStyle w:val="a3"/>
        <w:spacing w:line="276" w:lineRule="auto"/>
        <w:ind w:firstLine="720"/>
        <w:rPr>
          <w:sz w:val="28"/>
          <w:szCs w:val="28"/>
        </w:rPr>
      </w:pPr>
      <w:r w:rsidRPr="00200663">
        <w:rPr>
          <w:b/>
          <w:sz w:val="28"/>
          <w:szCs w:val="28"/>
        </w:rPr>
        <w:t>13.</w:t>
      </w:r>
      <w:r>
        <w:rPr>
          <w:sz w:val="28"/>
          <w:szCs w:val="28"/>
        </w:rPr>
        <w:t xml:space="preserve"> </w:t>
      </w:r>
      <w:r w:rsidR="00292B47" w:rsidRPr="003A6549">
        <w:rPr>
          <w:sz w:val="28"/>
          <w:szCs w:val="28"/>
        </w:rPr>
        <w:t xml:space="preserve">Concomitent, se propune abrogarea </w:t>
      </w:r>
      <w:r w:rsidR="007C7483" w:rsidRPr="00334A1A">
        <w:rPr>
          <w:b/>
          <w:sz w:val="28"/>
          <w:szCs w:val="28"/>
        </w:rPr>
        <w:t xml:space="preserve">Hotărîrii Parlamentului nr.1306-XII din 8 iunie 1993 privind aplicarea Legii salarizării și </w:t>
      </w:r>
      <w:r w:rsidR="00292B47" w:rsidRPr="00334A1A">
        <w:rPr>
          <w:b/>
          <w:sz w:val="28"/>
          <w:szCs w:val="28"/>
        </w:rPr>
        <w:t>Hotărîrii Parlamentului nr.1473-XII din 8 iunie 1993 cu privire la salarizarea personalului bazei auto a Parlamentului conform Rețel</w:t>
      </w:r>
      <w:r w:rsidR="007C7483" w:rsidRPr="00334A1A">
        <w:rPr>
          <w:b/>
          <w:sz w:val="28"/>
          <w:szCs w:val="28"/>
        </w:rPr>
        <w:t>ei tarifare unice de salarizare</w:t>
      </w:r>
      <w:r w:rsidR="00292B47" w:rsidRPr="003A6549">
        <w:rPr>
          <w:sz w:val="28"/>
          <w:szCs w:val="28"/>
        </w:rPr>
        <w:t xml:space="preserve">, deoarece </w:t>
      </w:r>
      <w:r w:rsidR="00896CA7" w:rsidRPr="003A6549">
        <w:rPr>
          <w:sz w:val="28"/>
          <w:szCs w:val="28"/>
        </w:rPr>
        <w:t xml:space="preserve">actele nominalizate au </w:t>
      </w:r>
      <w:r w:rsidR="004F33BA">
        <w:rPr>
          <w:sz w:val="28"/>
          <w:szCs w:val="28"/>
        </w:rPr>
        <w:t>ieșit din uz</w:t>
      </w:r>
      <w:r w:rsidR="00896CA7" w:rsidRPr="003A6549">
        <w:rPr>
          <w:sz w:val="28"/>
          <w:szCs w:val="28"/>
        </w:rPr>
        <w:t>, așa cum Legea salarizării, întru executarea căreia au fost adoptate, a fost abrogată la data de 3 martie 2006 prin Legea nr.355-XVI din 23 decembrie 2005 cu privire la sistemul de salarizare în sectorul bugetar. Mai mult ca atît, prin art.2 din Hotărîrea Parlamentului nr.161 din 5 iulie 2012 pentru abrogarea Hotărîrii Parlamentului nr.22-XV din 29 martie 2001 cu privire la structura Aparatului Parlamentului, la statul de funcţii al Aparatului şi al Parlamentului şi la asigurarea materială a personalului Aparatului şi a deputaţilor în Parlament, a fost lichidată instituția publică „Baza auto a Parlamentului”.</w:t>
      </w:r>
      <w:r w:rsidR="00F83E66" w:rsidRPr="003A6549">
        <w:rPr>
          <w:sz w:val="28"/>
          <w:szCs w:val="28"/>
        </w:rPr>
        <w:t xml:space="preserve"> </w:t>
      </w:r>
    </w:p>
    <w:p w:rsidR="00896CA7" w:rsidRPr="00200663" w:rsidRDefault="00896CA7" w:rsidP="00896CA7">
      <w:pPr>
        <w:pStyle w:val="a3"/>
        <w:spacing w:line="276" w:lineRule="auto"/>
        <w:ind w:firstLine="720"/>
        <w:rPr>
          <w:sz w:val="16"/>
          <w:szCs w:val="16"/>
        </w:rPr>
      </w:pPr>
    </w:p>
    <w:p w:rsidR="00896CA7" w:rsidRDefault="00A54BFC" w:rsidP="00896CA7">
      <w:pPr>
        <w:pStyle w:val="a3"/>
        <w:spacing w:line="276" w:lineRule="auto"/>
        <w:ind w:firstLine="720"/>
        <w:rPr>
          <w:sz w:val="28"/>
          <w:szCs w:val="28"/>
        </w:rPr>
      </w:pPr>
      <w:r w:rsidRPr="003A6549">
        <w:rPr>
          <w:sz w:val="28"/>
          <w:szCs w:val="28"/>
        </w:rPr>
        <w:t>Totodată</w:t>
      </w:r>
      <w:r w:rsidR="00082644" w:rsidRPr="003A6549">
        <w:rPr>
          <w:sz w:val="28"/>
          <w:szCs w:val="28"/>
        </w:rPr>
        <w:t>, reieșind din faptul că, prin Legea nr.328 din 23 decembrie 2013 privind salarizarea judecătorilor a</w:t>
      </w:r>
      <w:r w:rsidR="00896CA7" w:rsidRPr="003A6549">
        <w:rPr>
          <w:sz w:val="28"/>
          <w:szCs w:val="28"/>
        </w:rPr>
        <w:t xml:space="preserve"> fost adoptat un nou sistem de salarizare a judecătorilor</w:t>
      </w:r>
      <w:r w:rsidR="00082644" w:rsidRPr="003A6549">
        <w:rPr>
          <w:sz w:val="28"/>
          <w:szCs w:val="28"/>
        </w:rPr>
        <w:t>, iar prin Legea nr.48 din 22</w:t>
      </w:r>
      <w:r w:rsidR="007933E3" w:rsidRPr="003A6549">
        <w:rPr>
          <w:sz w:val="28"/>
          <w:szCs w:val="28"/>
        </w:rPr>
        <w:t xml:space="preserve"> martie </w:t>
      </w:r>
      <w:r w:rsidR="00082644" w:rsidRPr="003A6549">
        <w:rPr>
          <w:sz w:val="28"/>
          <w:szCs w:val="28"/>
        </w:rPr>
        <w:t xml:space="preserve">2012 privind sistemul de salarizare a funcționarilor publici - </w:t>
      </w:r>
      <w:r w:rsidR="00896CA7" w:rsidRPr="003A6549">
        <w:rPr>
          <w:sz w:val="28"/>
          <w:szCs w:val="28"/>
        </w:rPr>
        <w:t xml:space="preserve">un nou sistem de salarizare a funcţionarilor publici, care reglementează condițiile de salarizare a judecătorilor și funcționarilor publici ce activează în cadrul Curții Constituționale, </w:t>
      </w:r>
      <w:r w:rsidR="00625CBB" w:rsidRPr="003A6549">
        <w:rPr>
          <w:sz w:val="28"/>
          <w:szCs w:val="28"/>
        </w:rPr>
        <w:t>prevederile articolelor 5-13 din Hotărîrea Parlamentului nr.468 din 31 mai 1995 privind asigurarea activităţii Curţii Constituţionale, salarizarea Preşedintelui, judecătorilor şi judecătorilor-asistenţi ai Curţii Constituţionale s</w:t>
      </w:r>
      <w:r w:rsidR="0052203A" w:rsidRPr="003A6549">
        <w:rPr>
          <w:sz w:val="28"/>
          <w:szCs w:val="28"/>
        </w:rPr>
        <w:t>î</w:t>
      </w:r>
      <w:r w:rsidR="00625CBB" w:rsidRPr="003A6549">
        <w:rPr>
          <w:sz w:val="28"/>
          <w:szCs w:val="28"/>
        </w:rPr>
        <w:t xml:space="preserve">nt depășite. Astfel, </w:t>
      </w:r>
      <w:r w:rsidR="00082644" w:rsidRPr="003A6549">
        <w:rPr>
          <w:sz w:val="28"/>
          <w:szCs w:val="28"/>
        </w:rPr>
        <w:t xml:space="preserve">se propune abrogarea articolelor 5-13 din </w:t>
      </w:r>
      <w:r w:rsidR="006D533E" w:rsidRPr="006D533E">
        <w:rPr>
          <w:b/>
          <w:sz w:val="28"/>
          <w:szCs w:val="28"/>
        </w:rPr>
        <w:t>Hotărîrea Parlamentului nr.468 din 31 mai 1995</w:t>
      </w:r>
      <w:r w:rsidR="00625CBB" w:rsidRPr="003A6549">
        <w:rPr>
          <w:sz w:val="28"/>
          <w:szCs w:val="28"/>
        </w:rPr>
        <w:t>.</w:t>
      </w:r>
    </w:p>
    <w:p w:rsidR="00334A1A" w:rsidRPr="00200663" w:rsidRDefault="00334A1A" w:rsidP="00896CA7">
      <w:pPr>
        <w:pStyle w:val="a3"/>
        <w:spacing w:line="276" w:lineRule="auto"/>
        <w:ind w:firstLine="720"/>
        <w:rPr>
          <w:sz w:val="16"/>
          <w:szCs w:val="16"/>
        </w:rPr>
      </w:pPr>
    </w:p>
    <w:p w:rsidR="00E42C8A" w:rsidRPr="00E42C8A" w:rsidRDefault="00200663" w:rsidP="00E42C8A">
      <w:pPr>
        <w:autoSpaceDE w:val="0"/>
        <w:autoSpaceDN w:val="0"/>
        <w:ind w:firstLine="709"/>
        <w:jc w:val="both"/>
        <w:rPr>
          <w:rFonts w:ascii="Times New Roman" w:eastAsia="Times New Roman" w:hAnsi="Times New Roman" w:cs="Times New Roman"/>
          <w:sz w:val="28"/>
          <w:szCs w:val="28"/>
          <w:lang w:eastAsia="ru-RU"/>
        </w:rPr>
      </w:pPr>
      <w:r w:rsidRPr="00200663">
        <w:rPr>
          <w:rFonts w:ascii="Times New Roman" w:eastAsia="Times New Roman" w:hAnsi="Times New Roman" w:cs="Times New Roman"/>
          <w:b/>
          <w:sz w:val="28"/>
          <w:szCs w:val="28"/>
          <w:lang w:eastAsia="ru-RU"/>
        </w:rPr>
        <w:t>14.</w:t>
      </w:r>
      <w:r>
        <w:rPr>
          <w:rFonts w:ascii="Times New Roman" w:eastAsia="Times New Roman" w:hAnsi="Times New Roman" w:cs="Times New Roman"/>
          <w:sz w:val="28"/>
          <w:szCs w:val="28"/>
          <w:lang w:eastAsia="ru-RU"/>
        </w:rPr>
        <w:t xml:space="preserve"> </w:t>
      </w:r>
      <w:r w:rsidR="00E42C8A" w:rsidRPr="00E42C8A">
        <w:rPr>
          <w:rFonts w:ascii="Times New Roman" w:eastAsia="Times New Roman" w:hAnsi="Times New Roman" w:cs="Times New Roman"/>
          <w:sz w:val="28"/>
          <w:szCs w:val="28"/>
          <w:lang w:eastAsia="ru-RU"/>
        </w:rPr>
        <w:t xml:space="preserve">Adiţional la cele menţionate mai sus, în scopul înlăturării lacunelor din redacţia curentă a legislaţiei </w:t>
      </w:r>
      <w:r w:rsidR="00E42C8A">
        <w:rPr>
          <w:rFonts w:ascii="Times New Roman" w:eastAsia="Times New Roman" w:hAnsi="Times New Roman" w:cs="Times New Roman"/>
          <w:sz w:val="28"/>
          <w:szCs w:val="28"/>
          <w:lang w:eastAsia="ru-RU"/>
        </w:rPr>
        <w:t>bugetare</w:t>
      </w:r>
      <w:r w:rsidR="00E42C8A" w:rsidRPr="00E42C8A">
        <w:rPr>
          <w:rFonts w:ascii="Times New Roman" w:eastAsia="Times New Roman" w:hAnsi="Times New Roman" w:cs="Times New Roman"/>
          <w:sz w:val="28"/>
          <w:szCs w:val="28"/>
          <w:lang w:eastAsia="ru-RU"/>
        </w:rPr>
        <w:t xml:space="preserve"> şi racordării la propunerile sus-formulate sunt efectuate modificări purtînd un caracter redacţional, de concretizare şi de corelare.</w:t>
      </w:r>
    </w:p>
    <w:p w:rsidR="00334A1A" w:rsidRDefault="00334A1A" w:rsidP="00896CA7">
      <w:pPr>
        <w:pStyle w:val="a3"/>
        <w:spacing w:line="276" w:lineRule="auto"/>
        <w:ind w:firstLine="720"/>
        <w:rPr>
          <w:sz w:val="28"/>
          <w:szCs w:val="28"/>
        </w:rPr>
      </w:pPr>
    </w:p>
    <w:p w:rsidR="00334A1A" w:rsidRPr="008004FE" w:rsidRDefault="00334A1A" w:rsidP="00334A1A">
      <w:pPr>
        <w:pStyle w:val="a3"/>
        <w:spacing w:line="276" w:lineRule="auto"/>
        <w:ind w:firstLine="720"/>
        <w:jc w:val="center"/>
        <w:rPr>
          <w:sz w:val="28"/>
          <w:szCs w:val="28"/>
        </w:rPr>
      </w:pPr>
      <w:r>
        <w:rPr>
          <w:sz w:val="28"/>
          <w:szCs w:val="28"/>
        </w:rPr>
        <w:t>V</w:t>
      </w:r>
      <w:r w:rsidR="00E42C8A">
        <w:rPr>
          <w:sz w:val="28"/>
          <w:szCs w:val="28"/>
        </w:rPr>
        <w:t>ICEMINISTRU</w:t>
      </w:r>
      <w:r>
        <w:rPr>
          <w:sz w:val="28"/>
          <w:szCs w:val="28"/>
        </w:rPr>
        <w:t xml:space="preserve">                            Maria CĂRĂUȘ</w:t>
      </w:r>
    </w:p>
    <w:sectPr w:rsidR="00334A1A" w:rsidRPr="008004FE" w:rsidSect="005A6B5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0E" w:rsidRDefault="008D110E" w:rsidP="00123BC6">
      <w:pPr>
        <w:spacing w:after="0" w:line="240" w:lineRule="auto"/>
      </w:pPr>
      <w:r>
        <w:separator/>
      </w:r>
    </w:p>
  </w:endnote>
  <w:endnote w:type="continuationSeparator" w:id="0">
    <w:p w:rsidR="008D110E" w:rsidRDefault="008D110E" w:rsidP="0012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F9" w:rsidRDefault="00CE2EF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3773"/>
      <w:docPartObj>
        <w:docPartGallery w:val="Page Numbers (Bottom of Page)"/>
        <w:docPartUnique/>
      </w:docPartObj>
    </w:sdtPr>
    <w:sdtEndPr>
      <w:rPr>
        <w:rFonts w:ascii="Times New Roman" w:hAnsi="Times New Roman" w:cs="Times New Roman"/>
        <w:sz w:val="16"/>
        <w:szCs w:val="16"/>
      </w:rPr>
    </w:sdtEndPr>
    <w:sdtContent>
      <w:p w:rsidR="00C72263" w:rsidRPr="00C72263" w:rsidRDefault="006557A6">
        <w:pPr>
          <w:pStyle w:val="a7"/>
          <w:jc w:val="right"/>
          <w:rPr>
            <w:rFonts w:ascii="Times New Roman" w:hAnsi="Times New Roman" w:cs="Times New Roman"/>
            <w:sz w:val="16"/>
            <w:szCs w:val="16"/>
          </w:rPr>
        </w:pPr>
        <w:r w:rsidRPr="00C72263">
          <w:rPr>
            <w:rFonts w:ascii="Times New Roman" w:hAnsi="Times New Roman" w:cs="Times New Roman"/>
            <w:sz w:val="16"/>
            <w:szCs w:val="16"/>
          </w:rPr>
          <w:fldChar w:fldCharType="begin"/>
        </w:r>
        <w:r w:rsidR="00C72263" w:rsidRPr="00C72263">
          <w:rPr>
            <w:rFonts w:ascii="Times New Roman" w:hAnsi="Times New Roman" w:cs="Times New Roman"/>
            <w:sz w:val="16"/>
            <w:szCs w:val="16"/>
          </w:rPr>
          <w:instrText xml:space="preserve"> PAGE   \* MERGEFORMAT </w:instrText>
        </w:r>
        <w:r w:rsidRPr="00C72263">
          <w:rPr>
            <w:rFonts w:ascii="Times New Roman" w:hAnsi="Times New Roman" w:cs="Times New Roman"/>
            <w:sz w:val="16"/>
            <w:szCs w:val="16"/>
          </w:rPr>
          <w:fldChar w:fldCharType="separate"/>
        </w:r>
        <w:r w:rsidR="00CE2EF9">
          <w:rPr>
            <w:rFonts w:ascii="Times New Roman" w:hAnsi="Times New Roman" w:cs="Times New Roman"/>
            <w:noProof/>
            <w:sz w:val="16"/>
            <w:szCs w:val="16"/>
          </w:rPr>
          <w:t>1</w:t>
        </w:r>
        <w:r w:rsidRPr="00C72263">
          <w:rPr>
            <w:rFonts w:ascii="Times New Roman" w:hAnsi="Times New Roman" w:cs="Times New Roman"/>
            <w:sz w:val="16"/>
            <w:szCs w:val="16"/>
          </w:rPr>
          <w:fldChar w:fldCharType="end"/>
        </w:r>
      </w:p>
    </w:sdtContent>
  </w:sdt>
  <w:p w:rsidR="009344A1" w:rsidRDefault="009344A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F9" w:rsidRDefault="00CE2EF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0E" w:rsidRDefault="008D110E" w:rsidP="00123BC6">
      <w:pPr>
        <w:spacing w:after="0" w:line="240" w:lineRule="auto"/>
      </w:pPr>
      <w:r>
        <w:separator/>
      </w:r>
    </w:p>
  </w:footnote>
  <w:footnote w:type="continuationSeparator" w:id="0">
    <w:p w:rsidR="008D110E" w:rsidRDefault="008D110E" w:rsidP="00123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F9" w:rsidRDefault="00CE2EF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9F" w:rsidRPr="0047349F" w:rsidRDefault="0047349F">
    <w:pPr>
      <w:pStyle w:val="a5"/>
      <w:rPr>
        <w:rFonts w:ascii="Times New Roman" w:hAnsi="Times New Roman" w:cs="Times New Roman"/>
        <w:sz w:val="12"/>
        <w:szCs w:val="12"/>
      </w:rPr>
    </w:pPr>
  </w:p>
  <w:p w:rsidR="00B2446E" w:rsidRDefault="00B2446E" w:rsidP="009D51C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F9" w:rsidRDefault="00CE2EF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51950"/>
    <w:multiLevelType w:val="hybridMultilevel"/>
    <w:tmpl w:val="F39E8F5E"/>
    <w:lvl w:ilvl="0" w:tplc="160C4276">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35842"/>
  </w:hdrShapeDefaults>
  <w:footnotePr>
    <w:footnote w:id="-1"/>
    <w:footnote w:id="0"/>
  </w:footnotePr>
  <w:endnotePr>
    <w:endnote w:id="-1"/>
    <w:endnote w:id="0"/>
  </w:endnotePr>
  <w:compat/>
  <w:rsids>
    <w:rsidRoot w:val="00EF2DBB"/>
    <w:rsid w:val="000115CC"/>
    <w:rsid w:val="00020120"/>
    <w:rsid w:val="00040B8E"/>
    <w:rsid w:val="00045A77"/>
    <w:rsid w:val="000518EF"/>
    <w:rsid w:val="000528B6"/>
    <w:rsid w:val="000534EF"/>
    <w:rsid w:val="00055549"/>
    <w:rsid w:val="00063A15"/>
    <w:rsid w:val="0006408C"/>
    <w:rsid w:val="00066238"/>
    <w:rsid w:val="000700DC"/>
    <w:rsid w:val="00076736"/>
    <w:rsid w:val="00082644"/>
    <w:rsid w:val="000836DA"/>
    <w:rsid w:val="00087792"/>
    <w:rsid w:val="00090FC4"/>
    <w:rsid w:val="00093476"/>
    <w:rsid w:val="00093B16"/>
    <w:rsid w:val="000B3BB3"/>
    <w:rsid w:val="000B709A"/>
    <w:rsid w:val="000C244C"/>
    <w:rsid w:val="000C6CF2"/>
    <w:rsid w:val="000D44F7"/>
    <w:rsid w:val="000D5768"/>
    <w:rsid w:val="000E174A"/>
    <w:rsid w:val="000E43FE"/>
    <w:rsid w:val="000E6AA5"/>
    <w:rsid w:val="000F1A38"/>
    <w:rsid w:val="000F20D7"/>
    <w:rsid w:val="00106B37"/>
    <w:rsid w:val="00111125"/>
    <w:rsid w:val="001134BB"/>
    <w:rsid w:val="0012123D"/>
    <w:rsid w:val="00123BC6"/>
    <w:rsid w:val="00123EEC"/>
    <w:rsid w:val="00145C46"/>
    <w:rsid w:val="00146D04"/>
    <w:rsid w:val="0015087D"/>
    <w:rsid w:val="00160D0E"/>
    <w:rsid w:val="0016708C"/>
    <w:rsid w:val="00175628"/>
    <w:rsid w:val="00175C6D"/>
    <w:rsid w:val="001771A8"/>
    <w:rsid w:val="00181032"/>
    <w:rsid w:val="00184BDA"/>
    <w:rsid w:val="0019121E"/>
    <w:rsid w:val="001A4985"/>
    <w:rsid w:val="001A4FBA"/>
    <w:rsid w:val="001A5210"/>
    <w:rsid w:val="001A5423"/>
    <w:rsid w:val="001A6F00"/>
    <w:rsid w:val="001A7EAE"/>
    <w:rsid w:val="001B4A55"/>
    <w:rsid w:val="001C1DC1"/>
    <w:rsid w:val="001C35D4"/>
    <w:rsid w:val="001D0DB1"/>
    <w:rsid w:val="001D1C69"/>
    <w:rsid w:val="001D2E8D"/>
    <w:rsid w:val="001D573C"/>
    <w:rsid w:val="001E75C6"/>
    <w:rsid w:val="00200663"/>
    <w:rsid w:val="00205E1C"/>
    <w:rsid w:val="00213100"/>
    <w:rsid w:val="002149D7"/>
    <w:rsid w:val="00217F80"/>
    <w:rsid w:val="00233426"/>
    <w:rsid w:val="002358A2"/>
    <w:rsid w:val="00241B13"/>
    <w:rsid w:val="00250861"/>
    <w:rsid w:val="0025365C"/>
    <w:rsid w:val="00257B96"/>
    <w:rsid w:val="00260135"/>
    <w:rsid w:val="00260A92"/>
    <w:rsid w:val="002630CB"/>
    <w:rsid w:val="0026361A"/>
    <w:rsid w:val="00264524"/>
    <w:rsid w:val="00264B6E"/>
    <w:rsid w:val="00265A21"/>
    <w:rsid w:val="002675E5"/>
    <w:rsid w:val="00273023"/>
    <w:rsid w:val="00274FF7"/>
    <w:rsid w:val="002774A3"/>
    <w:rsid w:val="00292B47"/>
    <w:rsid w:val="002A0DEC"/>
    <w:rsid w:val="002A2F99"/>
    <w:rsid w:val="002B0BF9"/>
    <w:rsid w:val="002B5005"/>
    <w:rsid w:val="002D43F4"/>
    <w:rsid w:val="002D7480"/>
    <w:rsid w:val="002E007A"/>
    <w:rsid w:val="002E3BD0"/>
    <w:rsid w:val="00327196"/>
    <w:rsid w:val="0033360C"/>
    <w:rsid w:val="003339C7"/>
    <w:rsid w:val="00334A1A"/>
    <w:rsid w:val="00335B0D"/>
    <w:rsid w:val="0033756D"/>
    <w:rsid w:val="00344F32"/>
    <w:rsid w:val="0034718C"/>
    <w:rsid w:val="00360C93"/>
    <w:rsid w:val="00361AC1"/>
    <w:rsid w:val="00361C23"/>
    <w:rsid w:val="00377D3E"/>
    <w:rsid w:val="00395D2A"/>
    <w:rsid w:val="003A0C3C"/>
    <w:rsid w:val="003A3FC1"/>
    <w:rsid w:val="003A6549"/>
    <w:rsid w:val="003B3065"/>
    <w:rsid w:val="003B4BCE"/>
    <w:rsid w:val="003B6030"/>
    <w:rsid w:val="003B681B"/>
    <w:rsid w:val="003B7016"/>
    <w:rsid w:val="003C7B25"/>
    <w:rsid w:val="003D7F7B"/>
    <w:rsid w:val="003E5BBA"/>
    <w:rsid w:val="003F0B6C"/>
    <w:rsid w:val="003F4F8E"/>
    <w:rsid w:val="003F5897"/>
    <w:rsid w:val="004007E8"/>
    <w:rsid w:val="00400F54"/>
    <w:rsid w:val="00424AC4"/>
    <w:rsid w:val="00432A99"/>
    <w:rsid w:val="00435747"/>
    <w:rsid w:val="00437ABF"/>
    <w:rsid w:val="00445197"/>
    <w:rsid w:val="004531AB"/>
    <w:rsid w:val="004613D4"/>
    <w:rsid w:val="004644F6"/>
    <w:rsid w:val="00464E2F"/>
    <w:rsid w:val="00467963"/>
    <w:rsid w:val="00471F7C"/>
    <w:rsid w:val="0047349F"/>
    <w:rsid w:val="00491124"/>
    <w:rsid w:val="004A134B"/>
    <w:rsid w:val="004A1FB9"/>
    <w:rsid w:val="004A2CBC"/>
    <w:rsid w:val="004A583B"/>
    <w:rsid w:val="004A7B7F"/>
    <w:rsid w:val="004A7E7C"/>
    <w:rsid w:val="004B4EC3"/>
    <w:rsid w:val="004C5F93"/>
    <w:rsid w:val="004D2F67"/>
    <w:rsid w:val="004D5E95"/>
    <w:rsid w:val="004E17E7"/>
    <w:rsid w:val="004F0BEC"/>
    <w:rsid w:val="004F33BA"/>
    <w:rsid w:val="00504956"/>
    <w:rsid w:val="00507766"/>
    <w:rsid w:val="00512013"/>
    <w:rsid w:val="0051280A"/>
    <w:rsid w:val="00513A46"/>
    <w:rsid w:val="00514AD8"/>
    <w:rsid w:val="00521FEE"/>
    <w:rsid w:val="0052203A"/>
    <w:rsid w:val="005247C9"/>
    <w:rsid w:val="00527B8D"/>
    <w:rsid w:val="00532379"/>
    <w:rsid w:val="00536252"/>
    <w:rsid w:val="005378DC"/>
    <w:rsid w:val="00544305"/>
    <w:rsid w:val="0054471A"/>
    <w:rsid w:val="00553B06"/>
    <w:rsid w:val="005557E9"/>
    <w:rsid w:val="00557C68"/>
    <w:rsid w:val="00563E89"/>
    <w:rsid w:val="0057463D"/>
    <w:rsid w:val="00582D40"/>
    <w:rsid w:val="00583073"/>
    <w:rsid w:val="005860B9"/>
    <w:rsid w:val="00586C32"/>
    <w:rsid w:val="005979AA"/>
    <w:rsid w:val="005A3FCD"/>
    <w:rsid w:val="005A6B58"/>
    <w:rsid w:val="005A6D8D"/>
    <w:rsid w:val="005B217C"/>
    <w:rsid w:val="005B3656"/>
    <w:rsid w:val="005B37C7"/>
    <w:rsid w:val="00625CBB"/>
    <w:rsid w:val="0062761C"/>
    <w:rsid w:val="00634F6A"/>
    <w:rsid w:val="00644C84"/>
    <w:rsid w:val="006557A6"/>
    <w:rsid w:val="00657926"/>
    <w:rsid w:val="00664799"/>
    <w:rsid w:val="0066519C"/>
    <w:rsid w:val="00666310"/>
    <w:rsid w:val="006762DA"/>
    <w:rsid w:val="0069053A"/>
    <w:rsid w:val="00691F22"/>
    <w:rsid w:val="006A07C2"/>
    <w:rsid w:val="006A5853"/>
    <w:rsid w:val="006A5865"/>
    <w:rsid w:val="006B3658"/>
    <w:rsid w:val="006C0B69"/>
    <w:rsid w:val="006C70CA"/>
    <w:rsid w:val="006D15C6"/>
    <w:rsid w:val="006D533E"/>
    <w:rsid w:val="006E3769"/>
    <w:rsid w:val="006F6190"/>
    <w:rsid w:val="0071357E"/>
    <w:rsid w:val="0071532F"/>
    <w:rsid w:val="00717CA3"/>
    <w:rsid w:val="00720704"/>
    <w:rsid w:val="00734E65"/>
    <w:rsid w:val="00735D91"/>
    <w:rsid w:val="00736A7F"/>
    <w:rsid w:val="00740BCC"/>
    <w:rsid w:val="00744E99"/>
    <w:rsid w:val="00745C61"/>
    <w:rsid w:val="00747300"/>
    <w:rsid w:val="007506EA"/>
    <w:rsid w:val="00772EEC"/>
    <w:rsid w:val="0077564A"/>
    <w:rsid w:val="00781CE6"/>
    <w:rsid w:val="00783D5D"/>
    <w:rsid w:val="007915E3"/>
    <w:rsid w:val="00792B1A"/>
    <w:rsid w:val="007933E3"/>
    <w:rsid w:val="007A16D8"/>
    <w:rsid w:val="007B63FB"/>
    <w:rsid w:val="007B724B"/>
    <w:rsid w:val="007B7D27"/>
    <w:rsid w:val="007C622B"/>
    <w:rsid w:val="007C7483"/>
    <w:rsid w:val="007D2FF2"/>
    <w:rsid w:val="007D37CF"/>
    <w:rsid w:val="007D4914"/>
    <w:rsid w:val="007E4CBA"/>
    <w:rsid w:val="007F57B7"/>
    <w:rsid w:val="008004FE"/>
    <w:rsid w:val="00800B8F"/>
    <w:rsid w:val="00812B55"/>
    <w:rsid w:val="0081368D"/>
    <w:rsid w:val="0081486E"/>
    <w:rsid w:val="00816F42"/>
    <w:rsid w:val="00826341"/>
    <w:rsid w:val="00841604"/>
    <w:rsid w:val="00841BB0"/>
    <w:rsid w:val="00843420"/>
    <w:rsid w:val="0086004E"/>
    <w:rsid w:val="008621DC"/>
    <w:rsid w:val="00866E34"/>
    <w:rsid w:val="00874702"/>
    <w:rsid w:val="00876DFC"/>
    <w:rsid w:val="00880823"/>
    <w:rsid w:val="00881CE6"/>
    <w:rsid w:val="008869FB"/>
    <w:rsid w:val="00896CA7"/>
    <w:rsid w:val="008A06CA"/>
    <w:rsid w:val="008A396A"/>
    <w:rsid w:val="008A4074"/>
    <w:rsid w:val="008B0386"/>
    <w:rsid w:val="008C262C"/>
    <w:rsid w:val="008D110E"/>
    <w:rsid w:val="008D60E5"/>
    <w:rsid w:val="008E64E7"/>
    <w:rsid w:val="008F53EE"/>
    <w:rsid w:val="00903386"/>
    <w:rsid w:val="009113A0"/>
    <w:rsid w:val="00913354"/>
    <w:rsid w:val="00913664"/>
    <w:rsid w:val="009220C5"/>
    <w:rsid w:val="00923A06"/>
    <w:rsid w:val="00924FF0"/>
    <w:rsid w:val="00930093"/>
    <w:rsid w:val="009344A1"/>
    <w:rsid w:val="00943AE0"/>
    <w:rsid w:val="0094419C"/>
    <w:rsid w:val="0095304C"/>
    <w:rsid w:val="009544F2"/>
    <w:rsid w:val="00967515"/>
    <w:rsid w:val="009759C7"/>
    <w:rsid w:val="0098063A"/>
    <w:rsid w:val="00980A30"/>
    <w:rsid w:val="00980E15"/>
    <w:rsid w:val="00982CFE"/>
    <w:rsid w:val="00987036"/>
    <w:rsid w:val="009A1B48"/>
    <w:rsid w:val="009A6C1A"/>
    <w:rsid w:val="009B724E"/>
    <w:rsid w:val="009C3E2C"/>
    <w:rsid w:val="009C434E"/>
    <w:rsid w:val="009C5BA4"/>
    <w:rsid w:val="009D19AD"/>
    <w:rsid w:val="009D51C6"/>
    <w:rsid w:val="009E3C44"/>
    <w:rsid w:val="009E5998"/>
    <w:rsid w:val="009E6DB0"/>
    <w:rsid w:val="009F51A0"/>
    <w:rsid w:val="00A05DDC"/>
    <w:rsid w:val="00A0710D"/>
    <w:rsid w:val="00A0772A"/>
    <w:rsid w:val="00A30FF5"/>
    <w:rsid w:val="00A43114"/>
    <w:rsid w:val="00A53617"/>
    <w:rsid w:val="00A54BFC"/>
    <w:rsid w:val="00A565B9"/>
    <w:rsid w:val="00A61B7E"/>
    <w:rsid w:val="00A6239D"/>
    <w:rsid w:val="00A65800"/>
    <w:rsid w:val="00A74660"/>
    <w:rsid w:val="00A75D12"/>
    <w:rsid w:val="00A81B2A"/>
    <w:rsid w:val="00A93EF1"/>
    <w:rsid w:val="00A969E7"/>
    <w:rsid w:val="00A97EC1"/>
    <w:rsid w:val="00AA0C3A"/>
    <w:rsid w:val="00AB00BB"/>
    <w:rsid w:val="00AB3DE2"/>
    <w:rsid w:val="00AB5369"/>
    <w:rsid w:val="00AC20DD"/>
    <w:rsid w:val="00AD0F62"/>
    <w:rsid w:val="00AD5FEB"/>
    <w:rsid w:val="00AD67F4"/>
    <w:rsid w:val="00AE6963"/>
    <w:rsid w:val="00AF4B1A"/>
    <w:rsid w:val="00B00697"/>
    <w:rsid w:val="00B00795"/>
    <w:rsid w:val="00B01F50"/>
    <w:rsid w:val="00B122C2"/>
    <w:rsid w:val="00B14793"/>
    <w:rsid w:val="00B1599C"/>
    <w:rsid w:val="00B17269"/>
    <w:rsid w:val="00B2446E"/>
    <w:rsid w:val="00B31F31"/>
    <w:rsid w:val="00B50747"/>
    <w:rsid w:val="00B55B29"/>
    <w:rsid w:val="00B66AAC"/>
    <w:rsid w:val="00B76DF4"/>
    <w:rsid w:val="00B802AB"/>
    <w:rsid w:val="00B81A41"/>
    <w:rsid w:val="00BA7191"/>
    <w:rsid w:val="00BC122C"/>
    <w:rsid w:val="00BC1765"/>
    <w:rsid w:val="00BC25E2"/>
    <w:rsid w:val="00BD0953"/>
    <w:rsid w:val="00BD0BFF"/>
    <w:rsid w:val="00BD5878"/>
    <w:rsid w:val="00BE00BF"/>
    <w:rsid w:val="00BE5A84"/>
    <w:rsid w:val="00BF64AB"/>
    <w:rsid w:val="00C157C6"/>
    <w:rsid w:val="00C3761C"/>
    <w:rsid w:val="00C37E25"/>
    <w:rsid w:val="00C56126"/>
    <w:rsid w:val="00C60D63"/>
    <w:rsid w:val="00C675CB"/>
    <w:rsid w:val="00C7038B"/>
    <w:rsid w:val="00C72263"/>
    <w:rsid w:val="00C723B8"/>
    <w:rsid w:val="00C83017"/>
    <w:rsid w:val="00C86382"/>
    <w:rsid w:val="00C877EC"/>
    <w:rsid w:val="00C924C4"/>
    <w:rsid w:val="00CA33C8"/>
    <w:rsid w:val="00CA3B4B"/>
    <w:rsid w:val="00CA5699"/>
    <w:rsid w:val="00CB20AA"/>
    <w:rsid w:val="00CC12F6"/>
    <w:rsid w:val="00CD29BB"/>
    <w:rsid w:val="00CD7566"/>
    <w:rsid w:val="00CD7FFC"/>
    <w:rsid w:val="00CE2EF9"/>
    <w:rsid w:val="00CE3A82"/>
    <w:rsid w:val="00CE4ABD"/>
    <w:rsid w:val="00CF2C31"/>
    <w:rsid w:val="00D0106D"/>
    <w:rsid w:val="00D0678F"/>
    <w:rsid w:val="00D068D0"/>
    <w:rsid w:val="00D117AA"/>
    <w:rsid w:val="00D13C7C"/>
    <w:rsid w:val="00D155EA"/>
    <w:rsid w:val="00D15642"/>
    <w:rsid w:val="00D1638A"/>
    <w:rsid w:val="00D20CFB"/>
    <w:rsid w:val="00D267AF"/>
    <w:rsid w:val="00D33570"/>
    <w:rsid w:val="00D36446"/>
    <w:rsid w:val="00D401BB"/>
    <w:rsid w:val="00D4073A"/>
    <w:rsid w:val="00D42C56"/>
    <w:rsid w:val="00D5317A"/>
    <w:rsid w:val="00D61468"/>
    <w:rsid w:val="00D6313F"/>
    <w:rsid w:val="00D84A77"/>
    <w:rsid w:val="00D91A7C"/>
    <w:rsid w:val="00D92816"/>
    <w:rsid w:val="00DB4E56"/>
    <w:rsid w:val="00DC2830"/>
    <w:rsid w:val="00DD049A"/>
    <w:rsid w:val="00DD0933"/>
    <w:rsid w:val="00DD1CA4"/>
    <w:rsid w:val="00DD31D7"/>
    <w:rsid w:val="00DD53A1"/>
    <w:rsid w:val="00DD6377"/>
    <w:rsid w:val="00DE4FFA"/>
    <w:rsid w:val="00DE5AEE"/>
    <w:rsid w:val="00DF1EBF"/>
    <w:rsid w:val="00DF4341"/>
    <w:rsid w:val="00DF6F61"/>
    <w:rsid w:val="00DF7E6B"/>
    <w:rsid w:val="00E049DE"/>
    <w:rsid w:val="00E1394A"/>
    <w:rsid w:val="00E2285B"/>
    <w:rsid w:val="00E25D90"/>
    <w:rsid w:val="00E41F01"/>
    <w:rsid w:val="00E426F8"/>
    <w:rsid w:val="00E42C8A"/>
    <w:rsid w:val="00E47230"/>
    <w:rsid w:val="00E5086C"/>
    <w:rsid w:val="00E525A3"/>
    <w:rsid w:val="00E66043"/>
    <w:rsid w:val="00E81308"/>
    <w:rsid w:val="00E82595"/>
    <w:rsid w:val="00E82F61"/>
    <w:rsid w:val="00E90ABD"/>
    <w:rsid w:val="00E90B76"/>
    <w:rsid w:val="00EA10FB"/>
    <w:rsid w:val="00EA4C38"/>
    <w:rsid w:val="00EA7D75"/>
    <w:rsid w:val="00EB2D67"/>
    <w:rsid w:val="00EC1EC2"/>
    <w:rsid w:val="00EC438D"/>
    <w:rsid w:val="00EC6C39"/>
    <w:rsid w:val="00ED5879"/>
    <w:rsid w:val="00ED7BA9"/>
    <w:rsid w:val="00ED7C87"/>
    <w:rsid w:val="00EE156B"/>
    <w:rsid w:val="00EE2DBE"/>
    <w:rsid w:val="00EF182E"/>
    <w:rsid w:val="00EF2DBB"/>
    <w:rsid w:val="00EF3B2B"/>
    <w:rsid w:val="00EF6130"/>
    <w:rsid w:val="00EF7AD0"/>
    <w:rsid w:val="00F026ED"/>
    <w:rsid w:val="00F02AEB"/>
    <w:rsid w:val="00F02EB2"/>
    <w:rsid w:val="00F03193"/>
    <w:rsid w:val="00F147AD"/>
    <w:rsid w:val="00F17B92"/>
    <w:rsid w:val="00F23A4D"/>
    <w:rsid w:val="00F261D5"/>
    <w:rsid w:val="00F26977"/>
    <w:rsid w:val="00F26CC7"/>
    <w:rsid w:val="00F30F8A"/>
    <w:rsid w:val="00F3558A"/>
    <w:rsid w:val="00F365EF"/>
    <w:rsid w:val="00F37D79"/>
    <w:rsid w:val="00F40451"/>
    <w:rsid w:val="00F41819"/>
    <w:rsid w:val="00F418DA"/>
    <w:rsid w:val="00F46F77"/>
    <w:rsid w:val="00F50610"/>
    <w:rsid w:val="00F567E0"/>
    <w:rsid w:val="00F60649"/>
    <w:rsid w:val="00F67CC4"/>
    <w:rsid w:val="00F81BD6"/>
    <w:rsid w:val="00F83E66"/>
    <w:rsid w:val="00F8516F"/>
    <w:rsid w:val="00F86589"/>
    <w:rsid w:val="00F86760"/>
    <w:rsid w:val="00F86D72"/>
    <w:rsid w:val="00F900A0"/>
    <w:rsid w:val="00F91ABB"/>
    <w:rsid w:val="00F926A9"/>
    <w:rsid w:val="00F93A37"/>
    <w:rsid w:val="00F9587B"/>
    <w:rsid w:val="00F95EF5"/>
    <w:rsid w:val="00FA04CB"/>
    <w:rsid w:val="00FA2355"/>
    <w:rsid w:val="00FA7628"/>
    <w:rsid w:val="00FA7665"/>
    <w:rsid w:val="00FC3C21"/>
    <w:rsid w:val="00FC4D5D"/>
    <w:rsid w:val="00FD5E55"/>
    <w:rsid w:val="00FD5E6A"/>
    <w:rsid w:val="00FD6535"/>
    <w:rsid w:val="00FE24A7"/>
    <w:rsid w:val="00FE3D41"/>
    <w:rsid w:val="00FE5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04"/>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webb, Знак Знак"/>
    <w:basedOn w:val="a"/>
    <w:link w:val="a4"/>
    <w:uiPriority w:val="99"/>
    <w:unhideWhenUsed/>
    <w:qFormat/>
    <w:rsid w:val="008004F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 Знак Знак1,webb Знак Знак Знак,webb Знак, Знак Знак Знак"/>
    <w:basedOn w:val="a0"/>
    <w:link w:val="a3"/>
    <w:uiPriority w:val="99"/>
    <w:locked/>
    <w:rsid w:val="008004FE"/>
    <w:rPr>
      <w:rFonts w:ascii="Times New Roman" w:eastAsia="Times New Roman" w:hAnsi="Times New Roman" w:cs="Times New Roman"/>
      <w:sz w:val="24"/>
      <w:szCs w:val="24"/>
      <w:lang w:val="ro-RO" w:eastAsia="ru-RU"/>
    </w:rPr>
  </w:style>
  <w:style w:type="paragraph" w:styleId="a5">
    <w:name w:val="header"/>
    <w:basedOn w:val="a"/>
    <w:link w:val="a6"/>
    <w:uiPriority w:val="99"/>
    <w:unhideWhenUsed/>
    <w:rsid w:val="009D51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51C6"/>
    <w:rPr>
      <w:lang w:val="ro-RO"/>
    </w:rPr>
  </w:style>
  <w:style w:type="paragraph" w:styleId="a7">
    <w:name w:val="footer"/>
    <w:basedOn w:val="a"/>
    <w:link w:val="a8"/>
    <w:uiPriority w:val="99"/>
    <w:unhideWhenUsed/>
    <w:rsid w:val="00123B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3BC6"/>
    <w:rPr>
      <w:lang w:val="ro-RO"/>
    </w:rPr>
  </w:style>
  <w:style w:type="paragraph" w:styleId="a9">
    <w:name w:val="List Paragraph"/>
    <w:basedOn w:val="a"/>
    <w:uiPriority w:val="34"/>
    <w:qFormat/>
    <w:rsid w:val="007915E3"/>
    <w:pPr>
      <w:spacing w:after="0" w:line="240" w:lineRule="auto"/>
      <w:ind w:left="720"/>
    </w:pPr>
    <w:rPr>
      <w:rFonts w:ascii="Calibri" w:hAnsi="Calibri" w:cs="Times New Roman"/>
      <w:lang w:val="ru-RU" w:eastAsia="ru-RU"/>
    </w:rPr>
  </w:style>
  <w:style w:type="table" w:styleId="aa">
    <w:name w:val="Table Grid"/>
    <w:basedOn w:val="a1"/>
    <w:uiPriority w:val="59"/>
    <w:rsid w:val="00260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642477">
      <w:bodyDiv w:val="1"/>
      <w:marLeft w:val="0"/>
      <w:marRight w:val="0"/>
      <w:marTop w:val="0"/>
      <w:marBottom w:val="0"/>
      <w:divBdr>
        <w:top w:val="none" w:sz="0" w:space="0" w:color="auto"/>
        <w:left w:val="none" w:sz="0" w:space="0" w:color="auto"/>
        <w:bottom w:val="none" w:sz="0" w:space="0" w:color="auto"/>
        <w:right w:val="none" w:sz="0" w:space="0" w:color="auto"/>
      </w:divBdr>
    </w:div>
    <w:div w:id="159855105">
      <w:bodyDiv w:val="1"/>
      <w:marLeft w:val="0"/>
      <w:marRight w:val="0"/>
      <w:marTop w:val="0"/>
      <w:marBottom w:val="0"/>
      <w:divBdr>
        <w:top w:val="none" w:sz="0" w:space="0" w:color="auto"/>
        <w:left w:val="none" w:sz="0" w:space="0" w:color="auto"/>
        <w:bottom w:val="none" w:sz="0" w:space="0" w:color="auto"/>
        <w:right w:val="none" w:sz="0" w:space="0" w:color="auto"/>
      </w:divBdr>
    </w:div>
    <w:div w:id="168100501">
      <w:bodyDiv w:val="1"/>
      <w:marLeft w:val="0"/>
      <w:marRight w:val="0"/>
      <w:marTop w:val="0"/>
      <w:marBottom w:val="0"/>
      <w:divBdr>
        <w:top w:val="none" w:sz="0" w:space="0" w:color="auto"/>
        <w:left w:val="none" w:sz="0" w:space="0" w:color="auto"/>
        <w:bottom w:val="none" w:sz="0" w:space="0" w:color="auto"/>
        <w:right w:val="none" w:sz="0" w:space="0" w:color="auto"/>
      </w:divBdr>
    </w:div>
    <w:div w:id="280108455">
      <w:bodyDiv w:val="1"/>
      <w:marLeft w:val="0"/>
      <w:marRight w:val="0"/>
      <w:marTop w:val="0"/>
      <w:marBottom w:val="0"/>
      <w:divBdr>
        <w:top w:val="none" w:sz="0" w:space="0" w:color="auto"/>
        <w:left w:val="none" w:sz="0" w:space="0" w:color="auto"/>
        <w:bottom w:val="none" w:sz="0" w:space="0" w:color="auto"/>
        <w:right w:val="none" w:sz="0" w:space="0" w:color="auto"/>
      </w:divBdr>
    </w:div>
    <w:div w:id="302320916">
      <w:bodyDiv w:val="1"/>
      <w:marLeft w:val="0"/>
      <w:marRight w:val="0"/>
      <w:marTop w:val="0"/>
      <w:marBottom w:val="0"/>
      <w:divBdr>
        <w:top w:val="none" w:sz="0" w:space="0" w:color="auto"/>
        <w:left w:val="none" w:sz="0" w:space="0" w:color="auto"/>
        <w:bottom w:val="none" w:sz="0" w:space="0" w:color="auto"/>
        <w:right w:val="none" w:sz="0" w:space="0" w:color="auto"/>
      </w:divBdr>
    </w:div>
    <w:div w:id="415173531">
      <w:bodyDiv w:val="1"/>
      <w:marLeft w:val="0"/>
      <w:marRight w:val="0"/>
      <w:marTop w:val="0"/>
      <w:marBottom w:val="0"/>
      <w:divBdr>
        <w:top w:val="none" w:sz="0" w:space="0" w:color="auto"/>
        <w:left w:val="none" w:sz="0" w:space="0" w:color="auto"/>
        <w:bottom w:val="none" w:sz="0" w:space="0" w:color="auto"/>
        <w:right w:val="none" w:sz="0" w:space="0" w:color="auto"/>
      </w:divBdr>
    </w:div>
    <w:div w:id="485587645">
      <w:bodyDiv w:val="1"/>
      <w:marLeft w:val="0"/>
      <w:marRight w:val="0"/>
      <w:marTop w:val="0"/>
      <w:marBottom w:val="0"/>
      <w:divBdr>
        <w:top w:val="none" w:sz="0" w:space="0" w:color="auto"/>
        <w:left w:val="none" w:sz="0" w:space="0" w:color="auto"/>
        <w:bottom w:val="none" w:sz="0" w:space="0" w:color="auto"/>
        <w:right w:val="none" w:sz="0" w:space="0" w:color="auto"/>
      </w:divBdr>
    </w:div>
    <w:div w:id="530846747">
      <w:bodyDiv w:val="1"/>
      <w:marLeft w:val="0"/>
      <w:marRight w:val="0"/>
      <w:marTop w:val="0"/>
      <w:marBottom w:val="0"/>
      <w:divBdr>
        <w:top w:val="none" w:sz="0" w:space="0" w:color="auto"/>
        <w:left w:val="none" w:sz="0" w:space="0" w:color="auto"/>
        <w:bottom w:val="none" w:sz="0" w:space="0" w:color="auto"/>
        <w:right w:val="none" w:sz="0" w:space="0" w:color="auto"/>
      </w:divBdr>
    </w:div>
    <w:div w:id="603072118">
      <w:bodyDiv w:val="1"/>
      <w:marLeft w:val="0"/>
      <w:marRight w:val="0"/>
      <w:marTop w:val="0"/>
      <w:marBottom w:val="0"/>
      <w:divBdr>
        <w:top w:val="none" w:sz="0" w:space="0" w:color="auto"/>
        <w:left w:val="none" w:sz="0" w:space="0" w:color="auto"/>
        <w:bottom w:val="none" w:sz="0" w:space="0" w:color="auto"/>
        <w:right w:val="none" w:sz="0" w:space="0" w:color="auto"/>
      </w:divBdr>
    </w:div>
    <w:div w:id="661395299">
      <w:bodyDiv w:val="1"/>
      <w:marLeft w:val="0"/>
      <w:marRight w:val="0"/>
      <w:marTop w:val="0"/>
      <w:marBottom w:val="0"/>
      <w:divBdr>
        <w:top w:val="none" w:sz="0" w:space="0" w:color="auto"/>
        <w:left w:val="none" w:sz="0" w:space="0" w:color="auto"/>
        <w:bottom w:val="none" w:sz="0" w:space="0" w:color="auto"/>
        <w:right w:val="none" w:sz="0" w:space="0" w:color="auto"/>
      </w:divBdr>
    </w:div>
    <w:div w:id="855462677">
      <w:bodyDiv w:val="1"/>
      <w:marLeft w:val="0"/>
      <w:marRight w:val="0"/>
      <w:marTop w:val="0"/>
      <w:marBottom w:val="0"/>
      <w:divBdr>
        <w:top w:val="none" w:sz="0" w:space="0" w:color="auto"/>
        <w:left w:val="none" w:sz="0" w:space="0" w:color="auto"/>
        <w:bottom w:val="none" w:sz="0" w:space="0" w:color="auto"/>
        <w:right w:val="none" w:sz="0" w:space="0" w:color="auto"/>
      </w:divBdr>
    </w:div>
    <w:div w:id="867452875">
      <w:bodyDiv w:val="1"/>
      <w:marLeft w:val="0"/>
      <w:marRight w:val="0"/>
      <w:marTop w:val="0"/>
      <w:marBottom w:val="0"/>
      <w:divBdr>
        <w:top w:val="none" w:sz="0" w:space="0" w:color="auto"/>
        <w:left w:val="none" w:sz="0" w:space="0" w:color="auto"/>
        <w:bottom w:val="none" w:sz="0" w:space="0" w:color="auto"/>
        <w:right w:val="none" w:sz="0" w:space="0" w:color="auto"/>
      </w:divBdr>
    </w:div>
    <w:div w:id="941490939">
      <w:bodyDiv w:val="1"/>
      <w:marLeft w:val="0"/>
      <w:marRight w:val="0"/>
      <w:marTop w:val="0"/>
      <w:marBottom w:val="0"/>
      <w:divBdr>
        <w:top w:val="none" w:sz="0" w:space="0" w:color="auto"/>
        <w:left w:val="none" w:sz="0" w:space="0" w:color="auto"/>
        <w:bottom w:val="none" w:sz="0" w:space="0" w:color="auto"/>
        <w:right w:val="none" w:sz="0" w:space="0" w:color="auto"/>
      </w:divBdr>
    </w:div>
    <w:div w:id="951862283">
      <w:bodyDiv w:val="1"/>
      <w:marLeft w:val="0"/>
      <w:marRight w:val="0"/>
      <w:marTop w:val="0"/>
      <w:marBottom w:val="0"/>
      <w:divBdr>
        <w:top w:val="none" w:sz="0" w:space="0" w:color="auto"/>
        <w:left w:val="none" w:sz="0" w:space="0" w:color="auto"/>
        <w:bottom w:val="none" w:sz="0" w:space="0" w:color="auto"/>
        <w:right w:val="none" w:sz="0" w:space="0" w:color="auto"/>
      </w:divBdr>
    </w:div>
    <w:div w:id="1074861748">
      <w:bodyDiv w:val="1"/>
      <w:marLeft w:val="0"/>
      <w:marRight w:val="0"/>
      <w:marTop w:val="0"/>
      <w:marBottom w:val="0"/>
      <w:divBdr>
        <w:top w:val="none" w:sz="0" w:space="0" w:color="auto"/>
        <w:left w:val="none" w:sz="0" w:space="0" w:color="auto"/>
        <w:bottom w:val="none" w:sz="0" w:space="0" w:color="auto"/>
        <w:right w:val="none" w:sz="0" w:space="0" w:color="auto"/>
      </w:divBdr>
    </w:div>
    <w:div w:id="1184514949">
      <w:bodyDiv w:val="1"/>
      <w:marLeft w:val="0"/>
      <w:marRight w:val="0"/>
      <w:marTop w:val="0"/>
      <w:marBottom w:val="0"/>
      <w:divBdr>
        <w:top w:val="none" w:sz="0" w:space="0" w:color="auto"/>
        <w:left w:val="none" w:sz="0" w:space="0" w:color="auto"/>
        <w:bottom w:val="none" w:sz="0" w:space="0" w:color="auto"/>
        <w:right w:val="none" w:sz="0" w:space="0" w:color="auto"/>
      </w:divBdr>
    </w:div>
    <w:div w:id="1198153554">
      <w:bodyDiv w:val="1"/>
      <w:marLeft w:val="0"/>
      <w:marRight w:val="0"/>
      <w:marTop w:val="0"/>
      <w:marBottom w:val="0"/>
      <w:divBdr>
        <w:top w:val="none" w:sz="0" w:space="0" w:color="auto"/>
        <w:left w:val="none" w:sz="0" w:space="0" w:color="auto"/>
        <w:bottom w:val="none" w:sz="0" w:space="0" w:color="auto"/>
        <w:right w:val="none" w:sz="0" w:space="0" w:color="auto"/>
      </w:divBdr>
    </w:div>
    <w:div w:id="1386180834">
      <w:bodyDiv w:val="1"/>
      <w:marLeft w:val="0"/>
      <w:marRight w:val="0"/>
      <w:marTop w:val="0"/>
      <w:marBottom w:val="0"/>
      <w:divBdr>
        <w:top w:val="none" w:sz="0" w:space="0" w:color="auto"/>
        <w:left w:val="none" w:sz="0" w:space="0" w:color="auto"/>
        <w:bottom w:val="none" w:sz="0" w:space="0" w:color="auto"/>
        <w:right w:val="none" w:sz="0" w:space="0" w:color="auto"/>
      </w:divBdr>
    </w:div>
    <w:div w:id="1439566037">
      <w:bodyDiv w:val="1"/>
      <w:marLeft w:val="0"/>
      <w:marRight w:val="0"/>
      <w:marTop w:val="0"/>
      <w:marBottom w:val="0"/>
      <w:divBdr>
        <w:top w:val="none" w:sz="0" w:space="0" w:color="auto"/>
        <w:left w:val="none" w:sz="0" w:space="0" w:color="auto"/>
        <w:bottom w:val="none" w:sz="0" w:space="0" w:color="auto"/>
        <w:right w:val="none" w:sz="0" w:space="0" w:color="auto"/>
      </w:divBdr>
    </w:div>
    <w:div w:id="1705520733">
      <w:bodyDiv w:val="1"/>
      <w:marLeft w:val="0"/>
      <w:marRight w:val="0"/>
      <w:marTop w:val="0"/>
      <w:marBottom w:val="0"/>
      <w:divBdr>
        <w:top w:val="none" w:sz="0" w:space="0" w:color="auto"/>
        <w:left w:val="none" w:sz="0" w:space="0" w:color="auto"/>
        <w:bottom w:val="none" w:sz="0" w:space="0" w:color="auto"/>
        <w:right w:val="none" w:sz="0" w:space="0" w:color="auto"/>
      </w:divBdr>
    </w:div>
    <w:div w:id="1736080539">
      <w:bodyDiv w:val="1"/>
      <w:marLeft w:val="0"/>
      <w:marRight w:val="0"/>
      <w:marTop w:val="0"/>
      <w:marBottom w:val="0"/>
      <w:divBdr>
        <w:top w:val="none" w:sz="0" w:space="0" w:color="auto"/>
        <w:left w:val="none" w:sz="0" w:space="0" w:color="auto"/>
        <w:bottom w:val="none" w:sz="0" w:space="0" w:color="auto"/>
        <w:right w:val="none" w:sz="0" w:space="0" w:color="auto"/>
      </w:divBdr>
    </w:div>
    <w:div w:id="1810322099">
      <w:bodyDiv w:val="1"/>
      <w:marLeft w:val="0"/>
      <w:marRight w:val="0"/>
      <w:marTop w:val="0"/>
      <w:marBottom w:val="0"/>
      <w:divBdr>
        <w:top w:val="none" w:sz="0" w:space="0" w:color="auto"/>
        <w:left w:val="none" w:sz="0" w:space="0" w:color="auto"/>
        <w:bottom w:val="none" w:sz="0" w:space="0" w:color="auto"/>
        <w:right w:val="none" w:sz="0" w:space="0" w:color="auto"/>
      </w:divBdr>
    </w:div>
    <w:div w:id="1830562271">
      <w:bodyDiv w:val="1"/>
      <w:marLeft w:val="0"/>
      <w:marRight w:val="0"/>
      <w:marTop w:val="0"/>
      <w:marBottom w:val="0"/>
      <w:divBdr>
        <w:top w:val="none" w:sz="0" w:space="0" w:color="auto"/>
        <w:left w:val="none" w:sz="0" w:space="0" w:color="auto"/>
        <w:bottom w:val="none" w:sz="0" w:space="0" w:color="auto"/>
        <w:right w:val="none" w:sz="0" w:space="0" w:color="auto"/>
      </w:divBdr>
    </w:div>
    <w:div w:id="1930239112">
      <w:bodyDiv w:val="1"/>
      <w:marLeft w:val="0"/>
      <w:marRight w:val="0"/>
      <w:marTop w:val="0"/>
      <w:marBottom w:val="0"/>
      <w:divBdr>
        <w:top w:val="none" w:sz="0" w:space="0" w:color="auto"/>
        <w:left w:val="none" w:sz="0" w:space="0" w:color="auto"/>
        <w:bottom w:val="none" w:sz="0" w:space="0" w:color="auto"/>
        <w:right w:val="none" w:sz="0" w:space="0" w:color="auto"/>
      </w:divBdr>
    </w:div>
    <w:div w:id="2107652264">
      <w:bodyDiv w:val="1"/>
      <w:marLeft w:val="0"/>
      <w:marRight w:val="0"/>
      <w:marTop w:val="0"/>
      <w:marBottom w:val="0"/>
      <w:divBdr>
        <w:top w:val="none" w:sz="0" w:space="0" w:color="auto"/>
        <w:left w:val="none" w:sz="0" w:space="0" w:color="auto"/>
        <w:bottom w:val="none" w:sz="0" w:space="0" w:color="auto"/>
        <w:right w:val="none" w:sz="0" w:space="0" w:color="auto"/>
      </w:divBdr>
    </w:div>
    <w:div w:id="21275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B8D9-A17D-43C7-AE46-B39862C5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marusicsve</cp:lastModifiedBy>
  <cp:revision>14</cp:revision>
  <cp:lastPrinted>2015-09-23T11:03:00Z</cp:lastPrinted>
  <dcterms:created xsi:type="dcterms:W3CDTF">2015-09-22T12:15:00Z</dcterms:created>
  <dcterms:modified xsi:type="dcterms:W3CDTF">2015-10-02T06:55:00Z</dcterms:modified>
</cp:coreProperties>
</file>