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C74" w:rsidRPr="00833CE0" w:rsidRDefault="007C1C74" w:rsidP="00DC063A">
      <w:pPr>
        <w:pStyle w:val="Title"/>
        <w:rPr>
          <w:rStyle w:val="Strong"/>
          <w:bCs/>
          <w:sz w:val="24"/>
          <w:szCs w:val="24"/>
          <w:lang w:val="ro-RO"/>
        </w:rPr>
      </w:pPr>
      <w:r w:rsidRPr="00833CE0">
        <w:rPr>
          <w:rStyle w:val="Strong"/>
          <w:bCs/>
          <w:sz w:val="24"/>
          <w:szCs w:val="24"/>
          <w:lang w:val="ro-RO"/>
        </w:rPr>
        <w:t>Notă informativă</w:t>
      </w:r>
    </w:p>
    <w:p w:rsidR="007C1C74" w:rsidRPr="00833CE0" w:rsidRDefault="007C1C74" w:rsidP="00DC063A">
      <w:pPr>
        <w:jc w:val="center"/>
        <w:rPr>
          <w:rStyle w:val="Strong"/>
          <w:b w:val="0"/>
          <w:bCs/>
          <w:sz w:val="24"/>
          <w:szCs w:val="24"/>
          <w:lang w:val="ro-RO"/>
        </w:rPr>
      </w:pPr>
      <w:r w:rsidRPr="00833CE0">
        <w:rPr>
          <w:rStyle w:val="Strong"/>
          <w:b w:val="0"/>
          <w:bCs/>
          <w:sz w:val="24"/>
          <w:szCs w:val="24"/>
          <w:lang w:val="ro-RO"/>
        </w:rPr>
        <w:t xml:space="preserve">la proiectul </w:t>
      </w:r>
      <w:r>
        <w:rPr>
          <w:rStyle w:val="Strong"/>
          <w:b w:val="0"/>
          <w:bCs/>
          <w:sz w:val="24"/>
          <w:szCs w:val="24"/>
          <w:lang w:val="ro-RO"/>
        </w:rPr>
        <w:t>legii</w:t>
      </w:r>
      <w:r w:rsidRPr="00833CE0">
        <w:rPr>
          <w:rStyle w:val="Strong"/>
          <w:b w:val="0"/>
          <w:bCs/>
          <w:sz w:val="24"/>
          <w:szCs w:val="24"/>
          <w:lang w:val="ro-RO"/>
        </w:rPr>
        <w:t xml:space="preserve"> „Cu privire la aprobarea proiectului de Lege cu privire la modificarea unor acte legislative”</w:t>
      </w:r>
    </w:p>
    <w:p w:rsidR="007C1C74" w:rsidRPr="00833CE0" w:rsidRDefault="007C1C74" w:rsidP="00DC063A">
      <w:pPr>
        <w:pStyle w:val="tt"/>
        <w:ind w:right="316"/>
        <w:jc w:val="both"/>
        <w:rPr>
          <w:rStyle w:val="Strong"/>
          <w:b/>
          <w:lang w:val="ro-RO"/>
        </w:rPr>
      </w:pPr>
    </w:p>
    <w:p w:rsidR="007C1C74" w:rsidRPr="00563DBC" w:rsidRDefault="007C1C74" w:rsidP="00E96801">
      <w:pPr>
        <w:pStyle w:val="cn"/>
        <w:ind w:firstLine="708"/>
        <w:jc w:val="both"/>
        <w:rPr>
          <w:rStyle w:val="Strong"/>
          <w:bCs/>
          <w:lang w:val="ro-RO"/>
        </w:rPr>
      </w:pPr>
      <w:r w:rsidRPr="00833CE0">
        <w:rPr>
          <w:rStyle w:val="Strong"/>
          <w:bCs/>
          <w:lang w:val="ro-RO"/>
        </w:rPr>
        <w:t xml:space="preserve">1. Scopul elaborării: </w:t>
      </w:r>
      <w:r w:rsidRPr="00833CE0">
        <w:rPr>
          <w:lang w:val="ro-RO"/>
        </w:rPr>
        <w:t xml:space="preserve">Scopul proiectului legii este aducerea în conformitate a cadrului legislativ existent cu proiectul </w:t>
      </w:r>
      <w:r w:rsidRPr="00833CE0">
        <w:rPr>
          <w:rStyle w:val="Strong"/>
          <w:b w:val="0"/>
          <w:bCs/>
          <w:lang w:val="ro-RO"/>
        </w:rPr>
        <w:t>Legii privind</w:t>
      </w:r>
      <w:r w:rsidRPr="00833CE0">
        <w:rPr>
          <w:lang w:val="ro-RO"/>
        </w:rPr>
        <w:t>supravegherea pieţei care</w:t>
      </w:r>
      <w:r w:rsidRPr="00833CE0">
        <w:rPr>
          <w:lang w:val="ro-MO"/>
        </w:rPr>
        <w:t xml:space="preserve"> stabil</w:t>
      </w:r>
      <w:r>
        <w:rPr>
          <w:lang w:val="ro-MO"/>
        </w:rPr>
        <w:t>e</w:t>
      </w:r>
      <w:r>
        <w:rPr>
          <w:rFonts w:ascii="Tahoma" w:hAnsi="Tahoma" w:cs="Tahoma"/>
          <w:lang w:val="ro-MO"/>
        </w:rPr>
        <w:t>ș</w:t>
      </w:r>
      <w:r>
        <w:rPr>
          <w:lang w:val="ro-MO"/>
        </w:rPr>
        <w:t xml:space="preserve">te </w:t>
      </w:r>
      <w:r w:rsidRPr="00833CE0">
        <w:rPr>
          <w:lang w:val="ro-MO"/>
        </w:rPr>
        <w:t>norme şi principii legate de supravegherea pieţei</w:t>
      </w:r>
      <w:r w:rsidRPr="00833CE0">
        <w:rPr>
          <w:lang w:val="ro-RO"/>
        </w:rPr>
        <w:t xml:space="preserve"> în ceea ce </w:t>
      </w:r>
      <w:r w:rsidRPr="00563DBC">
        <w:rPr>
          <w:lang w:val="ro-RO"/>
        </w:rPr>
        <w:t>priveşte corespunderea produselor</w:t>
      </w:r>
      <w:r w:rsidRPr="00563DBC">
        <w:rPr>
          <w:lang w:val="ro-MO"/>
        </w:rPr>
        <w:t xml:space="preserve"> nealimentare</w:t>
      </w:r>
      <w:r w:rsidRPr="00563DBC">
        <w:rPr>
          <w:lang w:val="ro-RO"/>
        </w:rPr>
        <w:t xml:space="preserve"> introduse pe piaţă si/sau puse în funcţiune cu cerinţele esenţiale stabilite în reglementările tehnice,</w:t>
      </w:r>
      <w:r w:rsidRPr="00563DBC">
        <w:rPr>
          <w:lang w:val="ro-MO"/>
        </w:rPr>
        <w:t xml:space="preserve"> în scopul asigurării prin activităţile de supraveghere  efectuate de autorităţile împuternicite, protejarea intereselor publice precum sănătatea</w:t>
      </w:r>
      <w:r w:rsidRPr="00563DBC">
        <w:rPr>
          <w:lang w:val="ro-RO"/>
        </w:rPr>
        <w:t xml:space="preserve"> şi siguranţa în general, sănătatea şi siguranţa la locul de muncă, protecţia consumatorilor, protecţia mediului şi securitatea</w:t>
      </w:r>
      <w:r w:rsidRPr="00563DBC">
        <w:rPr>
          <w:rStyle w:val="Strong"/>
          <w:bCs/>
          <w:lang w:val="ro-RO"/>
        </w:rPr>
        <w:t>.</w:t>
      </w:r>
    </w:p>
    <w:p w:rsidR="007C1C74" w:rsidRPr="00833CE0" w:rsidRDefault="007C1C74" w:rsidP="006D1728">
      <w:pPr>
        <w:ind w:firstLine="708"/>
        <w:jc w:val="both"/>
        <w:rPr>
          <w:bCs/>
          <w:sz w:val="24"/>
          <w:szCs w:val="24"/>
          <w:lang w:val="ro-RO"/>
        </w:rPr>
      </w:pPr>
      <w:r w:rsidRPr="00563DBC">
        <w:rPr>
          <w:rStyle w:val="Strong"/>
          <w:bCs/>
          <w:sz w:val="24"/>
          <w:szCs w:val="24"/>
          <w:lang w:val="ro-RO"/>
        </w:rPr>
        <w:t xml:space="preserve">2. Esenţa proiectului: </w:t>
      </w:r>
      <w:r w:rsidRPr="00563DBC">
        <w:rPr>
          <w:rStyle w:val="Strong"/>
          <w:b w:val="0"/>
          <w:bCs/>
          <w:sz w:val="24"/>
          <w:szCs w:val="24"/>
          <w:lang w:val="ro-RO"/>
        </w:rPr>
        <w:t>Excluderea unor dublări a normelor</w:t>
      </w:r>
      <w:r w:rsidRPr="00833CE0">
        <w:rPr>
          <w:rStyle w:val="Strong"/>
          <w:b w:val="0"/>
          <w:bCs/>
          <w:sz w:val="24"/>
          <w:szCs w:val="24"/>
          <w:lang w:val="ro-RO"/>
        </w:rPr>
        <w:t xml:space="preserve"> legale prin abrogarea normelor privind supravegherea pieţei din</w:t>
      </w:r>
      <w:r>
        <w:rPr>
          <w:rStyle w:val="Strong"/>
          <w:b w:val="0"/>
          <w:bCs/>
          <w:sz w:val="24"/>
          <w:szCs w:val="24"/>
          <w:lang w:val="ro-RO"/>
        </w:rPr>
        <w:t xml:space="preserve"> </w:t>
      </w:r>
      <w:r w:rsidRPr="00685C34">
        <w:rPr>
          <w:b/>
          <w:sz w:val="24"/>
          <w:szCs w:val="24"/>
          <w:lang w:val="ro-RO"/>
        </w:rPr>
        <w:t>Legea nr.420-XVI din 22 decembrie 2006 privind activitatea de reglementare tehnică</w:t>
      </w:r>
      <w:r w:rsidRPr="00833CE0">
        <w:rPr>
          <w:bCs/>
          <w:sz w:val="24"/>
          <w:szCs w:val="24"/>
          <w:lang w:val="ro-RO"/>
        </w:rPr>
        <w:t>astfel ca normele care reglementează supravegherea pieţei să rămînă doar în Legea privind supravegherea pieţei.</w:t>
      </w:r>
    </w:p>
    <w:p w:rsidR="007C1C74" w:rsidRPr="00B34698" w:rsidRDefault="007C1C74" w:rsidP="00192387">
      <w:pPr>
        <w:ind w:firstLine="720"/>
        <w:jc w:val="both"/>
        <w:rPr>
          <w:sz w:val="24"/>
          <w:szCs w:val="24"/>
          <w:lang w:val="ro-RO"/>
        </w:rPr>
      </w:pPr>
      <w:r w:rsidRPr="00B34698">
        <w:rPr>
          <w:sz w:val="24"/>
          <w:szCs w:val="24"/>
          <w:lang w:val="ro-RO"/>
        </w:rPr>
        <w:t xml:space="preserve">Modificările şi completările la </w:t>
      </w:r>
      <w:r w:rsidRPr="00685C34">
        <w:rPr>
          <w:b/>
          <w:sz w:val="24"/>
          <w:szCs w:val="24"/>
          <w:lang w:val="ro-RO"/>
        </w:rPr>
        <w:t>Legea nr.422-XVI din 22 decembrie 2006 privind securitatea generală a produselor</w:t>
      </w:r>
      <w:r w:rsidRPr="00B34698">
        <w:rPr>
          <w:sz w:val="24"/>
          <w:szCs w:val="24"/>
          <w:lang w:val="ro-RO"/>
        </w:rPr>
        <w:t xml:space="preserve"> constau în concretizarea domeniului de aplicare a legii prin stabilirea excepţiilor de la prevederile legii, stabilirea că c</w:t>
      </w:r>
      <w:r w:rsidRPr="00B34698">
        <w:rPr>
          <w:sz w:val="24"/>
          <w:szCs w:val="24"/>
          <w:shd w:val="clear" w:color="auto" w:fill="FFFFFF"/>
          <w:lang w:val="ro-RO"/>
        </w:rPr>
        <w:t>ontrolul privind respectarea de către producători şi a distribuitoria cerinţei generale de siguranţă a produselor este asigurată prin activitatea de supravegherea pieţei, prevederi privind crearea s</w:t>
      </w:r>
      <w:r w:rsidRPr="00B34698">
        <w:rPr>
          <w:sz w:val="24"/>
          <w:szCs w:val="24"/>
          <w:lang w:val="ro-RO"/>
        </w:rPr>
        <w:t xml:space="preserve">istemului </w:t>
      </w:r>
      <w:r w:rsidRPr="00B34698">
        <w:rPr>
          <w:sz w:val="24"/>
          <w:szCs w:val="24"/>
          <w:shd w:val="clear" w:color="auto" w:fill="FFFFFF"/>
          <w:lang w:val="ro-RO"/>
        </w:rPr>
        <w:t>de schimb rapid de informaţii privind produsele care prezintă un risc grav.</w:t>
      </w:r>
    </w:p>
    <w:p w:rsidR="007C1C74" w:rsidRPr="00833CE0" w:rsidRDefault="007C1C74" w:rsidP="00C300AA">
      <w:pPr>
        <w:ind w:firstLine="720"/>
        <w:jc w:val="both"/>
        <w:rPr>
          <w:sz w:val="24"/>
          <w:szCs w:val="24"/>
          <w:lang w:val="ro-RO"/>
        </w:rPr>
      </w:pPr>
      <w:r w:rsidRPr="00B34698">
        <w:rPr>
          <w:bCs/>
          <w:sz w:val="24"/>
          <w:szCs w:val="24"/>
          <w:lang w:val="ro-RO"/>
        </w:rPr>
        <w:t xml:space="preserve">Deasemenea se modifică şi </w:t>
      </w:r>
      <w:r w:rsidRPr="00685C34">
        <w:rPr>
          <w:b/>
          <w:color w:val="000000"/>
          <w:sz w:val="24"/>
          <w:szCs w:val="24"/>
          <w:lang w:val="ro-RO"/>
        </w:rPr>
        <w:t>Codul contravenţional nr. 218-XVI din 24 octombrie 2008</w:t>
      </w:r>
      <w:r w:rsidRPr="00833CE0">
        <w:rPr>
          <w:sz w:val="24"/>
          <w:szCs w:val="24"/>
          <w:lang w:val="ro-RO"/>
        </w:rPr>
        <w:t xml:space="preserve">, în scopul stabilirii sancţiunilor pentru încălcarea cerinţei privind siguranţă generală a produselor la diferite etape a lanţului de distribuţie. </w:t>
      </w:r>
    </w:p>
    <w:p w:rsidR="007C1C74" w:rsidRPr="006D1728" w:rsidRDefault="007C1C74" w:rsidP="006D1728">
      <w:pPr>
        <w:ind w:firstLine="708"/>
        <w:jc w:val="both"/>
        <w:rPr>
          <w:sz w:val="24"/>
          <w:szCs w:val="24"/>
          <w:lang w:val="ro-RO"/>
        </w:rPr>
      </w:pPr>
      <w:r w:rsidRPr="006D1728">
        <w:rPr>
          <w:sz w:val="24"/>
          <w:szCs w:val="24"/>
          <w:lang w:val="ro-RO"/>
        </w:rPr>
        <w:t xml:space="preserve">Propunerile de modificare </w:t>
      </w:r>
      <w:r w:rsidRPr="006D1728">
        <w:rPr>
          <w:rFonts w:ascii="Tahoma" w:hAnsi="Tahoma" w:cs="Tahoma"/>
          <w:sz w:val="24"/>
          <w:szCs w:val="24"/>
          <w:lang w:val="ro-RO"/>
        </w:rPr>
        <w:t>ș</w:t>
      </w:r>
      <w:r w:rsidRPr="006D1728">
        <w:rPr>
          <w:sz w:val="24"/>
          <w:szCs w:val="24"/>
          <w:lang w:val="ro-RO"/>
        </w:rPr>
        <w:t>i completare a</w:t>
      </w:r>
      <w:r w:rsidRPr="006D1728">
        <w:rPr>
          <w:b/>
          <w:sz w:val="24"/>
          <w:szCs w:val="24"/>
          <w:lang w:val="ro-RO"/>
        </w:rPr>
        <w:t>Legii nr. 235 din 01 decembrie 2011 privind activităţile de acreditare şi de evaluare a conformităţii</w:t>
      </w:r>
      <w:r w:rsidRPr="006D1728">
        <w:rPr>
          <w:sz w:val="24"/>
          <w:szCs w:val="24"/>
          <w:lang w:val="ro-RO"/>
        </w:rPr>
        <w:t>vin să completeze cu unele no</w:t>
      </w:r>
      <w:r w:rsidRPr="006D1728">
        <w:rPr>
          <w:rFonts w:ascii="Tahoma" w:hAnsi="Tahoma" w:cs="Tahoma"/>
          <w:sz w:val="24"/>
          <w:szCs w:val="24"/>
          <w:lang w:val="ro-RO"/>
        </w:rPr>
        <w:t>ț</w:t>
      </w:r>
      <w:r w:rsidRPr="006D1728">
        <w:rPr>
          <w:sz w:val="24"/>
          <w:szCs w:val="24"/>
          <w:lang w:val="ro-RO"/>
        </w:rPr>
        <w:t>iuni„</w:t>
      </w:r>
      <w:r w:rsidRPr="006D1728">
        <w:rPr>
          <w:i/>
          <w:sz w:val="24"/>
          <w:szCs w:val="24"/>
          <w:lang w:val="ro-RO"/>
        </w:rPr>
        <w:t>marcaj CE</w:t>
      </w:r>
      <w:r w:rsidRPr="006D1728">
        <w:rPr>
          <w:sz w:val="24"/>
          <w:szCs w:val="24"/>
          <w:lang w:val="ro-RO"/>
        </w:rPr>
        <w:t xml:space="preserve">”, </w:t>
      </w:r>
      <w:r w:rsidRPr="006D1728">
        <w:rPr>
          <w:color w:val="0000FF"/>
          <w:sz w:val="24"/>
          <w:szCs w:val="24"/>
          <w:lang w:val="ro-RO"/>
        </w:rPr>
        <w:t>„</w:t>
      </w:r>
      <w:r w:rsidRPr="006D1728">
        <w:rPr>
          <w:i/>
          <w:sz w:val="24"/>
          <w:szCs w:val="24"/>
          <w:lang w:val="ro-RO"/>
        </w:rPr>
        <w:t>organism notificat</w:t>
      </w:r>
      <w:r w:rsidRPr="006D1728">
        <w:rPr>
          <w:sz w:val="24"/>
          <w:szCs w:val="24"/>
          <w:lang w:val="ro-RO"/>
        </w:rPr>
        <w:t>” şi „</w:t>
      </w:r>
      <w:r w:rsidRPr="006D1728">
        <w:rPr>
          <w:i/>
          <w:sz w:val="24"/>
          <w:szCs w:val="24"/>
          <w:lang w:val="ro-RO"/>
        </w:rPr>
        <w:t>organism recunoscut</w:t>
      </w:r>
      <w:r w:rsidRPr="006D1728">
        <w:rPr>
          <w:sz w:val="24"/>
          <w:szCs w:val="24"/>
          <w:lang w:val="ro-RO"/>
        </w:rPr>
        <w:t>” armonizate  cu Regulamentul 765/2008 CE, fapt care va asigura uniformitatea noţiunilor utilizate.</w:t>
      </w:r>
    </w:p>
    <w:p w:rsidR="007C1C74" w:rsidRPr="00833CE0" w:rsidRDefault="007C1C74" w:rsidP="00833CE0">
      <w:pPr>
        <w:jc w:val="both"/>
        <w:rPr>
          <w:sz w:val="24"/>
          <w:szCs w:val="24"/>
          <w:lang w:val="ro-RO"/>
        </w:rPr>
      </w:pPr>
      <w:r>
        <w:rPr>
          <w:sz w:val="24"/>
          <w:szCs w:val="24"/>
          <w:lang w:val="ro-RO"/>
        </w:rPr>
        <w:tab/>
      </w:r>
      <w:r w:rsidRPr="00833CE0">
        <w:rPr>
          <w:sz w:val="24"/>
          <w:szCs w:val="24"/>
          <w:lang w:val="ro-RO"/>
        </w:rPr>
        <w:t xml:space="preserve">Totodată, în contextul cerinţelor referitoare </w:t>
      </w:r>
      <w:smartTag w:uri="urn:schemas-microsoft-com:office:smarttags" w:element="PersonName">
        <w:smartTagPr>
          <w:attr w:name="ProductID" w:val="la marcajul CE"/>
        </w:smartTagPr>
        <w:r w:rsidRPr="00833CE0">
          <w:rPr>
            <w:sz w:val="24"/>
            <w:szCs w:val="24"/>
            <w:lang w:val="ro-RO"/>
          </w:rPr>
          <w:t>la marcajul CE</w:t>
        </w:r>
      </w:smartTag>
      <w:r w:rsidRPr="00833CE0">
        <w:rPr>
          <w:sz w:val="24"/>
          <w:szCs w:val="24"/>
          <w:lang w:val="ro-RO"/>
        </w:rPr>
        <w:t xml:space="preserve">, stabilite prin proiectul legii privind supravegherea pieţei, a fost propusă completarea </w:t>
      </w:r>
      <w:r>
        <w:rPr>
          <w:sz w:val="24"/>
          <w:szCs w:val="24"/>
          <w:lang w:val="ro-RO"/>
        </w:rPr>
        <w:t>L</w:t>
      </w:r>
      <w:r w:rsidRPr="00833CE0">
        <w:rPr>
          <w:sz w:val="24"/>
          <w:szCs w:val="24"/>
          <w:lang w:val="ro-RO"/>
        </w:rPr>
        <w:t>egii nr. 235 din 01 decembrie 2011 cu cerinţe referito</w:t>
      </w:r>
      <w:r>
        <w:rPr>
          <w:sz w:val="24"/>
          <w:szCs w:val="24"/>
          <w:lang w:val="ro-RO"/>
        </w:rPr>
        <w:t>a</w:t>
      </w:r>
      <w:r w:rsidRPr="00833CE0">
        <w:rPr>
          <w:sz w:val="24"/>
          <w:szCs w:val="24"/>
          <w:lang w:val="ro-RO"/>
        </w:rPr>
        <w:t>r</w:t>
      </w:r>
      <w:r>
        <w:rPr>
          <w:sz w:val="24"/>
          <w:szCs w:val="24"/>
          <w:lang w:val="ro-RO"/>
        </w:rPr>
        <w:t>e</w:t>
      </w:r>
      <w:r w:rsidRPr="00833CE0">
        <w:rPr>
          <w:sz w:val="24"/>
          <w:szCs w:val="24"/>
          <w:lang w:val="ro-RO"/>
        </w:rPr>
        <w:t xml:space="preserve"> la principiile generale de aplicare a marcajului CE şi a marca</w:t>
      </w:r>
      <w:r>
        <w:rPr>
          <w:sz w:val="24"/>
          <w:szCs w:val="24"/>
          <w:lang w:val="ro-RO"/>
        </w:rPr>
        <w:t xml:space="preserve"> de conformitate</w:t>
      </w:r>
      <w:r w:rsidRPr="00833CE0">
        <w:rPr>
          <w:sz w:val="24"/>
          <w:szCs w:val="24"/>
          <w:lang w:val="ro-RO"/>
        </w:rPr>
        <w:t xml:space="preserve"> SM cît şi dimensiunile marcajelor respective.</w:t>
      </w:r>
    </w:p>
    <w:p w:rsidR="007C1C74" w:rsidRPr="00833CE0" w:rsidRDefault="007C1C74" w:rsidP="00C300AA">
      <w:pPr>
        <w:ind w:firstLine="720"/>
        <w:jc w:val="both"/>
        <w:rPr>
          <w:sz w:val="24"/>
          <w:szCs w:val="24"/>
          <w:lang w:val="ro-RO"/>
        </w:rPr>
      </w:pPr>
      <w:r w:rsidRPr="00833CE0">
        <w:rPr>
          <w:sz w:val="24"/>
          <w:szCs w:val="24"/>
          <w:lang w:val="ro-RO"/>
        </w:rPr>
        <w:t xml:space="preserve">Completarea </w:t>
      </w:r>
      <w:r w:rsidRPr="00685C34">
        <w:rPr>
          <w:b/>
          <w:sz w:val="24"/>
          <w:szCs w:val="24"/>
          <w:lang w:val="ro-RO"/>
        </w:rPr>
        <w:t xml:space="preserve">Legii nr.116 din 18 mai 2012 privind securitatea industrială a obiectelor industriale periculoase </w:t>
      </w:r>
      <w:r w:rsidRPr="00833CE0">
        <w:rPr>
          <w:sz w:val="24"/>
          <w:szCs w:val="24"/>
          <w:lang w:val="ro-RO"/>
        </w:rPr>
        <w:t xml:space="preserve">constă în completarea cu competenţa de efectuare a supravegherii la </w:t>
      </w:r>
      <w:r>
        <w:rPr>
          <w:sz w:val="24"/>
          <w:szCs w:val="24"/>
          <w:lang w:val="ro-RO"/>
        </w:rPr>
        <w:t>punerea la dispozi</w:t>
      </w:r>
      <w:r>
        <w:rPr>
          <w:rFonts w:ascii="Tahoma" w:hAnsi="Tahoma" w:cs="Tahoma"/>
          <w:sz w:val="24"/>
          <w:szCs w:val="24"/>
          <w:lang w:val="ro-RO"/>
        </w:rPr>
        <w:t>ț</w:t>
      </w:r>
      <w:r>
        <w:rPr>
          <w:sz w:val="24"/>
          <w:szCs w:val="24"/>
          <w:lang w:val="ro-RO"/>
        </w:rPr>
        <w:t>ie</w:t>
      </w:r>
      <w:r w:rsidRPr="00833CE0">
        <w:rPr>
          <w:sz w:val="24"/>
          <w:szCs w:val="24"/>
          <w:lang w:val="ro-RO"/>
        </w:rPr>
        <w:t xml:space="preserve"> pe piaţa a produselor din domeniul reglementat de către organul de control şi supravegherea tehnică de stat.</w:t>
      </w:r>
    </w:p>
    <w:p w:rsidR="007C1C74" w:rsidRPr="001425F9" w:rsidRDefault="007C1C74" w:rsidP="00147D5A">
      <w:pPr>
        <w:pStyle w:val="HTMLPreformatted"/>
        <w:ind w:firstLine="700"/>
        <w:jc w:val="both"/>
        <w:rPr>
          <w:rFonts w:ascii="Times New Roman" w:hAnsi="Times New Roman" w:cs="Times New Roman"/>
          <w:sz w:val="24"/>
          <w:szCs w:val="24"/>
          <w:shd w:val="clear" w:color="auto" w:fill="FFFFFF"/>
          <w:lang w:val="en-US"/>
        </w:rPr>
      </w:pPr>
      <w:r w:rsidRPr="00833CE0">
        <w:rPr>
          <w:rFonts w:ascii="Times New Roman" w:hAnsi="Times New Roman" w:cs="Times New Roman"/>
          <w:sz w:val="24"/>
          <w:szCs w:val="24"/>
          <w:shd w:val="clear" w:color="auto" w:fill="FFFFFF"/>
          <w:lang w:val="ro-RO"/>
        </w:rPr>
        <w:t xml:space="preserve">Completarea la </w:t>
      </w:r>
      <w:r w:rsidRPr="00685C34">
        <w:rPr>
          <w:rFonts w:ascii="Times New Roman" w:hAnsi="Times New Roman" w:cs="Times New Roman"/>
          <w:b/>
          <w:sz w:val="24"/>
          <w:szCs w:val="24"/>
          <w:shd w:val="clear" w:color="auto" w:fill="FFFFFF"/>
          <w:lang w:val="ro-RO"/>
        </w:rPr>
        <w:t>Legea nr.131 din 08 iunie 2012 privind controlul de stat asupra activităţii de întreprinzător</w:t>
      </w:r>
      <w:r w:rsidRPr="00833CE0">
        <w:rPr>
          <w:rFonts w:ascii="Times New Roman" w:hAnsi="Times New Roman" w:cs="Times New Roman"/>
          <w:sz w:val="24"/>
          <w:szCs w:val="24"/>
          <w:lang w:val="ro-RO"/>
        </w:rPr>
        <w:t xml:space="preserve">constă în diversificarea în cazul controlului conformităţii produselor </w:t>
      </w:r>
      <w:r>
        <w:rPr>
          <w:rFonts w:ascii="Times New Roman" w:hAnsi="Times New Roman" w:cs="Times New Roman"/>
          <w:sz w:val="24"/>
          <w:szCs w:val="24"/>
          <w:lang w:val="ro-RO"/>
        </w:rPr>
        <w:t xml:space="preserve">cu </w:t>
      </w:r>
      <w:r w:rsidRPr="00833CE0">
        <w:rPr>
          <w:rFonts w:ascii="Times New Roman" w:hAnsi="Times New Roman" w:cs="Times New Roman"/>
          <w:sz w:val="24"/>
          <w:szCs w:val="24"/>
          <w:lang w:val="ro-RO"/>
        </w:rPr>
        <w:t xml:space="preserve">cerinţelor esenţiale a masurilor </w:t>
      </w:r>
      <w:r w:rsidRPr="006D1728">
        <w:rPr>
          <w:rFonts w:ascii="Times New Roman" w:hAnsi="Times New Roman" w:cs="Times New Roman"/>
          <w:sz w:val="24"/>
          <w:szCs w:val="24"/>
          <w:lang w:val="ro-RO"/>
        </w:rPr>
        <w:t xml:space="preserve">aplicate de autorităţile de supraveghere a pieţei în cazul în care în cadrul controlului se constată că </w:t>
      </w:r>
      <w:r w:rsidRPr="006D1728">
        <w:rPr>
          <w:rFonts w:ascii="Times New Roman" w:hAnsi="Times New Roman"/>
          <w:sz w:val="24"/>
          <w:szCs w:val="24"/>
          <w:shd w:val="clear" w:color="auto" w:fill="FFFFFF"/>
          <w:lang w:val="ro-RO"/>
        </w:rPr>
        <w:t xml:space="preserve">produsele sunt periculoase, </w:t>
      </w:r>
      <w:r w:rsidRPr="006D1728">
        <w:rPr>
          <w:rFonts w:ascii="Times New Roman" w:hAnsi="Times New Roman"/>
          <w:sz w:val="24"/>
          <w:szCs w:val="24"/>
          <w:lang w:val="ro-RO"/>
        </w:rPr>
        <w:t xml:space="preserve">prezintă un risc </w:t>
      </w:r>
      <w:r w:rsidRPr="006D1728">
        <w:rPr>
          <w:rFonts w:ascii="Times New Roman" w:hAnsi="Times New Roman"/>
          <w:sz w:val="24"/>
          <w:szCs w:val="24"/>
          <w:shd w:val="clear" w:color="auto" w:fill="FFFFFF"/>
          <w:lang w:val="ro-RO"/>
        </w:rPr>
        <w:t xml:space="preserve">şi/sau nu corespund cerinţelor </w:t>
      </w:r>
      <w:r w:rsidRPr="006D1728">
        <w:rPr>
          <w:rFonts w:ascii="Times New Roman" w:hAnsi="Times New Roman"/>
          <w:sz w:val="24"/>
          <w:szCs w:val="24"/>
          <w:lang w:val="ro-RO"/>
        </w:rPr>
        <w:t>esenţiale</w:t>
      </w:r>
      <w:r w:rsidRPr="006D1728">
        <w:rPr>
          <w:rFonts w:ascii="Times New Roman" w:hAnsi="Times New Roman" w:cs="Times New Roman"/>
          <w:sz w:val="24"/>
          <w:szCs w:val="24"/>
          <w:lang w:val="ro-RO"/>
        </w:rPr>
        <w:t>, cum ar fi aplicarea masurilor corective care includ</w:t>
      </w:r>
      <w:r w:rsidRPr="006D1728">
        <w:rPr>
          <w:rFonts w:ascii="Times New Roman" w:hAnsi="Times New Roman" w:cs="Times New Roman"/>
          <w:sz w:val="24"/>
          <w:szCs w:val="24"/>
          <w:shd w:val="clear" w:color="auto" w:fill="FFFFFF"/>
          <w:lang w:val="ro-RO"/>
        </w:rPr>
        <w:t>: suspendarea sau interzicerea punerii la dispoziţie</w:t>
      </w:r>
      <w:r w:rsidRPr="00833CE0">
        <w:rPr>
          <w:rFonts w:ascii="Times New Roman" w:hAnsi="Times New Roman" w:cs="Times New Roman"/>
          <w:sz w:val="24"/>
          <w:szCs w:val="24"/>
          <w:shd w:val="clear" w:color="auto" w:fill="FFFFFF"/>
          <w:lang w:val="ro-RO"/>
        </w:rPr>
        <w:t xml:space="preserve"> a produselor pe piaţă; retragerea produselor din circulaţie; rechemarea produselor.</w:t>
      </w:r>
    </w:p>
    <w:p w:rsidR="007C1C74" w:rsidRPr="00A07B84" w:rsidRDefault="007C1C74" w:rsidP="00147D5A">
      <w:pPr>
        <w:pStyle w:val="HTMLPreformatted"/>
        <w:ind w:firstLine="700"/>
        <w:jc w:val="both"/>
        <w:rPr>
          <w:rFonts w:ascii="Times New Roman" w:hAnsi="Times New Roman" w:cs="Times New Roman"/>
          <w:b/>
          <w:bCs/>
          <w:sz w:val="24"/>
          <w:szCs w:val="24"/>
          <w:lang w:val="ro-RO"/>
        </w:rPr>
      </w:pPr>
      <w:r w:rsidRPr="00833CE0">
        <w:rPr>
          <w:rFonts w:ascii="Times New Roman" w:hAnsi="Times New Roman" w:cs="Times New Roman"/>
          <w:sz w:val="24"/>
          <w:szCs w:val="24"/>
          <w:shd w:val="clear" w:color="auto" w:fill="FFFFFF"/>
          <w:lang w:val="ro-RO"/>
        </w:rPr>
        <w:t xml:space="preserve">Completarea la </w:t>
      </w:r>
      <w:r w:rsidRPr="00685C34">
        <w:rPr>
          <w:rFonts w:ascii="Times New Roman" w:hAnsi="Times New Roman" w:cs="Times New Roman"/>
          <w:b/>
          <w:sz w:val="24"/>
          <w:szCs w:val="24"/>
          <w:shd w:val="clear" w:color="auto" w:fill="FFFFFF"/>
          <w:lang w:val="ro-RO"/>
        </w:rPr>
        <w:t>Legea</w:t>
      </w:r>
      <w:r>
        <w:rPr>
          <w:rFonts w:ascii="Times New Roman" w:hAnsi="Times New Roman" w:cs="Times New Roman"/>
          <w:b/>
          <w:sz w:val="24"/>
          <w:szCs w:val="24"/>
          <w:shd w:val="clear" w:color="auto" w:fill="FFFFFF"/>
          <w:lang w:val="ro-RO"/>
        </w:rPr>
        <w:t xml:space="preserve"> </w:t>
      </w:r>
      <w:r w:rsidRPr="00A07B84">
        <w:rPr>
          <w:rFonts w:ascii="Times New Roman" w:hAnsi="Times New Roman" w:cs="Times New Roman"/>
          <w:b/>
          <w:sz w:val="24"/>
          <w:szCs w:val="24"/>
          <w:lang w:val="ro-RO"/>
        </w:rPr>
        <w:t>nr. 105-XV din 13 martie 2003 privind protecţia consumatorilor</w:t>
      </w:r>
      <w:r w:rsidRPr="00833CE0">
        <w:rPr>
          <w:rFonts w:ascii="Times New Roman" w:hAnsi="Times New Roman" w:cs="Times New Roman"/>
          <w:sz w:val="24"/>
          <w:szCs w:val="24"/>
          <w:lang w:val="ro-RO"/>
        </w:rPr>
        <w:t xml:space="preserve">constă </w:t>
      </w:r>
      <w:r w:rsidRPr="00A07B84">
        <w:rPr>
          <w:rFonts w:ascii="Times New Roman" w:hAnsi="Times New Roman" w:cs="Times New Roman"/>
          <w:sz w:val="24"/>
          <w:szCs w:val="24"/>
          <w:lang w:val="ro-RO"/>
        </w:rPr>
        <w:t>în ajustarea termenilor utiliza</w:t>
      </w:r>
      <w:r w:rsidRPr="00A07B84">
        <w:rPr>
          <w:rFonts w:ascii="Tahoma" w:hAnsi="Tahoma" w:cs="Tahoma"/>
          <w:sz w:val="24"/>
          <w:szCs w:val="24"/>
          <w:lang w:val="ro-RO"/>
        </w:rPr>
        <w:t>ț</w:t>
      </w:r>
      <w:r w:rsidRPr="00A07B84">
        <w:rPr>
          <w:rFonts w:ascii="Times New Roman" w:hAnsi="Times New Roman" w:cs="Times New Roman"/>
          <w:sz w:val="24"/>
          <w:szCs w:val="24"/>
          <w:lang w:val="ro-RO"/>
        </w:rPr>
        <w:t>i cu termenii Legii privind supravegherea pie</w:t>
      </w:r>
      <w:r w:rsidRPr="00A07B84">
        <w:rPr>
          <w:rFonts w:ascii="Tahoma" w:hAnsi="Tahoma" w:cs="Tahoma"/>
          <w:sz w:val="24"/>
          <w:szCs w:val="24"/>
          <w:lang w:val="ro-RO"/>
        </w:rPr>
        <w:t>ț</w:t>
      </w:r>
      <w:r w:rsidRPr="00A07B84">
        <w:rPr>
          <w:rFonts w:ascii="Times New Roman" w:hAnsi="Times New Roman" w:cs="Times New Roman"/>
          <w:sz w:val="24"/>
          <w:szCs w:val="24"/>
          <w:lang w:val="ro-RO"/>
        </w:rPr>
        <w:t>ei.</w:t>
      </w:r>
    </w:p>
    <w:p w:rsidR="007C1C74" w:rsidRPr="00A07B84" w:rsidRDefault="007C1C74" w:rsidP="00E96801">
      <w:pPr>
        <w:ind w:firstLine="708"/>
        <w:jc w:val="both"/>
        <w:rPr>
          <w:rStyle w:val="Strong"/>
          <w:bCs/>
          <w:sz w:val="24"/>
          <w:szCs w:val="24"/>
          <w:lang w:val="ro-RO"/>
        </w:rPr>
      </w:pPr>
    </w:p>
    <w:p w:rsidR="007C1C74" w:rsidRDefault="007C1C74" w:rsidP="00E96801">
      <w:pPr>
        <w:ind w:firstLine="708"/>
        <w:jc w:val="both"/>
        <w:rPr>
          <w:rStyle w:val="Strong"/>
          <w:bCs/>
          <w:sz w:val="24"/>
          <w:szCs w:val="24"/>
          <w:lang w:val="ro-RO"/>
        </w:rPr>
      </w:pPr>
      <w:r w:rsidRPr="00833CE0">
        <w:rPr>
          <w:rStyle w:val="Strong"/>
          <w:bCs/>
          <w:sz w:val="24"/>
          <w:szCs w:val="24"/>
          <w:lang w:val="ro-RO"/>
        </w:rPr>
        <w:t>3. Consultări</w:t>
      </w:r>
    </w:p>
    <w:p w:rsidR="007C1C74" w:rsidRDefault="007C1C74" w:rsidP="001425F9">
      <w:pPr>
        <w:ind w:right="-5" w:firstLine="630"/>
        <w:jc w:val="both"/>
        <w:rPr>
          <w:sz w:val="24"/>
          <w:szCs w:val="24"/>
          <w:lang w:val="ro-RO"/>
        </w:rPr>
      </w:pPr>
      <w:r w:rsidRPr="00833CE0">
        <w:rPr>
          <w:rStyle w:val="Strong"/>
          <w:b w:val="0"/>
          <w:bCs/>
          <w:sz w:val="24"/>
          <w:szCs w:val="24"/>
          <w:lang w:val="ro-RO"/>
        </w:rPr>
        <w:t>Proiectul legii cu privire la modificarea  unor acte legislative a trecut procedura de consultare şi avizare concomitent cu proiectul Legii privind</w:t>
      </w:r>
      <w:r>
        <w:rPr>
          <w:rStyle w:val="Strong"/>
          <w:b w:val="0"/>
          <w:bCs/>
          <w:sz w:val="24"/>
          <w:szCs w:val="24"/>
          <w:lang w:val="ro-RO"/>
        </w:rPr>
        <w:t xml:space="preserve"> </w:t>
      </w:r>
      <w:r w:rsidRPr="00833CE0">
        <w:rPr>
          <w:rStyle w:val="Strong"/>
          <w:b w:val="0"/>
          <w:bCs/>
          <w:sz w:val="24"/>
          <w:szCs w:val="24"/>
          <w:lang w:val="ro-RO"/>
        </w:rPr>
        <w:t>supravegherea pieţei</w:t>
      </w:r>
      <w:r>
        <w:rPr>
          <w:rStyle w:val="Strong"/>
          <w:b w:val="0"/>
          <w:bCs/>
          <w:sz w:val="24"/>
          <w:szCs w:val="24"/>
          <w:lang w:val="ro-RO"/>
        </w:rPr>
        <w:t>.</w:t>
      </w:r>
      <w:r w:rsidRPr="00833CE0">
        <w:rPr>
          <w:rStyle w:val="Strong"/>
          <w:b w:val="0"/>
          <w:bCs/>
          <w:sz w:val="24"/>
          <w:szCs w:val="24"/>
          <w:lang w:val="ro-RO"/>
        </w:rPr>
        <w:t xml:space="preserve"> </w:t>
      </w:r>
      <w:r>
        <w:rPr>
          <w:rStyle w:val="Strong"/>
          <w:b w:val="0"/>
          <w:bCs/>
          <w:sz w:val="24"/>
          <w:szCs w:val="24"/>
          <w:lang w:val="ro-RO"/>
        </w:rPr>
        <w:t xml:space="preserve"> </w:t>
      </w:r>
      <w:r w:rsidRPr="00555014">
        <w:rPr>
          <w:sz w:val="24"/>
          <w:szCs w:val="24"/>
          <w:lang w:val="ro-RO"/>
        </w:rPr>
        <w:t xml:space="preserve">În cadrul procesului de consultate </w:t>
      </w:r>
      <w:r w:rsidRPr="00555014">
        <w:rPr>
          <w:rFonts w:ascii="Tahoma" w:hAnsi="Tahoma" w:cs="Tahoma"/>
          <w:sz w:val="24"/>
          <w:szCs w:val="24"/>
          <w:lang w:val="ro-RO"/>
        </w:rPr>
        <w:t>ș</w:t>
      </w:r>
      <w:r w:rsidRPr="00555014">
        <w:rPr>
          <w:sz w:val="24"/>
          <w:szCs w:val="24"/>
          <w:lang w:val="ro-RO"/>
        </w:rPr>
        <w:t xml:space="preserve">i avizare au fost luate în considerare propunerile, completările </w:t>
      </w:r>
      <w:r w:rsidRPr="00555014">
        <w:rPr>
          <w:rFonts w:ascii="Tahoma" w:hAnsi="Tahoma" w:cs="Tahoma"/>
          <w:sz w:val="24"/>
          <w:szCs w:val="24"/>
          <w:lang w:val="ro-RO"/>
        </w:rPr>
        <w:t>ș</w:t>
      </w:r>
      <w:r w:rsidRPr="00555014">
        <w:rPr>
          <w:sz w:val="24"/>
          <w:szCs w:val="24"/>
          <w:lang w:val="ro-RO"/>
        </w:rPr>
        <w:t>i modificările parvenite de la autorită</w:t>
      </w:r>
      <w:r w:rsidRPr="00555014">
        <w:rPr>
          <w:rFonts w:ascii="Tahoma" w:hAnsi="Tahoma" w:cs="Tahoma"/>
          <w:sz w:val="24"/>
          <w:szCs w:val="24"/>
          <w:lang w:val="ro-RO"/>
        </w:rPr>
        <w:t>ț</w:t>
      </w:r>
      <w:r w:rsidRPr="00555014">
        <w:rPr>
          <w:sz w:val="24"/>
          <w:szCs w:val="24"/>
          <w:lang w:val="ro-RO"/>
        </w:rPr>
        <w:t xml:space="preserve">ile </w:t>
      </w:r>
      <w:r w:rsidRPr="00555014">
        <w:rPr>
          <w:rFonts w:ascii="Tahoma" w:hAnsi="Tahoma" w:cs="Tahoma"/>
          <w:sz w:val="24"/>
          <w:szCs w:val="24"/>
          <w:lang w:val="ro-RO"/>
        </w:rPr>
        <w:t>ș</w:t>
      </w:r>
      <w:r w:rsidRPr="00555014">
        <w:rPr>
          <w:sz w:val="24"/>
          <w:szCs w:val="24"/>
          <w:lang w:val="ro-RO"/>
        </w:rPr>
        <w:t>i institu</w:t>
      </w:r>
      <w:r w:rsidRPr="00555014">
        <w:rPr>
          <w:rFonts w:ascii="Tahoma" w:hAnsi="Tahoma" w:cs="Tahoma"/>
          <w:sz w:val="24"/>
          <w:szCs w:val="24"/>
          <w:lang w:val="ro-RO"/>
        </w:rPr>
        <w:t>ț</w:t>
      </w:r>
      <w:r w:rsidRPr="00555014">
        <w:rPr>
          <w:sz w:val="24"/>
          <w:szCs w:val="24"/>
          <w:lang w:val="ro-RO"/>
        </w:rPr>
        <w:t>iile interesate</w:t>
      </w:r>
      <w:r>
        <w:rPr>
          <w:sz w:val="24"/>
          <w:szCs w:val="24"/>
          <w:lang w:val="ro-RO"/>
        </w:rPr>
        <w:t>.</w:t>
      </w:r>
    </w:p>
    <w:p w:rsidR="007C1C74" w:rsidRPr="00C97B63" w:rsidRDefault="007C1C74" w:rsidP="001425F9">
      <w:pPr>
        <w:ind w:right="-5" w:firstLine="630"/>
        <w:jc w:val="both"/>
        <w:rPr>
          <w:sz w:val="24"/>
          <w:szCs w:val="24"/>
          <w:lang w:val="ro-RO"/>
        </w:rPr>
      </w:pPr>
      <w:r w:rsidRPr="00093BA5">
        <w:rPr>
          <w:sz w:val="24"/>
          <w:szCs w:val="24"/>
          <w:lang w:val="ro-RO"/>
        </w:rPr>
        <w:t xml:space="preserve">Analiza preliminară a impactului de reglementare a proiectului de lege elaborat conform metodologiei aprobate în modul stabilit a fost examinat şi acceptat în cadrul şedinţei Grupului de Lucru pentru reglementarea activităţii de întreprinzător (procesul-verbal nr.6 din 06.03.2013). Nota </w:t>
      </w:r>
      <w:r w:rsidRPr="00C97B63">
        <w:rPr>
          <w:sz w:val="24"/>
          <w:szCs w:val="24"/>
          <w:lang w:val="ro-RO"/>
        </w:rPr>
        <w:t xml:space="preserve">privind analiza preliminară a impactului de reglementare proiectul legii au fost plasate pe site-ul Ministerului Economiei (www.mec.gov.md). </w:t>
      </w:r>
    </w:p>
    <w:p w:rsidR="007C1C74" w:rsidRPr="00C97B63" w:rsidRDefault="007C1C74" w:rsidP="007D737E">
      <w:pPr>
        <w:pStyle w:val="Title"/>
        <w:ind w:firstLine="567"/>
        <w:jc w:val="both"/>
        <w:rPr>
          <w:b w:val="0"/>
          <w:sz w:val="24"/>
          <w:szCs w:val="24"/>
          <w:lang w:val="ro-RO"/>
        </w:rPr>
      </w:pPr>
      <w:r w:rsidRPr="00C97B63">
        <w:rPr>
          <w:b w:val="0"/>
          <w:sz w:val="24"/>
          <w:szCs w:val="24"/>
          <w:lang w:val="ro-RO"/>
        </w:rPr>
        <w:t>Men</w:t>
      </w:r>
      <w:r w:rsidRPr="00C97B63">
        <w:rPr>
          <w:rFonts w:ascii="Tahoma" w:hAnsi="Tahoma" w:cs="Tahoma"/>
          <w:b w:val="0"/>
          <w:sz w:val="24"/>
          <w:szCs w:val="24"/>
          <w:lang w:val="ro-RO"/>
        </w:rPr>
        <w:t>ț</w:t>
      </w:r>
      <w:r w:rsidRPr="00C97B63">
        <w:rPr>
          <w:b w:val="0"/>
          <w:sz w:val="24"/>
          <w:szCs w:val="24"/>
          <w:lang w:val="ro-RO"/>
        </w:rPr>
        <w:t>ionăm faptul că proiectul de lege a fost anterior aprobat de Guvern  prin Hotărîrrea nr.597 din 18.07.2014, fiind remis Parlamentului  şi înregistrat cu nr.317 din 24.07.2014. Reie</w:t>
      </w:r>
      <w:r w:rsidRPr="00C97B63">
        <w:rPr>
          <w:rFonts w:ascii="Tahoma" w:hAnsi="Tahoma" w:cs="Tahoma"/>
          <w:b w:val="0"/>
          <w:sz w:val="24"/>
          <w:szCs w:val="24"/>
          <w:lang w:val="ro-RO"/>
        </w:rPr>
        <w:t>ș</w:t>
      </w:r>
      <w:r w:rsidRPr="00C97B63">
        <w:rPr>
          <w:b w:val="0"/>
          <w:sz w:val="24"/>
          <w:szCs w:val="24"/>
          <w:lang w:val="ro-RO"/>
        </w:rPr>
        <w:t>ind din faptul că proiectul legii nu a fost inclus pe ordinea de zi a Parlamentului precedent, acesta a devenit nul în temeiul ar.47 alin.(12) din Legea nr.797 din 2 aprilie 1996 pentru aprobarea Regulamentului Parlamentului.</w:t>
      </w:r>
    </w:p>
    <w:p w:rsidR="007C1C74" w:rsidRPr="00C97B63" w:rsidRDefault="007C1C74" w:rsidP="007D737E">
      <w:pPr>
        <w:pStyle w:val="Title"/>
        <w:ind w:firstLine="426"/>
        <w:jc w:val="both"/>
        <w:rPr>
          <w:b w:val="0"/>
          <w:sz w:val="24"/>
          <w:szCs w:val="24"/>
          <w:lang w:val="ro-RO"/>
        </w:rPr>
      </w:pPr>
      <w:r w:rsidRPr="00C97B63">
        <w:rPr>
          <w:b w:val="0"/>
          <w:sz w:val="24"/>
          <w:szCs w:val="24"/>
          <w:lang w:val="ro-RO"/>
        </w:rPr>
        <w:t>Drept urmare, în vederea executării indica</w:t>
      </w:r>
      <w:r w:rsidRPr="00C97B63">
        <w:rPr>
          <w:rFonts w:ascii="Tahoma" w:hAnsi="Tahoma" w:cs="Tahoma"/>
          <w:b w:val="0"/>
          <w:sz w:val="24"/>
          <w:szCs w:val="24"/>
          <w:lang w:val="ro-RO"/>
        </w:rPr>
        <w:t>ț</w:t>
      </w:r>
      <w:r w:rsidRPr="00C97B63">
        <w:rPr>
          <w:b w:val="0"/>
          <w:sz w:val="24"/>
          <w:szCs w:val="24"/>
          <w:lang w:val="ro-RO"/>
        </w:rPr>
        <w:t>iei Guvernului nr.1424-127 din 2 martie 2015 privind reexaminarea proiectelor devenite nule, cu reconfirmarea corespunzătoare a avizelor de către noii conducători ai autorită</w:t>
      </w:r>
      <w:r w:rsidRPr="00C97B63">
        <w:rPr>
          <w:rFonts w:ascii="Tahoma" w:hAnsi="Tahoma" w:cs="Tahoma"/>
          <w:b w:val="0"/>
          <w:sz w:val="24"/>
          <w:szCs w:val="24"/>
          <w:lang w:val="ro-RO"/>
        </w:rPr>
        <w:t>ț</w:t>
      </w:r>
      <w:r w:rsidRPr="00C97B63">
        <w:rPr>
          <w:b w:val="0"/>
          <w:sz w:val="24"/>
          <w:szCs w:val="24"/>
          <w:lang w:val="ro-RO"/>
        </w:rPr>
        <w:t xml:space="preserve">ilor interesate, </w:t>
      </w:r>
      <w:smartTag w:uri="urn:schemas-microsoft-com:office:smarttags" w:element="PersonName">
        <w:smartTagPr>
          <w:attr w:name="ProductID" w:val="Ministerul Economiei"/>
        </w:smartTagPr>
        <w:r w:rsidRPr="00C97B63">
          <w:rPr>
            <w:b w:val="0"/>
            <w:sz w:val="24"/>
            <w:szCs w:val="24"/>
            <w:lang w:val="ro-RO"/>
          </w:rPr>
          <w:t>Ministerul Economiei</w:t>
        </w:r>
      </w:smartTag>
      <w:r w:rsidRPr="00C97B63">
        <w:rPr>
          <w:b w:val="0"/>
          <w:sz w:val="24"/>
          <w:szCs w:val="24"/>
          <w:lang w:val="ro-RO"/>
        </w:rPr>
        <w:t xml:space="preserve"> a coordonat repetat proiectul de lege cu autorită</w:t>
      </w:r>
      <w:r w:rsidRPr="00C97B63">
        <w:rPr>
          <w:rFonts w:ascii="Tahoma" w:hAnsi="Tahoma" w:cs="Tahoma"/>
          <w:b w:val="0"/>
          <w:sz w:val="24"/>
          <w:szCs w:val="24"/>
          <w:lang w:val="ro-RO"/>
        </w:rPr>
        <w:t>ț</w:t>
      </w:r>
      <w:r w:rsidRPr="00C97B63">
        <w:rPr>
          <w:b w:val="0"/>
          <w:sz w:val="24"/>
          <w:szCs w:val="24"/>
          <w:lang w:val="ro-RO"/>
        </w:rPr>
        <w:t xml:space="preserve">ile </w:t>
      </w:r>
      <w:r w:rsidRPr="00C97B63">
        <w:rPr>
          <w:rFonts w:ascii="Tahoma" w:hAnsi="Tahoma" w:cs="Tahoma"/>
          <w:b w:val="0"/>
          <w:sz w:val="24"/>
          <w:szCs w:val="24"/>
          <w:lang w:val="ro-RO"/>
        </w:rPr>
        <w:t>ș</w:t>
      </w:r>
      <w:r w:rsidRPr="00C97B63">
        <w:rPr>
          <w:b w:val="0"/>
          <w:sz w:val="24"/>
          <w:szCs w:val="24"/>
          <w:lang w:val="ro-RO"/>
        </w:rPr>
        <w:t>i institu</w:t>
      </w:r>
      <w:r w:rsidRPr="00C97B63">
        <w:rPr>
          <w:rFonts w:ascii="Tahoma" w:hAnsi="Tahoma" w:cs="Tahoma"/>
          <w:b w:val="0"/>
          <w:sz w:val="24"/>
          <w:szCs w:val="24"/>
          <w:lang w:val="ro-RO"/>
        </w:rPr>
        <w:t>ț</w:t>
      </w:r>
      <w:r w:rsidRPr="00C97B63">
        <w:rPr>
          <w:b w:val="0"/>
          <w:sz w:val="24"/>
          <w:szCs w:val="24"/>
          <w:lang w:val="ro-RO"/>
        </w:rPr>
        <w:t>iile interesate (Ministerul Afacerilor Interne, Ministerul Tehnologiei Informaţiei şi Comunicaţiilor, Ministerul Afacerilor Externe şi Integrării Europene, Ministerul Justiţiei, Ministerul Dezvoltării Regionale şi Construcţiilor, Ministerul Agriculturii şi Industriei Alimentare, Ministerul Finanţelor, Ministerul Mediului, Ministerul Transporturilor şi Infrastructurii Drumurilor,Centrul Naţional Anticorupţie, Agenţia pentru Protecţia Consumatorilor, Centrul Naţional pentru Protecţia Datelor cu Caracter Personal, Serviciul Vamal, Centrul de Armonizare a Legislaţiei, Agenţia Naţională pentru Reglementare în Comunicaţii Electronice şi Tehnologia Informaţiei, Grupului de lucru pentru reglementarea activităţii de întreprinzător, Inspectoratul Ecologic de Stat, Centrul Naţional de Acreditare, Agenţia Naţională pentru Reglementare în Energetică, Agenţia Naţională Transport Auto, Agenţia Naţională de Reglementare a Activităţilor Nucleare şi Radiologice, Agenţia Naţională pentru Siguranţa Alimentelor, Agenţia Medicamentului şi Dispozitivelor Medicale, Centrul pentru Drepturile Omului din Moldova</w:t>
      </w:r>
      <w:bookmarkStart w:id="0" w:name="_GoBack"/>
      <w:bookmarkEnd w:id="0"/>
      <w:r w:rsidRPr="00C97B63">
        <w:rPr>
          <w:b w:val="0"/>
          <w:sz w:val="24"/>
          <w:szCs w:val="24"/>
          <w:lang w:val="ro-RO"/>
        </w:rPr>
        <w:t>. Propunerile acestora au fost luate în considera</w:t>
      </w:r>
      <w:r w:rsidRPr="00C97B63">
        <w:rPr>
          <w:rFonts w:ascii="Tahoma" w:hAnsi="Tahoma" w:cs="Tahoma"/>
          <w:b w:val="0"/>
          <w:sz w:val="24"/>
          <w:szCs w:val="24"/>
          <w:lang w:val="ro-RO"/>
        </w:rPr>
        <w:t>ț</w:t>
      </w:r>
      <w:r w:rsidRPr="00C97B63">
        <w:rPr>
          <w:b w:val="0"/>
          <w:sz w:val="24"/>
          <w:szCs w:val="24"/>
          <w:lang w:val="ro-RO"/>
        </w:rPr>
        <w:t>ie la definitivarea proiectului.</w:t>
      </w:r>
    </w:p>
    <w:p w:rsidR="007C1C74" w:rsidRPr="00833CE0" w:rsidRDefault="007C1C74" w:rsidP="001425F9">
      <w:pPr>
        <w:spacing w:after="120"/>
        <w:ind w:firstLine="630"/>
        <w:jc w:val="both"/>
        <w:rPr>
          <w:rStyle w:val="Strong"/>
          <w:b w:val="0"/>
          <w:bCs/>
          <w:sz w:val="24"/>
          <w:szCs w:val="24"/>
          <w:lang w:val="ro-RO"/>
        </w:rPr>
      </w:pPr>
      <w:r w:rsidRPr="00833CE0">
        <w:rPr>
          <w:rStyle w:val="Strong"/>
          <w:b w:val="0"/>
          <w:bCs/>
          <w:sz w:val="24"/>
          <w:szCs w:val="24"/>
          <w:lang w:val="ro-RO"/>
        </w:rPr>
        <w:t>Proiectul legii cu privire la modificarea  unor acte legislative care a trecut procedura de consultare şi avizare concomitent cu proiectul Legii privind</w:t>
      </w:r>
      <w:r>
        <w:rPr>
          <w:rStyle w:val="Strong"/>
          <w:b w:val="0"/>
          <w:bCs/>
          <w:sz w:val="24"/>
          <w:szCs w:val="24"/>
          <w:lang w:val="ro-RO"/>
        </w:rPr>
        <w:t xml:space="preserve"> </w:t>
      </w:r>
      <w:r w:rsidRPr="00833CE0">
        <w:rPr>
          <w:rStyle w:val="Strong"/>
          <w:b w:val="0"/>
          <w:bCs/>
          <w:sz w:val="24"/>
          <w:szCs w:val="24"/>
          <w:lang w:val="ro-RO"/>
        </w:rPr>
        <w:t>supravegherea pieţei, şi se prezintă spre aprobare în set cu proiectul de bază.</w:t>
      </w:r>
    </w:p>
    <w:p w:rsidR="007C1C74" w:rsidRPr="00CC5F11" w:rsidRDefault="007C1C74" w:rsidP="00111F85">
      <w:pPr>
        <w:rPr>
          <w:b/>
          <w:sz w:val="24"/>
          <w:szCs w:val="24"/>
          <w:lang w:val="ro-RO"/>
        </w:rPr>
      </w:pPr>
      <w:r w:rsidRPr="00CC5F11">
        <w:rPr>
          <w:b/>
          <w:sz w:val="24"/>
          <w:szCs w:val="24"/>
          <w:lang w:val="ro-RO"/>
        </w:rPr>
        <w:t>Viceprim-ministru,</w:t>
      </w:r>
      <w:r>
        <w:rPr>
          <w:b/>
          <w:sz w:val="24"/>
          <w:szCs w:val="24"/>
          <w:lang w:val="ro-RO"/>
        </w:rPr>
        <w:t xml:space="preserve">  </w:t>
      </w:r>
    </w:p>
    <w:p w:rsidR="007C1C74" w:rsidRPr="00CC5F11" w:rsidRDefault="007C1C74" w:rsidP="00111F85">
      <w:pPr>
        <w:spacing w:after="360"/>
        <w:jc w:val="center"/>
        <w:rPr>
          <w:b/>
          <w:sz w:val="24"/>
          <w:szCs w:val="24"/>
          <w:lang w:val="ro-RO"/>
        </w:rPr>
      </w:pPr>
      <w:r w:rsidRPr="00CC5F11">
        <w:rPr>
          <w:b/>
          <w:sz w:val="24"/>
          <w:szCs w:val="24"/>
          <w:lang w:val="ro-RO"/>
        </w:rPr>
        <w:t>ministrul economiei</w:t>
      </w:r>
      <w:r w:rsidRPr="00CC5F11">
        <w:rPr>
          <w:b/>
          <w:sz w:val="24"/>
          <w:szCs w:val="24"/>
          <w:lang w:val="ro-RO"/>
        </w:rPr>
        <w:tab/>
      </w:r>
      <w:r w:rsidRPr="00CC5F11">
        <w:rPr>
          <w:b/>
          <w:sz w:val="24"/>
          <w:szCs w:val="24"/>
          <w:lang w:val="ro-RO"/>
        </w:rPr>
        <w:tab/>
      </w:r>
      <w:r w:rsidRPr="00CC5F11">
        <w:rPr>
          <w:b/>
          <w:sz w:val="24"/>
          <w:szCs w:val="24"/>
          <w:lang w:val="ro-RO"/>
        </w:rPr>
        <w:tab/>
      </w:r>
      <w:r w:rsidRPr="00CC5F11">
        <w:rPr>
          <w:b/>
          <w:sz w:val="24"/>
          <w:szCs w:val="24"/>
          <w:lang w:val="ro-RO"/>
        </w:rPr>
        <w:tab/>
      </w:r>
      <w:r w:rsidRPr="00CC5F11">
        <w:rPr>
          <w:b/>
          <w:sz w:val="24"/>
          <w:szCs w:val="24"/>
          <w:lang w:val="ro-RO"/>
        </w:rPr>
        <w:tab/>
      </w:r>
      <w:r w:rsidRPr="00CC5F11">
        <w:rPr>
          <w:b/>
          <w:sz w:val="24"/>
          <w:szCs w:val="24"/>
          <w:lang w:val="ro-RO"/>
        </w:rPr>
        <w:tab/>
      </w:r>
      <w:r w:rsidRPr="006D33F7">
        <w:rPr>
          <w:b/>
          <w:spacing w:val="12"/>
          <w:sz w:val="24"/>
          <w:szCs w:val="24"/>
          <w:shd w:val="clear" w:color="auto" w:fill="FFFFFF"/>
        </w:rPr>
        <w:t>Stephane Christophe Bride</w:t>
      </w:r>
    </w:p>
    <w:p w:rsidR="007C1C74" w:rsidRPr="00111F85" w:rsidRDefault="007C1C74" w:rsidP="00111F85">
      <w:pPr>
        <w:ind w:firstLine="993"/>
        <w:jc w:val="both"/>
        <w:rPr>
          <w:rStyle w:val="Strong"/>
          <w:sz w:val="24"/>
          <w:szCs w:val="24"/>
          <w:lang w:val="ro-RO"/>
        </w:rPr>
      </w:pPr>
    </w:p>
    <w:sectPr w:rsidR="007C1C74" w:rsidRPr="00111F85" w:rsidSect="00EA66AA">
      <w:footerReference w:type="even" r:id="rId7"/>
      <w:footerReference w:type="default" r:id="rId8"/>
      <w:pgSz w:w="11906" w:h="16838"/>
      <w:pgMar w:top="851" w:right="851" w:bottom="79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C74" w:rsidRDefault="007C1C74">
      <w:r>
        <w:separator/>
      </w:r>
    </w:p>
  </w:endnote>
  <w:endnote w:type="continuationSeparator" w:id="0">
    <w:p w:rsidR="007C1C74" w:rsidRDefault="007C1C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C74" w:rsidRDefault="007C1C74" w:rsidP="00875A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C1C74" w:rsidRDefault="007C1C74" w:rsidP="003133D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C74" w:rsidRDefault="007C1C74" w:rsidP="00875A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C1C74" w:rsidRDefault="007C1C74" w:rsidP="003133D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C74" w:rsidRDefault="007C1C74">
      <w:r>
        <w:separator/>
      </w:r>
    </w:p>
  </w:footnote>
  <w:footnote w:type="continuationSeparator" w:id="0">
    <w:p w:rsidR="007C1C74" w:rsidRDefault="007C1C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C1BBB"/>
    <w:multiLevelType w:val="hybridMultilevel"/>
    <w:tmpl w:val="9B0EEED6"/>
    <w:lvl w:ilvl="0" w:tplc="1466CA24">
      <w:start w:val="1"/>
      <w:numFmt w:val="decimal"/>
      <w:lvlText w:val="%1."/>
      <w:lvlJc w:val="left"/>
      <w:pPr>
        <w:tabs>
          <w:tab w:val="num" w:pos="360"/>
        </w:tabs>
        <w:ind w:left="360" w:hanging="360"/>
      </w:pPr>
      <w:rPr>
        <w:rFonts w:cs="Times New Roman" w:hint="default"/>
        <w:b/>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embedSystemFonts/>
  <w:stylePaneFormatFilter w:val="3F01"/>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063A"/>
    <w:rsid w:val="0000796A"/>
    <w:rsid w:val="00010807"/>
    <w:rsid w:val="0002035F"/>
    <w:rsid w:val="00023599"/>
    <w:rsid w:val="00071B71"/>
    <w:rsid w:val="00075ABA"/>
    <w:rsid w:val="0007662C"/>
    <w:rsid w:val="0008486A"/>
    <w:rsid w:val="0008745A"/>
    <w:rsid w:val="00093BA5"/>
    <w:rsid w:val="00095BA1"/>
    <w:rsid w:val="000A4BA8"/>
    <w:rsid w:val="000A659A"/>
    <w:rsid w:val="000B60C3"/>
    <w:rsid w:val="000B6BB3"/>
    <w:rsid w:val="000C6435"/>
    <w:rsid w:val="000D7EBC"/>
    <w:rsid w:val="000F73F5"/>
    <w:rsid w:val="001009FA"/>
    <w:rsid w:val="00111F85"/>
    <w:rsid w:val="00112D45"/>
    <w:rsid w:val="00123A39"/>
    <w:rsid w:val="00140AC1"/>
    <w:rsid w:val="001425F9"/>
    <w:rsid w:val="00144AC7"/>
    <w:rsid w:val="00147D5A"/>
    <w:rsid w:val="00156B5F"/>
    <w:rsid w:val="001631B7"/>
    <w:rsid w:val="001874BC"/>
    <w:rsid w:val="001908A9"/>
    <w:rsid w:val="00192387"/>
    <w:rsid w:val="001A32EF"/>
    <w:rsid w:val="001A6515"/>
    <w:rsid w:val="001B7DAE"/>
    <w:rsid w:val="001C0691"/>
    <w:rsid w:val="001C150A"/>
    <w:rsid w:val="001C71C2"/>
    <w:rsid w:val="001D481C"/>
    <w:rsid w:val="001D565E"/>
    <w:rsid w:val="001E0F02"/>
    <w:rsid w:val="001E21C0"/>
    <w:rsid w:val="001E7C2C"/>
    <w:rsid w:val="001F19B1"/>
    <w:rsid w:val="001F3028"/>
    <w:rsid w:val="001F5FF1"/>
    <w:rsid w:val="00202027"/>
    <w:rsid w:val="002065EA"/>
    <w:rsid w:val="00210057"/>
    <w:rsid w:val="002153F0"/>
    <w:rsid w:val="00234C63"/>
    <w:rsid w:val="00235399"/>
    <w:rsid w:val="002379E2"/>
    <w:rsid w:val="00264E4B"/>
    <w:rsid w:val="00265B01"/>
    <w:rsid w:val="00266295"/>
    <w:rsid w:val="00287AD7"/>
    <w:rsid w:val="002A6F21"/>
    <w:rsid w:val="002C03D3"/>
    <w:rsid w:val="002C2EA3"/>
    <w:rsid w:val="002C359D"/>
    <w:rsid w:val="002C3B49"/>
    <w:rsid w:val="002C6264"/>
    <w:rsid w:val="002D064D"/>
    <w:rsid w:val="002E268A"/>
    <w:rsid w:val="002F1868"/>
    <w:rsid w:val="002F23EE"/>
    <w:rsid w:val="00304629"/>
    <w:rsid w:val="003133D4"/>
    <w:rsid w:val="00313DCD"/>
    <w:rsid w:val="00317AD0"/>
    <w:rsid w:val="003401F6"/>
    <w:rsid w:val="00352F9E"/>
    <w:rsid w:val="003679BF"/>
    <w:rsid w:val="00380BA8"/>
    <w:rsid w:val="003A223A"/>
    <w:rsid w:val="003A403C"/>
    <w:rsid w:val="003A4CC0"/>
    <w:rsid w:val="003A710B"/>
    <w:rsid w:val="003C655C"/>
    <w:rsid w:val="003E370B"/>
    <w:rsid w:val="003E4D99"/>
    <w:rsid w:val="00405E98"/>
    <w:rsid w:val="0041199F"/>
    <w:rsid w:val="00416CA2"/>
    <w:rsid w:val="00431A50"/>
    <w:rsid w:val="00433A4A"/>
    <w:rsid w:val="00434F9E"/>
    <w:rsid w:val="0044224B"/>
    <w:rsid w:val="00443EB2"/>
    <w:rsid w:val="00447E2F"/>
    <w:rsid w:val="00452DFB"/>
    <w:rsid w:val="00454D43"/>
    <w:rsid w:val="00467B82"/>
    <w:rsid w:val="00472B64"/>
    <w:rsid w:val="004757D4"/>
    <w:rsid w:val="004906E2"/>
    <w:rsid w:val="004A1A4A"/>
    <w:rsid w:val="004A1C88"/>
    <w:rsid w:val="004A3C2F"/>
    <w:rsid w:val="004B207E"/>
    <w:rsid w:val="004B28D6"/>
    <w:rsid w:val="004D1B38"/>
    <w:rsid w:val="004E13B8"/>
    <w:rsid w:val="004E2569"/>
    <w:rsid w:val="004E28B4"/>
    <w:rsid w:val="004E75A3"/>
    <w:rsid w:val="005137B8"/>
    <w:rsid w:val="00514C49"/>
    <w:rsid w:val="00521941"/>
    <w:rsid w:val="00531A44"/>
    <w:rsid w:val="0054291D"/>
    <w:rsid w:val="00555007"/>
    <w:rsid w:val="00555014"/>
    <w:rsid w:val="00563DBC"/>
    <w:rsid w:val="0057524B"/>
    <w:rsid w:val="005778D2"/>
    <w:rsid w:val="005A08B4"/>
    <w:rsid w:val="005B57EB"/>
    <w:rsid w:val="005C15F2"/>
    <w:rsid w:val="005C3D5E"/>
    <w:rsid w:val="005C65A7"/>
    <w:rsid w:val="005D6F31"/>
    <w:rsid w:val="005E31F6"/>
    <w:rsid w:val="005E7300"/>
    <w:rsid w:val="005F131F"/>
    <w:rsid w:val="005F1B8E"/>
    <w:rsid w:val="00605DAF"/>
    <w:rsid w:val="00620CC9"/>
    <w:rsid w:val="00622F17"/>
    <w:rsid w:val="006331E3"/>
    <w:rsid w:val="006342E9"/>
    <w:rsid w:val="00644B71"/>
    <w:rsid w:val="00647DA1"/>
    <w:rsid w:val="0066361B"/>
    <w:rsid w:val="0067688E"/>
    <w:rsid w:val="00683848"/>
    <w:rsid w:val="00685C34"/>
    <w:rsid w:val="006867C7"/>
    <w:rsid w:val="00693E51"/>
    <w:rsid w:val="00697E19"/>
    <w:rsid w:val="006A5A4D"/>
    <w:rsid w:val="006A719D"/>
    <w:rsid w:val="006B7F4C"/>
    <w:rsid w:val="006D1728"/>
    <w:rsid w:val="006D33F7"/>
    <w:rsid w:val="006E21B6"/>
    <w:rsid w:val="007034FA"/>
    <w:rsid w:val="00713ACD"/>
    <w:rsid w:val="007164CF"/>
    <w:rsid w:val="00736420"/>
    <w:rsid w:val="00737867"/>
    <w:rsid w:val="007506C6"/>
    <w:rsid w:val="007648F9"/>
    <w:rsid w:val="007726DC"/>
    <w:rsid w:val="00784A20"/>
    <w:rsid w:val="00785BBC"/>
    <w:rsid w:val="00790B61"/>
    <w:rsid w:val="007930BB"/>
    <w:rsid w:val="007A6DD7"/>
    <w:rsid w:val="007B29E8"/>
    <w:rsid w:val="007C1C74"/>
    <w:rsid w:val="007D461F"/>
    <w:rsid w:val="007D6503"/>
    <w:rsid w:val="007D737E"/>
    <w:rsid w:val="007F7DA5"/>
    <w:rsid w:val="008013A3"/>
    <w:rsid w:val="00833CE0"/>
    <w:rsid w:val="00835CC3"/>
    <w:rsid w:val="008372E7"/>
    <w:rsid w:val="0084600D"/>
    <w:rsid w:val="0086390A"/>
    <w:rsid w:val="00875AD5"/>
    <w:rsid w:val="008765C1"/>
    <w:rsid w:val="00885B80"/>
    <w:rsid w:val="008932BD"/>
    <w:rsid w:val="008A554B"/>
    <w:rsid w:val="008A6FB3"/>
    <w:rsid w:val="008B3851"/>
    <w:rsid w:val="008B764D"/>
    <w:rsid w:val="008C0BFD"/>
    <w:rsid w:val="008C1748"/>
    <w:rsid w:val="008D20AB"/>
    <w:rsid w:val="008D44DB"/>
    <w:rsid w:val="008D727B"/>
    <w:rsid w:val="00905511"/>
    <w:rsid w:val="00920225"/>
    <w:rsid w:val="00921505"/>
    <w:rsid w:val="009234B7"/>
    <w:rsid w:val="00960155"/>
    <w:rsid w:val="00963950"/>
    <w:rsid w:val="00970725"/>
    <w:rsid w:val="00982AE0"/>
    <w:rsid w:val="00993E8F"/>
    <w:rsid w:val="009A3BE6"/>
    <w:rsid w:val="009B661F"/>
    <w:rsid w:val="009B7FF3"/>
    <w:rsid w:val="009C1A5A"/>
    <w:rsid w:val="009D3DB8"/>
    <w:rsid w:val="009D4225"/>
    <w:rsid w:val="009E6C33"/>
    <w:rsid w:val="009E7BD2"/>
    <w:rsid w:val="009F7479"/>
    <w:rsid w:val="009F7589"/>
    <w:rsid w:val="009F7A80"/>
    <w:rsid w:val="00A01DAE"/>
    <w:rsid w:val="00A07AD6"/>
    <w:rsid w:val="00A07B84"/>
    <w:rsid w:val="00A2049D"/>
    <w:rsid w:val="00A41DF4"/>
    <w:rsid w:val="00A47ACA"/>
    <w:rsid w:val="00A52C4D"/>
    <w:rsid w:val="00A57A4D"/>
    <w:rsid w:val="00A60475"/>
    <w:rsid w:val="00A64788"/>
    <w:rsid w:val="00A74618"/>
    <w:rsid w:val="00AB77D7"/>
    <w:rsid w:val="00AC3E16"/>
    <w:rsid w:val="00AC5411"/>
    <w:rsid w:val="00AD1751"/>
    <w:rsid w:val="00AF20F1"/>
    <w:rsid w:val="00B14D85"/>
    <w:rsid w:val="00B27B2F"/>
    <w:rsid w:val="00B34698"/>
    <w:rsid w:val="00B478DD"/>
    <w:rsid w:val="00B71429"/>
    <w:rsid w:val="00B817B3"/>
    <w:rsid w:val="00B82124"/>
    <w:rsid w:val="00B877DA"/>
    <w:rsid w:val="00B92712"/>
    <w:rsid w:val="00BA0043"/>
    <w:rsid w:val="00BA7B7E"/>
    <w:rsid w:val="00BB392D"/>
    <w:rsid w:val="00BB7AA6"/>
    <w:rsid w:val="00BC02C3"/>
    <w:rsid w:val="00BC568D"/>
    <w:rsid w:val="00BD7D04"/>
    <w:rsid w:val="00BE486D"/>
    <w:rsid w:val="00BF00F9"/>
    <w:rsid w:val="00C01D17"/>
    <w:rsid w:val="00C06F5B"/>
    <w:rsid w:val="00C22262"/>
    <w:rsid w:val="00C300AA"/>
    <w:rsid w:val="00C3694E"/>
    <w:rsid w:val="00C6018B"/>
    <w:rsid w:val="00C60F4D"/>
    <w:rsid w:val="00C64517"/>
    <w:rsid w:val="00C64AB8"/>
    <w:rsid w:val="00C704A4"/>
    <w:rsid w:val="00C97421"/>
    <w:rsid w:val="00C97B63"/>
    <w:rsid w:val="00CA2A76"/>
    <w:rsid w:val="00CA468A"/>
    <w:rsid w:val="00CA5E7F"/>
    <w:rsid w:val="00CC302F"/>
    <w:rsid w:val="00CC5F11"/>
    <w:rsid w:val="00CD226F"/>
    <w:rsid w:val="00CF2291"/>
    <w:rsid w:val="00D01264"/>
    <w:rsid w:val="00D10BB4"/>
    <w:rsid w:val="00D136AB"/>
    <w:rsid w:val="00D2148D"/>
    <w:rsid w:val="00D33466"/>
    <w:rsid w:val="00D44AF9"/>
    <w:rsid w:val="00D57CAD"/>
    <w:rsid w:val="00D6355C"/>
    <w:rsid w:val="00D8154D"/>
    <w:rsid w:val="00D85D09"/>
    <w:rsid w:val="00DA617C"/>
    <w:rsid w:val="00DB38BA"/>
    <w:rsid w:val="00DC063A"/>
    <w:rsid w:val="00DC7454"/>
    <w:rsid w:val="00DD0CFE"/>
    <w:rsid w:val="00DD2194"/>
    <w:rsid w:val="00DF260C"/>
    <w:rsid w:val="00DF337F"/>
    <w:rsid w:val="00E13655"/>
    <w:rsid w:val="00E30681"/>
    <w:rsid w:val="00E33F47"/>
    <w:rsid w:val="00E36A46"/>
    <w:rsid w:val="00E5209F"/>
    <w:rsid w:val="00E53E2D"/>
    <w:rsid w:val="00E61841"/>
    <w:rsid w:val="00E66891"/>
    <w:rsid w:val="00E75FD5"/>
    <w:rsid w:val="00E80B71"/>
    <w:rsid w:val="00E84BD2"/>
    <w:rsid w:val="00E863C9"/>
    <w:rsid w:val="00E87F9D"/>
    <w:rsid w:val="00E96801"/>
    <w:rsid w:val="00EA1670"/>
    <w:rsid w:val="00EA397C"/>
    <w:rsid w:val="00EA66AA"/>
    <w:rsid w:val="00EA7238"/>
    <w:rsid w:val="00EB2540"/>
    <w:rsid w:val="00EB5137"/>
    <w:rsid w:val="00EB54F6"/>
    <w:rsid w:val="00EC2015"/>
    <w:rsid w:val="00EC7DF5"/>
    <w:rsid w:val="00ED01F5"/>
    <w:rsid w:val="00ED56C4"/>
    <w:rsid w:val="00ED77B3"/>
    <w:rsid w:val="00ED7A71"/>
    <w:rsid w:val="00EE3469"/>
    <w:rsid w:val="00EE492A"/>
    <w:rsid w:val="00EE4F54"/>
    <w:rsid w:val="00EE65D9"/>
    <w:rsid w:val="00EF210C"/>
    <w:rsid w:val="00EF7DB4"/>
    <w:rsid w:val="00F10286"/>
    <w:rsid w:val="00F22CDA"/>
    <w:rsid w:val="00F3351E"/>
    <w:rsid w:val="00F34EC4"/>
    <w:rsid w:val="00F3593F"/>
    <w:rsid w:val="00F450B1"/>
    <w:rsid w:val="00F54523"/>
    <w:rsid w:val="00F57539"/>
    <w:rsid w:val="00F6433D"/>
    <w:rsid w:val="00F65641"/>
    <w:rsid w:val="00F734E9"/>
    <w:rsid w:val="00F76FEB"/>
    <w:rsid w:val="00F77BD8"/>
    <w:rsid w:val="00F9014F"/>
    <w:rsid w:val="00FA68A0"/>
    <w:rsid w:val="00FB2998"/>
    <w:rsid w:val="00FB5708"/>
    <w:rsid w:val="00FC1BD7"/>
    <w:rsid w:val="00FD029F"/>
    <w:rsid w:val="00FD3883"/>
    <w:rsid w:val="00FD590C"/>
    <w:rsid w:val="00FE0C6E"/>
    <w:rsid w:val="00FF61A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63A"/>
    <w:rPr>
      <w:sz w:val="20"/>
      <w:szCs w:val="20"/>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DC063A"/>
    <w:pPr>
      <w:jc w:val="center"/>
    </w:pPr>
    <w:rPr>
      <w:b/>
      <w:sz w:val="28"/>
      <w:szCs w:val="28"/>
      <w:lang w:val="fr-FR"/>
    </w:rPr>
  </w:style>
  <w:style w:type="character" w:customStyle="1" w:styleId="TitleChar">
    <w:name w:val="Title Char"/>
    <w:basedOn w:val="DefaultParagraphFont"/>
    <w:link w:val="Title"/>
    <w:uiPriority w:val="99"/>
    <w:locked/>
    <w:rsid w:val="001425F9"/>
    <w:rPr>
      <w:b/>
      <w:sz w:val="28"/>
      <w:lang w:val="fr-FR" w:eastAsia="ru-RU"/>
    </w:rPr>
  </w:style>
  <w:style w:type="paragraph" w:customStyle="1" w:styleId="cn">
    <w:name w:val="cn"/>
    <w:basedOn w:val="Normal"/>
    <w:uiPriority w:val="99"/>
    <w:rsid w:val="00DC063A"/>
    <w:pPr>
      <w:jc w:val="center"/>
    </w:pPr>
    <w:rPr>
      <w:sz w:val="24"/>
      <w:szCs w:val="24"/>
      <w:lang w:val="ru-RU"/>
    </w:rPr>
  </w:style>
  <w:style w:type="paragraph" w:customStyle="1" w:styleId="tt">
    <w:name w:val="tt"/>
    <w:basedOn w:val="Normal"/>
    <w:uiPriority w:val="99"/>
    <w:rsid w:val="00DC063A"/>
    <w:pPr>
      <w:jc w:val="center"/>
    </w:pPr>
    <w:rPr>
      <w:b/>
      <w:bCs/>
      <w:sz w:val="24"/>
      <w:szCs w:val="24"/>
      <w:lang w:val="ru-RU"/>
    </w:rPr>
  </w:style>
  <w:style w:type="paragraph" w:customStyle="1" w:styleId="cb">
    <w:name w:val="cb"/>
    <w:basedOn w:val="Normal"/>
    <w:uiPriority w:val="99"/>
    <w:rsid w:val="00DC063A"/>
    <w:pPr>
      <w:jc w:val="center"/>
    </w:pPr>
    <w:rPr>
      <w:b/>
      <w:bCs/>
      <w:sz w:val="24"/>
      <w:szCs w:val="24"/>
      <w:lang w:val="ru-RU"/>
    </w:rPr>
  </w:style>
  <w:style w:type="character" w:styleId="Strong">
    <w:name w:val="Strong"/>
    <w:basedOn w:val="DefaultParagraphFont"/>
    <w:uiPriority w:val="99"/>
    <w:qFormat/>
    <w:rsid w:val="00D8154D"/>
    <w:rPr>
      <w:rFonts w:cs="Times New Roman"/>
      <w:b/>
    </w:rPr>
  </w:style>
  <w:style w:type="paragraph" w:styleId="BalloonText">
    <w:name w:val="Balloon Text"/>
    <w:basedOn w:val="Normal"/>
    <w:link w:val="BalloonTextChar"/>
    <w:uiPriority w:val="99"/>
    <w:semiHidden/>
    <w:rsid w:val="003401F6"/>
    <w:rPr>
      <w:rFonts w:ascii="Tahoma" w:hAnsi="Tahoma" w:cs="Tahoma"/>
      <w:sz w:val="16"/>
      <w:szCs w:val="16"/>
    </w:rPr>
  </w:style>
  <w:style w:type="character" w:customStyle="1" w:styleId="BalloonTextChar">
    <w:name w:val="Balloon Text Char"/>
    <w:basedOn w:val="DefaultParagraphFont"/>
    <w:link w:val="BalloonText"/>
    <w:uiPriority w:val="99"/>
    <w:semiHidden/>
    <w:rsid w:val="00252257"/>
    <w:rPr>
      <w:sz w:val="0"/>
      <w:szCs w:val="0"/>
      <w:lang w:val="en-GB"/>
    </w:rPr>
  </w:style>
  <w:style w:type="character" w:customStyle="1" w:styleId="apple-style-span">
    <w:name w:val="apple-style-span"/>
    <w:basedOn w:val="DefaultParagraphFont"/>
    <w:uiPriority w:val="99"/>
    <w:rsid w:val="00EE4F54"/>
    <w:rPr>
      <w:rFonts w:cs="Times New Roman"/>
    </w:rPr>
  </w:style>
  <w:style w:type="paragraph" w:styleId="Footer">
    <w:name w:val="footer"/>
    <w:basedOn w:val="Normal"/>
    <w:link w:val="FooterChar"/>
    <w:uiPriority w:val="99"/>
    <w:rsid w:val="003133D4"/>
    <w:pPr>
      <w:tabs>
        <w:tab w:val="center" w:pos="4677"/>
        <w:tab w:val="right" w:pos="9355"/>
      </w:tabs>
    </w:pPr>
  </w:style>
  <w:style w:type="character" w:customStyle="1" w:styleId="FooterChar">
    <w:name w:val="Footer Char"/>
    <w:basedOn w:val="DefaultParagraphFont"/>
    <w:link w:val="Footer"/>
    <w:uiPriority w:val="99"/>
    <w:semiHidden/>
    <w:rsid w:val="00252257"/>
    <w:rPr>
      <w:sz w:val="20"/>
      <w:szCs w:val="20"/>
      <w:lang w:val="en-GB"/>
    </w:rPr>
  </w:style>
  <w:style w:type="character" w:styleId="PageNumber">
    <w:name w:val="page number"/>
    <w:basedOn w:val="DefaultParagraphFont"/>
    <w:uiPriority w:val="99"/>
    <w:rsid w:val="003133D4"/>
    <w:rPr>
      <w:rFonts w:cs="Times New Roman"/>
    </w:rPr>
  </w:style>
  <w:style w:type="paragraph" w:styleId="NormalWeb">
    <w:name w:val="Normal (Web)"/>
    <w:aliases w:val="Знак"/>
    <w:basedOn w:val="Normal"/>
    <w:link w:val="NormalWebChar"/>
    <w:uiPriority w:val="99"/>
    <w:rsid w:val="00EA66AA"/>
    <w:pPr>
      <w:ind w:firstLine="567"/>
      <w:jc w:val="both"/>
    </w:pPr>
    <w:rPr>
      <w:sz w:val="24"/>
      <w:szCs w:val="24"/>
      <w:lang w:val="ru-RU"/>
    </w:rPr>
  </w:style>
  <w:style w:type="paragraph" w:styleId="HTMLPreformatted">
    <w:name w:val="HTML Preformatted"/>
    <w:basedOn w:val="Normal"/>
    <w:link w:val="HTMLPreformattedChar"/>
    <w:uiPriority w:val="99"/>
    <w:rsid w:val="00EA6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rPr>
  </w:style>
  <w:style w:type="character" w:customStyle="1" w:styleId="HTMLPreformattedChar">
    <w:name w:val="HTML Preformatted Char"/>
    <w:basedOn w:val="DefaultParagraphFont"/>
    <w:link w:val="HTMLPreformatted"/>
    <w:uiPriority w:val="99"/>
    <w:semiHidden/>
    <w:rsid w:val="00252257"/>
    <w:rPr>
      <w:rFonts w:ascii="Courier New" w:hAnsi="Courier New" w:cs="Courier New"/>
      <w:sz w:val="20"/>
      <w:szCs w:val="20"/>
      <w:lang w:val="en-GB"/>
    </w:rPr>
  </w:style>
  <w:style w:type="character" w:customStyle="1" w:styleId="NormalWebChar">
    <w:name w:val="Normal (Web) Char"/>
    <w:aliases w:val="Знак Char"/>
    <w:link w:val="NormalWeb"/>
    <w:uiPriority w:val="99"/>
    <w:locked/>
    <w:rsid w:val="00EA66AA"/>
    <w:rPr>
      <w:sz w:val="24"/>
      <w:lang w:val="ru-RU" w:eastAsia="ru-RU"/>
    </w:rPr>
  </w:style>
</w:styles>
</file>

<file path=word/webSettings.xml><?xml version="1.0" encoding="utf-8"?>
<w:webSettings xmlns:r="http://schemas.openxmlformats.org/officeDocument/2006/relationships" xmlns:w="http://schemas.openxmlformats.org/wordprocessingml/2006/main">
  <w:divs>
    <w:div w:id="2513974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37</TotalTime>
  <Pages>2</Pages>
  <Words>986</Words>
  <Characters>5624</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INFORMATIVĂ</dc:title>
  <dc:subject/>
  <dc:creator> </dc:creator>
  <cp:keywords/>
  <dc:description/>
  <cp:lastModifiedBy>Anastasia Haruta</cp:lastModifiedBy>
  <cp:revision>13</cp:revision>
  <cp:lastPrinted>2014-09-05T12:32:00Z</cp:lastPrinted>
  <dcterms:created xsi:type="dcterms:W3CDTF">2014-04-11T12:27:00Z</dcterms:created>
  <dcterms:modified xsi:type="dcterms:W3CDTF">2015-08-21T11:21:00Z</dcterms:modified>
</cp:coreProperties>
</file>