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7BC" w:rsidRPr="007C66F7" w:rsidRDefault="00524495" w:rsidP="0068592A">
      <w:pPr>
        <w:tabs>
          <w:tab w:val="left" w:pos="993"/>
        </w:tabs>
        <w:spacing w:after="0"/>
        <w:jc w:val="center"/>
        <w:rPr>
          <w:b/>
          <w:bCs/>
          <w:sz w:val="24"/>
          <w:szCs w:val="24"/>
        </w:rPr>
      </w:pPr>
      <w:r w:rsidRPr="007C66F7">
        <w:rPr>
          <w:b/>
          <w:bCs/>
          <w:sz w:val="24"/>
          <w:szCs w:val="24"/>
        </w:rPr>
        <w:t>NOTA DE FUNDAMENTARE</w:t>
      </w:r>
    </w:p>
    <w:p w:rsidR="003107BC" w:rsidRPr="007C66F7" w:rsidRDefault="00524495" w:rsidP="0068592A">
      <w:pPr>
        <w:tabs>
          <w:tab w:val="left" w:pos="993"/>
        </w:tabs>
        <w:jc w:val="center"/>
        <w:rPr>
          <w:b/>
          <w:bCs/>
          <w:sz w:val="24"/>
          <w:szCs w:val="24"/>
        </w:rPr>
      </w:pPr>
      <w:r w:rsidRPr="007C66F7">
        <w:rPr>
          <w:b/>
          <w:bCs/>
          <w:sz w:val="24"/>
          <w:szCs w:val="24"/>
        </w:rPr>
        <w:t>la proiectul Hotărârii Guvernului pentru modificarea unor hotărâri de guvern</w:t>
      </w:r>
    </w:p>
    <w:p w:rsidR="003107BC" w:rsidRPr="007C66F7" w:rsidRDefault="00524495" w:rsidP="0068592A">
      <w:pPr>
        <w:spacing w:after="300"/>
        <w:jc w:val="center"/>
        <w:rPr>
          <w:sz w:val="24"/>
          <w:szCs w:val="24"/>
        </w:rPr>
      </w:pPr>
      <w:r w:rsidRPr="007C66F7">
        <w:rPr>
          <w:b/>
          <w:bCs/>
          <w:sz w:val="24"/>
          <w:szCs w:val="24"/>
        </w:rPr>
        <w:t>(număr unic 911/MEC/2026)</w:t>
      </w:r>
    </w:p>
    <w:tbl>
      <w:tblPr>
        <w:tblStyle w:val="a"/>
        <w:tblW w:w="9921"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9921"/>
      </w:tblGrid>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BFBFBF"/>
            <w:tcMar>
              <w:top w:w="0" w:type="dxa"/>
              <w:bottom w:w="0" w:type="dxa"/>
            </w:tcMar>
          </w:tcPr>
          <w:p w:rsidR="003107BC" w:rsidRPr="007C66F7" w:rsidRDefault="00524495" w:rsidP="0068592A">
            <w:pPr>
              <w:tabs>
                <w:tab w:val="left" w:pos="993"/>
              </w:tabs>
              <w:spacing w:after="0"/>
              <w:rPr>
                <w:b/>
                <w:bCs/>
                <w:sz w:val="24"/>
                <w:szCs w:val="24"/>
              </w:rPr>
            </w:pPr>
            <w:r w:rsidRPr="007C66F7">
              <w:rPr>
                <w:b/>
                <w:bCs/>
                <w:sz w:val="24"/>
                <w:szCs w:val="24"/>
              </w:rPr>
              <w:t>1. Denumirea sau numele autorului și, după caz, a/al participanților la elaborarea proiectului actului normativ</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Proiectul hotărârii Guvernului pentru modificarea unor hotărâri de guvern este elaborat de Ministerul Educației și Cercetării.</w:t>
            </w:r>
          </w:p>
          <w:p w:rsidR="003107BC" w:rsidRPr="007C66F7" w:rsidRDefault="00524495" w:rsidP="0068592A">
            <w:pPr>
              <w:tabs>
                <w:tab w:val="left" w:pos="993"/>
              </w:tabs>
              <w:spacing w:after="0"/>
              <w:ind w:firstLine="560"/>
              <w:jc w:val="both"/>
              <w:rPr>
                <w:sz w:val="24"/>
                <w:szCs w:val="24"/>
              </w:rPr>
            </w:pPr>
            <w:r w:rsidRPr="007C66F7">
              <w:rPr>
                <w:sz w:val="24"/>
                <w:szCs w:val="24"/>
              </w:rPr>
              <w:t xml:space="preserve">La elaborarea proiectului au participat subdiviziunile de specialitate ale Ministerului Educației și Cercetării și cele teritoriale: Centrul Republican de Asistență Psihopedagogică și Serviciile Teritoriale de Asistență Psihopedagogică. De asemenea, cu suportul UNICEF, au fost antrenați doi experți pentru examinarea și operarea modificărilor cu referire la finanțarea educației incluzive. </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BFBFBF"/>
            <w:tcMar>
              <w:top w:w="0" w:type="dxa"/>
              <w:bottom w:w="0" w:type="dxa"/>
            </w:tcMar>
          </w:tcPr>
          <w:p w:rsidR="003107BC" w:rsidRPr="007C66F7" w:rsidRDefault="00524495" w:rsidP="0068592A">
            <w:pPr>
              <w:tabs>
                <w:tab w:val="left" w:pos="993"/>
              </w:tabs>
              <w:spacing w:after="0"/>
              <w:rPr>
                <w:b/>
                <w:bCs/>
                <w:sz w:val="24"/>
                <w:szCs w:val="24"/>
              </w:rPr>
            </w:pPr>
            <w:r w:rsidRPr="007C66F7">
              <w:rPr>
                <w:b/>
                <w:bCs/>
                <w:sz w:val="24"/>
                <w:szCs w:val="24"/>
              </w:rPr>
              <w:t>2. Condițiile ce au impus elaborarea proiectului actului normativ</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rPr>
                <w:sz w:val="24"/>
                <w:szCs w:val="24"/>
              </w:rPr>
            </w:pPr>
            <w:r w:rsidRPr="007C66F7">
              <w:rPr>
                <w:sz w:val="24"/>
                <w:szCs w:val="24"/>
              </w:rPr>
              <w:t>2.1. Temeiul legal sau, după caz, sursa proiectului actului normativ</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Temeiul legal al elaborării proiectului de Hotărâre constituie art. 139 lit. c) și art. 140 alin. (1) din Codul Educației al Republicii Moldova nr. 152/2014 (Monitorul Oficial al Republicii Moldova, nr. 319-324, art. 634) cu modificările ulterioare, precum și art. VIII alin. (2) din Legea nr. 200/2026 pentru modificarea unor acte normative (reforma „</w:t>
            </w:r>
            <w:proofErr w:type="spellStart"/>
            <w:r w:rsidRPr="007C66F7">
              <w:rPr>
                <w:sz w:val="24"/>
                <w:szCs w:val="24"/>
              </w:rPr>
              <w:t>Restart</w:t>
            </w:r>
            <w:proofErr w:type="spellEnd"/>
            <w:r w:rsidRPr="007C66F7">
              <w:rPr>
                <w:sz w:val="24"/>
                <w:szCs w:val="24"/>
              </w:rPr>
              <w:t xml:space="preserve"> în educație”) (Monitorul Oficial al Republicii Moldova, 2026, nr. 448-451, art. 477), invocat în clauza de adoptare a proiectului, care stabilesc competența Guvernului de a aproba acte normative în domeniul finanțării și administrării sistemului educațional.</w:t>
            </w:r>
          </w:p>
          <w:p w:rsidR="003107BC" w:rsidRPr="007C66F7" w:rsidRDefault="00524495" w:rsidP="0068592A">
            <w:pPr>
              <w:tabs>
                <w:tab w:val="left" w:pos="993"/>
              </w:tabs>
              <w:spacing w:after="0"/>
              <w:ind w:firstLine="560"/>
              <w:jc w:val="both"/>
              <w:rPr>
                <w:sz w:val="24"/>
                <w:szCs w:val="24"/>
              </w:rPr>
            </w:pPr>
            <w:r w:rsidRPr="007C66F7">
              <w:rPr>
                <w:sz w:val="24"/>
                <w:szCs w:val="24"/>
              </w:rPr>
              <w:t>De asemenea, proiectul este elaborat în baza Legii nr. 200/2026 pentru modificarea unor acte normative (reforma „</w:t>
            </w:r>
            <w:proofErr w:type="spellStart"/>
            <w:r w:rsidRPr="007C66F7">
              <w:rPr>
                <w:sz w:val="24"/>
                <w:szCs w:val="24"/>
              </w:rPr>
              <w:t>Restart</w:t>
            </w:r>
            <w:proofErr w:type="spellEnd"/>
            <w:r w:rsidRPr="007C66F7">
              <w:rPr>
                <w:sz w:val="24"/>
                <w:szCs w:val="24"/>
              </w:rPr>
              <w:t xml:space="preserve"> în educație”) (Monitorul Oficial al Republicii Moldova, 2026, nr. 448-451, art. 477), care prevede că Agențiile Teritoriale pentru Educație – sunt autorități administrative din subordinea Ministerului Educației și Cercetării, organizate cu subdiviziuni teritoriale, care exercită atribuțiile prevăzute de codul Educației în raport cu instituțiile publice de învățământ primar, gimnazial, liceal și special, iar în UTA Găgăuzia – autoritate administrativă teritorială creată și subordonată Adunării Populare a UTA Găgăuzia.</w:t>
            </w:r>
          </w:p>
          <w:p w:rsidR="003107BC" w:rsidRPr="007C66F7" w:rsidRDefault="00524495" w:rsidP="0068592A">
            <w:pPr>
              <w:tabs>
                <w:tab w:val="left" w:pos="993"/>
              </w:tabs>
              <w:spacing w:after="0"/>
              <w:ind w:firstLine="560"/>
              <w:jc w:val="both"/>
              <w:rPr>
                <w:sz w:val="24"/>
                <w:szCs w:val="24"/>
              </w:rPr>
            </w:pPr>
            <w:r w:rsidRPr="007C66F7">
              <w:rPr>
                <w:sz w:val="24"/>
                <w:szCs w:val="24"/>
              </w:rPr>
              <w:t>Cadrul normativ relevant pentru mecanismul de finanțare include Codul educației nr. 152/2014, Legea finanțelor publice și responsabilității bugetar-fiscale nr. 181/2014, Legea nr. 435/2006 privind descentralizarea administrativă, Hotărârea Guvernului nr. 868/2014 în forma consolidată și Hotărârea Guvernului nr. 637/2025.</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2.2. Descrierea situației actuale și a problemelor care impun intervenția, inclusiv a cadrului normativ aplicabil și a deficiențelor/lacunelor normative</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1.Hotărârea Guvernului nr. 868/2014 privind finanțarea în bază de cost standard per elev a instituțiilor de învățământ primar și secundar general reglementează metodologia de finanțare a instituțiilor publice de învățământ general, mecanismul de repartizare a alocațiilor bugetare, precum și atribuțiile autorităților implicate în procesul de planificare, repartizare și administrare a resurselor financiare destinate acestor instituții.</w:t>
            </w:r>
          </w:p>
          <w:p w:rsidR="003107BC" w:rsidRPr="007C66F7" w:rsidRDefault="00524495" w:rsidP="0068592A">
            <w:pPr>
              <w:tabs>
                <w:tab w:val="left" w:pos="993"/>
              </w:tabs>
              <w:spacing w:after="0"/>
              <w:ind w:firstLine="560"/>
              <w:jc w:val="both"/>
              <w:rPr>
                <w:sz w:val="24"/>
                <w:szCs w:val="24"/>
              </w:rPr>
            </w:pPr>
            <w:r w:rsidRPr="007C66F7">
              <w:rPr>
                <w:sz w:val="24"/>
                <w:szCs w:val="24"/>
              </w:rPr>
              <w:t>Prin Legea nr. 200/2026 pentru modificarea unor acte normative (reforma „</w:t>
            </w:r>
            <w:proofErr w:type="spellStart"/>
            <w:r w:rsidRPr="007C66F7">
              <w:rPr>
                <w:sz w:val="24"/>
                <w:szCs w:val="24"/>
              </w:rPr>
              <w:t>Restart</w:t>
            </w:r>
            <w:proofErr w:type="spellEnd"/>
            <w:r w:rsidRPr="007C66F7">
              <w:rPr>
                <w:sz w:val="24"/>
                <w:szCs w:val="24"/>
              </w:rPr>
              <w:t xml:space="preserve"> în educație”), au fost operate modificări substanțiale în Codul educației nr. 152/2014 și în alte acte legislative conexe, care vizează reorganizarea sistemului de administrare a învățământului general, redistribuirea competențelor între autoritățile publice și redefinirea mecanismului de finanțare a instituțiilor publice de învățământ.</w:t>
            </w:r>
          </w:p>
          <w:p w:rsidR="003107BC" w:rsidRPr="007C66F7" w:rsidRDefault="00524495" w:rsidP="0068592A">
            <w:pPr>
              <w:tabs>
                <w:tab w:val="left" w:pos="993"/>
              </w:tabs>
              <w:spacing w:after="0"/>
              <w:ind w:firstLine="560"/>
              <w:jc w:val="both"/>
              <w:rPr>
                <w:sz w:val="24"/>
                <w:szCs w:val="24"/>
              </w:rPr>
            </w:pPr>
            <w:r w:rsidRPr="007C66F7">
              <w:rPr>
                <w:sz w:val="24"/>
                <w:szCs w:val="24"/>
              </w:rPr>
              <w:t>Modificările legislative menționate determină necesitatea revizuirii Hotărârii Guvernului nr. 868/2014, întrucât aceasta a fost elaborată în baza cadrului normativ anterior și conține reglementări care nu mai corespund noilor prevederi ale Codului educației. În special, actul normativ necesită ajustarea dispozițiilor referitoare la autoritățile responsabile de administrarea și finanțarea instituțiilor publice de învățământ general, mecanismul de repartizare și administrare a alocațiilor bugetare, responsabilitățile instituționale în procesul bugetar, precum și terminologia utilizată.</w:t>
            </w:r>
          </w:p>
          <w:p w:rsidR="003107BC" w:rsidRPr="007C66F7" w:rsidRDefault="00524495" w:rsidP="0068592A">
            <w:pPr>
              <w:tabs>
                <w:tab w:val="left" w:pos="993"/>
              </w:tabs>
              <w:spacing w:after="0"/>
              <w:ind w:firstLine="560"/>
              <w:jc w:val="both"/>
              <w:rPr>
                <w:sz w:val="24"/>
                <w:szCs w:val="24"/>
              </w:rPr>
            </w:pPr>
            <w:r w:rsidRPr="007C66F7">
              <w:rPr>
                <w:sz w:val="24"/>
                <w:szCs w:val="24"/>
              </w:rPr>
              <w:t xml:space="preserve">Totodată, modificările operate la nivel legislativ impun corelarea metodologiei de finanțare cu noua structură/formă instituțională a sistemului de învățământ general, astfel încât actul normativ </w:t>
            </w:r>
            <w:r w:rsidRPr="007C66F7">
              <w:rPr>
                <w:sz w:val="24"/>
                <w:szCs w:val="24"/>
              </w:rPr>
              <w:lastRenderedPageBreak/>
              <w:t>secundar să reflecte noile competențe ale autorităților implicate, modalitatea de finanțare a instituțiilor publice de învățământ și mecanismele de gestionare a resurselor financiare.</w:t>
            </w:r>
          </w:p>
          <w:p w:rsidR="003107BC" w:rsidRPr="007C66F7" w:rsidRDefault="00524495" w:rsidP="0068592A">
            <w:pPr>
              <w:tabs>
                <w:tab w:val="left" w:pos="993"/>
              </w:tabs>
              <w:spacing w:after="0"/>
              <w:ind w:firstLine="560"/>
              <w:jc w:val="both"/>
              <w:rPr>
                <w:sz w:val="24"/>
                <w:szCs w:val="24"/>
              </w:rPr>
            </w:pPr>
            <w:r w:rsidRPr="007C66F7">
              <w:rPr>
                <w:sz w:val="24"/>
                <w:szCs w:val="24"/>
              </w:rPr>
              <w:t>În lipsa ajustării Hotărârii Guvernului nr. 868/2014, vor exista necorelări între prevederile legislației primare și cele ale actului normativ subordonat legii, ceea ce poate genera dificultăți în aplicarea uniformă a mecanismului de finanțare, în exercitarea competențelor de către autoritățile responsabile și în executarea procesului bugetar aferent instituțiilor publice de învățământ general.</w:t>
            </w:r>
          </w:p>
          <w:p w:rsidR="003107BC" w:rsidRPr="007C66F7" w:rsidRDefault="00524495" w:rsidP="0068592A">
            <w:pPr>
              <w:tabs>
                <w:tab w:val="left" w:pos="993"/>
              </w:tabs>
              <w:spacing w:after="0"/>
              <w:ind w:firstLine="560"/>
              <w:jc w:val="both"/>
              <w:rPr>
                <w:sz w:val="24"/>
                <w:szCs w:val="24"/>
              </w:rPr>
            </w:pPr>
            <w:r w:rsidRPr="007C66F7">
              <w:rPr>
                <w:sz w:val="24"/>
                <w:szCs w:val="24"/>
              </w:rPr>
              <w:t>În acest context, intervenția normativă este necesară pentru armonizarea cadrului normativ secundar cu modificările operate în Codul educației și în actele legislative conexe, asigurarea coerenței și clarității reglementărilor privind finanțarea învățământului general, precum și crearea premiselor pentru implementarea eficientă și unitară a noilor dispoziții legale.</w:t>
            </w:r>
          </w:p>
          <w:p w:rsidR="003107BC" w:rsidRPr="007C66F7" w:rsidRDefault="00524495" w:rsidP="0068592A">
            <w:pPr>
              <w:tabs>
                <w:tab w:val="left" w:pos="993"/>
              </w:tabs>
              <w:spacing w:after="0"/>
              <w:ind w:firstLine="560"/>
              <w:jc w:val="both"/>
              <w:rPr>
                <w:sz w:val="24"/>
                <w:szCs w:val="24"/>
              </w:rPr>
            </w:pPr>
            <w:r w:rsidRPr="007C66F7">
              <w:rPr>
                <w:sz w:val="24"/>
                <w:szCs w:val="24"/>
              </w:rPr>
              <w:t>2. Cadrul normativ în vigoare condiționează formarea fondului pentru educație incluzivă de decizia consiliului municipal/raional și stabilește o limită de maximum 2% din suma transferurilor categoriale (pct. 10 din anexa nr. 1 și pct. 2–3 din anexa nr. 3 la Hotărârea Guvernului nr. 868/2014). Mărimea efectivă a fondului variază, astfel, de la o unitate administrativ-teritorială la alta, iar repartizarea acestuia nu este corelată cu numărul elevilor cu cerințe educaționale speciale, cu tipul și severitatea dizabilității și nici cu gradul de executare a mijloacelor în anul bugetar precedent.</w:t>
            </w:r>
          </w:p>
          <w:p w:rsidR="003107BC" w:rsidRPr="007C66F7" w:rsidRDefault="00524495" w:rsidP="0068592A">
            <w:pPr>
              <w:tabs>
                <w:tab w:val="left" w:pos="993"/>
              </w:tabs>
              <w:spacing w:after="0"/>
              <w:ind w:firstLine="560"/>
              <w:jc w:val="both"/>
              <w:rPr>
                <w:sz w:val="24"/>
                <w:szCs w:val="24"/>
              </w:rPr>
            </w:pPr>
            <w:r w:rsidRPr="007C66F7">
              <w:rPr>
                <w:sz w:val="24"/>
                <w:szCs w:val="24"/>
              </w:rPr>
              <w:t>Pe parcursul implementării mecanismului de finanțare au fost realizate mai multe ajustări ale formulei de finanțare, însă mecanismul de alocare a resurselor pentru educația incluzivă a rămas, în esență, neschimbat, în timp ce sistemul educațional a cunoscut transformări semnificative. În ultimii ani a crescut constant numărul elevilor cu cerințe educaționale speciale integrați în instituțiile de învățământ general, s-au diversificat serviciile de suport educațional și au fost dezvoltate noi standarde privind asistența psihopedagogică și incluziunea educațională.</w:t>
            </w:r>
          </w:p>
          <w:p w:rsidR="003107BC" w:rsidRPr="007C66F7" w:rsidRDefault="00524495" w:rsidP="0068592A">
            <w:pPr>
              <w:tabs>
                <w:tab w:val="left" w:pos="993"/>
              </w:tabs>
              <w:spacing w:after="0"/>
              <w:ind w:firstLine="560"/>
              <w:jc w:val="both"/>
              <w:rPr>
                <w:sz w:val="24"/>
                <w:szCs w:val="24"/>
              </w:rPr>
            </w:pPr>
            <w:r w:rsidRPr="007C66F7">
              <w:rPr>
                <w:sz w:val="24"/>
                <w:szCs w:val="24"/>
              </w:rPr>
              <w:t>Astfel, experiența aplicării prevederilor Hotărârii Guvernului nr. 868/2014 demonstrează că mecanismul actual de finanțare a educației incluzive nu mai răspunde în totalitate necesităților sistemului educațional și nu asigură o distribuire echitabilă și eficientă a resurselor financiare. Formula existentă nu stabilește o legătură directă între volumul finanțării și necesarul real de servicii specializate, determinat de numărul beneficiarilor, tipul și severitatea dizabilităților sau complexitatea intervențiilor educaționale.</w:t>
            </w:r>
          </w:p>
          <w:p w:rsidR="003107BC" w:rsidRPr="007C66F7" w:rsidRDefault="00524495" w:rsidP="0068592A">
            <w:pPr>
              <w:tabs>
                <w:tab w:val="left" w:pos="993"/>
              </w:tabs>
              <w:spacing w:after="0"/>
              <w:ind w:firstLine="560"/>
              <w:jc w:val="both"/>
              <w:rPr>
                <w:sz w:val="24"/>
                <w:szCs w:val="24"/>
              </w:rPr>
            </w:pPr>
            <w:r w:rsidRPr="007C66F7">
              <w:rPr>
                <w:sz w:val="24"/>
                <w:szCs w:val="24"/>
              </w:rPr>
              <w:t xml:space="preserve">Totodată, cadrul normativ nu conține criterii clare pentru finanțarea diferențiată a personalului specializat (cadre didactice de sprijin, psihologi, logopezi, psihopedagogi, interpreți în limbaj </w:t>
            </w:r>
            <w:proofErr w:type="spellStart"/>
            <w:r w:rsidRPr="007C66F7">
              <w:rPr>
                <w:sz w:val="24"/>
                <w:szCs w:val="24"/>
              </w:rPr>
              <w:t>mimico</w:t>
            </w:r>
            <w:proofErr w:type="spellEnd"/>
            <w:r w:rsidRPr="007C66F7">
              <w:rPr>
                <w:sz w:val="24"/>
                <w:szCs w:val="24"/>
              </w:rPr>
              <w:t>-gestual și alți specialiști), ceea ce conduce la practici neuniforme de alocare a resurselor și limitează posibilitatea autorităților publice locale și a instituțiilor de învățământ de a asigura serviciile necesare tuturor beneficiarilor.</w:t>
            </w:r>
          </w:p>
          <w:p w:rsidR="003107BC" w:rsidRPr="007C66F7" w:rsidRDefault="00524495" w:rsidP="0068592A">
            <w:pPr>
              <w:tabs>
                <w:tab w:val="left" w:pos="993"/>
              </w:tabs>
              <w:spacing w:after="0"/>
              <w:ind w:firstLine="560"/>
              <w:jc w:val="both"/>
              <w:rPr>
                <w:sz w:val="24"/>
                <w:szCs w:val="24"/>
              </w:rPr>
            </w:pPr>
            <w:r w:rsidRPr="007C66F7">
              <w:rPr>
                <w:sz w:val="24"/>
                <w:szCs w:val="24"/>
              </w:rPr>
              <w:t>O altă deficiență a mecanismului actual constă în faptul că resursele financiare destinate educației incluzive nu sunt distribuite în funcție de performanța utilizării acestora și nu stimulează utilizarea integrală și eficientă a fondurilor publice. În consecință, în unele cazuri sunt înregistrate economii sau solduri neutilizate, iar în altele resursele existente sunt insuficiente pentru acoperirea necesarului de personal și servicii specializate.</w:t>
            </w:r>
          </w:p>
          <w:p w:rsidR="003107BC" w:rsidRPr="007C66F7" w:rsidRDefault="00524495" w:rsidP="0068592A">
            <w:pPr>
              <w:tabs>
                <w:tab w:val="left" w:pos="993"/>
              </w:tabs>
              <w:spacing w:after="0"/>
              <w:ind w:firstLine="560"/>
              <w:jc w:val="both"/>
              <w:rPr>
                <w:sz w:val="24"/>
                <w:szCs w:val="24"/>
              </w:rPr>
            </w:pPr>
            <w:r w:rsidRPr="007C66F7">
              <w:rPr>
                <w:sz w:val="24"/>
                <w:szCs w:val="24"/>
              </w:rPr>
              <w:t>În același timp, cadrul normativ nu reglementează în mod distinct mecanismul de finanțare a centrelor de resurse pentru educația incluzivă și nu stabilește o metodologie transparentă de calcul al componentelor financiare aferente funcționării acestora.</w:t>
            </w:r>
          </w:p>
          <w:p w:rsidR="003107BC" w:rsidRPr="007C66F7" w:rsidRDefault="00524495" w:rsidP="0068592A">
            <w:pPr>
              <w:tabs>
                <w:tab w:val="left" w:pos="993"/>
              </w:tabs>
              <w:spacing w:after="0"/>
              <w:ind w:firstLine="560"/>
              <w:jc w:val="both"/>
              <w:rPr>
                <w:sz w:val="24"/>
                <w:szCs w:val="24"/>
              </w:rPr>
            </w:pPr>
            <w:r w:rsidRPr="007C66F7">
              <w:rPr>
                <w:sz w:val="24"/>
                <w:szCs w:val="24"/>
              </w:rPr>
              <w:t>În vederea eliminării acestor deficiențe, proiectul propune modificarea Hotărârii Guvernului nr. 868/2014 prin:</w:t>
            </w:r>
          </w:p>
          <w:p w:rsidR="003107BC" w:rsidRPr="007C66F7" w:rsidRDefault="00524495" w:rsidP="0068592A">
            <w:pPr>
              <w:tabs>
                <w:tab w:val="left" w:pos="993"/>
              </w:tabs>
              <w:spacing w:after="0"/>
              <w:ind w:left="1000" w:hanging="220"/>
              <w:jc w:val="both"/>
              <w:rPr>
                <w:sz w:val="24"/>
                <w:szCs w:val="24"/>
              </w:rPr>
            </w:pPr>
            <w:r w:rsidRPr="007C66F7">
              <w:rPr>
                <w:sz w:val="24"/>
                <w:szCs w:val="24"/>
              </w:rPr>
              <w:t>– revizuirea mecanismului de formare și utilizare a fondului pentru educație incluzivă;</w:t>
            </w:r>
          </w:p>
          <w:p w:rsidR="003107BC" w:rsidRPr="007C66F7" w:rsidRDefault="00524495" w:rsidP="0068592A">
            <w:pPr>
              <w:tabs>
                <w:tab w:val="left" w:pos="993"/>
              </w:tabs>
              <w:spacing w:after="0"/>
              <w:ind w:left="1000" w:hanging="220"/>
              <w:jc w:val="both"/>
              <w:rPr>
                <w:sz w:val="24"/>
                <w:szCs w:val="24"/>
              </w:rPr>
            </w:pPr>
            <w:r w:rsidRPr="007C66F7">
              <w:rPr>
                <w:sz w:val="24"/>
                <w:szCs w:val="24"/>
              </w:rPr>
              <w:t>– instituirea unei metodologii de finanțare bazate pe indicatori obiectivi și verificabili, care reflectă necesarul real de personal specializat și de servicii de suport;</w:t>
            </w:r>
          </w:p>
          <w:p w:rsidR="003107BC" w:rsidRPr="007C66F7" w:rsidRDefault="00524495" w:rsidP="0068592A">
            <w:pPr>
              <w:tabs>
                <w:tab w:val="left" w:pos="993"/>
              </w:tabs>
              <w:spacing w:after="0"/>
              <w:ind w:left="1000" w:hanging="220"/>
              <w:jc w:val="both"/>
              <w:rPr>
                <w:sz w:val="24"/>
                <w:szCs w:val="24"/>
              </w:rPr>
            </w:pPr>
            <w:r w:rsidRPr="007C66F7">
              <w:rPr>
                <w:sz w:val="24"/>
                <w:szCs w:val="24"/>
              </w:rPr>
              <w:t>– introducerea unor formule distincte de calcul pentru finanțarea psihologilor, cadrelor didactice de sprijin, logopezilor, psihopedagogilor și altor categorii de specialiști;</w:t>
            </w:r>
          </w:p>
          <w:p w:rsidR="003107BC" w:rsidRPr="007C66F7" w:rsidRDefault="00524495" w:rsidP="0068592A">
            <w:pPr>
              <w:tabs>
                <w:tab w:val="left" w:pos="993"/>
              </w:tabs>
              <w:spacing w:after="0"/>
              <w:ind w:left="1000" w:hanging="220"/>
              <w:jc w:val="both"/>
              <w:rPr>
                <w:sz w:val="24"/>
                <w:szCs w:val="24"/>
              </w:rPr>
            </w:pPr>
            <w:r w:rsidRPr="007C66F7">
              <w:rPr>
                <w:sz w:val="24"/>
                <w:szCs w:val="24"/>
              </w:rPr>
              <w:t>– reglementarea expresă a mecanismului de finanțare a centrelor de resurse pentru educația incluzivă;</w:t>
            </w:r>
          </w:p>
          <w:p w:rsidR="003107BC" w:rsidRPr="007C66F7" w:rsidRDefault="00524495" w:rsidP="0068592A">
            <w:pPr>
              <w:tabs>
                <w:tab w:val="left" w:pos="993"/>
              </w:tabs>
              <w:spacing w:after="0"/>
              <w:ind w:left="1000" w:hanging="220"/>
              <w:jc w:val="both"/>
              <w:rPr>
                <w:sz w:val="24"/>
                <w:szCs w:val="24"/>
              </w:rPr>
            </w:pPr>
            <w:r w:rsidRPr="007C66F7">
              <w:rPr>
                <w:sz w:val="24"/>
                <w:szCs w:val="24"/>
              </w:rPr>
              <w:t>– instituirea unor mecanisme de ajustare a alocațiilor financiare în funcție de gradul de utilizare a resurselor și de necesarul efectiv al instituțiilor de învățământ;</w:t>
            </w:r>
          </w:p>
          <w:p w:rsidR="003107BC" w:rsidRPr="007C66F7" w:rsidRDefault="00524495" w:rsidP="0068592A">
            <w:pPr>
              <w:tabs>
                <w:tab w:val="left" w:pos="993"/>
              </w:tabs>
              <w:spacing w:after="0"/>
              <w:ind w:left="1000" w:hanging="220"/>
              <w:jc w:val="both"/>
              <w:rPr>
                <w:sz w:val="24"/>
                <w:szCs w:val="24"/>
              </w:rPr>
            </w:pPr>
            <w:r w:rsidRPr="007C66F7">
              <w:rPr>
                <w:sz w:val="24"/>
                <w:szCs w:val="24"/>
              </w:rPr>
              <w:t>– armonizarea prevederilor anexelor nr. 1 și nr. 2 la Hotărârea Guvernului nr. 868/2014 cu noul mecanism de finanțare.</w:t>
            </w:r>
          </w:p>
          <w:p w:rsidR="003107BC" w:rsidRPr="007C66F7" w:rsidRDefault="00524495" w:rsidP="0068592A">
            <w:pPr>
              <w:tabs>
                <w:tab w:val="left" w:pos="993"/>
              </w:tabs>
              <w:spacing w:after="0"/>
              <w:ind w:firstLine="560"/>
              <w:jc w:val="both"/>
              <w:rPr>
                <w:sz w:val="24"/>
                <w:szCs w:val="24"/>
              </w:rPr>
            </w:pPr>
            <w:r w:rsidRPr="007C66F7">
              <w:rPr>
                <w:sz w:val="24"/>
                <w:szCs w:val="24"/>
              </w:rPr>
              <w:lastRenderedPageBreak/>
              <w:t>Implementarea proiectului va contribui la orientarea resurselor financiare către necesitățile reale ale beneficiarilor, la utilizarea mai eficientă a fondurilor publice, la consolidarea serviciilor de suport educațional și la crearea unui mecanism de finanțare transparent, predictibil și echitabil. Totodată, modificările propuse vor sprijini realizarea obiectivelor prevăzute de Codul educației al Republicii Moldova nr. 152/2014 privind asigurarea accesului echitabil la educație de calitate pentru toți copiii, inclusiv pentru copiii cu cerințe educaționale speciale și dizabilități.</w:t>
            </w:r>
          </w:p>
          <w:p w:rsidR="003107BC" w:rsidRPr="007C66F7" w:rsidRDefault="00524495" w:rsidP="0068592A">
            <w:pPr>
              <w:tabs>
                <w:tab w:val="left" w:pos="993"/>
              </w:tabs>
              <w:spacing w:after="0"/>
              <w:ind w:firstLine="560"/>
              <w:jc w:val="both"/>
              <w:rPr>
                <w:sz w:val="24"/>
                <w:szCs w:val="24"/>
              </w:rPr>
            </w:pPr>
            <w:r w:rsidRPr="007C66F7">
              <w:rPr>
                <w:sz w:val="24"/>
                <w:szCs w:val="24"/>
              </w:rPr>
              <w:t>3. Totodată, Hotărârea Guvernului nr. 637/2025 cu privire la aprobarea Metodologiei de finanțare în bază de cost standard a învățământului preșcolar operează cu aceleași noțiuni și competențe instituționale, motiv pentru care menținerea terminologiei actuale ar genera necorelări între cele două metodologii de finanțare a învățământului.</w:t>
            </w:r>
          </w:p>
          <w:p w:rsidR="003107BC" w:rsidRPr="007C66F7" w:rsidRDefault="00524495" w:rsidP="0068592A">
            <w:pPr>
              <w:tabs>
                <w:tab w:val="left" w:pos="993"/>
              </w:tabs>
              <w:spacing w:after="0"/>
              <w:jc w:val="both"/>
              <w:rPr>
                <w:sz w:val="24"/>
                <w:szCs w:val="24"/>
              </w:rPr>
            </w:pPr>
            <w:r w:rsidRPr="007C66F7">
              <w:rPr>
                <w:sz w:val="24"/>
                <w:szCs w:val="24"/>
              </w:rPr>
              <w:t xml:space="preserve"> </w:t>
            </w:r>
          </w:p>
          <w:p w:rsidR="003107BC" w:rsidRPr="007C66F7" w:rsidRDefault="00524495" w:rsidP="0068592A">
            <w:pPr>
              <w:shd w:val="clear" w:color="auto" w:fill="FFFFFF"/>
              <w:tabs>
                <w:tab w:val="left" w:pos="993"/>
              </w:tabs>
              <w:spacing w:after="0"/>
              <w:jc w:val="both"/>
              <w:rPr>
                <w:sz w:val="24"/>
                <w:szCs w:val="24"/>
              </w:rPr>
            </w:pPr>
            <w:r w:rsidRPr="007C66F7">
              <w:rPr>
                <w:sz w:val="24"/>
                <w:szCs w:val="24"/>
              </w:rPr>
              <w:t>Evoluția numărului de elevi cu dizabilități din învățământul general confirmă această tendință. În anul 2025 au fost înregistrați 4.334 de elevi cu dizabilități, dintre care 2.429 cu dizabilitate severă, 1.454 cu dizabilitate accentuată și 451 cu dizabilitate medie.</w:t>
            </w:r>
          </w:p>
          <w:p w:rsidR="003107BC" w:rsidRPr="007C66F7" w:rsidRDefault="00524495" w:rsidP="0068592A">
            <w:pPr>
              <w:shd w:val="clear" w:color="auto" w:fill="FFFFFF"/>
              <w:tabs>
                <w:tab w:val="left" w:pos="993"/>
              </w:tabs>
              <w:spacing w:after="0"/>
              <w:jc w:val="both"/>
              <w:rPr>
                <w:sz w:val="24"/>
                <w:szCs w:val="24"/>
              </w:rPr>
            </w:pPr>
            <w:r w:rsidRPr="007C66F7">
              <w:rPr>
                <w:sz w:val="24"/>
                <w:szCs w:val="24"/>
              </w:rPr>
              <w:t>În anul 2026 numărul acestora a ajuns la 4.791 de elevi, dintre care 2.558 cu dizabilitate severă, 1.561 cu dizabilitate accentuată și 672 cu dizabilitate medie, ceea ce reprezintă o creștere de 10,5% într-un singur an. Numărul specialiștilor a crescut în aceeași perioadă, însă într-un ritm neuniform pe categorii, potrivit tabelului de mai jos.</w:t>
            </w:r>
          </w:p>
          <w:p w:rsidR="003107BC" w:rsidRPr="007C66F7" w:rsidRDefault="00524495" w:rsidP="0068592A">
            <w:pPr>
              <w:tabs>
                <w:tab w:val="left" w:pos="993"/>
              </w:tabs>
              <w:spacing w:after="0"/>
              <w:ind w:firstLine="560"/>
              <w:jc w:val="both"/>
              <w:rPr>
                <w:b/>
                <w:bCs/>
                <w:sz w:val="24"/>
                <w:szCs w:val="24"/>
              </w:rPr>
            </w:pPr>
            <w:r w:rsidRPr="007C66F7">
              <w:rPr>
                <w:sz w:val="24"/>
                <w:szCs w:val="24"/>
              </w:rPr>
              <w:t xml:space="preserve"> </w:t>
            </w:r>
            <w:r w:rsidRPr="007C66F7">
              <w:rPr>
                <w:b/>
                <w:bCs/>
                <w:sz w:val="24"/>
                <w:szCs w:val="24"/>
              </w:rPr>
              <w:t>Lista specialiștilor din instituțiile de învățământ primar și secundar general,</w:t>
            </w:r>
          </w:p>
          <w:p w:rsidR="003107BC" w:rsidRPr="007C66F7" w:rsidRDefault="00524495" w:rsidP="0068592A">
            <w:pPr>
              <w:tabs>
                <w:tab w:val="left" w:pos="993"/>
              </w:tabs>
              <w:spacing w:after="0"/>
              <w:jc w:val="center"/>
              <w:rPr>
                <w:b/>
                <w:bCs/>
                <w:sz w:val="24"/>
                <w:szCs w:val="24"/>
              </w:rPr>
            </w:pPr>
            <w:r w:rsidRPr="007C66F7">
              <w:rPr>
                <w:b/>
                <w:bCs/>
                <w:sz w:val="24"/>
                <w:szCs w:val="24"/>
              </w:rPr>
              <w:t xml:space="preserve"> în perioada 2023-2026</w:t>
            </w:r>
          </w:p>
          <w:tbl>
            <w:tblPr>
              <w:tblStyle w:val="a0"/>
              <w:tblW w:w="91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3030"/>
              <w:gridCol w:w="1335"/>
              <w:gridCol w:w="1470"/>
              <w:gridCol w:w="1275"/>
              <w:gridCol w:w="1275"/>
            </w:tblGrid>
            <w:tr w:rsidR="007C66F7" w:rsidRPr="007C66F7">
              <w:trPr>
                <w:trHeight w:val="555"/>
              </w:trPr>
              <w:tc>
                <w:tcPr>
                  <w:tcW w:w="72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b/>
                      <w:bCs/>
                      <w:sz w:val="24"/>
                      <w:szCs w:val="24"/>
                    </w:rPr>
                  </w:pPr>
                  <w:r w:rsidRPr="007C66F7">
                    <w:rPr>
                      <w:b/>
                      <w:bCs/>
                      <w:sz w:val="24"/>
                      <w:szCs w:val="24"/>
                    </w:rPr>
                    <w:t xml:space="preserve"> Nr. </w:t>
                  </w:r>
                  <w:proofErr w:type="spellStart"/>
                  <w:r w:rsidRPr="007C66F7">
                    <w:rPr>
                      <w:b/>
                      <w:bCs/>
                      <w:sz w:val="24"/>
                      <w:szCs w:val="24"/>
                    </w:rPr>
                    <w:t>srt</w:t>
                  </w:r>
                  <w:proofErr w:type="spellEnd"/>
                  <w:r w:rsidRPr="007C66F7">
                    <w:rPr>
                      <w:b/>
                      <w:bCs/>
                      <w:sz w:val="24"/>
                      <w:szCs w:val="24"/>
                    </w:rPr>
                    <w:t>.</w:t>
                  </w:r>
                </w:p>
              </w:tc>
              <w:tc>
                <w:tcPr>
                  <w:tcW w:w="303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b/>
                      <w:bCs/>
                      <w:sz w:val="24"/>
                      <w:szCs w:val="24"/>
                    </w:rPr>
                  </w:pPr>
                  <w:r w:rsidRPr="007C66F7">
                    <w:rPr>
                      <w:b/>
                      <w:bCs/>
                      <w:sz w:val="24"/>
                      <w:szCs w:val="24"/>
                    </w:rPr>
                    <w:t>Servicii/categoria de specialiști</w:t>
                  </w:r>
                </w:p>
              </w:tc>
              <w:tc>
                <w:tcPr>
                  <w:tcW w:w="133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b/>
                      <w:bCs/>
                      <w:sz w:val="24"/>
                      <w:szCs w:val="24"/>
                    </w:rPr>
                  </w:pPr>
                  <w:r w:rsidRPr="007C66F7">
                    <w:rPr>
                      <w:b/>
                      <w:bCs/>
                      <w:sz w:val="24"/>
                      <w:szCs w:val="24"/>
                    </w:rPr>
                    <w:t>Anul 2023</w:t>
                  </w:r>
                </w:p>
              </w:tc>
              <w:tc>
                <w:tcPr>
                  <w:tcW w:w="147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b/>
                      <w:bCs/>
                      <w:sz w:val="24"/>
                      <w:szCs w:val="24"/>
                    </w:rPr>
                  </w:pPr>
                  <w:r w:rsidRPr="007C66F7">
                    <w:rPr>
                      <w:b/>
                      <w:bCs/>
                      <w:sz w:val="24"/>
                      <w:szCs w:val="24"/>
                    </w:rPr>
                    <w:t>Anul 2024</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b/>
                      <w:bCs/>
                      <w:sz w:val="24"/>
                      <w:szCs w:val="24"/>
                    </w:rPr>
                  </w:pPr>
                  <w:r w:rsidRPr="007C66F7">
                    <w:rPr>
                      <w:b/>
                      <w:bCs/>
                      <w:sz w:val="24"/>
                      <w:szCs w:val="24"/>
                    </w:rPr>
                    <w:t>Anul 2025</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b/>
                      <w:bCs/>
                      <w:sz w:val="24"/>
                      <w:szCs w:val="24"/>
                    </w:rPr>
                  </w:pPr>
                  <w:r w:rsidRPr="007C66F7">
                    <w:rPr>
                      <w:b/>
                      <w:bCs/>
                      <w:sz w:val="24"/>
                      <w:szCs w:val="24"/>
                    </w:rPr>
                    <w:t>Anul 2026</w:t>
                  </w:r>
                </w:p>
              </w:tc>
            </w:tr>
            <w:tr w:rsidR="007C66F7" w:rsidRPr="007C66F7">
              <w:trPr>
                <w:trHeight w:val="570"/>
              </w:trPr>
              <w:tc>
                <w:tcPr>
                  <w:tcW w:w="72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w:t>
                  </w:r>
                </w:p>
              </w:tc>
              <w:tc>
                <w:tcPr>
                  <w:tcW w:w="303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Centre de Resurse pentru educația incluzivă</w:t>
                  </w:r>
                </w:p>
              </w:tc>
              <w:tc>
                <w:tcPr>
                  <w:tcW w:w="133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882</w:t>
                  </w:r>
                </w:p>
              </w:tc>
              <w:tc>
                <w:tcPr>
                  <w:tcW w:w="147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879</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931</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939</w:t>
                  </w:r>
                </w:p>
              </w:tc>
            </w:tr>
            <w:tr w:rsidR="007C66F7" w:rsidRPr="007C66F7">
              <w:trPr>
                <w:trHeight w:val="285"/>
              </w:trPr>
              <w:tc>
                <w:tcPr>
                  <w:tcW w:w="72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2.</w:t>
                  </w:r>
                </w:p>
              </w:tc>
              <w:tc>
                <w:tcPr>
                  <w:tcW w:w="303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Cadre didactic de sprijin</w:t>
                  </w:r>
                </w:p>
              </w:tc>
              <w:tc>
                <w:tcPr>
                  <w:tcW w:w="133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1164</w:t>
                  </w:r>
                </w:p>
              </w:tc>
              <w:tc>
                <w:tcPr>
                  <w:tcW w:w="147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1310</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1492</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1509</w:t>
                  </w:r>
                </w:p>
              </w:tc>
            </w:tr>
            <w:tr w:rsidR="007C66F7" w:rsidRPr="007C66F7">
              <w:trPr>
                <w:trHeight w:val="285"/>
              </w:trPr>
              <w:tc>
                <w:tcPr>
                  <w:tcW w:w="72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3.</w:t>
                  </w:r>
                </w:p>
              </w:tc>
              <w:tc>
                <w:tcPr>
                  <w:tcW w:w="303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Psihologi</w:t>
                  </w:r>
                </w:p>
              </w:tc>
              <w:tc>
                <w:tcPr>
                  <w:tcW w:w="133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140</w:t>
                  </w:r>
                </w:p>
              </w:tc>
              <w:tc>
                <w:tcPr>
                  <w:tcW w:w="147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441</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544</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542</w:t>
                  </w:r>
                </w:p>
              </w:tc>
            </w:tr>
            <w:tr w:rsidR="007C66F7" w:rsidRPr="007C66F7">
              <w:trPr>
                <w:trHeight w:val="285"/>
              </w:trPr>
              <w:tc>
                <w:tcPr>
                  <w:tcW w:w="72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4.</w:t>
                  </w:r>
                </w:p>
              </w:tc>
              <w:tc>
                <w:tcPr>
                  <w:tcW w:w="303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Logopezi</w:t>
                  </w:r>
                </w:p>
              </w:tc>
              <w:tc>
                <w:tcPr>
                  <w:tcW w:w="133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131</w:t>
                  </w:r>
                </w:p>
              </w:tc>
              <w:tc>
                <w:tcPr>
                  <w:tcW w:w="147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133</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141</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144</w:t>
                  </w:r>
                </w:p>
              </w:tc>
            </w:tr>
            <w:tr w:rsidR="007C66F7" w:rsidRPr="007C66F7">
              <w:trPr>
                <w:trHeight w:val="285"/>
              </w:trPr>
              <w:tc>
                <w:tcPr>
                  <w:tcW w:w="72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5.</w:t>
                  </w:r>
                </w:p>
              </w:tc>
              <w:tc>
                <w:tcPr>
                  <w:tcW w:w="303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Psihopedagogi</w:t>
                  </w:r>
                </w:p>
              </w:tc>
              <w:tc>
                <w:tcPr>
                  <w:tcW w:w="133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10</w:t>
                  </w:r>
                </w:p>
              </w:tc>
              <w:tc>
                <w:tcPr>
                  <w:tcW w:w="1470"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10</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35</w:t>
                  </w:r>
                </w:p>
              </w:tc>
              <w:tc>
                <w:tcPr>
                  <w:tcW w:w="1275"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jc w:val="center"/>
                    <w:rPr>
                      <w:sz w:val="24"/>
                      <w:szCs w:val="24"/>
                    </w:rPr>
                  </w:pPr>
                  <w:r w:rsidRPr="007C66F7">
                    <w:rPr>
                      <w:sz w:val="24"/>
                      <w:szCs w:val="24"/>
                    </w:rPr>
                    <w:t>34</w:t>
                  </w:r>
                </w:p>
              </w:tc>
            </w:tr>
          </w:tbl>
          <w:p w:rsidR="003107BC" w:rsidRPr="007C66F7" w:rsidRDefault="00524495" w:rsidP="0068592A">
            <w:pPr>
              <w:tabs>
                <w:tab w:val="left" w:pos="993"/>
              </w:tabs>
              <w:spacing w:after="0"/>
              <w:ind w:firstLine="560"/>
              <w:jc w:val="both"/>
              <w:rPr>
                <w:sz w:val="24"/>
                <w:szCs w:val="24"/>
              </w:rPr>
            </w:pPr>
            <w:r w:rsidRPr="007C66F7">
              <w:rPr>
                <w:sz w:val="24"/>
                <w:szCs w:val="24"/>
              </w:rPr>
              <w:t xml:space="preserve">  </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BFBFBF"/>
            <w:tcMar>
              <w:top w:w="0" w:type="dxa"/>
              <w:bottom w:w="0" w:type="dxa"/>
            </w:tcMar>
          </w:tcPr>
          <w:p w:rsidR="003107BC" w:rsidRPr="007C66F7" w:rsidRDefault="00524495" w:rsidP="0068592A">
            <w:pPr>
              <w:tabs>
                <w:tab w:val="left" w:pos="993"/>
              </w:tabs>
              <w:spacing w:after="0"/>
              <w:jc w:val="both"/>
              <w:rPr>
                <w:b/>
                <w:bCs/>
                <w:sz w:val="24"/>
                <w:szCs w:val="24"/>
              </w:rPr>
            </w:pPr>
            <w:r w:rsidRPr="007C66F7">
              <w:rPr>
                <w:b/>
                <w:bCs/>
                <w:sz w:val="24"/>
                <w:szCs w:val="24"/>
              </w:rPr>
              <w:lastRenderedPageBreak/>
              <w:t>3. Obiectivele urmărite și soluțiile propuse</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3.1. Principalele prevederi ale proiectului și evidențierea elementelor noi</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Proiectul hotărârii are ca obiect modificarea Hotărârii Guvernului nr. 868/2014 privind finanțarea în bază de cost standard per elev a instituțiilor de învățământ primar și secundar general, în vederea armonizării acesteia cu modificările operate în Codul educației nr. 152/2014 și în alte acte legislative conexe.</w:t>
            </w:r>
          </w:p>
          <w:p w:rsidR="003107BC" w:rsidRPr="007C66F7" w:rsidRDefault="00524495" w:rsidP="0068592A">
            <w:pPr>
              <w:tabs>
                <w:tab w:val="left" w:pos="993"/>
              </w:tabs>
              <w:spacing w:after="0"/>
              <w:ind w:firstLine="560"/>
              <w:jc w:val="both"/>
              <w:rPr>
                <w:sz w:val="24"/>
                <w:szCs w:val="24"/>
              </w:rPr>
            </w:pPr>
            <w:r w:rsidRPr="007C66F7">
              <w:rPr>
                <w:sz w:val="24"/>
                <w:szCs w:val="24"/>
              </w:rPr>
              <w:t>Principalele modificări propuse vizează:</w:t>
            </w:r>
          </w:p>
          <w:p w:rsidR="003107BC" w:rsidRPr="007C66F7" w:rsidRDefault="00524495" w:rsidP="0068592A">
            <w:pPr>
              <w:tabs>
                <w:tab w:val="left" w:pos="993"/>
              </w:tabs>
              <w:spacing w:after="0"/>
              <w:ind w:left="1000" w:hanging="220"/>
              <w:jc w:val="both"/>
              <w:rPr>
                <w:sz w:val="24"/>
                <w:szCs w:val="24"/>
              </w:rPr>
            </w:pPr>
            <w:r w:rsidRPr="007C66F7">
              <w:rPr>
                <w:sz w:val="24"/>
                <w:szCs w:val="24"/>
              </w:rPr>
              <w:t>– ajustarea terminologiei utilizate în cuprinsul hotărârii și al metodologiei de finanțare, în vederea corelării acesteia cu noile noțiuni și instituții prevăzute de Codul educației;</w:t>
            </w:r>
          </w:p>
          <w:p w:rsidR="003107BC" w:rsidRPr="007C66F7" w:rsidRDefault="00524495" w:rsidP="0068592A">
            <w:pPr>
              <w:tabs>
                <w:tab w:val="left" w:pos="993"/>
              </w:tabs>
              <w:spacing w:after="0"/>
              <w:ind w:left="1000" w:hanging="220"/>
              <w:jc w:val="both"/>
              <w:rPr>
                <w:sz w:val="24"/>
                <w:szCs w:val="24"/>
              </w:rPr>
            </w:pPr>
            <w:r w:rsidRPr="007C66F7">
              <w:rPr>
                <w:sz w:val="24"/>
                <w:szCs w:val="24"/>
              </w:rPr>
              <w:t>– revizuirea atribuțiilor autorităților implicate în procesul de finanțare și administrare a instituțiilor publice de învățământ general, în conformitate cu redistribuirea competențelor stabilită prin legislația primară;</w:t>
            </w:r>
          </w:p>
          <w:p w:rsidR="003107BC" w:rsidRPr="007C66F7" w:rsidRDefault="00524495" w:rsidP="0068592A">
            <w:pPr>
              <w:tabs>
                <w:tab w:val="left" w:pos="993"/>
              </w:tabs>
              <w:spacing w:after="0"/>
              <w:ind w:left="1000" w:hanging="220"/>
              <w:jc w:val="both"/>
              <w:rPr>
                <w:sz w:val="24"/>
                <w:szCs w:val="24"/>
              </w:rPr>
            </w:pPr>
            <w:r w:rsidRPr="007C66F7">
              <w:rPr>
                <w:sz w:val="24"/>
                <w:szCs w:val="24"/>
              </w:rPr>
              <w:t>– adaptarea mecanismului de finanțare a instituțiilor publice de învățământ primar, gimnazial, liceal și special la noul model instituțional, prin reflectarea finanțării acestora din alocații de la bugetul de stat și actualizarea responsabilităților aferente administrării resurselor financiare;</w:t>
            </w:r>
          </w:p>
          <w:p w:rsidR="003107BC" w:rsidRPr="007C66F7" w:rsidRDefault="00524495" w:rsidP="0068592A">
            <w:pPr>
              <w:tabs>
                <w:tab w:val="left" w:pos="993"/>
              </w:tabs>
              <w:spacing w:after="0"/>
              <w:ind w:left="1000" w:hanging="220"/>
              <w:jc w:val="both"/>
              <w:rPr>
                <w:sz w:val="24"/>
                <w:szCs w:val="24"/>
              </w:rPr>
            </w:pPr>
            <w:r w:rsidRPr="007C66F7">
              <w:rPr>
                <w:sz w:val="24"/>
                <w:szCs w:val="24"/>
              </w:rPr>
              <w:t>– revizuirea prevederilor metodologice privind planificarea, repartizarea și utilizarea alocațiilor bugetare, astfel încât acestea să corespundă noului mecanism de finanțare instituit prin Codul educației;</w:t>
            </w:r>
          </w:p>
          <w:p w:rsidR="003107BC" w:rsidRPr="007C66F7" w:rsidRDefault="00524495" w:rsidP="0068592A">
            <w:pPr>
              <w:numPr>
                <w:ilvl w:val="0"/>
                <w:numId w:val="1"/>
              </w:numPr>
              <w:tabs>
                <w:tab w:val="left" w:pos="708"/>
              </w:tabs>
              <w:spacing w:after="0"/>
              <w:ind w:left="992" w:hanging="283"/>
              <w:jc w:val="both"/>
              <w:rPr>
                <w:sz w:val="24"/>
                <w:szCs w:val="24"/>
              </w:rPr>
            </w:pPr>
            <w:r w:rsidRPr="007C66F7">
              <w:rPr>
                <w:sz w:val="24"/>
                <w:szCs w:val="24"/>
              </w:rPr>
              <w:t xml:space="preserve">completarea Metodologiei cu o derogare de la prevederile privind excluderea cheltuielilor pentru alimentație din cheltuielile curente, în vederea finanțării distincte a cheltuielilor aferente organizării procesului de alimentație în instituțiile de învățământ. </w:t>
            </w:r>
          </w:p>
          <w:p w:rsidR="003107BC" w:rsidRPr="007C66F7" w:rsidRDefault="00524495" w:rsidP="0068592A">
            <w:pPr>
              <w:tabs>
                <w:tab w:val="left" w:pos="993"/>
              </w:tabs>
              <w:spacing w:after="0"/>
              <w:ind w:left="1000" w:hanging="220"/>
              <w:jc w:val="both"/>
              <w:rPr>
                <w:sz w:val="24"/>
                <w:szCs w:val="24"/>
              </w:rPr>
            </w:pPr>
            <w:r w:rsidRPr="007C66F7">
              <w:rPr>
                <w:sz w:val="24"/>
                <w:szCs w:val="24"/>
              </w:rPr>
              <w:t>– actualizarea competențelor autorităților și instituțiilor implicate în procesul de aprobare, administrare, monitorizare și raportare a utilizării resurselor financiare;</w:t>
            </w:r>
          </w:p>
          <w:p w:rsidR="003107BC" w:rsidRPr="007C66F7" w:rsidRDefault="00524495" w:rsidP="0068592A">
            <w:pPr>
              <w:tabs>
                <w:tab w:val="left" w:pos="993"/>
              </w:tabs>
              <w:spacing w:after="0"/>
              <w:ind w:left="1000" w:hanging="220"/>
              <w:jc w:val="both"/>
              <w:rPr>
                <w:sz w:val="24"/>
                <w:szCs w:val="24"/>
              </w:rPr>
            </w:pPr>
            <w:r w:rsidRPr="007C66F7">
              <w:rPr>
                <w:sz w:val="24"/>
                <w:szCs w:val="24"/>
              </w:rPr>
              <w:lastRenderedPageBreak/>
              <w:t>– excluderea normelor devenite nule ca urmare a modificării cadrului legislativ și introducerea prevederilor necesare aplicării noilor dispoziții legale.</w:t>
            </w:r>
          </w:p>
          <w:p w:rsidR="003107BC" w:rsidRPr="007C66F7" w:rsidRDefault="00524495" w:rsidP="0068592A">
            <w:pPr>
              <w:tabs>
                <w:tab w:val="left" w:pos="993"/>
              </w:tabs>
              <w:spacing w:after="0"/>
              <w:ind w:firstLine="560"/>
              <w:jc w:val="both"/>
              <w:rPr>
                <w:sz w:val="24"/>
                <w:szCs w:val="24"/>
              </w:rPr>
            </w:pPr>
            <w:r w:rsidRPr="007C66F7">
              <w:rPr>
                <w:sz w:val="24"/>
                <w:szCs w:val="24"/>
              </w:rPr>
              <w:t>Elementul de noutate al proiectului constă în adaptarea metodologiei de finanțare a învățământului general la noua structură instituțională instituită prin reforma „</w:t>
            </w:r>
            <w:proofErr w:type="spellStart"/>
            <w:r w:rsidRPr="007C66F7">
              <w:rPr>
                <w:sz w:val="24"/>
                <w:szCs w:val="24"/>
              </w:rPr>
              <w:t>Restart</w:t>
            </w:r>
            <w:proofErr w:type="spellEnd"/>
            <w:r w:rsidRPr="007C66F7">
              <w:rPr>
                <w:sz w:val="24"/>
                <w:szCs w:val="24"/>
              </w:rPr>
              <w:t xml:space="preserve"> în educație”, asigurând concordanța dintre cadrul normativ primar și cel secundar, precum și implementarea uniformă a noului mecanism de finanțare a instituțiilor publice de învățământ general.</w:t>
            </w:r>
          </w:p>
          <w:p w:rsidR="003107BC" w:rsidRPr="007C66F7" w:rsidRDefault="00524495" w:rsidP="0068592A">
            <w:pPr>
              <w:tabs>
                <w:tab w:val="left" w:pos="993"/>
              </w:tabs>
              <w:spacing w:after="0"/>
              <w:ind w:firstLine="560"/>
              <w:jc w:val="both"/>
              <w:rPr>
                <w:sz w:val="24"/>
                <w:szCs w:val="24"/>
              </w:rPr>
            </w:pPr>
            <w:r w:rsidRPr="007C66F7">
              <w:rPr>
                <w:sz w:val="24"/>
                <w:szCs w:val="24"/>
              </w:rPr>
              <w:t>Estimările au fost realizate pe baza normelor de unități de personal pe elev, diferențiate după tipul și severitatea dizabilității, a coeficienților de salarizare pentru specialiști și pentru cadrele didactice de sprijin și a valorii de referință.</w:t>
            </w:r>
          </w:p>
          <w:p w:rsidR="003107BC" w:rsidRPr="007C66F7" w:rsidRDefault="00524495" w:rsidP="0068592A">
            <w:pPr>
              <w:tabs>
                <w:tab w:val="left" w:pos="993"/>
              </w:tabs>
              <w:spacing w:after="0"/>
              <w:ind w:firstLine="560"/>
              <w:jc w:val="both"/>
              <w:rPr>
                <w:sz w:val="24"/>
                <w:szCs w:val="24"/>
              </w:rPr>
            </w:pPr>
            <w:r w:rsidRPr="007C66F7">
              <w:rPr>
                <w:sz w:val="24"/>
                <w:szCs w:val="24"/>
              </w:rPr>
              <w:t>Normele de unități de personal pe elev incluse în proiect sunt:</w:t>
            </w:r>
          </w:p>
          <w:p w:rsidR="003107BC" w:rsidRPr="007C66F7" w:rsidRDefault="00524495" w:rsidP="0068592A">
            <w:pPr>
              <w:tabs>
                <w:tab w:val="left" w:pos="993"/>
              </w:tabs>
              <w:spacing w:after="0"/>
              <w:ind w:firstLine="560"/>
              <w:jc w:val="both"/>
              <w:rPr>
                <w:sz w:val="24"/>
                <w:szCs w:val="24"/>
              </w:rPr>
            </w:pPr>
            <w:r w:rsidRPr="007C66F7">
              <w:rPr>
                <w:sz w:val="24"/>
                <w:szCs w:val="24"/>
              </w:rPr>
              <w:t xml:space="preserve"> </w:t>
            </w:r>
          </w:p>
          <w:tbl>
            <w:tblPr>
              <w:tblStyle w:val="a1"/>
              <w:tblW w:w="94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10"/>
              <w:gridCol w:w="3045"/>
              <w:gridCol w:w="1230"/>
              <w:gridCol w:w="1110"/>
              <w:gridCol w:w="1005"/>
              <w:gridCol w:w="1305"/>
            </w:tblGrid>
            <w:tr w:rsidR="007C66F7" w:rsidRPr="007C66F7" w:rsidTr="007C66F7">
              <w:trPr>
                <w:trHeight w:val="285"/>
              </w:trPr>
              <w:tc>
                <w:tcPr>
                  <w:tcW w:w="1710" w:type="dxa"/>
                  <w:vMerge w:val="restar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rsidR="003107BC" w:rsidRPr="007C66F7" w:rsidRDefault="00524495" w:rsidP="0068592A">
                  <w:pPr>
                    <w:tabs>
                      <w:tab w:val="left" w:pos="993"/>
                    </w:tabs>
                    <w:spacing w:after="0"/>
                    <w:jc w:val="center"/>
                    <w:rPr>
                      <w:sz w:val="24"/>
                      <w:szCs w:val="24"/>
                    </w:rPr>
                  </w:pPr>
                  <w:r w:rsidRPr="007C66F7">
                    <w:rPr>
                      <w:sz w:val="24"/>
                      <w:szCs w:val="24"/>
                    </w:rPr>
                    <w:t>Tipul dizabilității</w:t>
                  </w:r>
                </w:p>
              </w:tc>
              <w:tc>
                <w:tcPr>
                  <w:tcW w:w="3045" w:type="dxa"/>
                  <w:vMerge w:val="restar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rsidR="003107BC" w:rsidRPr="007C66F7" w:rsidRDefault="00524495" w:rsidP="0068592A">
                  <w:pPr>
                    <w:tabs>
                      <w:tab w:val="left" w:pos="993"/>
                    </w:tabs>
                    <w:spacing w:after="0"/>
                    <w:jc w:val="center"/>
                    <w:rPr>
                      <w:sz w:val="24"/>
                      <w:szCs w:val="24"/>
                    </w:rPr>
                  </w:pPr>
                  <w:r w:rsidRPr="007C66F7">
                    <w:rPr>
                      <w:sz w:val="24"/>
                      <w:szCs w:val="24"/>
                    </w:rPr>
                    <w:t>Specialist</w:t>
                  </w:r>
                </w:p>
              </w:tc>
              <w:tc>
                <w:tcPr>
                  <w:tcW w:w="4650" w:type="dxa"/>
                  <w:gridSpan w:val="4"/>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rsidR="003107BC" w:rsidRPr="007C66F7" w:rsidRDefault="00524495" w:rsidP="0068592A">
                  <w:pPr>
                    <w:tabs>
                      <w:tab w:val="left" w:pos="993"/>
                    </w:tabs>
                    <w:spacing w:after="0"/>
                    <w:jc w:val="center"/>
                    <w:rPr>
                      <w:sz w:val="24"/>
                      <w:szCs w:val="24"/>
                    </w:rPr>
                  </w:pPr>
                  <w:r w:rsidRPr="007C66F7">
                    <w:rPr>
                      <w:sz w:val="24"/>
                      <w:szCs w:val="24"/>
                    </w:rPr>
                    <w:t>Norma de unități per elev</w:t>
                  </w:r>
                </w:p>
              </w:tc>
            </w:tr>
            <w:tr w:rsidR="007C66F7" w:rsidRPr="007C66F7" w:rsidTr="007C66F7">
              <w:trPr>
                <w:trHeight w:val="285"/>
              </w:trPr>
              <w:tc>
                <w:tcPr>
                  <w:tcW w:w="1710" w:type="dxa"/>
                  <w:vMerge/>
                  <w:tcBorders>
                    <w:top w:val="single" w:sz="5" w:space="0" w:color="000000"/>
                    <w:left w:val="single" w:sz="5" w:space="0" w:color="000000"/>
                    <w:bottom w:val="single" w:sz="5" w:space="0" w:color="000000"/>
                    <w:right w:val="single" w:sz="5" w:space="0" w:color="000000"/>
                  </w:tcBorders>
                  <w:vAlign w:val="center"/>
                </w:tcPr>
                <w:p w:rsidR="003107BC" w:rsidRPr="007C66F7" w:rsidRDefault="003107BC" w:rsidP="0068592A">
                  <w:pPr>
                    <w:tabs>
                      <w:tab w:val="left" w:pos="993"/>
                    </w:tabs>
                    <w:jc w:val="center"/>
                    <w:rPr>
                      <w:sz w:val="24"/>
                      <w:szCs w:val="24"/>
                    </w:rPr>
                  </w:pPr>
                </w:p>
              </w:tc>
              <w:tc>
                <w:tcPr>
                  <w:tcW w:w="3045" w:type="dxa"/>
                  <w:vMerge/>
                  <w:tcBorders>
                    <w:top w:val="single" w:sz="5" w:space="0" w:color="000000"/>
                    <w:left w:val="single" w:sz="5" w:space="0" w:color="000000"/>
                    <w:bottom w:val="single" w:sz="5" w:space="0" w:color="000000"/>
                    <w:right w:val="single" w:sz="5" w:space="0" w:color="000000"/>
                  </w:tcBorders>
                  <w:vAlign w:val="center"/>
                </w:tcPr>
                <w:p w:rsidR="003107BC" w:rsidRPr="007C66F7" w:rsidRDefault="003107BC" w:rsidP="0068592A">
                  <w:pPr>
                    <w:tabs>
                      <w:tab w:val="left" w:pos="993"/>
                    </w:tabs>
                    <w:jc w:val="center"/>
                    <w:rPr>
                      <w:sz w:val="24"/>
                      <w:szCs w:val="24"/>
                    </w:rPr>
                  </w:pPr>
                </w:p>
              </w:tc>
              <w:tc>
                <w:tcPr>
                  <w:tcW w:w="4650" w:type="dxa"/>
                  <w:gridSpan w:val="4"/>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rsidR="003107BC" w:rsidRPr="007C66F7" w:rsidRDefault="00524495" w:rsidP="0068592A">
                  <w:pPr>
                    <w:tabs>
                      <w:tab w:val="left" w:pos="993"/>
                    </w:tabs>
                    <w:spacing w:after="0"/>
                    <w:jc w:val="center"/>
                    <w:rPr>
                      <w:sz w:val="24"/>
                      <w:szCs w:val="24"/>
                    </w:rPr>
                  </w:pPr>
                  <w:r w:rsidRPr="007C66F7">
                    <w:rPr>
                      <w:sz w:val="24"/>
                      <w:szCs w:val="24"/>
                    </w:rPr>
                    <w:t>în funcție de severitate</w:t>
                  </w:r>
                </w:p>
              </w:tc>
            </w:tr>
            <w:tr w:rsidR="007C66F7" w:rsidRPr="007C66F7" w:rsidTr="007C66F7">
              <w:trPr>
                <w:trHeight w:val="570"/>
              </w:trPr>
              <w:tc>
                <w:tcPr>
                  <w:tcW w:w="1710" w:type="dxa"/>
                  <w:vMerge/>
                  <w:tcBorders>
                    <w:top w:val="single" w:sz="5" w:space="0" w:color="000000"/>
                    <w:left w:val="single" w:sz="5" w:space="0" w:color="000000"/>
                    <w:bottom w:val="single" w:sz="5" w:space="0" w:color="000000"/>
                    <w:right w:val="single" w:sz="5" w:space="0" w:color="000000"/>
                  </w:tcBorders>
                  <w:vAlign w:val="center"/>
                </w:tcPr>
                <w:p w:rsidR="003107BC" w:rsidRPr="007C66F7" w:rsidRDefault="003107BC" w:rsidP="0068592A">
                  <w:pPr>
                    <w:tabs>
                      <w:tab w:val="left" w:pos="993"/>
                    </w:tabs>
                    <w:jc w:val="center"/>
                    <w:rPr>
                      <w:sz w:val="24"/>
                      <w:szCs w:val="24"/>
                    </w:rPr>
                  </w:pPr>
                </w:p>
              </w:tc>
              <w:tc>
                <w:tcPr>
                  <w:tcW w:w="3045" w:type="dxa"/>
                  <w:vMerge/>
                  <w:tcBorders>
                    <w:top w:val="single" w:sz="5" w:space="0" w:color="000000"/>
                    <w:left w:val="single" w:sz="5" w:space="0" w:color="000000"/>
                    <w:bottom w:val="single" w:sz="5" w:space="0" w:color="000000"/>
                    <w:right w:val="single" w:sz="5" w:space="0" w:color="000000"/>
                  </w:tcBorders>
                  <w:vAlign w:val="center"/>
                </w:tcPr>
                <w:p w:rsidR="003107BC" w:rsidRPr="007C66F7" w:rsidRDefault="003107BC" w:rsidP="0068592A">
                  <w:pPr>
                    <w:tabs>
                      <w:tab w:val="left" w:pos="993"/>
                    </w:tabs>
                    <w:jc w:val="center"/>
                    <w:rPr>
                      <w:sz w:val="24"/>
                      <w:szCs w:val="24"/>
                    </w:rPr>
                  </w:pP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rsidR="003107BC" w:rsidRPr="007C66F7" w:rsidRDefault="00524495" w:rsidP="0068592A">
                  <w:pPr>
                    <w:tabs>
                      <w:tab w:val="left" w:pos="993"/>
                    </w:tabs>
                    <w:spacing w:after="0"/>
                    <w:jc w:val="center"/>
                    <w:rPr>
                      <w:sz w:val="24"/>
                      <w:szCs w:val="24"/>
                    </w:rPr>
                  </w:pPr>
                  <w:r w:rsidRPr="007C66F7">
                    <w:rPr>
                      <w:sz w:val="24"/>
                      <w:szCs w:val="24"/>
                    </w:rPr>
                    <w:t>CES fără dizabilitate</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rsidR="003107BC" w:rsidRPr="007C66F7" w:rsidRDefault="00524495" w:rsidP="0068592A">
                  <w:pPr>
                    <w:tabs>
                      <w:tab w:val="left" w:pos="993"/>
                    </w:tabs>
                    <w:spacing w:after="0"/>
                    <w:jc w:val="center"/>
                    <w:rPr>
                      <w:sz w:val="24"/>
                      <w:szCs w:val="24"/>
                    </w:rPr>
                  </w:pPr>
                  <w:r w:rsidRPr="007C66F7">
                    <w:rPr>
                      <w:sz w:val="24"/>
                      <w:szCs w:val="24"/>
                    </w:rPr>
                    <w:t>Medie</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rsidR="003107BC" w:rsidRPr="007C66F7" w:rsidRDefault="00524495" w:rsidP="0068592A">
                  <w:pPr>
                    <w:tabs>
                      <w:tab w:val="left" w:pos="993"/>
                    </w:tabs>
                    <w:spacing w:after="0"/>
                    <w:jc w:val="center"/>
                    <w:rPr>
                      <w:sz w:val="24"/>
                      <w:szCs w:val="24"/>
                    </w:rPr>
                  </w:pPr>
                  <w:r w:rsidRPr="007C66F7">
                    <w:rPr>
                      <w:sz w:val="24"/>
                      <w:szCs w:val="24"/>
                    </w:rPr>
                    <w:t>Accentuată</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vAlign w:val="center"/>
                </w:tcPr>
                <w:p w:rsidR="003107BC" w:rsidRPr="007C66F7" w:rsidRDefault="00524495" w:rsidP="0068592A">
                  <w:pPr>
                    <w:tabs>
                      <w:tab w:val="left" w:pos="993"/>
                    </w:tabs>
                    <w:spacing w:after="0"/>
                    <w:jc w:val="center"/>
                    <w:rPr>
                      <w:sz w:val="24"/>
                      <w:szCs w:val="24"/>
                    </w:rPr>
                  </w:pPr>
                  <w:r w:rsidRPr="007C66F7">
                    <w:rPr>
                      <w:sz w:val="24"/>
                      <w:szCs w:val="24"/>
                    </w:rPr>
                    <w:t>Severă</w:t>
                  </w:r>
                </w:p>
              </w:tc>
            </w:tr>
            <w:tr w:rsidR="007C66F7" w:rsidRPr="007C66F7">
              <w:trPr>
                <w:trHeight w:val="285"/>
              </w:trPr>
              <w:tc>
                <w:tcPr>
                  <w:tcW w:w="1710" w:type="dxa"/>
                  <w:vMerge w:val="restar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Dizabilitate auditivă</w:t>
                  </w: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Cadru didactic de sprijin</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0.33</w:t>
                  </w:r>
                </w:p>
              </w:tc>
            </w:tr>
            <w:tr w:rsidR="007C66F7" w:rsidRPr="007C66F7">
              <w:trPr>
                <w:trHeight w:val="285"/>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Logoped</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r>
            <w:tr w:rsidR="007C66F7" w:rsidRPr="007C66F7">
              <w:trPr>
                <w:trHeight w:val="570"/>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Psihopedagog / interpret limbaj </w:t>
                  </w:r>
                  <w:proofErr w:type="spellStart"/>
                  <w:r w:rsidRPr="007C66F7">
                    <w:rPr>
                      <w:sz w:val="24"/>
                      <w:szCs w:val="24"/>
                    </w:rPr>
                    <w:t>mimico</w:t>
                  </w:r>
                  <w:proofErr w:type="spellEnd"/>
                  <w:r w:rsidRPr="007C66F7">
                    <w:rPr>
                      <w:sz w:val="24"/>
                      <w:szCs w:val="24"/>
                    </w:rPr>
                    <w:t>-gestual (LMG) / psiholog specializat</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0.2</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0.33</w:t>
                  </w:r>
                </w:p>
              </w:tc>
            </w:tr>
            <w:tr w:rsidR="007C66F7" w:rsidRPr="007C66F7">
              <w:trPr>
                <w:trHeight w:val="285"/>
              </w:trPr>
              <w:tc>
                <w:tcPr>
                  <w:tcW w:w="4755" w:type="dxa"/>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Total</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0.15</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0.35</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0.71</w:t>
                  </w:r>
                </w:p>
              </w:tc>
            </w:tr>
            <w:tr w:rsidR="007C66F7" w:rsidRPr="007C66F7">
              <w:trPr>
                <w:trHeight w:val="285"/>
              </w:trPr>
              <w:tc>
                <w:tcPr>
                  <w:tcW w:w="1710" w:type="dxa"/>
                  <w:vMerge w:val="restar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Dizabilitate vizuală</w:t>
                  </w: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Cadru didactic de sprijin</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0.2</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0.33</w:t>
                  </w:r>
                </w:p>
              </w:tc>
            </w:tr>
            <w:tr w:rsidR="007C66F7" w:rsidRPr="007C66F7">
              <w:trPr>
                <w:trHeight w:val="285"/>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Logoped</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r>
            <w:tr w:rsidR="007C66F7" w:rsidRPr="007C66F7">
              <w:trPr>
                <w:trHeight w:val="570"/>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Psihopedagog / interpret limbaj </w:t>
                  </w:r>
                  <w:proofErr w:type="spellStart"/>
                  <w:r w:rsidRPr="007C66F7">
                    <w:rPr>
                      <w:sz w:val="24"/>
                      <w:szCs w:val="24"/>
                    </w:rPr>
                    <w:t>mimico</w:t>
                  </w:r>
                  <w:proofErr w:type="spellEnd"/>
                  <w:r w:rsidRPr="007C66F7">
                    <w:rPr>
                      <w:sz w:val="24"/>
                      <w:szCs w:val="24"/>
                    </w:rPr>
                    <w:t>-gestual (LMG) / psiholog specializat</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0.2</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0.33</w:t>
                  </w:r>
                </w:p>
              </w:tc>
            </w:tr>
            <w:tr w:rsidR="007C66F7" w:rsidRPr="007C66F7">
              <w:trPr>
                <w:trHeight w:val="285"/>
              </w:trPr>
              <w:tc>
                <w:tcPr>
                  <w:tcW w:w="4755" w:type="dxa"/>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Total</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0.4</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0.66</w:t>
                  </w:r>
                </w:p>
              </w:tc>
            </w:tr>
            <w:tr w:rsidR="007C66F7" w:rsidRPr="007C66F7">
              <w:trPr>
                <w:trHeight w:val="285"/>
              </w:trPr>
              <w:tc>
                <w:tcPr>
                  <w:tcW w:w="1710" w:type="dxa"/>
                  <w:vMerge w:val="restar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Dizabilitate </w:t>
                  </w:r>
                  <w:proofErr w:type="spellStart"/>
                  <w:r w:rsidRPr="007C66F7">
                    <w:rPr>
                      <w:sz w:val="24"/>
                      <w:szCs w:val="24"/>
                    </w:rPr>
                    <w:t>neuromotorie</w:t>
                  </w:r>
                  <w:proofErr w:type="spellEnd"/>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Cadru didactic de sprijin</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0.2</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0.33</w:t>
                  </w:r>
                </w:p>
              </w:tc>
            </w:tr>
            <w:tr w:rsidR="007C66F7" w:rsidRPr="007C66F7">
              <w:trPr>
                <w:trHeight w:val="285"/>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Logoped</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r>
            <w:tr w:rsidR="007C66F7" w:rsidRPr="007C66F7">
              <w:trPr>
                <w:trHeight w:val="570"/>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Psihopedagog / interpret limbaj </w:t>
                  </w:r>
                  <w:proofErr w:type="spellStart"/>
                  <w:r w:rsidRPr="007C66F7">
                    <w:rPr>
                      <w:sz w:val="24"/>
                      <w:szCs w:val="24"/>
                    </w:rPr>
                    <w:t>mimico</w:t>
                  </w:r>
                  <w:proofErr w:type="spellEnd"/>
                  <w:r w:rsidRPr="007C66F7">
                    <w:rPr>
                      <w:sz w:val="24"/>
                      <w:szCs w:val="24"/>
                    </w:rPr>
                    <w:t>-gestual (LMG) / psiholog specializat</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r>
            <w:tr w:rsidR="007C66F7" w:rsidRPr="007C66F7">
              <w:trPr>
                <w:trHeight w:val="285"/>
              </w:trPr>
              <w:tc>
                <w:tcPr>
                  <w:tcW w:w="4755" w:type="dxa"/>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Total</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0.2</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0.33</w:t>
                  </w:r>
                </w:p>
              </w:tc>
            </w:tr>
            <w:tr w:rsidR="007C66F7" w:rsidRPr="007C66F7">
              <w:trPr>
                <w:trHeight w:val="285"/>
              </w:trPr>
              <w:tc>
                <w:tcPr>
                  <w:tcW w:w="1710" w:type="dxa"/>
                  <w:vMerge w:val="restar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Dizabilitate intelectuală</w:t>
                  </w: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Cadru didactic de sprijin</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0.2</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0.33</w:t>
                  </w:r>
                </w:p>
              </w:tc>
            </w:tr>
            <w:tr w:rsidR="007C66F7" w:rsidRPr="007C66F7">
              <w:trPr>
                <w:trHeight w:val="285"/>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Logoped</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r>
            <w:tr w:rsidR="007C66F7" w:rsidRPr="007C66F7">
              <w:trPr>
                <w:trHeight w:val="570"/>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Psihopedagog / interpret limbaj </w:t>
                  </w:r>
                  <w:proofErr w:type="spellStart"/>
                  <w:r w:rsidRPr="007C66F7">
                    <w:rPr>
                      <w:sz w:val="24"/>
                      <w:szCs w:val="24"/>
                    </w:rPr>
                    <w:t>mimico</w:t>
                  </w:r>
                  <w:proofErr w:type="spellEnd"/>
                  <w:r w:rsidRPr="007C66F7">
                    <w:rPr>
                      <w:sz w:val="24"/>
                      <w:szCs w:val="24"/>
                    </w:rPr>
                    <w:t>-gestual (LMG) / psiholog specializat</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0.2</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0.33</w:t>
                  </w:r>
                </w:p>
              </w:tc>
            </w:tr>
            <w:tr w:rsidR="007C66F7" w:rsidRPr="007C66F7">
              <w:trPr>
                <w:trHeight w:val="285"/>
              </w:trPr>
              <w:tc>
                <w:tcPr>
                  <w:tcW w:w="4755" w:type="dxa"/>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Total</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0.15</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0.15</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0.45</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0.71</w:t>
                  </w:r>
                </w:p>
              </w:tc>
            </w:tr>
            <w:tr w:rsidR="007C66F7" w:rsidRPr="007C66F7">
              <w:trPr>
                <w:trHeight w:val="285"/>
              </w:trPr>
              <w:tc>
                <w:tcPr>
                  <w:tcW w:w="1710" w:type="dxa"/>
                  <w:vMerge w:val="restar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Tulburarea din spectrul autist (TSA)</w:t>
                  </w: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Cadru didactic de sprijin</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0.2</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0.33</w:t>
                  </w:r>
                </w:p>
              </w:tc>
            </w:tr>
            <w:tr w:rsidR="007C66F7" w:rsidRPr="007C66F7">
              <w:trPr>
                <w:trHeight w:val="285"/>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Logoped</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r>
            <w:tr w:rsidR="007C66F7" w:rsidRPr="007C66F7">
              <w:trPr>
                <w:trHeight w:val="570"/>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Psihopedagog / interpret limbaj </w:t>
                  </w:r>
                  <w:proofErr w:type="spellStart"/>
                  <w:r w:rsidRPr="007C66F7">
                    <w:rPr>
                      <w:sz w:val="24"/>
                      <w:szCs w:val="24"/>
                    </w:rPr>
                    <w:t>mimico</w:t>
                  </w:r>
                  <w:proofErr w:type="spellEnd"/>
                  <w:r w:rsidRPr="007C66F7">
                    <w:rPr>
                      <w:sz w:val="24"/>
                      <w:szCs w:val="24"/>
                    </w:rPr>
                    <w:t>-gestual (LMG) / psiholog specializat</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0.2</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0.33</w:t>
                  </w:r>
                </w:p>
              </w:tc>
            </w:tr>
            <w:tr w:rsidR="007C66F7" w:rsidRPr="007C66F7">
              <w:trPr>
                <w:trHeight w:val="285"/>
              </w:trPr>
              <w:tc>
                <w:tcPr>
                  <w:tcW w:w="4755" w:type="dxa"/>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Total</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0.15</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0.15</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0.45</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0.71</w:t>
                  </w:r>
                </w:p>
              </w:tc>
            </w:tr>
            <w:tr w:rsidR="007C66F7" w:rsidRPr="007C66F7">
              <w:trPr>
                <w:trHeight w:val="345"/>
              </w:trPr>
              <w:tc>
                <w:tcPr>
                  <w:tcW w:w="1710" w:type="dxa"/>
                  <w:vMerge w:val="restart"/>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Dificultăți ușoare de învățare (dislexie, disgrafie, </w:t>
                  </w:r>
                  <w:proofErr w:type="spellStart"/>
                  <w:r w:rsidRPr="007C66F7">
                    <w:rPr>
                      <w:sz w:val="24"/>
                      <w:szCs w:val="24"/>
                    </w:rPr>
                    <w:t>discalculie</w:t>
                  </w:r>
                  <w:proofErr w:type="spellEnd"/>
                  <w:r w:rsidRPr="007C66F7">
                    <w:rPr>
                      <w:sz w:val="24"/>
                      <w:szCs w:val="24"/>
                    </w:rPr>
                    <w:t>, tulburări ușoare de atenție)</w:t>
                  </w: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Cadru didactic de sprijin</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r>
            <w:tr w:rsidR="007C66F7" w:rsidRPr="007C66F7">
              <w:trPr>
                <w:trHeight w:val="345"/>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Logoped</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0.05</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r>
            <w:tr w:rsidR="007C66F7" w:rsidRPr="007C66F7">
              <w:trPr>
                <w:trHeight w:val="690"/>
              </w:trPr>
              <w:tc>
                <w:tcPr>
                  <w:tcW w:w="1710" w:type="dxa"/>
                  <w:vMerge/>
                  <w:tcBorders>
                    <w:top w:val="single" w:sz="5" w:space="0" w:color="000000"/>
                    <w:left w:val="single" w:sz="5" w:space="0" w:color="000000"/>
                    <w:bottom w:val="single" w:sz="5" w:space="0" w:color="000000"/>
                    <w:right w:val="single" w:sz="5" w:space="0" w:color="000000"/>
                  </w:tcBorders>
                </w:tcPr>
                <w:p w:rsidR="003107BC" w:rsidRPr="007C66F7" w:rsidRDefault="003107BC" w:rsidP="0068592A">
                  <w:pPr>
                    <w:tabs>
                      <w:tab w:val="left" w:pos="993"/>
                    </w:tabs>
                    <w:rPr>
                      <w:sz w:val="24"/>
                      <w:szCs w:val="24"/>
                    </w:rPr>
                  </w:pPr>
                </w:p>
              </w:tc>
              <w:tc>
                <w:tcPr>
                  <w:tcW w:w="30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Psihopedagog / interpret limbaj </w:t>
                  </w:r>
                  <w:proofErr w:type="spellStart"/>
                  <w:r w:rsidRPr="007C66F7">
                    <w:rPr>
                      <w:sz w:val="24"/>
                      <w:szCs w:val="24"/>
                    </w:rPr>
                    <w:t>mimico</w:t>
                  </w:r>
                  <w:proofErr w:type="spellEnd"/>
                  <w:r w:rsidRPr="007C66F7">
                    <w:rPr>
                      <w:sz w:val="24"/>
                      <w:szCs w:val="24"/>
                    </w:rPr>
                    <w:t>-gestual (LMG) / psiholog specializat</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r>
            <w:tr w:rsidR="007C66F7" w:rsidRPr="007C66F7">
              <w:trPr>
                <w:trHeight w:val="285"/>
              </w:trPr>
              <w:tc>
                <w:tcPr>
                  <w:tcW w:w="4755" w:type="dxa"/>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Total</w:t>
                  </w:r>
                </w:p>
              </w:tc>
              <w:tc>
                <w:tcPr>
                  <w:tcW w:w="123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0.15</w:t>
                  </w:r>
                </w:p>
              </w:tc>
              <w:tc>
                <w:tcPr>
                  <w:tcW w:w="11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0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c>
                <w:tcPr>
                  <w:tcW w:w="130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jc w:val="center"/>
                    <w:rPr>
                      <w:sz w:val="24"/>
                      <w:szCs w:val="24"/>
                    </w:rPr>
                  </w:pPr>
                  <w:r w:rsidRPr="007C66F7">
                    <w:rPr>
                      <w:sz w:val="24"/>
                      <w:szCs w:val="24"/>
                    </w:rPr>
                    <w:t>0</w:t>
                  </w:r>
                </w:p>
              </w:tc>
            </w:tr>
          </w:tbl>
          <w:p w:rsidR="003107BC" w:rsidRPr="007C66F7" w:rsidRDefault="00524495" w:rsidP="0068592A">
            <w:pPr>
              <w:tabs>
                <w:tab w:val="left" w:pos="993"/>
              </w:tabs>
              <w:spacing w:after="0"/>
              <w:ind w:firstLine="560"/>
              <w:jc w:val="both"/>
              <w:rPr>
                <w:sz w:val="24"/>
                <w:szCs w:val="24"/>
              </w:rPr>
            </w:pPr>
            <w:r w:rsidRPr="007C66F7">
              <w:rPr>
                <w:sz w:val="24"/>
                <w:szCs w:val="24"/>
              </w:rPr>
              <w:t xml:space="preserve"> </w:t>
            </w:r>
          </w:p>
          <w:p w:rsidR="003107BC" w:rsidRPr="007C66F7" w:rsidRDefault="00524495" w:rsidP="0068592A">
            <w:pPr>
              <w:tabs>
                <w:tab w:val="left" w:pos="993"/>
              </w:tabs>
              <w:spacing w:after="0"/>
              <w:ind w:firstLine="560"/>
              <w:jc w:val="both"/>
              <w:rPr>
                <w:sz w:val="24"/>
                <w:szCs w:val="24"/>
              </w:rPr>
            </w:pPr>
            <w:r w:rsidRPr="007C66F7">
              <w:rPr>
                <w:sz w:val="24"/>
                <w:szCs w:val="24"/>
              </w:rPr>
              <w:t>În baza estimărilor, înainte de ajustarea la plafon, rezultă un necesar de 69,27 unități echivalente de psiholog, 1.917,03 unități de cadru didactic de sprijin, 620,70 unități de logoped și 803,84 unități de psihopedagog/interpret LMG/psiholog specializat. Costul brut al personalului necesar este de 462,027 milioane lei, iar costul brut total, inclusiv componenta CR de 51,622 milioane lei, este de 513,649 milioane lei.</w:t>
            </w:r>
          </w:p>
          <w:p w:rsidR="003107BC" w:rsidRPr="007C66F7" w:rsidRDefault="00524495" w:rsidP="0068592A">
            <w:pPr>
              <w:tabs>
                <w:tab w:val="left" w:pos="993"/>
              </w:tabs>
              <w:spacing w:after="0"/>
              <w:ind w:firstLine="560"/>
              <w:jc w:val="both"/>
              <w:rPr>
                <w:sz w:val="24"/>
                <w:szCs w:val="24"/>
              </w:rPr>
            </w:pPr>
            <w:r w:rsidRPr="007C66F7">
              <w:rPr>
                <w:sz w:val="24"/>
                <w:szCs w:val="24"/>
              </w:rPr>
              <w:t xml:space="preserve"> </w:t>
            </w:r>
          </w:p>
          <w:p w:rsidR="003107BC" w:rsidRPr="007C66F7" w:rsidRDefault="00524495" w:rsidP="00D00400">
            <w:pPr>
              <w:tabs>
                <w:tab w:val="left" w:pos="993"/>
              </w:tabs>
              <w:spacing w:after="0"/>
              <w:ind w:firstLine="36"/>
              <w:jc w:val="both"/>
              <w:rPr>
                <w:sz w:val="24"/>
                <w:szCs w:val="24"/>
              </w:rPr>
            </w:pPr>
            <w:r w:rsidRPr="007C66F7">
              <w:rPr>
                <w:sz w:val="24"/>
                <w:szCs w:val="24"/>
              </w:rPr>
              <w:t>Concret, proiectul prevede:</w:t>
            </w:r>
          </w:p>
          <w:p w:rsidR="003107BC" w:rsidRPr="007C66F7" w:rsidRDefault="00524495" w:rsidP="00D00400">
            <w:pPr>
              <w:spacing w:after="0"/>
              <w:ind w:left="461" w:hanging="220"/>
              <w:jc w:val="both"/>
              <w:rPr>
                <w:sz w:val="24"/>
                <w:szCs w:val="24"/>
              </w:rPr>
            </w:pPr>
            <w:r w:rsidRPr="007C66F7">
              <w:rPr>
                <w:sz w:val="24"/>
                <w:szCs w:val="24"/>
              </w:rPr>
              <w:t>– extinderea, pe tot parcursul hotărârii și al anexelor nr. 1 și nr. 2, a referințelor la agențiile teritoriale pentru educație, alături de autoritățile administrației publice locale de nivelul al doilea, precum și introducerea noțiunii de „alocații” alături de cea de „transferuri categoriale”;</w:t>
            </w:r>
          </w:p>
          <w:p w:rsidR="003107BC" w:rsidRPr="007C66F7" w:rsidRDefault="00524495" w:rsidP="00D00400">
            <w:pPr>
              <w:spacing w:after="0"/>
              <w:ind w:left="461" w:hanging="220"/>
              <w:jc w:val="both"/>
              <w:rPr>
                <w:sz w:val="24"/>
                <w:szCs w:val="24"/>
              </w:rPr>
            </w:pPr>
            <w:r w:rsidRPr="007C66F7">
              <w:rPr>
                <w:sz w:val="24"/>
                <w:szCs w:val="24"/>
              </w:rPr>
              <w:t>– completarea pct. 5 din anexa nr. 1 cu noțiunea de „componenta educației incluzive”. Noțiunea de „alocație bugetară” a fost exclusă din proiect ca urmare a obiecției Ministerului Finanțelor, pentru a evita dublarea normelor cu actul normativ superior;</w:t>
            </w:r>
          </w:p>
          <w:p w:rsidR="003107BC" w:rsidRPr="007C66F7" w:rsidRDefault="00524495" w:rsidP="00D00400">
            <w:pPr>
              <w:spacing w:after="0"/>
              <w:ind w:left="461" w:hanging="220"/>
              <w:jc w:val="both"/>
              <w:rPr>
                <w:sz w:val="24"/>
                <w:szCs w:val="24"/>
              </w:rPr>
            </w:pPr>
            <w:r w:rsidRPr="007C66F7">
              <w:rPr>
                <w:sz w:val="24"/>
                <w:szCs w:val="24"/>
              </w:rPr>
              <w:t xml:space="preserve">– direcționarea, potrivit noului </w:t>
            </w:r>
            <w:proofErr w:type="spellStart"/>
            <w:r w:rsidRPr="007C66F7">
              <w:rPr>
                <w:sz w:val="24"/>
                <w:szCs w:val="24"/>
              </w:rPr>
              <w:t>subpct</w:t>
            </w:r>
            <w:proofErr w:type="spellEnd"/>
            <w:r w:rsidRPr="007C66F7">
              <w:rPr>
                <w:sz w:val="24"/>
                <w:szCs w:val="24"/>
              </w:rPr>
              <w:t>. 1²) al pct. 6 din anexa nr. 1, a 4% din plafonul de cheltuieli în componenta pentru educație incluzivă, în locul mecanismului actual de constituire a fondului pentru educație incluzivă în mărime de până la 2% din volumul transferurilor categoriale, pct. 10 din anexa nr. 1 fiind exclus;</w:t>
            </w:r>
          </w:p>
          <w:p w:rsidR="003107BC" w:rsidRPr="007C66F7" w:rsidRDefault="00524495" w:rsidP="00D00400">
            <w:pPr>
              <w:spacing w:after="0"/>
              <w:ind w:left="461" w:hanging="220"/>
              <w:jc w:val="both"/>
              <w:rPr>
                <w:sz w:val="24"/>
                <w:szCs w:val="24"/>
              </w:rPr>
            </w:pPr>
            <w:r w:rsidRPr="007C66F7">
              <w:rPr>
                <w:sz w:val="24"/>
                <w:szCs w:val="24"/>
              </w:rPr>
              <w:t>– includerea în formula (1) de calcul al transferurilor categoriale a indicatorului SI – suma componentelor pentru educația incluzivă, precum și ajustarea formulei de estimare a sporului pentru gradul didactic (G), prin substituirea coeficientului 1,29 cu expresia (1+CAS);</w:t>
            </w:r>
          </w:p>
          <w:p w:rsidR="003107BC" w:rsidRPr="007C66F7" w:rsidRDefault="00524495" w:rsidP="00D00400">
            <w:pPr>
              <w:spacing w:after="0"/>
              <w:ind w:left="461" w:hanging="220"/>
              <w:jc w:val="both"/>
              <w:rPr>
                <w:sz w:val="24"/>
                <w:szCs w:val="24"/>
              </w:rPr>
            </w:pPr>
            <w:r w:rsidRPr="007C66F7">
              <w:rPr>
                <w:sz w:val="24"/>
                <w:szCs w:val="24"/>
              </w:rPr>
              <w:t>– majorarea coeficientului K de la 0,96 la 0,98 la pct. 7 și pct. 11 din anexa nr. 1, cu excluderea rezervării de maximum 2% pentru fondul educației incluzive;</w:t>
            </w:r>
          </w:p>
          <w:p w:rsidR="003107BC" w:rsidRPr="007C66F7" w:rsidRDefault="00524495" w:rsidP="00D00400">
            <w:pPr>
              <w:spacing w:after="0"/>
              <w:ind w:left="461" w:hanging="220"/>
              <w:jc w:val="both"/>
              <w:rPr>
                <w:sz w:val="24"/>
                <w:szCs w:val="24"/>
              </w:rPr>
            </w:pPr>
            <w:r w:rsidRPr="007C66F7">
              <w:rPr>
                <w:sz w:val="24"/>
                <w:szCs w:val="24"/>
              </w:rPr>
              <w:t xml:space="preserve">– expunerea în redacție nouă a anexei nr. 3 – Regulamentul privind formarea și utilizarea componentei pentru educație incluzivă, care instituie calculul componentei la nivel de instituție (I = CP + CR), formule distincte de finanțare a psihologilor (PS), a cadrelor didactice de sprijin (CS), a logopezilor (LG) și a psihopedagogilor/interpreților în limbaj </w:t>
            </w:r>
            <w:proofErr w:type="spellStart"/>
            <w:r w:rsidRPr="007C66F7">
              <w:rPr>
                <w:sz w:val="24"/>
                <w:szCs w:val="24"/>
              </w:rPr>
              <w:t>mimico</w:t>
            </w:r>
            <w:proofErr w:type="spellEnd"/>
            <w:r w:rsidRPr="007C66F7">
              <w:rPr>
                <w:sz w:val="24"/>
                <w:szCs w:val="24"/>
              </w:rPr>
              <w:t>-gestual/psihologilor specializați (PP), normele de unități în funcție de numărul de elevi, tipul și severitatea dizabilității, coeficientul de finanțare Q determinat de gradul de executare a subcomponentei în anul bugetar precedent (0,5; 0,75; 1), subcomponenta pentru centrul de resurse pentru educația incluzivă (CR), precum și mecanismele de ajustare a acestora (formulele (7) și (9));</w:t>
            </w:r>
          </w:p>
          <w:p w:rsidR="003107BC" w:rsidRPr="007C66F7" w:rsidRDefault="00524495" w:rsidP="00D00400">
            <w:pPr>
              <w:spacing w:after="0"/>
              <w:ind w:left="461" w:hanging="220"/>
              <w:jc w:val="both"/>
              <w:rPr>
                <w:sz w:val="24"/>
                <w:szCs w:val="24"/>
              </w:rPr>
            </w:pPr>
            <w:r w:rsidRPr="007C66F7">
              <w:rPr>
                <w:sz w:val="24"/>
                <w:szCs w:val="24"/>
              </w:rPr>
              <w:t>– modificarea, prin punctul 2 din proiect, a Hotărârii Guvernului nr. 637/2025 cu privire la aprobarea Metodologiei de finanțare în bază de cost standard a învățământului preșcolar, în vederea corelării terminologice cu noua structură instituțională.</w:t>
            </w:r>
          </w:p>
          <w:p w:rsidR="003107BC" w:rsidRPr="007C66F7" w:rsidRDefault="00524495" w:rsidP="00D00400">
            <w:pPr>
              <w:spacing w:after="0"/>
              <w:ind w:left="461" w:hanging="220"/>
              <w:jc w:val="both"/>
              <w:rPr>
                <w:sz w:val="24"/>
                <w:szCs w:val="24"/>
              </w:rPr>
            </w:pPr>
            <w:r w:rsidRPr="007C66F7">
              <w:rPr>
                <w:sz w:val="24"/>
                <w:szCs w:val="24"/>
              </w:rPr>
              <w:t>– substituirea datei de referință pentru datele utilizate la planificarea bugetului, de la 1 octombrie a anului bugetar precedent la 1 iunie a anului bugetar în care se planifică bugetul, la pct. 4, 6 și 7 din anexa nr. 1, astfel încât calculul să se bazeze pe datele disponibile în Sistemul informațional de management în educație la momentul elaborării proiectului legii bugetului de stat;</w:t>
            </w:r>
          </w:p>
          <w:p w:rsidR="003107BC" w:rsidRPr="007C66F7" w:rsidRDefault="00524495" w:rsidP="00D00400">
            <w:pPr>
              <w:spacing w:after="0"/>
              <w:ind w:left="461" w:hanging="220"/>
              <w:jc w:val="both"/>
              <w:rPr>
                <w:sz w:val="24"/>
                <w:szCs w:val="24"/>
              </w:rPr>
            </w:pPr>
            <w:r w:rsidRPr="007C66F7">
              <w:rPr>
                <w:sz w:val="24"/>
                <w:szCs w:val="24"/>
              </w:rPr>
              <w:lastRenderedPageBreak/>
              <w:t>– expunerea în redacție nouă a pct. 12 din anexa nr. 1 și completarea pct. 13 și 18, prin care volumul alocațiilor pentru fiecare instituție se aprobă, pentru instituțiile arondate agențiilor teritoriale pentru educație, de comisia creată prin ordinul agenției, iar în celelalte cazuri de consiliul municipal/raional sau de Comitetul executiv al UTA Găgăuzia;</w:t>
            </w:r>
          </w:p>
          <w:p w:rsidR="003107BC" w:rsidRPr="007C66F7" w:rsidRDefault="00524495" w:rsidP="00D00400">
            <w:pPr>
              <w:spacing w:after="0"/>
              <w:ind w:left="461" w:hanging="220"/>
              <w:jc w:val="both"/>
              <w:rPr>
                <w:sz w:val="24"/>
                <w:szCs w:val="24"/>
              </w:rPr>
            </w:pPr>
            <w:r w:rsidRPr="007C66F7">
              <w:rPr>
                <w:sz w:val="24"/>
                <w:szCs w:val="24"/>
              </w:rPr>
              <w:t xml:space="preserve">– completarea pct. 6 </w:t>
            </w:r>
            <w:proofErr w:type="spellStart"/>
            <w:r w:rsidRPr="007C66F7">
              <w:rPr>
                <w:sz w:val="24"/>
                <w:szCs w:val="24"/>
              </w:rPr>
              <w:t>subpct</w:t>
            </w:r>
            <w:proofErr w:type="spellEnd"/>
            <w:r w:rsidRPr="007C66F7">
              <w:rPr>
                <w:sz w:val="24"/>
                <w:szCs w:val="24"/>
              </w:rPr>
              <w:t>. 3²) din anexa nr. 1 cu o direcție nouă de utilizare a centralizatorului, respectiv contribuțiile financiare în cadrul proiectelor finanțate din fonduri naționale și internaționale;</w:t>
            </w:r>
          </w:p>
          <w:p w:rsidR="003107BC" w:rsidRPr="007C66F7" w:rsidRDefault="00524495" w:rsidP="00D00400">
            <w:pPr>
              <w:spacing w:after="0"/>
              <w:ind w:left="461" w:hanging="220"/>
              <w:jc w:val="both"/>
              <w:rPr>
                <w:sz w:val="24"/>
                <w:szCs w:val="24"/>
              </w:rPr>
            </w:pPr>
            <w:r w:rsidRPr="007C66F7">
              <w:rPr>
                <w:sz w:val="24"/>
                <w:szCs w:val="24"/>
              </w:rPr>
              <w:t xml:space="preserve">– completarea pct. 7 din anexa nr. 1 cu </w:t>
            </w:r>
            <w:proofErr w:type="spellStart"/>
            <w:r w:rsidRPr="007C66F7">
              <w:rPr>
                <w:sz w:val="24"/>
                <w:szCs w:val="24"/>
              </w:rPr>
              <w:t>subpct</w:t>
            </w:r>
            <w:proofErr w:type="spellEnd"/>
            <w:r w:rsidRPr="007C66F7">
              <w:rPr>
                <w:sz w:val="24"/>
                <w:szCs w:val="24"/>
              </w:rPr>
              <w:t>. 1¹), privind înaintarea de către agenția teritorială pentru educație a propunerilor de redistribuire a alocațiilor în cazul reorganizării instituțiilor de învățământ;</w:t>
            </w:r>
          </w:p>
          <w:p w:rsidR="003107BC" w:rsidRPr="007C66F7" w:rsidRDefault="00524495" w:rsidP="00D00400">
            <w:pPr>
              <w:spacing w:after="0"/>
              <w:ind w:left="461" w:hanging="220"/>
              <w:jc w:val="both"/>
              <w:rPr>
                <w:sz w:val="24"/>
                <w:szCs w:val="24"/>
              </w:rPr>
            </w:pPr>
            <w:r w:rsidRPr="007C66F7">
              <w:rPr>
                <w:sz w:val="24"/>
                <w:szCs w:val="24"/>
              </w:rPr>
              <w:t>– actualizarea pct. 25 și 26 din anexa nr. 1, privind autoritățile care monitorizează aplicarea metodologiei și publicarea informațiilor despre bugetele instituțiilor.</w:t>
            </w:r>
          </w:p>
          <w:p w:rsidR="003107BC" w:rsidRDefault="00524495" w:rsidP="0068592A">
            <w:pPr>
              <w:tabs>
                <w:tab w:val="left" w:pos="993"/>
              </w:tabs>
              <w:spacing w:after="0"/>
              <w:ind w:firstLine="560"/>
              <w:jc w:val="both"/>
              <w:rPr>
                <w:sz w:val="24"/>
                <w:szCs w:val="24"/>
              </w:rPr>
            </w:pPr>
            <w:r w:rsidRPr="007C66F7">
              <w:rPr>
                <w:sz w:val="24"/>
                <w:szCs w:val="24"/>
              </w:rPr>
              <w:t>Hotărârea intră în vigoare la 1 ianuarie 2027, odată cu intrarea în funcțiune a noului model de administrare a învățământului general.</w:t>
            </w:r>
          </w:p>
          <w:p w:rsidR="007C66F7" w:rsidRPr="007C66F7" w:rsidRDefault="007C66F7" w:rsidP="0068592A">
            <w:pPr>
              <w:tabs>
                <w:tab w:val="left" w:pos="993"/>
              </w:tabs>
              <w:spacing w:after="0"/>
              <w:ind w:firstLine="560"/>
              <w:jc w:val="both"/>
              <w:rPr>
                <w:sz w:val="24"/>
                <w:szCs w:val="24"/>
              </w:rPr>
            </w:pP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lastRenderedPageBreak/>
              <w:t>3.2. Opțiunile alternative analizate și motivele pentru care acestea nu au fost luate în considerare</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 xml:space="preserve">Au fost analizate următoarele opțiuni: (i) menținerea mecanismului actual de până la 2%, care are cost administrativ redus, dar păstrează variațiile teritoriale și lipsa legăturii cu necesarul; (ii) componenta fixă de 4% cu ajustare proporțională, care este predictibilă la nivel </w:t>
            </w:r>
            <w:proofErr w:type="spellStart"/>
            <w:r w:rsidRPr="007C66F7">
              <w:rPr>
                <w:sz w:val="24"/>
                <w:szCs w:val="24"/>
              </w:rPr>
              <w:t>macrobugetar</w:t>
            </w:r>
            <w:proofErr w:type="spellEnd"/>
            <w:r w:rsidRPr="007C66F7">
              <w:rPr>
                <w:sz w:val="24"/>
                <w:szCs w:val="24"/>
              </w:rPr>
              <w:t>, dar acoperă numai o parte din necesarul normativ și, în scenariul de simulare analizat, nu lasă resurse pentru CR; (iii) implementarea etapizată, cu finanțare minimă garantată pentru CREI și protecție temporară pentru instituțiile care pierd; și (iv) finanțarea integrală a necesarului normativ, care ar necesita identificarea unei surse bugetare suplimentare.</w:t>
            </w:r>
          </w:p>
          <w:p w:rsidR="003107BC" w:rsidRPr="007C66F7" w:rsidRDefault="00524495" w:rsidP="0068592A">
            <w:pPr>
              <w:tabs>
                <w:tab w:val="left" w:pos="993"/>
              </w:tabs>
              <w:spacing w:after="0"/>
              <w:ind w:firstLine="560"/>
              <w:jc w:val="both"/>
              <w:rPr>
                <w:sz w:val="24"/>
                <w:szCs w:val="24"/>
              </w:rPr>
            </w:pPr>
            <w:r w:rsidRPr="007C66F7">
              <w:rPr>
                <w:sz w:val="24"/>
                <w:szCs w:val="24"/>
              </w:rPr>
              <w:t>Menținerea reglementărilor actuale ar genera necorelări între Codul educației și actele normative subordonate legii, ar face imposibilă aplicarea mecanismului de finanțare de către agențiile teritoriale pentru educație și ar perpetua deficiențele actuale ale mecanismului de finanțare a educației incluzive.</w:t>
            </w:r>
          </w:p>
          <w:p w:rsidR="003107BC" w:rsidRPr="007C66F7" w:rsidRDefault="00524495" w:rsidP="0068592A">
            <w:pPr>
              <w:tabs>
                <w:tab w:val="left" w:pos="993"/>
              </w:tabs>
              <w:spacing w:after="0"/>
              <w:jc w:val="both"/>
              <w:rPr>
                <w:sz w:val="24"/>
                <w:szCs w:val="24"/>
              </w:rPr>
            </w:pPr>
            <w:r w:rsidRPr="007C66F7">
              <w:rPr>
                <w:sz w:val="24"/>
                <w:szCs w:val="24"/>
              </w:rPr>
              <w:t xml:space="preserve"> </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BFBFBF"/>
            <w:tcMar>
              <w:top w:w="0" w:type="dxa"/>
              <w:bottom w:w="0" w:type="dxa"/>
            </w:tcMar>
          </w:tcPr>
          <w:p w:rsidR="003107BC" w:rsidRPr="007C66F7" w:rsidRDefault="00524495" w:rsidP="0068592A">
            <w:pPr>
              <w:tabs>
                <w:tab w:val="left" w:pos="993"/>
              </w:tabs>
              <w:spacing w:after="0"/>
              <w:jc w:val="both"/>
              <w:rPr>
                <w:b/>
                <w:bCs/>
                <w:sz w:val="24"/>
                <w:szCs w:val="24"/>
              </w:rPr>
            </w:pPr>
            <w:r w:rsidRPr="007C66F7">
              <w:rPr>
                <w:b/>
                <w:bCs/>
                <w:sz w:val="24"/>
                <w:szCs w:val="24"/>
              </w:rPr>
              <w:t>4. Analiza impactului de reglementare</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4.1. Impactul asupra sectorului public</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Impactul asupra sectorului public constă în asigurarea corelării cadrului normativ secundar privind finanțarea învățământului general cu prevederile Codului educației nr. 152/2014, modificate prin reforma „</w:t>
            </w:r>
            <w:proofErr w:type="spellStart"/>
            <w:r w:rsidRPr="007C66F7">
              <w:rPr>
                <w:sz w:val="24"/>
                <w:szCs w:val="24"/>
              </w:rPr>
              <w:t>Restart</w:t>
            </w:r>
            <w:proofErr w:type="spellEnd"/>
            <w:r w:rsidRPr="007C66F7">
              <w:rPr>
                <w:sz w:val="24"/>
                <w:szCs w:val="24"/>
              </w:rPr>
              <w:t xml:space="preserve"> în educație”, precum și în clarificarea competențelor autorităților implicate în procesul de planificare, repartizare, administrare, monitorizare și raportare a resurselor financiare destinate instituțiilor publice de învățământ primar, gimnazial, liceal și special.</w:t>
            </w:r>
          </w:p>
          <w:p w:rsidR="003107BC" w:rsidRPr="007C66F7" w:rsidRDefault="00524495" w:rsidP="0068592A">
            <w:pPr>
              <w:tabs>
                <w:tab w:val="left" w:pos="993"/>
              </w:tabs>
              <w:spacing w:after="0"/>
              <w:ind w:firstLine="560"/>
              <w:jc w:val="both"/>
              <w:rPr>
                <w:sz w:val="24"/>
                <w:szCs w:val="24"/>
              </w:rPr>
            </w:pPr>
            <w:r w:rsidRPr="007C66F7">
              <w:rPr>
                <w:sz w:val="24"/>
                <w:szCs w:val="24"/>
              </w:rPr>
              <w:t>Proiectul nu instituie structuri instituționale noi și nu modifică efectivul-limită al autorităților publice, ci ajustează atribuțiile funcționale ale acestora în procesul bugetar, în conformitate cu redistribuirea competențelor stabilită prin legislația primară, inclusiv în raport cu agențiile teritoriale pentru educație.</w:t>
            </w:r>
          </w:p>
          <w:p w:rsidR="003107BC" w:rsidRPr="007C66F7" w:rsidRDefault="00524495" w:rsidP="0068592A">
            <w:pPr>
              <w:tabs>
                <w:tab w:val="left" w:pos="993"/>
              </w:tabs>
              <w:spacing w:after="0"/>
              <w:ind w:firstLine="560"/>
              <w:jc w:val="both"/>
              <w:rPr>
                <w:sz w:val="24"/>
                <w:szCs w:val="24"/>
              </w:rPr>
            </w:pPr>
            <w:r w:rsidRPr="007C66F7">
              <w:rPr>
                <w:sz w:val="24"/>
                <w:szCs w:val="24"/>
              </w:rPr>
              <w:t>Pe termen scurt, impactul se manifestă prin necesitatea adaptării procedurilor interne de planificare și raportare bugetară ale autorităților implicate, iar pe termen mediu și lung – prin aplicarea uniformă a mecanismului de finanțare în bază de cost standard per elev, utilizarea eficientă a alocațiilor bugetare și consolidarea capacității instituționale a autorităților responsabile de administrarea sistemului de învățământ general.</w:t>
            </w:r>
          </w:p>
          <w:p w:rsidR="003107BC" w:rsidRPr="007C66F7" w:rsidRDefault="00524495" w:rsidP="0068592A">
            <w:pPr>
              <w:tabs>
                <w:tab w:val="left" w:pos="993"/>
              </w:tabs>
              <w:spacing w:after="0"/>
              <w:ind w:firstLine="560"/>
              <w:jc w:val="both"/>
              <w:rPr>
                <w:sz w:val="24"/>
                <w:szCs w:val="24"/>
              </w:rPr>
            </w:pPr>
            <w:r w:rsidRPr="007C66F7">
              <w:rPr>
                <w:sz w:val="24"/>
                <w:szCs w:val="24"/>
              </w:rPr>
              <w:t>Aplicarea mecanismului presupune sarcini operaționale suplimentare: validarea beneficiarilor și a severității, calculul și verificarea alocațiilor, soluționarea contestațiilor, raportarea execuției CP și CR, actualizarea SIME și instruirea agențiilor teritoriale, serviciilor de asistență psihopedagogică și instituțiilor. Volumul acestor sarcini și costurile administrative vor fi estimate distinct.</w:t>
            </w:r>
          </w:p>
          <w:p w:rsidR="003107BC" w:rsidRPr="007C66F7" w:rsidRDefault="00524495" w:rsidP="0068592A">
            <w:pPr>
              <w:tabs>
                <w:tab w:val="left" w:pos="993"/>
              </w:tabs>
              <w:spacing w:after="0"/>
              <w:ind w:firstLine="560"/>
              <w:jc w:val="both"/>
              <w:rPr>
                <w:sz w:val="24"/>
                <w:szCs w:val="24"/>
              </w:rPr>
            </w:pPr>
            <w:r w:rsidRPr="007C66F7">
              <w:rPr>
                <w:sz w:val="24"/>
                <w:szCs w:val="24"/>
              </w:rPr>
              <w:t>Necesarul de personal rezultat din simulare trebuie confruntat cu situația posturilor aprobate și ocupate și cu disponibilitatea specialiștilor pe teritorii. Numărul calculat de unități nu garantează recrut</w:t>
            </w:r>
            <w:r w:rsidR="00DA5A94" w:rsidRPr="007C66F7">
              <w:rPr>
                <w:sz w:val="24"/>
                <w:szCs w:val="24"/>
              </w:rPr>
              <w:t xml:space="preserve">area sau prestarea serviciului. </w:t>
            </w:r>
            <w:r w:rsidRPr="007C66F7">
              <w:rPr>
                <w:sz w:val="24"/>
                <w:szCs w:val="24"/>
              </w:rPr>
              <w:t>Un plan de acoperire a deficitului de personal, cu indicatori privind posturile vacante și timpul de acces la servicii, se elaborează de Ministerul Educației și Cercetării până la data intrării în vigoare a hotărârii și se actualizează anual.</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4.2. Impactul financiar și argumentarea costurilor estimative</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3D5B76" w:rsidRDefault="00524495" w:rsidP="0068592A">
            <w:pPr>
              <w:tabs>
                <w:tab w:val="left" w:pos="993"/>
              </w:tabs>
              <w:spacing w:after="0"/>
              <w:ind w:firstLine="560"/>
              <w:jc w:val="both"/>
              <w:rPr>
                <w:sz w:val="24"/>
                <w:szCs w:val="24"/>
              </w:rPr>
            </w:pPr>
            <w:r w:rsidRPr="007C66F7">
              <w:rPr>
                <w:sz w:val="24"/>
                <w:szCs w:val="24"/>
              </w:rPr>
              <w:lastRenderedPageBreak/>
              <w:t xml:space="preserve">Proiectul nu majorează prin el însuși plafonul consolidat al cheltuielilor pentru învățământul general, dar are un impact financiar și distributiv cuantificabil: rezervă 4% din plafon pentru educația incluzivă și redistribuie resursele între </w:t>
            </w:r>
            <w:r w:rsidRPr="003D5B76">
              <w:rPr>
                <w:sz w:val="24"/>
                <w:szCs w:val="24"/>
              </w:rPr>
              <w:t>instituții, personal specializat și centrele de resurse.</w:t>
            </w:r>
          </w:p>
          <w:p w:rsidR="003D5B76" w:rsidRPr="003D5B76" w:rsidRDefault="003D5B76" w:rsidP="003D5B76">
            <w:pPr>
              <w:pStyle w:val="NormalWeb"/>
              <w:shd w:val="clear" w:color="auto" w:fill="FFFFFF"/>
              <w:spacing w:before="0" w:beforeAutospacing="0" w:after="0" w:afterAutospacing="0"/>
              <w:ind w:firstLine="560"/>
              <w:jc w:val="both"/>
              <w:rPr>
                <w:rFonts w:ascii="Segoe UI" w:hAnsi="Segoe UI" w:cs="Segoe UI"/>
                <w:color w:val="000000"/>
                <w:lang w:val="ro-MD"/>
              </w:rPr>
            </w:pPr>
            <w:r w:rsidRPr="003D5B76">
              <w:rPr>
                <w:color w:val="000000"/>
                <w:lang w:val="ro-MD"/>
              </w:rPr>
              <w:t>În simulare, plafonul-</w:t>
            </w:r>
            <w:proofErr w:type="spellStart"/>
            <w:r w:rsidRPr="003D5B76">
              <w:rPr>
                <w:color w:val="000000"/>
                <w:lang w:val="ro-MD"/>
              </w:rPr>
              <w:t>proxy</w:t>
            </w:r>
            <w:proofErr w:type="spellEnd"/>
            <w:r w:rsidRPr="003D5B76">
              <w:rPr>
                <w:color w:val="000000"/>
                <w:lang w:val="ro-MD"/>
              </w:rPr>
              <w:t xml:space="preserve"> este de 9.507,874 milioane lei, iar 4% reprezintă 380,315 milioane lei. Alocarea curentă agregată pentru educația incluzivă în setul de date este de aproximativ 145,612 milioane lei; componenta rezervată crește astfel cu aproximativ 234,7 milioane lei, sau 74%.</w:t>
            </w:r>
          </w:p>
          <w:p w:rsidR="003D5B76" w:rsidRPr="003D5B76" w:rsidRDefault="003D5B76" w:rsidP="003D5B76">
            <w:pPr>
              <w:pStyle w:val="NormalWeb"/>
              <w:shd w:val="clear" w:color="auto" w:fill="FFFFFF"/>
              <w:spacing w:before="0" w:beforeAutospacing="0" w:after="0" w:afterAutospacing="0"/>
              <w:ind w:firstLine="560"/>
              <w:jc w:val="both"/>
              <w:rPr>
                <w:rFonts w:ascii="Segoe UI" w:hAnsi="Segoe UI" w:cs="Segoe UI"/>
                <w:color w:val="000000"/>
                <w:lang w:val="ro-MD"/>
              </w:rPr>
            </w:pPr>
            <w:r w:rsidRPr="003D5B76">
              <w:rPr>
                <w:color w:val="000000"/>
                <w:lang w:val="ro-MD"/>
              </w:rPr>
              <w:t>Calculul estimativ arată un necesar brut de 513,649 milioane lei pentru acoperirea costurilor standard: 462,027 milioane lei pentru personal și 51,622 milioane lei pentru CR. Plafonul acoperă aproximativ 74% din necesarul brut total. Deoarece personalul depășește plafonul, formula (7) aplică un factor de ajustare de aproximativ 0,82 asupra CP, iar subcomponenta CR ajustată este zero.</w:t>
            </w:r>
          </w:p>
          <w:p w:rsidR="003107BC" w:rsidRPr="007C66F7" w:rsidRDefault="003D5B76" w:rsidP="0068592A">
            <w:pPr>
              <w:tabs>
                <w:tab w:val="left" w:pos="993"/>
              </w:tabs>
              <w:spacing w:after="0"/>
              <w:ind w:firstLine="560"/>
              <w:jc w:val="both"/>
              <w:rPr>
                <w:sz w:val="24"/>
                <w:szCs w:val="24"/>
              </w:rPr>
            </w:pPr>
            <w:r w:rsidRPr="003D5B76">
              <w:rPr>
                <w:color w:val="000000"/>
                <w:sz w:val="24"/>
                <w:szCs w:val="24"/>
                <w:shd w:val="clear" w:color="auto" w:fill="FFFFFF"/>
              </w:rPr>
              <w:t xml:space="preserve">Valorile F, </w:t>
            </w:r>
            <w:proofErr w:type="spellStart"/>
            <w:r w:rsidRPr="003D5B76">
              <w:rPr>
                <w:color w:val="000000"/>
                <w:sz w:val="24"/>
                <w:szCs w:val="24"/>
                <w:shd w:val="clear" w:color="auto" w:fill="FFFFFF"/>
              </w:rPr>
              <w:t>Sces</w:t>
            </w:r>
            <w:proofErr w:type="spellEnd"/>
            <w:r w:rsidRPr="003D5B76">
              <w:rPr>
                <w:color w:val="000000"/>
                <w:sz w:val="24"/>
                <w:szCs w:val="24"/>
                <w:shd w:val="clear" w:color="auto" w:fill="FFFFFF"/>
              </w:rPr>
              <w:t xml:space="preserve"> și </w:t>
            </w:r>
            <w:proofErr w:type="spellStart"/>
            <w:r w:rsidRPr="003D5B76">
              <w:rPr>
                <w:color w:val="000000"/>
                <w:sz w:val="24"/>
                <w:szCs w:val="24"/>
                <w:shd w:val="clear" w:color="auto" w:fill="FFFFFF"/>
              </w:rPr>
              <w:t>Ssev</w:t>
            </w:r>
            <w:proofErr w:type="spellEnd"/>
            <w:r w:rsidRPr="003D5B76">
              <w:rPr>
                <w:color w:val="000000"/>
                <w:sz w:val="24"/>
                <w:szCs w:val="24"/>
                <w:shd w:val="clear" w:color="auto" w:fill="FFFFFF"/>
              </w:rPr>
              <w:t xml:space="preserve"> utilizate în simulare - 20 mii lei, 2 mii lei/elev CES și 2 mii lei/elev cu dizabilitate severă - sunt ipoteze de lucru și urmează să fie aprobate prin ordinul ministrului.</w:t>
            </w:r>
            <w:r w:rsidR="00173AB2">
              <w:rPr>
                <w:color w:val="000000"/>
                <w:sz w:val="24"/>
                <w:szCs w:val="24"/>
                <w:shd w:val="clear" w:color="auto" w:fill="FFFFFF"/>
              </w:rPr>
              <w:t xml:space="preserve"> </w:t>
            </w:r>
            <w:bookmarkStart w:id="0" w:name="_GoBack"/>
            <w:bookmarkEnd w:id="0"/>
            <w:r w:rsidR="00524495" w:rsidRPr="003D5B76">
              <w:rPr>
                <w:sz w:val="24"/>
                <w:szCs w:val="24"/>
              </w:rPr>
              <w:t xml:space="preserve">Formula de calcul al normativelor valorice A și B, prevăzută la pct. 6 </w:t>
            </w:r>
            <w:proofErr w:type="spellStart"/>
            <w:r w:rsidR="00524495" w:rsidRPr="003D5B76">
              <w:rPr>
                <w:sz w:val="24"/>
                <w:szCs w:val="24"/>
              </w:rPr>
              <w:t>subpct</w:t>
            </w:r>
            <w:proofErr w:type="spellEnd"/>
            <w:r w:rsidR="00524495" w:rsidRPr="003D5B76">
              <w:rPr>
                <w:sz w:val="24"/>
                <w:szCs w:val="24"/>
              </w:rPr>
              <w:t>. 4) din anexa nr. 1, utilizează plafonul de cheltuieli fără diminuarea acestuia cu mijloacele di</w:t>
            </w:r>
            <w:r w:rsidR="00524495" w:rsidRPr="007C66F7">
              <w:rPr>
                <w:sz w:val="24"/>
                <w:szCs w:val="24"/>
              </w:rPr>
              <w:t xml:space="preserve">recționate potrivit </w:t>
            </w:r>
            <w:proofErr w:type="spellStart"/>
            <w:r w:rsidR="00524495" w:rsidRPr="007C66F7">
              <w:rPr>
                <w:sz w:val="24"/>
                <w:szCs w:val="24"/>
              </w:rPr>
              <w:t>subpct</w:t>
            </w:r>
            <w:proofErr w:type="spellEnd"/>
            <w:r w:rsidR="00524495" w:rsidRPr="007C66F7">
              <w:rPr>
                <w:sz w:val="24"/>
                <w:szCs w:val="24"/>
              </w:rPr>
              <w:t xml:space="preserve">. 1¹) și 1²) ale aceluiași punct. </w:t>
            </w:r>
          </w:p>
          <w:p w:rsidR="003107BC" w:rsidRPr="00251CDB" w:rsidRDefault="00524495" w:rsidP="0068592A">
            <w:pPr>
              <w:tabs>
                <w:tab w:val="left" w:pos="993"/>
              </w:tabs>
              <w:spacing w:after="0"/>
              <w:ind w:firstLine="560"/>
              <w:jc w:val="both"/>
              <w:rPr>
                <w:sz w:val="16"/>
                <w:szCs w:val="24"/>
              </w:rPr>
            </w:pPr>
            <w:r w:rsidRPr="007C66F7">
              <w:rPr>
                <w:sz w:val="24"/>
                <w:szCs w:val="24"/>
              </w:rPr>
              <w:t xml:space="preserve"> </w:t>
            </w:r>
          </w:p>
          <w:tbl>
            <w:tblPr>
              <w:tblStyle w:val="a2"/>
              <w:tblW w:w="92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400"/>
              <w:gridCol w:w="2055"/>
              <w:gridCol w:w="1815"/>
            </w:tblGrid>
            <w:tr w:rsidR="007C66F7" w:rsidRPr="007C66F7">
              <w:trPr>
                <w:trHeight w:val="226"/>
              </w:trPr>
              <w:tc>
                <w:tcPr>
                  <w:tcW w:w="540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 </w:t>
                  </w:r>
                </w:p>
              </w:tc>
              <w:tc>
                <w:tcPr>
                  <w:tcW w:w="205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milioane lei</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număr unități</w:t>
                  </w:r>
                </w:p>
              </w:tc>
            </w:tr>
            <w:tr w:rsidR="007C66F7" w:rsidRPr="007C66F7">
              <w:trPr>
                <w:trHeight w:val="226"/>
              </w:trPr>
              <w:tc>
                <w:tcPr>
                  <w:tcW w:w="540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Buget total alocat</w:t>
                  </w:r>
                </w:p>
              </w:tc>
              <w:tc>
                <w:tcPr>
                  <w:tcW w:w="205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A377E3" w:rsidP="0068592A">
                  <w:pPr>
                    <w:tabs>
                      <w:tab w:val="left" w:pos="993"/>
                    </w:tabs>
                    <w:spacing w:after="0"/>
                    <w:rPr>
                      <w:sz w:val="24"/>
                      <w:szCs w:val="24"/>
                    </w:rPr>
                  </w:pPr>
                  <w:r>
                    <w:rPr>
                      <w:sz w:val="24"/>
                      <w:szCs w:val="24"/>
                    </w:rPr>
                    <w:t>380,3</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 </w:t>
                  </w:r>
                </w:p>
              </w:tc>
            </w:tr>
            <w:tr w:rsidR="007C66F7" w:rsidRPr="007C66F7">
              <w:trPr>
                <w:trHeight w:val="226"/>
              </w:trPr>
              <w:tc>
                <w:tcPr>
                  <w:tcW w:w="540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Buget total rezultat (neajustat la plafon)</w:t>
                  </w:r>
                </w:p>
              </w:tc>
              <w:tc>
                <w:tcPr>
                  <w:tcW w:w="205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513,649</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 </w:t>
                  </w:r>
                </w:p>
              </w:tc>
            </w:tr>
            <w:tr w:rsidR="007C66F7" w:rsidRPr="007C66F7">
              <w:trPr>
                <w:trHeight w:val="226"/>
              </w:trPr>
              <w:tc>
                <w:tcPr>
                  <w:tcW w:w="540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Cost psiholog PS  (milioane lei)</w:t>
                  </w:r>
                </w:p>
              </w:tc>
              <w:tc>
                <w:tcPr>
                  <w:tcW w:w="205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10,248</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69,273</w:t>
                  </w:r>
                </w:p>
              </w:tc>
            </w:tr>
            <w:tr w:rsidR="007C66F7" w:rsidRPr="007C66F7">
              <w:trPr>
                <w:trHeight w:val="226"/>
              </w:trPr>
              <w:tc>
                <w:tcPr>
                  <w:tcW w:w="540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Cost CDS CS  (milioane lei)</w:t>
                  </w:r>
                </w:p>
              </w:tc>
              <w:tc>
                <w:tcPr>
                  <w:tcW w:w="205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247,566</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1.917,030</w:t>
                  </w:r>
                </w:p>
              </w:tc>
            </w:tr>
            <w:tr w:rsidR="007C66F7" w:rsidRPr="007C66F7">
              <w:trPr>
                <w:trHeight w:val="226"/>
              </w:trPr>
              <w:tc>
                <w:tcPr>
                  <w:tcW w:w="540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Cost logoped LG (milioane lei)</w:t>
                  </w:r>
                </w:p>
              </w:tc>
              <w:tc>
                <w:tcPr>
                  <w:tcW w:w="205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88,907</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620,700</w:t>
                  </w:r>
                </w:p>
              </w:tc>
            </w:tr>
            <w:tr w:rsidR="007C66F7" w:rsidRPr="007C66F7">
              <w:trPr>
                <w:trHeight w:val="226"/>
              </w:trPr>
              <w:tc>
                <w:tcPr>
                  <w:tcW w:w="540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Cost psihopedagog PP (milioane lei)</w:t>
                  </w:r>
                </w:p>
              </w:tc>
              <w:tc>
                <w:tcPr>
                  <w:tcW w:w="205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115,306</w:t>
                  </w:r>
                </w:p>
              </w:tc>
              <w:tc>
                <w:tcPr>
                  <w:tcW w:w="18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803,840</w:t>
                  </w:r>
                </w:p>
              </w:tc>
            </w:tr>
            <w:tr w:rsidR="007C66F7" w:rsidRPr="007C66F7" w:rsidTr="003C4CF0">
              <w:trPr>
                <w:trHeight w:val="226"/>
              </w:trPr>
              <w:tc>
                <w:tcPr>
                  <w:tcW w:w="5400" w:type="dxa"/>
                  <w:tcBorders>
                    <w:top w:val="single" w:sz="5" w:space="0" w:color="000000"/>
                    <w:left w:val="single" w:sz="5" w:space="0" w:color="000000"/>
                    <w:bottom w:val="single" w:sz="4" w:space="0" w:color="auto"/>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Cost Personal brut  (milioane lei)</w:t>
                  </w:r>
                </w:p>
              </w:tc>
              <w:tc>
                <w:tcPr>
                  <w:tcW w:w="2055" w:type="dxa"/>
                  <w:tcBorders>
                    <w:top w:val="single" w:sz="5" w:space="0" w:color="000000"/>
                    <w:left w:val="single" w:sz="5" w:space="0" w:color="000000"/>
                    <w:bottom w:val="single" w:sz="4" w:space="0" w:color="auto"/>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462,027</w:t>
                  </w:r>
                </w:p>
              </w:tc>
              <w:tc>
                <w:tcPr>
                  <w:tcW w:w="1815" w:type="dxa"/>
                  <w:tcBorders>
                    <w:top w:val="single" w:sz="5" w:space="0" w:color="000000"/>
                    <w:left w:val="single" w:sz="5" w:space="0" w:color="000000"/>
                    <w:bottom w:val="single" w:sz="4" w:space="0" w:color="auto"/>
                    <w:right w:val="single" w:sz="5" w:space="0" w:color="000000"/>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 </w:t>
                  </w:r>
                </w:p>
              </w:tc>
            </w:tr>
            <w:tr w:rsidR="007C66F7" w:rsidRPr="007C66F7" w:rsidTr="003C4CF0">
              <w:trPr>
                <w:trHeight w:val="226"/>
              </w:trPr>
              <w:tc>
                <w:tcPr>
                  <w:tcW w:w="54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Cost CREI</w:t>
                  </w:r>
                </w:p>
              </w:tc>
              <w:tc>
                <w:tcPr>
                  <w:tcW w:w="205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51,622</w:t>
                  </w:r>
                </w:p>
              </w:tc>
              <w:tc>
                <w:tcPr>
                  <w:tcW w:w="181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3107BC" w:rsidRPr="007C66F7" w:rsidRDefault="00524495" w:rsidP="0068592A">
                  <w:pPr>
                    <w:tabs>
                      <w:tab w:val="left" w:pos="993"/>
                    </w:tabs>
                    <w:spacing w:after="0"/>
                    <w:rPr>
                      <w:sz w:val="24"/>
                      <w:szCs w:val="24"/>
                    </w:rPr>
                  </w:pPr>
                  <w:r w:rsidRPr="007C66F7">
                    <w:rPr>
                      <w:sz w:val="24"/>
                      <w:szCs w:val="24"/>
                    </w:rPr>
                    <w:t xml:space="preserve"> </w:t>
                  </w:r>
                </w:p>
              </w:tc>
            </w:tr>
            <w:tr w:rsidR="003C4CF0" w:rsidRPr="007C66F7" w:rsidTr="003C4CF0">
              <w:trPr>
                <w:trHeight w:val="226"/>
              </w:trPr>
              <w:tc>
                <w:tcPr>
                  <w:tcW w:w="5400" w:type="dxa"/>
                  <w:tcBorders>
                    <w:top w:val="single" w:sz="4" w:space="0" w:color="auto"/>
                    <w:left w:val="nil"/>
                    <w:bottom w:val="nil"/>
                    <w:right w:val="nil"/>
                  </w:tcBorders>
                  <w:tcMar>
                    <w:top w:w="0" w:type="dxa"/>
                    <w:left w:w="0" w:type="dxa"/>
                    <w:bottom w:w="0" w:type="dxa"/>
                    <w:right w:w="0" w:type="dxa"/>
                  </w:tcMar>
                </w:tcPr>
                <w:p w:rsidR="003C4CF0" w:rsidRPr="00251CDB" w:rsidRDefault="003C4CF0" w:rsidP="0068592A">
                  <w:pPr>
                    <w:tabs>
                      <w:tab w:val="left" w:pos="993"/>
                    </w:tabs>
                    <w:spacing w:after="0"/>
                    <w:rPr>
                      <w:sz w:val="16"/>
                      <w:szCs w:val="24"/>
                    </w:rPr>
                  </w:pPr>
                </w:p>
              </w:tc>
              <w:tc>
                <w:tcPr>
                  <w:tcW w:w="2055" w:type="dxa"/>
                  <w:tcBorders>
                    <w:top w:val="single" w:sz="4" w:space="0" w:color="auto"/>
                    <w:left w:val="nil"/>
                    <w:bottom w:val="nil"/>
                    <w:right w:val="nil"/>
                  </w:tcBorders>
                  <w:tcMar>
                    <w:top w:w="0" w:type="dxa"/>
                    <w:left w:w="0" w:type="dxa"/>
                    <w:bottom w:w="0" w:type="dxa"/>
                    <w:right w:w="0" w:type="dxa"/>
                  </w:tcMar>
                </w:tcPr>
                <w:p w:rsidR="003C4CF0" w:rsidRPr="007C66F7" w:rsidRDefault="003C4CF0" w:rsidP="0068592A">
                  <w:pPr>
                    <w:tabs>
                      <w:tab w:val="left" w:pos="993"/>
                    </w:tabs>
                    <w:spacing w:after="0"/>
                    <w:rPr>
                      <w:sz w:val="24"/>
                      <w:szCs w:val="24"/>
                    </w:rPr>
                  </w:pPr>
                </w:p>
              </w:tc>
              <w:tc>
                <w:tcPr>
                  <w:tcW w:w="1815" w:type="dxa"/>
                  <w:tcBorders>
                    <w:top w:val="single" w:sz="4" w:space="0" w:color="auto"/>
                    <w:left w:val="nil"/>
                    <w:bottom w:val="nil"/>
                    <w:right w:val="nil"/>
                  </w:tcBorders>
                  <w:tcMar>
                    <w:top w:w="0" w:type="dxa"/>
                    <w:left w:w="0" w:type="dxa"/>
                    <w:bottom w:w="0" w:type="dxa"/>
                    <w:right w:w="0" w:type="dxa"/>
                  </w:tcMar>
                </w:tcPr>
                <w:p w:rsidR="003C4CF0" w:rsidRPr="007C66F7" w:rsidRDefault="003C4CF0" w:rsidP="0068592A">
                  <w:pPr>
                    <w:tabs>
                      <w:tab w:val="left" w:pos="993"/>
                    </w:tabs>
                    <w:spacing w:after="0"/>
                    <w:rPr>
                      <w:sz w:val="24"/>
                      <w:szCs w:val="24"/>
                    </w:rPr>
                  </w:pPr>
                </w:p>
              </w:tc>
            </w:tr>
          </w:tbl>
          <w:p w:rsidR="003107BC" w:rsidRPr="007C66F7" w:rsidRDefault="003107BC" w:rsidP="0068592A">
            <w:pPr>
              <w:tabs>
                <w:tab w:val="left" w:pos="993"/>
              </w:tabs>
              <w:rPr>
                <w:sz w:val="24"/>
                <w:szCs w:val="24"/>
              </w:rPr>
            </w:pP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4.3. Impactul asupra sectorului privat</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Nu este aplicabil</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4.4. Impactul social</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Proiectul hotărârii are un impact social pozitiv, întrucât asigură implementarea unitară a modificărilor operate în Codul educației prin armonizarea cadrului normativ secundar privind finanțarea instituțiilor publice de învățământ general.</w:t>
            </w:r>
          </w:p>
          <w:p w:rsidR="003107BC" w:rsidRPr="007C66F7" w:rsidRDefault="00524495" w:rsidP="0068592A">
            <w:pPr>
              <w:tabs>
                <w:tab w:val="left" w:pos="993"/>
              </w:tabs>
              <w:spacing w:after="0"/>
              <w:ind w:firstLine="560"/>
              <w:jc w:val="both"/>
              <w:rPr>
                <w:sz w:val="24"/>
                <w:szCs w:val="24"/>
              </w:rPr>
            </w:pPr>
            <w:r w:rsidRPr="007C66F7">
              <w:rPr>
                <w:sz w:val="24"/>
                <w:szCs w:val="24"/>
              </w:rPr>
              <w:t>Ajustarea metodologiei de finanțare la noul model de organizare și administrare a sistemului de învățământ va contribui la asigurarea unui mecanism clar și predictibil de alocare și administrare a resurselor financiare, necesare funcționării instituțiilor publice de învățământ general.</w:t>
            </w:r>
          </w:p>
          <w:p w:rsidR="003107BC" w:rsidRPr="007C66F7" w:rsidRDefault="00524495" w:rsidP="0068592A">
            <w:pPr>
              <w:tabs>
                <w:tab w:val="left" w:pos="993"/>
              </w:tabs>
              <w:spacing w:after="0"/>
              <w:ind w:firstLine="560"/>
              <w:jc w:val="both"/>
              <w:rPr>
                <w:sz w:val="24"/>
                <w:szCs w:val="24"/>
              </w:rPr>
            </w:pPr>
            <w:r w:rsidRPr="007C66F7">
              <w:rPr>
                <w:sz w:val="24"/>
                <w:szCs w:val="24"/>
              </w:rPr>
              <w:t>Implementarea proiectului va crea premise pentru utilizarea eficientă și transparentă a resurselor publice destinate educației, consolidarea capacității instituționale a autorităților responsabile de administrarea sistemului de învățământ și aplicarea uniformă a cadrului normativ pe întreg teritoriul țării.</w:t>
            </w:r>
          </w:p>
          <w:p w:rsidR="003107BC" w:rsidRPr="007C66F7" w:rsidRDefault="00524495" w:rsidP="0068592A">
            <w:pPr>
              <w:tabs>
                <w:tab w:val="left" w:pos="993"/>
              </w:tabs>
              <w:spacing w:after="0"/>
              <w:ind w:firstLine="560"/>
              <w:jc w:val="both"/>
              <w:rPr>
                <w:sz w:val="24"/>
                <w:szCs w:val="24"/>
              </w:rPr>
            </w:pPr>
            <w:r w:rsidRPr="007C66F7">
              <w:rPr>
                <w:sz w:val="24"/>
                <w:szCs w:val="24"/>
              </w:rPr>
              <w:t>Totodată, prin asigurarea unui mecanism de finanțare adaptat noii structuri instituționale, proiectul contribuie indirect la sporirea calității serviciilor educaționale și la crearea condițiilor necesare pentru accesul echitabil al elevilor la servicii educaționale de calitate.</w:t>
            </w:r>
          </w:p>
          <w:p w:rsidR="003107BC" w:rsidRPr="007C66F7" w:rsidRDefault="00524495" w:rsidP="0068592A">
            <w:pPr>
              <w:tabs>
                <w:tab w:val="left" w:pos="993"/>
              </w:tabs>
              <w:spacing w:after="0"/>
              <w:ind w:firstLine="560"/>
              <w:jc w:val="both"/>
              <w:rPr>
                <w:sz w:val="24"/>
                <w:szCs w:val="24"/>
              </w:rPr>
            </w:pPr>
            <w:r w:rsidRPr="007C66F7">
              <w:rPr>
                <w:sz w:val="24"/>
                <w:szCs w:val="24"/>
              </w:rPr>
              <w:t>Prin asigurarea unui mecanism de finanțare coerent și adaptat noii structuri de administrare a învățământului general, proiectul sprijină implementarea politicilor publice orientate spre creșterea calității educației, eficientizarea utilizării resurselor publice și reducerea disparităților în accesul la servicii educaționale</w:t>
            </w:r>
          </w:p>
          <w:p w:rsidR="003107BC" w:rsidRPr="007C66F7" w:rsidRDefault="00524495" w:rsidP="0068592A">
            <w:pPr>
              <w:tabs>
                <w:tab w:val="left" w:pos="993"/>
              </w:tabs>
              <w:spacing w:after="0"/>
              <w:ind w:firstLine="560"/>
              <w:jc w:val="both"/>
              <w:rPr>
                <w:sz w:val="24"/>
                <w:szCs w:val="24"/>
              </w:rPr>
            </w:pPr>
            <w:r w:rsidRPr="007C66F7">
              <w:rPr>
                <w:sz w:val="24"/>
                <w:szCs w:val="24"/>
              </w:rPr>
              <w:t>Pentru protejarea beneficiarilor se vor institui o perioadă de tranziție, un plafon anual al reducerii, o alocație minimă pentru serviciile deja acordate, finanțare minimă pentru CREI și o procedură de corectare/contestare a datelor. Monitorizarea va urmări accesul efectiv la servicii, raportul beneficiari/necesar, timpul de așteptare, posturile vacante și disparitățile teritoriale, nu numai execuția financiară.</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4.4.1. Impactul asupra datelor cu caracter personal</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lastRenderedPageBreak/>
              <w:t>Aplicarea mecanismului prevăzut în anexa nr. 3 presupune prelucrarea datelor privind numărul elevilor cu cerințe educaționale speciale, categoria deficienței și gradul de dizabilitate, care sunt date privind sănătatea. Prelucrarea se realizează în vederea executării unei obligații legale și a unei sarcini de interes public, în condițiile Legii nr. 195/2024 privind protecția datelor cu caracter personal.</w:t>
            </w:r>
          </w:p>
          <w:p w:rsidR="003107BC" w:rsidRPr="007C66F7" w:rsidRDefault="00524495" w:rsidP="0068592A">
            <w:pPr>
              <w:tabs>
                <w:tab w:val="left" w:pos="993"/>
              </w:tabs>
              <w:spacing w:after="0"/>
              <w:ind w:firstLine="560"/>
              <w:jc w:val="both"/>
              <w:rPr>
                <w:sz w:val="24"/>
                <w:szCs w:val="24"/>
              </w:rPr>
            </w:pPr>
            <w:r w:rsidRPr="007C66F7">
              <w:rPr>
                <w:sz w:val="24"/>
                <w:szCs w:val="24"/>
              </w:rPr>
              <w:t>Calculul alocațiilor se efectuează pe baza datelor agregate la nivel de instituție, fără transmiterea datelor de identificare ale elevilor către Ministerul Educației și Cercetării sau către Ministerul Finanțelor. Datele individuale rămân la nivelul instituției de învățământ și al structurii teritoriale de asistență psihopedagogică.</w:t>
            </w:r>
          </w:p>
          <w:p w:rsidR="003107BC" w:rsidRPr="007C66F7" w:rsidRDefault="00524495" w:rsidP="0068592A">
            <w:pPr>
              <w:tabs>
                <w:tab w:val="left" w:pos="993"/>
              </w:tabs>
              <w:spacing w:after="0"/>
              <w:ind w:firstLine="560"/>
              <w:jc w:val="both"/>
              <w:rPr>
                <w:sz w:val="24"/>
                <w:szCs w:val="24"/>
              </w:rPr>
            </w:pPr>
            <w:r w:rsidRPr="007C66F7">
              <w:rPr>
                <w:sz w:val="24"/>
                <w:szCs w:val="24"/>
              </w:rPr>
              <w:t>La configurarea formularelor din Sistemul informațional de management în educație se vor asigura limitarea accesului la nivelul strict necesar calculului și raportării, înregistrarea operațiunilor de acces și păstrarea datelor pe durata necesară exercițiului bugetar și controlului executării acestuia.</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4.4.2. Impactul asupra echității și egalității de gen</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Din perspectiva egalității de gen, proiectul este neutru: mecanismul de finanțare nu operează cu criterii legate de gen și nu produce efecte diferențiate asupra femeilor și bărbaților.</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4.5. Impactul asupra mediului</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Nu este aplicabil</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4.6. Alte impacturi și informații relevante</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Nu este aplicabil</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BFBFBF"/>
            <w:tcMar>
              <w:top w:w="0" w:type="dxa"/>
              <w:bottom w:w="0" w:type="dxa"/>
            </w:tcMar>
          </w:tcPr>
          <w:p w:rsidR="003107BC" w:rsidRPr="007C66F7" w:rsidRDefault="00524495" w:rsidP="0068592A">
            <w:pPr>
              <w:tabs>
                <w:tab w:val="left" w:pos="993"/>
              </w:tabs>
              <w:spacing w:after="0"/>
              <w:jc w:val="both"/>
              <w:rPr>
                <w:b/>
                <w:bCs/>
                <w:sz w:val="24"/>
                <w:szCs w:val="24"/>
              </w:rPr>
            </w:pPr>
            <w:r w:rsidRPr="007C66F7">
              <w:rPr>
                <w:b/>
                <w:bCs/>
                <w:sz w:val="24"/>
                <w:szCs w:val="24"/>
              </w:rPr>
              <w:t>5. Compatibilitatea proiectului actului normativ cu legislația UE</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5.1. Măsuri normative necesare pentru transpunerea actelor juridice ale UE în legislația națională</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Proiectul Hotărârii Guvernului promovat, nu are ca scop armonizarea legislației naționale cu legislația Uniunii Europene.</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EDEDED"/>
            <w:tcMar>
              <w:top w:w="0" w:type="dxa"/>
              <w:bottom w:w="0" w:type="dxa"/>
            </w:tcMar>
          </w:tcPr>
          <w:p w:rsidR="003107BC" w:rsidRPr="007C66F7" w:rsidRDefault="00524495" w:rsidP="0068592A">
            <w:pPr>
              <w:tabs>
                <w:tab w:val="left" w:pos="993"/>
              </w:tabs>
              <w:spacing w:after="0"/>
              <w:jc w:val="both"/>
              <w:rPr>
                <w:sz w:val="24"/>
                <w:szCs w:val="24"/>
              </w:rPr>
            </w:pPr>
            <w:r w:rsidRPr="007C66F7">
              <w:rPr>
                <w:sz w:val="24"/>
                <w:szCs w:val="24"/>
              </w:rPr>
              <w:t>5.2. Măsuri normative care urmăresc crearea cadrului juridic intern necesar pentru implementarea legislației UE</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Proiectul de hotărâre a Guvernului nu conține norme privind armonizarea legislației naționale cu legislația Uniunii Europene.</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BFBFBF"/>
            <w:tcMar>
              <w:top w:w="0" w:type="dxa"/>
              <w:bottom w:w="0" w:type="dxa"/>
            </w:tcMar>
          </w:tcPr>
          <w:p w:rsidR="003107BC" w:rsidRPr="007C66F7" w:rsidRDefault="00524495" w:rsidP="0068592A">
            <w:pPr>
              <w:tabs>
                <w:tab w:val="left" w:pos="993"/>
              </w:tabs>
              <w:spacing w:after="0"/>
              <w:jc w:val="both"/>
              <w:rPr>
                <w:b/>
                <w:bCs/>
                <w:sz w:val="24"/>
                <w:szCs w:val="24"/>
              </w:rPr>
            </w:pPr>
            <w:r w:rsidRPr="007C66F7">
              <w:rPr>
                <w:b/>
                <w:bCs/>
                <w:sz w:val="24"/>
                <w:szCs w:val="24"/>
              </w:rPr>
              <w:t>6. Avizarea și consultarea publică a proiectului actului normativ</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 xml:space="preserve">Anunțul de inițiere este publicat la adresa: </w:t>
            </w:r>
            <w:r w:rsidR="00EE4A9B" w:rsidRPr="00EE4A9B">
              <w:rPr>
                <w:color w:val="1155CC"/>
                <w:sz w:val="24"/>
                <w:szCs w:val="24"/>
                <w:u w:val="single"/>
              </w:rPr>
              <w:t>https://particip.gov.md/ro/document/stages/proiectul-hotararii-guvernului-pentru-modificarea-unor-hotarari-de-guvern-hg-8682014-si-hg-637202/18203</w:t>
            </w:r>
          </w:p>
          <w:p w:rsidR="003107BC" w:rsidRPr="007C66F7" w:rsidRDefault="00524495" w:rsidP="0068592A">
            <w:pPr>
              <w:tabs>
                <w:tab w:val="left" w:pos="993"/>
              </w:tabs>
              <w:spacing w:after="0"/>
              <w:ind w:firstLine="560"/>
              <w:jc w:val="both"/>
              <w:rPr>
                <w:sz w:val="24"/>
                <w:szCs w:val="24"/>
              </w:rPr>
            </w:pPr>
            <w:r w:rsidRPr="007C66F7">
              <w:rPr>
                <w:sz w:val="24"/>
                <w:szCs w:val="24"/>
              </w:rPr>
              <w:t>Proiectul a fost transmis spre avizare autorităților interesate. Au fost recepționate: avizul Ministerului Finanțelor nr. 07/1-03/116/1532, prin care se comunică poziția exprimată prin demersul nr. 07/1-17/88 din 16 septembrie 2026; avizul Ministerului Muncii și Protecției Sociale nr. 11/5227 din 25 septembrie 2026; propunerile Direcției Învățământ Tineret și Sport Rezina nr. 387 din 23 septembrie 2026, prin care se comunică lipsa obiecțiilor la prezentul proiect.</w:t>
            </w:r>
          </w:p>
          <w:p w:rsidR="009711D2" w:rsidRPr="007C66F7" w:rsidRDefault="00524495" w:rsidP="00EB2CA9">
            <w:pPr>
              <w:tabs>
                <w:tab w:val="left" w:pos="993"/>
              </w:tabs>
              <w:spacing w:after="0"/>
              <w:ind w:firstLine="560"/>
              <w:jc w:val="both"/>
              <w:rPr>
                <w:sz w:val="24"/>
                <w:szCs w:val="24"/>
              </w:rPr>
            </w:pPr>
            <w:r w:rsidRPr="007C66F7">
              <w:rPr>
                <w:sz w:val="24"/>
                <w:szCs w:val="24"/>
              </w:rPr>
              <w:t>Obiecțiile și propunerile formulate, precum și argumentarea autorului cu privire la fiecare dintre acestea, sunt reflectate în sinteza obiecțiilor și propunerilor, întocmită conform Modelului 1 din anexa la Legea nr. 100/2017 și anexată proiectului.</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BFBFBF"/>
            <w:tcMar>
              <w:top w:w="0" w:type="dxa"/>
              <w:bottom w:w="0" w:type="dxa"/>
            </w:tcMar>
          </w:tcPr>
          <w:p w:rsidR="003107BC" w:rsidRPr="007C66F7" w:rsidRDefault="00524495" w:rsidP="0068592A">
            <w:pPr>
              <w:tabs>
                <w:tab w:val="left" w:pos="993"/>
              </w:tabs>
              <w:spacing w:after="0"/>
              <w:jc w:val="both"/>
              <w:rPr>
                <w:b/>
                <w:bCs/>
                <w:sz w:val="24"/>
                <w:szCs w:val="24"/>
              </w:rPr>
            </w:pPr>
            <w:r w:rsidRPr="007C66F7">
              <w:rPr>
                <w:b/>
                <w:bCs/>
                <w:sz w:val="24"/>
                <w:szCs w:val="24"/>
              </w:rPr>
              <w:t>7. Concluziile expertizelor</w:t>
            </w:r>
          </w:p>
        </w:tc>
      </w:tr>
      <w:tr w:rsidR="003107BC" w:rsidRPr="007C66F7" w:rsidTr="00EE4A9B">
        <w:trPr>
          <w:trHeight w:val="70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Proiectul urmează a fi supus expertizei anticorupție, în conformitate cu art. 36 din Legea nr. 100/2017, și expertizei juridice, în conformitate cu art. 37 din aceeași lege. Rezultatele expertizelor vor fi reflectate în sinteza obiecțiilor și propunerilor.</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BFBFBF"/>
            <w:tcMar>
              <w:top w:w="0" w:type="dxa"/>
              <w:bottom w:w="0" w:type="dxa"/>
            </w:tcMar>
          </w:tcPr>
          <w:p w:rsidR="003107BC" w:rsidRPr="007C66F7" w:rsidRDefault="00524495" w:rsidP="0068592A">
            <w:pPr>
              <w:tabs>
                <w:tab w:val="left" w:pos="993"/>
              </w:tabs>
              <w:spacing w:after="0"/>
              <w:jc w:val="both"/>
              <w:rPr>
                <w:b/>
                <w:bCs/>
                <w:sz w:val="24"/>
                <w:szCs w:val="24"/>
              </w:rPr>
            </w:pPr>
            <w:r w:rsidRPr="007C66F7">
              <w:rPr>
                <w:b/>
                <w:bCs/>
                <w:sz w:val="24"/>
                <w:szCs w:val="24"/>
              </w:rPr>
              <w:t>8. Modul de încorporare a actului în cadrul normativ existent</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Proiectul prevede, prin punctul 2, modificarea Hotărârii Guvernului nr. 637/2025 cu privire la aprobarea Metodologiei de finanțare în bază de cost standard a învățământului preșcolar în instituțiile publice de învățământ preșcolar și de învățământ general cu programe de diferite niveluri sau programe integrate din subordinea autorităților publice locale de nivelul întâi și al doilea.</w:t>
            </w:r>
          </w:p>
          <w:p w:rsidR="003107BC" w:rsidRPr="007C66F7" w:rsidRDefault="00524495" w:rsidP="0068592A">
            <w:pPr>
              <w:tabs>
                <w:tab w:val="left" w:pos="993"/>
              </w:tabs>
              <w:spacing w:after="0"/>
              <w:ind w:firstLine="560"/>
              <w:jc w:val="both"/>
              <w:rPr>
                <w:sz w:val="24"/>
                <w:szCs w:val="24"/>
              </w:rPr>
            </w:pPr>
            <w:r w:rsidRPr="007C66F7">
              <w:rPr>
                <w:sz w:val="24"/>
                <w:szCs w:val="24"/>
              </w:rPr>
              <w:t xml:space="preserve">Implementarea necesită, pe lângă modificarea hotărârilor vizate, ordinul ministrului prevăzut la pct. 7 din anexa nr. 3, cu valorile și mecanismul de actualizare pentru F, </w:t>
            </w:r>
            <w:proofErr w:type="spellStart"/>
            <w:r w:rsidRPr="007C66F7">
              <w:rPr>
                <w:sz w:val="24"/>
                <w:szCs w:val="24"/>
              </w:rPr>
              <w:t>Sces</w:t>
            </w:r>
            <w:proofErr w:type="spellEnd"/>
            <w:r w:rsidRPr="007C66F7">
              <w:rPr>
                <w:sz w:val="24"/>
                <w:szCs w:val="24"/>
              </w:rPr>
              <w:t xml:space="preserve"> și </w:t>
            </w:r>
            <w:proofErr w:type="spellStart"/>
            <w:r w:rsidRPr="007C66F7">
              <w:rPr>
                <w:sz w:val="24"/>
                <w:szCs w:val="24"/>
              </w:rPr>
              <w:t>Ssev</w:t>
            </w:r>
            <w:proofErr w:type="spellEnd"/>
            <w:r w:rsidRPr="007C66F7">
              <w:rPr>
                <w:sz w:val="24"/>
                <w:szCs w:val="24"/>
              </w:rPr>
              <w:t>, precum și instrucțiuni privind data de referință, rotunjirea normelor, cumulul dizabilităților, maparea categoriilor care nu apar expres în tabele, tratarea datelor lipsă, validarea și contestarea calculelor. Se vor actualiza formularele și nomenclatoarele din sistemele informaționale și se va verifica forma consolidată a Hotărârii Guvernului nr. 868/2014, inclusiv numerotarea unică a punctelor și formulelor.</w:t>
            </w:r>
          </w:p>
          <w:p w:rsidR="003107BC" w:rsidRPr="007C66F7" w:rsidRDefault="00524495" w:rsidP="0068592A">
            <w:pPr>
              <w:tabs>
                <w:tab w:val="left" w:pos="993"/>
              </w:tabs>
              <w:spacing w:after="0"/>
              <w:ind w:firstLine="560"/>
              <w:jc w:val="both"/>
              <w:rPr>
                <w:sz w:val="24"/>
                <w:szCs w:val="24"/>
              </w:rPr>
            </w:pPr>
            <w:r w:rsidRPr="007C66F7">
              <w:rPr>
                <w:sz w:val="24"/>
                <w:szCs w:val="24"/>
              </w:rPr>
              <w:lastRenderedPageBreak/>
              <w:t>Hotărârea Guvernului nr. 868/2014 și Hotărârea Guvernului nr. 637/2025 rămân în vigoare în redacția modificată prin prezentul proiect. Nu sunt necesare abrogări exprese ale altor acte normative.</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shd w:val="clear" w:color="auto" w:fill="BFBFBF"/>
            <w:tcMar>
              <w:top w:w="0" w:type="dxa"/>
              <w:bottom w:w="0" w:type="dxa"/>
            </w:tcMar>
          </w:tcPr>
          <w:p w:rsidR="003107BC" w:rsidRPr="007C66F7" w:rsidRDefault="00524495" w:rsidP="0068592A">
            <w:pPr>
              <w:tabs>
                <w:tab w:val="left" w:pos="993"/>
              </w:tabs>
              <w:spacing w:after="0"/>
              <w:jc w:val="both"/>
              <w:rPr>
                <w:b/>
                <w:bCs/>
                <w:sz w:val="24"/>
                <w:szCs w:val="24"/>
              </w:rPr>
            </w:pPr>
            <w:r w:rsidRPr="007C66F7">
              <w:rPr>
                <w:b/>
                <w:bCs/>
                <w:sz w:val="24"/>
                <w:szCs w:val="24"/>
              </w:rPr>
              <w:lastRenderedPageBreak/>
              <w:t>9. Măsurile necesare pentru implementarea prevederilor proiectului actului normativ</w:t>
            </w:r>
          </w:p>
        </w:tc>
      </w:tr>
      <w:tr w:rsidR="003107BC" w:rsidRPr="007C66F7" w:rsidTr="00DA5A94">
        <w:trPr>
          <w:trHeight w:val="56"/>
          <w:jc w:val="center"/>
        </w:trPr>
        <w:tc>
          <w:tcPr>
            <w:tcW w:w="9921" w:type="dxa"/>
            <w:tcBorders>
              <w:top w:val="single" w:sz="5" w:space="0" w:color="000000"/>
              <w:left w:val="single" w:sz="5" w:space="0" w:color="000000"/>
              <w:bottom w:val="single" w:sz="5" w:space="0" w:color="000000"/>
              <w:right w:val="single" w:sz="5" w:space="0" w:color="000000"/>
            </w:tcBorders>
            <w:tcMar>
              <w:top w:w="0" w:type="dxa"/>
              <w:bottom w:w="0" w:type="dxa"/>
            </w:tcMar>
          </w:tcPr>
          <w:p w:rsidR="003107BC" w:rsidRPr="007C66F7" w:rsidRDefault="00524495" w:rsidP="0068592A">
            <w:pPr>
              <w:tabs>
                <w:tab w:val="left" w:pos="993"/>
              </w:tabs>
              <w:spacing w:after="0"/>
              <w:ind w:firstLine="560"/>
              <w:jc w:val="both"/>
              <w:rPr>
                <w:sz w:val="24"/>
                <w:szCs w:val="24"/>
              </w:rPr>
            </w:pPr>
            <w:r w:rsidRPr="007C66F7">
              <w:rPr>
                <w:sz w:val="24"/>
                <w:szCs w:val="24"/>
              </w:rPr>
              <w:t>Aprobarea proiectului implică măsuri pregătitoare obligatorii: validarea datelor pe fiecare instituție; corectarea și auditarea simulării; aprobarea parametrilor financiari și a instrucțiunilor; rularea unei alocări de test; comunicarea rezultatelor și soluționarea contestațiilor; stabilirea regulilor de tranziție; configurarea sistemelor informaționale; instruirea autorităților și instituțiilor; și publicarea metodologiei de calcul înainte de elaborarea bugetului pentru anul 2027.</w:t>
            </w:r>
          </w:p>
          <w:p w:rsidR="003107BC" w:rsidRPr="007C66F7" w:rsidRDefault="00524495" w:rsidP="0068592A">
            <w:pPr>
              <w:tabs>
                <w:tab w:val="left" w:pos="993"/>
              </w:tabs>
              <w:spacing w:after="0"/>
              <w:ind w:firstLine="560"/>
              <w:jc w:val="both"/>
              <w:rPr>
                <w:sz w:val="24"/>
                <w:szCs w:val="24"/>
              </w:rPr>
            </w:pPr>
            <w:r w:rsidRPr="007C66F7">
              <w:rPr>
                <w:sz w:val="24"/>
                <w:szCs w:val="24"/>
              </w:rPr>
              <w:t>Implementarea proiectului va fi asigurată de Ministerul Educației și Cercetării, de agențiile teritoriale pentru educație/autoritățile administrației publice locale de nivelul al doilea, de serviciile teritoriale de asistență psihopedagogică și de instituțiile de învățământ, în limitele competențelor stabilite de Hotărârea Guvernului nr. 868/2014 și de prezentul proiect.</w:t>
            </w:r>
          </w:p>
          <w:p w:rsidR="003107BC" w:rsidRPr="007C66F7" w:rsidRDefault="00524495" w:rsidP="0068592A">
            <w:pPr>
              <w:tabs>
                <w:tab w:val="left" w:pos="993"/>
              </w:tabs>
              <w:spacing w:after="0"/>
              <w:ind w:firstLine="560"/>
              <w:jc w:val="both"/>
              <w:rPr>
                <w:sz w:val="24"/>
                <w:szCs w:val="24"/>
              </w:rPr>
            </w:pPr>
            <w:r w:rsidRPr="007C66F7">
              <w:rPr>
                <w:sz w:val="24"/>
                <w:szCs w:val="24"/>
              </w:rPr>
              <w:t>Pentru punerea în aplicare a prevederilor proiectului urmează a fi aprobat ordinul ministrului educației și cercetării prevăzut la pct. 7 din anexa nr. 3, iar Ministerul Educației și Cercetării va acorda suportul metodologic necesar și va ajusta, după caz, formularele de raportare din Sistemul informațional de management în educație.</w:t>
            </w:r>
          </w:p>
          <w:p w:rsidR="003107BC" w:rsidRPr="007C66F7" w:rsidRDefault="00524495" w:rsidP="0068592A">
            <w:pPr>
              <w:tabs>
                <w:tab w:val="left" w:pos="993"/>
              </w:tabs>
              <w:spacing w:after="0"/>
              <w:ind w:firstLine="560"/>
              <w:jc w:val="both"/>
              <w:rPr>
                <w:sz w:val="24"/>
                <w:szCs w:val="24"/>
              </w:rPr>
            </w:pPr>
            <w:r w:rsidRPr="007C66F7">
              <w:rPr>
                <w:sz w:val="24"/>
                <w:szCs w:val="24"/>
              </w:rPr>
              <w:t>Monitorizarea utilizării mijloacelor financiare din componenta pentru educație incluzivă se va realiza de agențiile teritoriale pentru educație/organele locale de specialitate în domeniul învățământului și de serviciile teritoriale de asistență psihopedagogică, cu informarea Ministerului Educației și Cercetării.</w:t>
            </w:r>
          </w:p>
          <w:p w:rsidR="003107BC" w:rsidRPr="007C66F7" w:rsidRDefault="00524495" w:rsidP="0068592A">
            <w:pPr>
              <w:tabs>
                <w:tab w:val="left" w:pos="993"/>
              </w:tabs>
              <w:spacing w:after="0"/>
              <w:ind w:firstLine="560"/>
              <w:jc w:val="both"/>
              <w:rPr>
                <w:sz w:val="24"/>
                <w:szCs w:val="24"/>
              </w:rPr>
            </w:pPr>
            <w:r w:rsidRPr="007C66F7">
              <w:rPr>
                <w:sz w:val="24"/>
                <w:szCs w:val="24"/>
              </w:rPr>
              <w:t>Performanța actului va fi măsurată anual prin: componenta disponibilă și necesarul brut; rata de acoperire și factorul de ajustare; execuția CP și CR; unitățile aprobate, ocupate și vacante pe specialitate; numărul CREI finanțate; raportul beneficiari/necesar și timpul de acces la servicii; numărul instituțiilor care câștigă, pierd sau rămân neutre și amplitudinea variației; precum și corecțiile de date și contestațiile soluționate. După primul an se va realiza o evaluare formală și, dacă rata de acoperire rămâne sub nivelul considerat adecvat, se vor revizui plafonul, normele sau ordinea de prioritate a subcomponentelor.</w:t>
            </w:r>
          </w:p>
          <w:p w:rsidR="003107BC" w:rsidRPr="007C66F7" w:rsidRDefault="00524495" w:rsidP="0068592A">
            <w:pPr>
              <w:tabs>
                <w:tab w:val="left" w:pos="993"/>
              </w:tabs>
              <w:spacing w:after="0"/>
              <w:ind w:firstLine="560"/>
              <w:jc w:val="both"/>
              <w:rPr>
                <w:sz w:val="24"/>
                <w:szCs w:val="24"/>
              </w:rPr>
            </w:pPr>
            <w:r w:rsidRPr="007C66F7">
              <w:rPr>
                <w:sz w:val="24"/>
                <w:szCs w:val="24"/>
              </w:rPr>
              <w:t>Hotărârea intră în vigoare la 1 ianuarie 2027, termen care permite aprobarea ordinului ministrului, configurarea sistemelor informaționale și instruirea autorităților și instituțiilor implicate înainte de prima aplicare a metodologiei.</w:t>
            </w:r>
          </w:p>
        </w:tc>
      </w:tr>
    </w:tbl>
    <w:p w:rsidR="003107BC" w:rsidRPr="007C66F7" w:rsidRDefault="00524495" w:rsidP="0068592A">
      <w:pPr>
        <w:tabs>
          <w:tab w:val="left" w:pos="993"/>
        </w:tabs>
        <w:rPr>
          <w:sz w:val="24"/>
          <w:szCs w:val="24"/>
        </w:rPr>
      </w:pPr>
      <w:r w:rsidRPr="007C66F7">
        <w:rPr>
          <w:sz w:val="24"/>
          <w:szCs w:val="24"/>
        </w:rPr>
        <w:t xml:space="preserve"> </w:t>
      </w:r>
    </w:p>
    <w:p w:rsidR="003107BC" w:rsidRDefault="00524495" w:rsidP="0068592A">
      <w:pPr>
        <w:tabs>
          <w:tab w:val="left" w:pos="993"/>
        </w:tabs>
        <w:spacing w:before="240" w:after="0"/>
        <w:jc w:val="center"/>
        <w:rPr>
          <w:b/>
          <w:bCs/>
          <w:sz w:val="24"/>
          <w:szCs w:val="24"/>
        </w:rPr>
      </w:pPr>
      <w:r w:rsidRPr="007C66F7">
        <w:rPr>
          <w:b/>
          <w:bCs/>
          <w:sz w:val="24"/>
          <w:szCs w:val="24"/>
        </w:rPr>
        <w:t xml:space="preserve">MINISTRU                                                            </w:t>
      </w:r>
      <w:r w:rsidRPr="007C66F7">
        <w:rPr>
          <w:b/>
          <w:bCs/>
          <w:sz w:val="24"/>
          <w:szCs w:val="24"/>
        </w:rPr>
        <w:tab/>
        <w:t>Dan PERCIUN</w:t>
      </w:r>
    </w:p>
    <w:p w:rsidR="003107BC" w:rsidRDefault="00524495" w:rsidP="0068592A">
      <w:pPr>
        <w:tabs>
          <w:tab w:val="left" w:pos="993"/>
        </w:tabs>
        <w:rPr>
          <w:sz w:val="24"/>
          <w:szCs w:val="24"/>
        </w:rPr>
      </w:pPr>
      <w:r>
        <w:rPr>
          <w:sz w:val="24"/>
          <w:szCs w:val="24"/>
        </w:rPr>
        <w:t xml:space="preserve"> </w:t>
      </w:r>
    </w:p>
    <w:p w:rsidR="003107BC" w:rsidRDefault="003107BC" w:rsidP="0068592A">
      <w:pPr>
        <w:tabs>
          <w:tab w:val="left" w:pos="993"/>
        </w:tabs>
        <w:rPr>
          <w:b/>
          <w:bCs/>
          <w:sz w:val="24"/>
          <w:szCs w:val="24"/>
        </w:rPr>
      </w:pPr>
    </w:p>
    <w:sectPr w:rsidR="003107BC">
      <w:pgSz w:w="11906" w:h="16838"/>
      <w:pgMar w:top="709" w:right="1133" w:bottom="1134"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8A00304-495D-43E8-B688-4AA2289ACE69}"/>
    <w:embedItalic r:id="rId2" w:fontKey="{2FA96085-E727-4883-AEAB-B4BCC1756A0A}"/>
  </w:font>
  <w:font w:name="Segoe UI">
    <w:panose1 w:val="020B0502040204020203"/>
    <w:charset w:val="00"/>
    <w:family w:val="swiss"/>
    <w:pitch w:val="variable"/>
    <w:sig w:usb0="E4002EFF" w:usb1="C000E47F" w:usb2="00000009" w:usb3="00000000" w:csb0="000001FF" w:csb1="00000000"/>
    <w:embedRegular r:id="rId3" w:fontKey="{840396E2-4F4E-4158-9CF7-53FC8F6014A0}"/>
  </w:font>
  <w:font w:name="Cambria">
    <w:panose1 w:val="02040503050406030204"/>
    <w:charset w:val="00"/>
    <w:family w:val="roman"/>
    <w:pitch w:val="variable"/>
    <w:sig w:usb0="E00006FF" w:usb1="420024FF" w:usb2="02000000" w:usb3="00000000" w:csb0="0000019F" w:csb1="00000000"/>
    <w:embedRegular r:id="rId4" w:fontKey="{2C2EB49D-3205-4C26-9463-3C589AC0C1B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A3530C"/>
    <w:multiLevelType w:val="multilevel"/>
    <w:tmpl w:val="8EEA1D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7BC"/>
    <w:rsid w:val="00034BEE"/>
    <w:rsid w:val="00173AB2"/>
    <w:rsid w:val="00251CDB"/>
    <w:rsid w:val="0029132E"/>
    <w:rsid w:val="003107BC"/>
    <w:rsid w:val="00314CD7"/>
    <w:rsid w:val="003C4CF0"/>
    <w:rsid w:val="003D5B76"/>
    <w:rsid w:val="00490CB9"/>
    <w:rsid w:val="00524495"/>
    <w:rsid w:val="0068592A"/>
    <w:rsid w:val="007C66F7"/>
    <w:rsid w:val="009711D2"/>
    <w:rsid w:val="009E77D9"/>
    <w:rsid w:val="00A377E3"/>
    <w:rsid w:val="00D00400"/>
    <w:rsid w:val="00DA5A94"/>
    <w:rsid w:val="00EB2CA9"/>
    <w:rsid w:val="00EC2976"/>
    <w:rsid w:val="00EE4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6836D9-4526-4A59-9F77-5AF3B80F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ro-MD"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60" w:after="80"/>
      <w:outlineLvl w:val="0"/>
    </w:pPr>
    <w:rPr>
      <w:rFonts w:ascii="Calibri" w:eastAsia="Calibri" w:hAnsi="Calibri" w:cs="Calibri"/>
      <w:color w:val="2E75B5"/>
      <w:sz w:val="40"/>
      <w:szCs w:val="40"/>
    </w:rPr>
  </w:style>
  <w:style w:type="paragraph" w:styleId="Heading2">
    <w:name w:val="heading 2"/>
    <w:basedOn w:val="Normal"/>
    <w:next w:val="Normal"/>
    <w:pPr>
      <w:keepNext/>
      <w:keepLines/>
      <w:spacing w:before="160" w:after="80"/>
      <w:outlineLvl w:val="1"/>
    </w:pPr>
    <w:rPr>
      <w:rFonts w:ascii="Calibri" w:eastAsia="Calibri" w:hAnsi="Calibri" w:cs="Calibri"/>
      <w:color w:val="2E75B5"/>
      <w:sz w:val="32"/>
      <w:szCs w:val="32"/>
    </w:rPr>
  </w:style>
  <w:style w:type="paragraph" w:styleId="Heading3">
    <w:name w:val="heading 3"/>
    <w:basedOn w:val="Normal"/>
    <w:next w:val="Normal"/>
    <w:pPr>
      <w:keepNext/>
      <w:keepLines/>
      <w:spacing w:before="160" w:after="80"/>
      <w:outlineLvl w:val="2"/>
    </w:pPr>
    <w:rPr>
      <w:rFonts w:ascii="Calibri" w:eastAsia="Calibri" w:hAnsi="Calibri" w:cs="Calibri"/>
      <w:color w:val="2E75B5"/>
    </w:rPr>
  </w:style>
  <w:style w:type="paragraph" w:styleId="Heading4">
    <w:name w:val="heading 4"/>
    <w:basedOn w:val="Normal"/>
    <w:next w:val="Normal"/>
    <w:pPr>
      <w:keepNext/>
      <w:keepLines/>
      <w:spacing w:before="80" w:after="40"/>
      <w:outlineLvl w:val="3"/>
    </w:pPr>
    <w:rPr>
      <w:rFonts w:ascii="Calibri" w:eastAsia="Calibri" w:hAnsi="Calibri" w:cs="Calibri"/>
      <w:i/>
      <w:iCs/>
      <w:color w:val="2E75B5"/>
    </w:rPr>
  </w:style>
  <w:style w:type="paragraph" w:styleId="Heading5">
    <w:name w:val="heading 5"/>
    <w:basedOn w:val="Normal"/>
    <w:next w:val="Normal"/>
    <w:pPr>
      <w:keepNext/>
      <w:keepLines/>
      <w:spacing w:before="80" w:after="40"/>
      <w:outlineLvl w:val="4"/>
    </w:pPr>
    <w:rPr>
      <w:rFonts w:ascii="Calibri" w:eastAsia="Calibri" w:hAnsi="Calibri" w:cs="Calibri"/>
      <w:color w:val="2E75B5"/>
    </w:rPr>
  </w:style>
  <w:style w:type="paragraph" w:styleId="Heading6">
    <w:name w:val="heading 6"/>
    <w:basedOn w:val="Normal"/>
    <w:next w:val="Normal"/>
    <w:pPr>
      <w:keepNext/>
      <w:keepLines/>
      <w:spacing w:before="40" w:after="0"/>
      <w:outlineLvl w:val="5"/>
    </w:pPr>
    <w:rPr>
      <w:rFonts w:ascii="Calibri" w:eastAsia="Calibri" w:hAnsi="Calibri" w:cs="Calibri"/>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80"/>
    </w:pPr>
    <w:rPr>
      <w:rFonts w:ascii="Calibri" w:eastAsia="Calibri" w:hAnsi="Calibri" w:cs="Calibri"/>
      <w:sz w:val="56"/>
      <w:szCs w:val="56"/>
    </w:rPr>
  </w:style>
  <w:style w:type="paragraph" w:styleId="Subtitle">
    <w:name w:val="Subtitle"/>
    <w:basedOn w:val="Normal"/>
    <w:next w:val="Normal"/>
    <w:rPr>
      <w:rFonts w:ascii="Calibri" w:eastAsia="Calibri" w:hAnsi="Calibri" w:cs="Calibri"/>
      <w:color w:val="595959"/>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paragraph" w:styleId="NormalWeb">
    <w:name w:val="Normal (Web)"/>
    <w:basedOn w:val="Normal"/>
    <w:uiPriority w:val="99"/>
    <w:semiHidden/>
    <w:unhideWhenUsed/>
    <w:rsid w:val="003D5B76"/>
    <w:pPr>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4353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7C368y+uNX8SbXjZqsJUqJ3Pgw==">CgMxLjA4AHIhMW1aOHBWQ2U4YTV2dE5uTzZtSHFla3FXTkt5WDZoMTli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4986</Words>
  <Characters>28422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Prisacaru</cp:lastModifiedBy>
  <cp:revision>22</cp:revision>
  <dcterms:created xsi:type="dcterms:W3CDTF">2026-10-02T10:43:00Z</dcterms:created>
  <dcterms:modified xsi:type="dcterms:W3CDTF">2026-10-02T12:08:00Z</dcterms:modified>
</cp:coreProperties>
</file>