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F73" w:rsidRDefault="00696797">
      <w:pPr>
        <w:jc w:val="center"/>
        <w:rPr>
          <w:sz w:val="24"/>
          <w:szCs w:val="24"/>
        </w:rPr>
      </w:pPr>
      <w:r>
        <w:rPr>
          <w:b/>
          <w:bCs/>
          <w:sz w:val="24"/>
          <w:szCs w:val="24"/>
        </w:rPr>
        <w:t>SINTEZA</w:t>
      </w:r>
    </w:p>
    <w:p w:rsidR="006D0F73" w:rsidRDefault="00696797">
      <w:pPr>
        <w:jc w:val="center"/>
        <w:rPr>
          <w:sz w:val="24"/>
          <w:szCs w:val="24"/>
        </w:rPr>
      </w:pPr>
      <w:r>
        <w:rPr>
          <w:b/>
          <w:bCs/>
          <w:sz w:val="24"/>
          <w:szCs w:val="24"/>
        </w:rPr>
        <w:t>obiecțiilor și propunerilor (recomandărilor)</w:t>
      </w:r>
    </w:p>
    <w:p w:rsidR="006D0F73" w:rsidRDefault="00696797">
      <w:pPr>
        <w:jc w:val="center"/>
        <w:rPr>
          <w:sz w:val="24"/>
          <w:szCs w:val="24"/>
        </w:rPr>
      </w:pPr>
      <w:r>
        <w:rPr>
          <w:b/>
          <w:bCs/>
          <w:sz w:val="24"/>
          <w:szCs w:val="24"/>
        </w:rPr>
        <w:t>la proiectul hotărârii Guvernului pentru modificarea unor hotărâri ale Guvernului</w:t>
      </w:r>
    </w:p>
    <w:p w:rsidR="006D0F73" w:rsidRDefault="00696797">
      <w:pPr>
        <w:spacing w:before="200" w:after="300"/>
        <w:jc w:val="center"/>
        <w:rPr>
          <w:sz w:val="24"/>
          <w:szCs w:val="24"/>
        </w:rPr>
      </w:pPr>
      <w:r>
        <w:rPr>
          <w:b/>
          <w:bCs/>
          <w:sz w:val="24"/>
          <w:szCs w:val="24"/>
        </w:rPr>
        <w:t>(număr unic 911/MEC/2026)</w:t>
      </w:r>
    </w:p>
    <w:tbl>
      <w:tblPr>
        <w:tblStyle w:val="a"/>
        <w:tblW w:w="14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5"/>
        <w:gridCol w:w="645"/>
        <w:gridCol w:w="6000"/>
        <w:gridCol w:w="5265"/>
      </w:tblGrid>
      <w:tr w:rsidR="006D0F73">
        <w:trPr>
          <w:tblHeader/>
        </w:trPr>
        <w:tc>
          <w:tcPr>
            <w:tcW w:w="2655" w:type="dxa"/>
            <w:shd w:val="clear" w:color="auto" w:fill="D9D9D9"/>
            <w:tcMar>
              <w:top w:w="60" w:type="dxa"/>
              <w:left w:w="80" w:type="dxa"/>
              <w:bottom w:w="60" w:type="dxa"/>
              <w:right w:w="80" w:type="dxa"/>
            </w:tcMar>
          </w:tcPr>
          <w:p w:rsidR="006D0F73" w:rsidRDefault="00696797">
            <w:pPr>
              <w:jc w:val="center"/>
              <w:rPr>
                <w:sz w:val="24"/>
                <w:szCs w:val="24"/>
              </w:rPr>
            </w:pPr>
            <w:r>
              <w:rPr>
                <w:b/>
                <w:bCs/>
                <w:sz w:val="24"/>
                <w:szCs w:val="24"/>
              </w:rPr>
              <w:t>Participantul la avizare, consultare publică, expertizare</w:t>
            </w:r>
          </w:p>
        </w:tc>
        <w:tc>
          <w:tcPr>
            <w:tcW w:w="645" w:type="dxa"/>
            <w:shd w:val="clear" w:color="auto" w:fill="D9D9D9"/>
            <w:tcMar>
              <w:top w:w="60" w:type="dxa"/>
              <w:left w:w="80" w:type="dxa"/>
              <w:bottom w:w="60" w:type="dxa"/>
              <w:right w:w="80" w:type="dxa"/>
            </w:tcMar>
          </w:tcPr>
          <w:p w:rsidR="006D0F73" w:rsidRDefault="00696797">
            <w:pPr>
              <w:jc w:val="center"/>
              <w:rPr>
                <w:sz w:val="24"/>
                <w:szCs w:val="24"/>
              </w:rPr>
            </w:pPr>
            <w:r>
              <w:rPr>
                <w:b/>
                <w:bCs/>
                <w:sz w:val="24"/>
                <w:szCs w:val="24"/>
              </w:rPr>
              <w:t>Nr. crt.</w:t>
            </w:r>
          </w:p>
        </w:tc>
        <w:tc>
          <w:tcPr>
            <w:tcW w:w="6000" w:type="dxa"/>
            <w:shd w:val="clear" w:color="auto" w:fill="D9D9D9"/>
            <w:tcMar>
              <w:top w:w="60" w:type="dxa"/>
              <w:left w:w="80" w:type="dxa"/>
              <w:bottom w:w="60" w:type="dxa"/>
              <w:right w:w="80" w:type="dxa"/>
            </w:tcMar>
          </w:tcPr>
          <w:p w:rsidR="006D0F73" w:rsidRDefault="00696797">
            <w:pPr>
              <w:jc w:val="center"/>
              <w:rPr>
                <w:sz w:val="24"/>
                <w:szCs w:val="24"/>
              </w:rPr>
            </w:pPr>
            <w:r>
              <w:rPr>
                <w:b/>
                <w:bCs/>
                <w:sz w:val="24"/>
                <w:szCs w:val="24"/>
              </w:rPr>
              <w:t>Conținutul obiecției, propunerii, recomandării, concluziei</w:t>
            </w:r>
          </w:p>
        </w:tc>
        <w:tc>
          <w:tcPr>
            <w:tcW w:w="5265" w:type="dxa"/>
            <w:shd w:val="clear" w:color="auto" w:fill="D9D9D9"/>
            <w:tcMar>
              <w:top w:w="60" w:type="dxa"/>
              <w:left w:w="80" w:type="dxa"/>
              <w:bottom w:w="60" w:type="dxa"/>
              <w:right w:w="80" w:type="dxa"/>
            </w:tcMar>
          </w:tcPr>
          <w:p w:rsidR="006D0F73" w:rsidRDefault="00696797">
            <w:pPr>
              <w:jc w:val="center"/>
              <w:rPr>
                <w:sz w:val="24"/>
                <w:szCs w:val="24"/>
              </w:rPr>
            </w:pPr>
            <w:r>
              <w:rPr>
                <w:b/>
                <w:bCs/>
                <w:sz w:val="24"/>
                <w:szCs w:val="24"/>
              </w:rPr>
              <w:t>Argumentarea autorului proiectului</w:t>
            </w:r>
          </w:p>
        </w:tc>
      </w:tr>
      <w:tr w:rsidR="006D0F73">
        <w:tc>
          <w:tcPr>
            <w:tcW w:w="14565" w:type="dxa"/>
            <w:gridSpan w:val="4"/>
            <w:shd w:val="clear" w:color="auto" w:fill="F2F2F2"/>
            <w:tcMar>
              <w:top w:w="60" w:type="dxa"/>
              <w:left w:w="80" w:type="dxa"/>
              <w:bottom w:w="60" w:type="dxa"/>
              <w:right w:w="80" w:type="dxa"/>
            </w:tcMar>
          </w:tcPr>
          <w:p w:rsidR="006D0F73" w:rsidRDefault="00696797">
            <w:pPr>
              <w:rPr>
                <w:sz w:val="24"/>
                <w:szCs w:val="24"/>
              </w:rPr>
            </w:pPr>
            <w:r>
              <w:rPr>
                <w:b/>
                <w:bCs/>
                <w:sz w:val="24"/>
                <w:szCs w:val="24"/>
              </w:rPr>
              <w:t>Avizare și consultare publică</w:t>
            </w:r>
          </w:p>
        </w:tc>
      </w:tr>
      <w:tr w:rsidR="006D0F73">
        <w:tc>
          <w:tcPr>
            <w:tcW w:w="2655" w:type="dxa"/>
            <w:vMerge w:val="restart"/>
            <w:tcMar>
              <w:top w:w="60" w:type="dxa"/>
              <w:left w:w="80" w:type="dxa"/>
              <w:bottom w:w="60" w:type="dxa"/>
              <w:right w:w="80" w:type="dxa"/>
            </w:tcMar>
          </w:tcPr>
          <w:p w:rsidR="006D0F73" w:rsidRDefault="00696797">
            <w:pPr>
              <w:jc w:val="both"/>
              <w:rPr>
                <w:sz w:val="24"/>
                <w:szCs w:val="24"/>
              </w:rPr>
            </w:pPr>
            <w:r>
              <w:rPr>
                <w:b/>
                <w:bCs/>
                <w:sz w:val="24"/>
                <w:szCs w:val="24"/>
              </w:rPr>
              <w:t>Ministerul Finanțelor</w:t>
            </w:r>
            <w:r>
              <w:rPr>
                <w:sz w:val="24"/>
                <w:szCs w:val="24"/>
              </w:rPr>
              <w:t xml:space="preserve"> (nr. 07/1-17/88 din 16.09.2026 și </w:t>
            </w:r>
          </w:p>
          <w:p w:rsidR="006D0F73" w:rsidRDefault="00696797">
            <w:pPr>
              <w:jc w:val="both"/>
              <w:rPr>
                <w:sz w:val="24"/>
                <w:szCs w:val="24"/>
              </w:rPr>
            </w:pPr>
            <w:r>
              <w:rPr>
                <w:sz w:val="24"/>
                <w:szCs w:val="24"/>
              </w:rPr>
              <w:t>nr. 07/1-03/116/1532 din 23.09.2026)</w:t>
            </w: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w:t>
            </w:r>
          </w:p>
        </w:tc>
        <w:tc>
          <w:tcPr>
            <w:tcW w:w="6000" w:type="dxa"/>
            <w:tcMar>
              <w:top w:w="60" w:type="dxa"/>
              <w:left w:w="80" w:type="dxa"/>
              <w:bottom w:w="60" w:type="dxa"/>
              <w:right w:w="80" w:type="dxa"/>
            </w:tcMar>
          </w:tcPr>
          <w:p w:rsidR="006D0F73" w:rsidRDefault="00696797">
            <w:pPr>
              <w:spacing w:after="60"/>
              <w:jc w:val="both"/>
              <w:rPr>
                <w:sz w:val="24"/>
                <w:szCs w:val="24"/>
              </w:rPr>
            </w:pPr>
            <w:r>
              <w:rPr>
                <w:sz w:val="24"/>
                <w:szCs w:val="24"/>
              </w:rPr>
              <w:t>Reieșind din faptul că, proiectul metodologiei de finanțare reglementează mecanismul de repartizare a alocațiilor bugetare, care urmează a fi aplicat nu doar autorităților publice locale de nivelul al doilea, dar și agențiilor teritoriale pentru educație, care sunt autorități administrative din subordinea Ministerului Educației și Cercetării, la pct.1 din proiectul de hotărâre se propun următoarele:</w:t>
            </w:r>
          </w:p>
          <w:p w:rsidR="006D0F73" w:rsidRDefault="00696797">
            <w:pPr>
              <w:spacing w:after="60"/>
              <w:jc w:val="both"/>
              <w:rPr>
                <w:sz w:val="24"/>
                <w:szCs w:val="24"/>
              </w:rPr>
            </w:pPr>
            <w:r>
              <w:rPr>
                <w:sz w:val="24"/>
                <w:szCs w:val="24"/>
              </w:rPr>
              <w:t>de modificat prevederile proiectului, după cum urmează:</w:t>
            </w:r>
          </w:p>
          <w:p w:rsidR="006D0F73" w:rsidRDefault="00696797">
            <w:pPr>
              <w:jc w:val="both"/>
              <w:rPr>
                <w:sz w:val="24"/>
                <w:szCs w:val="24"/>
              </w:rPr>
            </w:pPr>
            <w:r>
              <w:rPr>
                <w:sz w:val="24"/>
                <w:szCs w:val="24"/>
              </w:rPr>
              <w:t>- excluderea noțiunii „alocație bugetară” din subpct.1.5.4, întru a evita dublarea normelor cu actul normativ superior;</w:t>
            </w:r>
          </w:p>
        </w:tc>
        <w:tc>
          <w:tcPr>
            <w:tcW w:w="5265" w:type="dxa"/>
            <w:tcBorders>
              <w:top w:val="single" w:sz="7" w:space="0" w:color="000000"/>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A fost exclusă noțiunea „alocație bugetară”, definită în art. 3 din Legea finanțelor publice și responsabilității bugetar-fiscale nr. 181/2014, evitându-se dublarea normelor din actul normativ superior.</w:t>
            </w:r>
          </w:p>
          <w:p w:rsidR="006D0F73" w:rsidRDefault="006D0F73">
            <w:pPr>
              <w:spacing w:after="40"/>
              <w:jc w:val="both"/>
              <w:rPr>
                <w:sz w:val="22"/>
                <w:szCs w:val="22"/>
              </w:rPr>
            </w:pP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2</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excluderea subpct.1.5.16, întrucât Ministerului Finanțelor, ca autoritate publică centrală în domeniul finanțelor publice, are rolul de a asigura coordonarea generală a procesului bugetar, de a elabora și asigura implementarea politicii bugetar-fiscale în conformitate cu principiile și regulile bugetare, de a examina propunerile de buget ale autorităților publice centrale. Obiecția respectivă este valabilă și pentru propunerea înaintată la subpct.1.5.17, ce ține de prezentarea la Ministerul Finanțelor a volumului de cheltuieli estimat de către agențiile teritoriale pentru educație din subordinea Ministerului Educației și Cercetării;</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proofErr w:type="spellStart"/>
            <w:r>
              <w:rPr>
                <w:sz w:val="22"/>
                <w:szCs w:val="22"/>
              </w:rPr>
              <w:t>Subpct</w:t>
            </w:r>
            <w:proofErr w:type="spellEnd"/>
            <w:r>
              <w:rPr>
                <w:sz w:val="22"/>
                <w:szCs w:val="22"/>
              </w:rPr>
              <w:t>. 1.5.16 și 1.5.17 se exclud din proiect.</w:t>
            </w:r>
          </w:p>
          <w:p w:rsidR="006D0F73" w:rsidRDefault="00696797">
            <w:pPr>
              <w:spacing w:after="40"/>
              <w:jc w:val="both"/>
              <w:rPr>
                <w:sz w:val="22"/>
                <w:szCs w:val="22"/>
              </w:rPr>
            </w:pPr>
            <w:r>
              <w:rPr>
                <w:sz w:val="22"/>
                <w:szCs w:val="22"/>
              </w:rPr>
              <w:t xml:space="preserve">Agențiile teritoriale pentru educație sunt autorități administrative din subordinea Ministerului Educației și Cercetării, iar volumul de cheltuieli estimat de acestea se include în propunerile de buget ale Ministerului, prezentate Ministerului Finanțelor în condițiile Legii nr. 181/2014. </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3</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xml:space="preserve">- excluderea noțiunii „alocațiile” din subpct.1.5.26 și a textului „agenției teritoriale pentru educație” din </w:t>
            </w:r>
            <w:proofErr w:type="spellStart"/>
            <w:r>
              <w:rPr>
                <w:sz w:val="24"/>
                <w:szCs w:val="24"/>
              </w:rPr>
              <w:t>subpct</w:t>
            </w:r>
            <w:proofErr w:type="spellEnd"/>
            <w:r>
              <w:rPr>
                <w:sz w:val="24"/>
                <w:szCs w:val="24"/>
              </w:rPr>
              <w:t>. 1.6.3, care modifică Anexa nr.2, pct.6, subpct.1), reieșind din prevederile art.70 din Legea finanțelor publice și responsabilității bugetar-fiscale nr.181/2014;</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 xml:space="preserve">La </w:t>
            </w:r>
            <w:proofErr w:type="spellStart"/>
            <w:r>
              <w:rPr>
                <w:sz w:val="22"/>
                <w:szCs w:val="22"/>
              </w:rPr>
              <w:t>subpct</w:t>
            </w:r>
            <w:proofErr w:type="spellEnd"/>
            <w:r>
              <w:rPr>
                <w:sz w:val="22"/>
                <w:szCs w:val="22"/>
              </w:rPr>
              <w:t>. 1.5.26 se exclude completarea cu textul „alocațiile/”.</w:t>
            </w:r>
          </w:p>
          <w:p w:rsidR="006D0F73" w:rsidRDefault="00696797">
            <w:pPr>
              <w:spacing w:after="40"/>
              <w:jc w:val="both"/>
              <w:rPr>
                <w:sz w:val="22"/>
                <w:szCs w:val="22"/>
              </w:rPr>
            </w:pPr>
            <w:proofErr w:type="spellStart"/>
            <w:r>
              <w:rPr>
                <w:sz w:val="22"/>
                <w:szCs w:val="22"/>
              </w:rPr>
              <w:t>Subpct</w:t>
            </w:r>
            <w:proofErr w:type="spellEnd"/>
            <w:r>
              <w:rPr>
                <w:sz w:val="22"/>
                <w:szCs w:val="22"/>
              </w:rPr>
              <w:t xml:space="preserve">. 1.6.3 se reformulează astfel încât completarea cu textul „agenției teritoriale pentru educație/” să vizeze doar punctele 3 și 5 din anexa nr. 2, fără pct. 6 </w:t>
            </w:r>
            <w:proofErr w:type="spellStart"/>
            <w:r>
              <w:rPr>
                <w:sz w:val="22"/>
                <w:szCs w:val="22"/>
              </w:rPr>
              <w:t>subpct</w:t>
            </w:r>
            <w:proofErr w:type="spellEnd"/>
            <w:r>
              <w:rPr>
                <w:sz w:val="22"/>
                <w:szCs w:val="22"/>
              </w:rPr>
              <w:t>. 1), potrivit argumentelor invocate de Ministerul Finanțelor cu referire la Legea nr. 181/2014.</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4</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excluderea noțiunii „centralizator” din pct.1.5.34 și pct.1.6.5, întrucât autorul utilizează noțiunea „componenta agenției teritoriale pentru educație/unităților administrativ-teritoriale”.</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 xml:space="preserve">La </w:t>
            </w:r>
            <w:proofErr w:type="spellStart"/>
            <w:r>
              <w:rPr>
                <w:sz w:val="22"/>
                <w:szCs w:val="22"/>
              </w:rPr>
              <w:t>subpct</w:t>
            </w:r>
            <w:proofErr w:type="spellEnd"/>
            <w:r>
              <w:rPr>
                <w:sz w:val="22"/>
                <w:szCs w:val="22"/>
              </w:rPr>
              <w:t>. 1.5.34 și 1.6.5 s-au exclus completările cu textul „/centralizatorul”, respectiv „centralizatorul/”. Pe tot parcursul proiectului se utilizează noțiunea „componenta agenției teritoriale pentru educație/unităților administrativ-teritoriale”, asigurându-se unitatea terminologică.</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5</w:t>
            </w:r>
          </w:p>
        </w:tc>
        <w:tc>
          <w:tcPr>
            <w:tcW w:w="6000" w:type="dxa"/>
            <w:tcMar>
              <w:top w:w="60" w:type="dxa"/>
              <w:left w:w="80" w:type="dxa"/>
              <w:bottom w:w="60" w:type="dxa"/>
              <w:right w:w="80" w:type="dxa"/>
            </w:tcMar>
          </w:tcPr>
          <w:p w:rsidR="006D0F73" w:rsidRDefault="00696797">
            <w:pPr>
              <w:spacing w:after="60"/>
              <w:jc w:val="both"/>
              <w:rPr>
                <w:sz w:val="24"/>
                <w:szCs w:val="24"/>
              </w:rPr>
            </w:pPr>
            <w:r>
              <w:rPr>
                <w:sz w:val="24"/>
                <w:szCs w:val="24"/>
              </w:rPr>
              <w:t>de completat proiectul de hotărâre cu prevederi ce țin de modificarea Hotărârii Guvernului nr.868/2014, după cum urmează:</w:t>
            </w:r>
          </w:p>
          <w:p w:rsidR="006D0F73" w:rsidRDefault="00696797">
            <w:pPr>
              <w:spacing w:after="60"/>
              <w:jc w:val="both"/>
              <w:rPr>
                <w:sz w:val="24"/>
                <w:szCs w:val="24"/>
              </w:rPr>
            </w:pPr>
            <w:r>
              <w:rPr>
                <w:sz w:val="24"/>
                <w:szCs w:val="24"/>
              </w:rPr>
              <w:t>La Anexa nr.1</w:t>
            </w:r>
          </w:p>
          <w:p w:rsidR="006D0F73" w:rsidRDefault="00696797">
            <w:pPr>
              <w:jc w:val="both"/>
              <w:rPr>
                <w:sz w:val="24"/>
                <w:szCs w:val="24"/>
              </w:rPr>
            </w:pPr>
            <w:r>
              <w:rPr>
                <w:sz w:val="24"/>
                <w:szCs w:val="24"/>
              </w:rPr>
              <w:t>- neconcordanța indicatorului „1 octombrie a anului bugetar precedent anului în care este planificat bugetul” din pct.4, subcpt.1, lit. a) și pct.6, subpct.6) din Secțiunea 1, cu indicatorul „1 iunie a anului bugetar în care se planifică bugetul pentru anul următor” propus de autor la proiectul de hotărâre;</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 xml:space="preserve">Proiectul s-a </w:t>
            </w:r>
            <w:proofErr w:type="spellStart"/>
            <w:r>
              <w:rPr>
                <w:sz w:val="22"/>
                <w:szCs w:val="22"/>
              </w:rPr>
              <w:t>completetat</w:t>
            </w:r>
            <w:proofErr w:type="spellEnd"/>
            <w:r>
              <w:rPr>
                <w:sz w:val="22"/>
                <w:szCs w:val="22"/>
              </w:rPr>
              <w:t xml:space="preserve"> cu modificarea pct. 4 </w:t>
            </w:r>
            <w:proofErr w:type="spellStart"/>
            <w:r>
              <w:rPr>
                <w:sz w:val="22"/>
                <w:szCs w:val="22"/>
              </w:rPr>
              <w:t>subpct</w:t>
            </w:r>
            <w:proofErr w:type="spellEnd"/>
            <w:r>
              <w:rPr>
                <w:sz w:val="22"/>
                <w:szCs w:val="22"/>
              </w:rPr>
              <w:t xml:space="preserve">. 1) lit. a) și a pct. 6 </w:t>
            </w:r>
            <w:proofErr w:type="spellStart"/>
            <w:r>
              <w:rPr>
                <w:sz w:val="22"/>
                <w:szCs w:val="22"/>
              </w:rPr>
              <w:t>subpct</w:t>
            </w:r>
            <w:proofErr w:type="spellEnd"/>
            <w:r>
              <w:rPr>
                <w:sz w:val="22"/>
                <w:szCs w:val="22"/>
              </w:rPr>
              <w:t>. 6) din Secțiunea 1 a anexei nr. 1, prin substituirea textului „1 octombrie a anului bugetar precedent anului în care este planificat bugetul”, respectiv „1 octombrie a anului bugetar precedent anului în care este planificat bugetul pentru anul următor”, cu textul „1 iunie a anului bugetar în care se planifică bugetul pentru anul următor”.</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6</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xml:space="preserve">- excluderea prevederilor din pct.4, subpct.1, </w:t>
            </w:r>
            <w:proofErr w:type="spellStart"/>
            <w:r>
              <w:rPr>
                <w:sz w:val="24"/>
                <w:szCs w:val="24"/>
              </w:rPr>
              <w:t>lit.e</w:t>
            </w:r>
            <w:proofErr w:type="spellEnd"/>
            <w:r>
              <w:rPr>
                <w:sz w:val="24"/>
                <w:szCs w:val="24"/>
              </w:rPr>
              <w:t xml:space="preserve"> ), ce țin de salarizarea suplimentară, ca rezultat al reducerii cu 75% a normei didactice pentru cadrele didactice în primii trei ani de activitate;</w:t>
            </w:r>
          </w:p>
        </w:tc>
        <w:tc>
          <w:tcPr>
            <w:tcW w:w="5265" w:type="dxa"/>
            <w:tcBorders>
              <w:top w:val="nil"/>
              <w:left w:val="single" w:sz="5" w:space="0" w:color="000000"/>
              <w:bottom w:val="single" w:sz="5" w:space="0" w:color="000000"/>
              <w:right w:val="single" w:sz="5"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D0F73">
            <w:pPr>
              <w:spacing w:after="40"/>
              <w:jc w:val="both"/>
              <w:rPr>
                <w:sz w:val="22"/>
                <w:szCs w:val="22"/>
              </w:rPr>
            </w:pP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7</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completarea pct.6, subpc.2¹) și 3) din Secțiunea 1, la indicatorii Ns, Nu, Nd, N, S, și G cu textul „agențiile teritoriale pentru educație”;</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proofErr w:type="spellStart"/>
            <w:r>
              <w:rPr>
                <w:sz w:val="22"/>
                <w:szCs w:val="22"/>
              </w:rPr>
              <w:t>Subpct</w:t>
            </w:r>
            <w:proofErr w:type="spellEnd"/>
            <w:r>
              <w:rPr>
                <w:sz w:val="22"/>
                <w:szCs w:val="22"/>
              </w:rPr>
              <w:t xml:space="preserve">. 1.5.9-1.5.12 se completează astfel încât, la pct. 6 </w:t>
            </w:r>
            <w:proofErr w:type="spellStart"/>
            <w:r>
              <w:rPr>
                <w:sz w:val="22"/>
                <w:szCs w:val="22"/>
              </w:rPr>
              <w:t>subpct</w:t>
            </w:r>
            <w:proofErr w:type="spellEnd"/>
            <w:r>
              <w:rPr>
                <w:sz w:val="22"/>
                <w:szCs w:val="22"/>
              </w:rPr>
              <w:t>. 2¹) și 3) din Secțiunea 1, la explicațiile indicatorilor Ns, Nu, Nd, N, S și G, textul „unitatea administrativ-teritorială”, la forma gramaticală corespunzătoare, să fie precedat de textul „agenția teritorială pentru educație/”.</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8</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substituirea textului „1 octombrie a anului bugetar precedent anului în care este planificat bugetul” din pct.7 subpct.2¹ din Secțiunea 2 cu textul „1 iunie a anului bugetar curent”;</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 xml:space="preserve">Obiecția este realizată prin </w:t>
            </w:r>
            <w:proofErr w:type="spellStart"/>
            <w:r>
              <w:rPr>
                <w:sz w:val="22"/>
                <w:szCs w:val="22"/>
              </w:rPr>
              <w:t>subpct</w:t>
            </w:r>
            <w:proofErr w:type="spellEnd"/>
            <w:r>
              <w:rPr>
                <w:sz w:val="22"/>
                <w:szCs w:val="22"/>
              </w:rPr>
              <w:t xml:space="preserve">. 1.5.21 din proiect, în numerotarea supusă avizării, care substituie la pct. 7 </w:t>
            </w:r>
            <w:proofErr w:type="spellStart"/>
            <w:r>
              <w:rPr>
                <w:sz w:val="22"/>
                <w:szCs w:val="22"/>
              </w:rPr>
              <w:t>subpct</w:t>
            </w:r>
            <w:proofErr w:type="spellEnd"/>
            <w:r>
              <w:rPr>
                <w:sz w:val="22"/>
                <w:szCs w:val="22"/>
              </w:rPr>
              <w:t>. 1) cuvântul „octombrie” cu cuvântul „iunie”, rezultând textul „1 iunie a anului bugetar curent”, solicitat de Ministerul Finanțelor.</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9</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modificarea pct.12 din Secțiunea 2, reieșind din noțiunile și responsabilitățile agențiilor teritoriale pentru educație prevăzute în Legea nr.200/2026.</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Proiectul s-a completat cu modificarea pct. 12 din Secțiunea 2 a anexei nr. 1, prin atribuirea competenței de calculare a alocațiilor pentru fiecare instituție de învățământ agențiilor teritoriale pentru educație/organelor locale de specialitate în domeniul învățământului, în corespundere cu atribuțiile stabilite prin Legea nr. 200/2026.</w:t>
            </w:r>
          </w:p>
        </w:tc>
      </w:tr>
      <w:tr w:rsidR="006D0F73">
        <w:tc>
          <w:tcPr>
            <w:tcW w:w="2655" w:type="dxa"/>
            <w:vMerge w:val="restart"/>
            <w:tcMar>
              <w:top w:w="60" w:type="dxa"/>
              <w:left w:w="80" w:type="dxa"/>
              <w:bottom w:w="60" w:type="dxa"/>
              <w:right w:w="80" w:type="dxa"/>
            </w:tcMar>
          </w:tcPr>
          <w:p w:rsidR="006D0F73" w:rsidRDefault="00696797">
            <w:pPr>
              <w:jc w:val="both"/>
              <w:rPr>
                <w:sz w:val="24"/>
                <w:szCs w:val="24"/>
              </w:rPr>
            </w:pPr>
            <w:r>
              <w:rPr>
                <w:b/>
                <w:bCs/>
                <w:sz w:val="24"/>
                <w:szCs w:val="24"/>
              </w:rPr>
              <w:t>Ministerul Muncii și Protecției Sociale</w:t>
            </w:r>
            <w:r>
              <w:rPr>
                <w:sz w:val="24"/>
                <w:szCs w:val="24"/>
              </w:rPr>
              <w:t xml:space="preserve"> (nr. 11/5227 din 25.09.2026)</w:t>
            </w: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10</w:t>
            </w:r>
          </w:p>
        </w:tc>
        <w:tc>
          <w:tcPr>
            <w:tcW w:w="6000" w:type="dxa"/>
            <w:tcMar>
              <w:top w:w="60" w:type="dxa"/>
              <w:left w:w="80" w:type="dxa"/>
              <w:bottom w:w="60" w:type="dxa"/>
              <w:right w:w="80" w:type="dxa"/>
            </w:tcMar>
          </w:tcPr>
          <w:p w:rsidR="006D0F73" w:rsidRDefault="00696797">
            <w:pPr>
              <w:spacing w:after="60"/>
              <w:jc w:val="both"/>
              <w:rPr>
                <w:sz w:val="24"/>
                <w:szCs w:val="24"/>
              </w:rPr>
            </w:pPr>
            <w:r>
              <w:rPr>
                <w:sz w:val="24"/>
                <w:szCs w:val="24"/>
              </w:rPr>
              <w:t>Legea nr. 60/2012, privind incluziunea socială a persoanelor cu dizabilități, prevede asigurarea drepturilor persoanelor cu dizabilități, în egală măsură cu alți cetățeni, la educație, protecție socială, asistență medicală, reabilitare, muncă, viață publică, mediu fizic, transport, tehnologii și sisteme informaționale, de comunicare și la alte utilități și servicii la care are acces publicul larg.</w:t>
            </w:r>
          </w:p>
          <w:p w:rsidR="006D0F73" w:rsidRDefault="00696797">
            <w:pPr>
              <w:spacing w:after="60"/>
              <w:jc w:val="both"/>
              <w:rPr>
                <w:sz w:val="24"/>
                <w:szCs w:val="24"/>
              </w:rPr>
            </w:pPr>
            <w:bookmarkStart w:id="0" w:name="_heading=h.sbcuyxgmuntm" w:colFirst="0" w:colLast="0"/>
            <w:bookmarkEnd w:id="0"/>
            <w:r>
              <w:rPr>
                <w:sz w:val="24"/>
                <w:szCs w:val="24"/>
              </w:rPr>
              <w:t xml:space="preserve">Astfel, pentru consolidarea mecanismului propus și asigurarea concordanței acestuia cu cadrul normativ național și internațional, considerăm necesară completarea criteriilor </w:t>
            </w:r>
            <w:r>
              <w:rPr>
                <w:sz w:val="24"/>
                <w:szCs w:val="24"/>
              </w:rPr>
              <w:lastRenderedPageBreak/>
              <w:t>de determinare a necesarului de resurse cu necesitățile educaționale individuale ale elevului identificate în procesul evaluării complexe.</w:t>
            </w:r>
          </w:p>
          <w:p w:rsidR="006D0F73" w:rsidRDefault="00696797">
            <w:pPr>
              <w:spacing w:after="60"/>
              <w:jc w:val="both"/>
              <w:rPr>
                <w:sz w:val="24"/>
                <w:szCs w:val="24"/>
              </w:rPr>
            </w:pPr>
            <w:r>
              <w:rPr>
                <w:sz w:val="24"/>
                <w:szCs w:val="24"/>
              </w:rPr>
              <w:t>Așadar, numărul elevilor, tipul și gradul dizabilității pot constitui indicatori obiectivi pentru planificarea și estimarea resurselor, însă volumul efectiv al suportului nu ar trebui să fie determinat exclusiv în funcție de acești indicatori.</w:t>
            </w:r>
          </w:p>
          <w:p w:rsidR="006D0F73" w:rsidRDefault="00696797">
            <w:pPr>
              <w:jc w:val="both"/>
              <w:rPr>
                <w:sz w:val="24"/>
                <w:szCs w:val="24"/>
              </w:rPr>
            </w:pPr>
            <w:r>
              <w:rPr>
                <w:sz w:val="24"/>
                <w:szCs w:val="24"/>
              </w:rPr>
              <w:t>O asemenea abordare rezultă din prevederile Legii sus-menționate, care prevede principiile egalității, nediscriminării și incluziunii sociale, coroborate cu prevederile art. 33 din Codul educației nr. 152/2014, privind abordarea individualizată și acordarea serviciilor de suport în funcție de necesitățile copilului, precum și cu art. 24 din Convenția ONU privind drepturile persoanelor cu dizabilități, care impune asigurarea educației incluzive, a acomodării rezonabile și a sprijinului individualizat în cadrul sistemului general de educație.</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lastRenderedPageBreak/>
              <w:t>Nu se acceptă.</w:t>
            </w:r>
          </w:p>
          <w:p w:rsidR="006D0F73" w:rsidRDefault="00696797">
            <w:pPr>
              <w:spacing w:after="40"/>
              <w:jc w:val="both"/>
              <w:rPr>
                <w:sz w:val="22"/>
                <w:szCs w:val="22"/>
              </w:rPr>
            </w:pPr>
            <w:r>
              <w:rPr>
                <w:sz w:val="22"/>
                <w:szCs w:val="22"/>
              </w:rPr>
              <w:t>Volumul serviciilor de suport acordate elevului, care se stabilește și se ajustează în funcție de necesitățile educaționale individuale, identificate prin evaluarea complexă și consemnate în planul educațional individualizat, potrivit art. 33 din Codul educației nr. 152/2014.</w:t>
            </w:r>
          </w:p>
          <w:p w:rsidR="006D0F73" w:rsidRDefault="00696797">
            <w:pPr>
              <w:spacing w:after="40"/>
              <w:jc w:val="both"/>
              <w:rPr>
                <w:sz w:val="22"/>
                <w:szCs w:val="22"/>
              </w:rPr>
            </w:pPr>
            <w:r>
              <w:rPr>
                <w:sz w:val="22"/>
                <w:szCs w:val="22"/>
              </w:rPr>
              <w:t>Numărul elevilor, tipul și gradul dizabilității se mențin ca indicatori de calcul al componentei, fiind obiectivi, verificabili și disponibili la etapa planificării bugetare.</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11</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xml:space="preserve">În acest context, se consideră oportună revizuirea criteriilor de normare pentru cadrul didactic de sprijin, psiholog, logoped, psihopedagog și interpret în limbaj </w:t>
            </w:r>
            <w:proofErr w:type="spellStart"/>
            <w:r>
              <w:rPr>
                <w:sz w:val="24"/>
                <w:szCs w:val="24"/>
              </w:rPr>
              <w:t>mimico</w:t>
            </w:r>
            <w:proofErr w:type="spellEnd"/>
            <w:r>
              <w:rPr>
                <w:sz w:val="24"/>
                <w:szCs w:val="24"/>
              </w:rPr>
              <w:t>-gestual, astfel încât acestea să reflecte natura, intensitatea, frecvența și durata intervenției necesare. Necesitatea unei asemenea diferențieri rezultă din caracterul distinct al serviciilor de suport prevăzute de cadrul educațional național și este în concordanță cu art. 24 alin. (3) din Convenția ONU, care acordă o atenție particulară modalităților de comunicare și măsurilor de sprijin adaptate necesităților persoanei.</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 parțial.</w:t>
            </w:r>
          </w:p>
          <w:p w:rsidR="006D0F73" w:rsidRDefault="00696797">
            <w:pPr>
              <w:spacing w:after="40"/>
              <w:jc w:val="both"/>
              <w:rPr>
                <w:sz w:val="22"/>
                <w:szCs w:val="22"/>
              </w:rPr>
            </w:pPr>
            <w:r>
              <w:rPr>
                <w:sz w:val="22"/>
                <w:szCs w:val="22"/>
              </w:rPr>
              <w:t>Diferențierea pe categorii de specialiști este asigurată prin formulele distincte (3)-(6) din anexa nr. 3 și prin norme diferențiate în funcție de tipul și gradul dizabilității.</w:t>
            </w:r>
          </w:p>
          <w:p w:rsidR="006D0F73" w:rsidRDefault="00696797">
            <w:pPr>
              <w:spacing w:after="40"/>
              <w:jc w:val="both"/>
              <w:rPr>
                <w:sz w:val="22"/>
                <w:szCs w:val="22"/>
              </w:rPr>
            </w:pPr>
            <w:r>
              <w:rPr>
                <w:sz w:val="22"/>
                <w:szCs w:val="22"/>
              </w:rPr>
              <w:t>Natura, intensitatea, frecvența și durata intervenției se stabilesc individual, prin planul educațional individualizat, și nu pot constitui indicatori de planificare bugetară, fiind variabile pe parcursul anului de studii și neverificabile la etapa estimării bugetului.</w:t>
            </w:r>
          </w:p>
          <w:p w:rsidR="006D0F73" w:rsidRDefault="00696797">
            <w:pPr>
              <w:spacing w:after="40"/>
              <w:jc w:val="both"/>
              <w:rPr>
                <w:sz w:val="22"/>
                <w:szCs w:val="22"/>
              </w:rPr>
            </w:pPr>
            <w:r>
              <w:rPr>
                <w:sz w:val="22"/>
                <w:szCs w:val="22"/>
              </w:rPr>
              <w:t>Mecanismul urmează a fi reevaluat după primul an de aplicare, potrivit pct. 9 din nota de fundamentare, iar parametrii financiari se ajustează prin ordinul ministrului educației și cercetării prevăzut la pct. 6 din anexa nr. 3.</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12</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Totodată, se recomandă clarificarea și uniformizarea categoriilor utilizate în tabelele de normare, inclusiv delimitarea noțiunilor de „CES fără dizabilitate”, „dificultăți de învățare”, „necesitate ușoară” (nu se atribuie grad de dizabilitate) și „dizabilitate medie/accentuată/severă”, în toate tabelele de referință precum și precizarea criteriilor în baza cărora acestea determină volumul normei. O asemenea clarificare este necesară pentru aplicarea unitară și previzibilă a mecanismului și pentru evitarea echivalării automate dintre existența unei anumite necesități speciale/dizabilități și necesarul de suport, în condițiile în care cadrul național și art. 24 din Convenția ONU impun raportarea măsurilor educaționale la necesitățile individuale ale copilului.</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A fost completat cu pct. nou cu următorul conținut:</w:t>
            </w:r>
          </w:p>
          <w:p w:rsidR="006D0F73" w:rsidRDefault="00696797">
            <w:pPr>
              <w:spacing w:after="160" w:line="276" w:lineRule="auto"/>
              <w:jc w:val="both"/>
              <w:rPr>
                <w:sz w:val="22"/>
                <w:szCs w:val="22"/>
              </w:rPr>
            </w:pPr>
            <w:r>
              <w:rPr>
                <w:sz w:val="24"/>
                <w:szCs w:val="24"/>
              </w:rPr>
              <w:t xml:space="preserve"> </w:t>
            </w:r>
            <w:r>
              <w:rPr>
                <w:sz w:val="22"/>
                <w:szCs w:val="22"/>
              </w:rPr>
              <w:t>„În sensul tabelelor prevăzute la punctul 3:</w:t>
            </w:r>
          </w:p>
          <w:p w:rsidR="006D0F73" w:rsidRDefault="00696797">
            <w:pPr>
              <w:spacing w:after="160" w:line="276" w:lineRule="auto"/>
              <w:jc w:val="both"/>
              <w:rPr>
                <w:sz w:val="22"/>
                <w:szCs w:val="22"/>
              </w:rPr>
            </w:pPr>
            <w:r>
              <w:rPr>
                <w:sz w:val="22"/>
                <w:szCs w:val="22"/>
              </w:rPr>
              <w:t>1) „–” – norma nu se aplică pentru combinația respectivă.</w:t>
            </w:r>
          </w:p>
          <w:p w:rsidR="006D0F73" w:rsidRDefault="00696797">
            <w:pPr>
              <w:spacing w:after="160" w:line="276" w:lineRule="auto"/>
              <w:jc w:val="both"/>
              <w:rPr>
                <w:sz w:val="22"/>
                <w:szCs w:val="22"/>
              </w:rPr>
            </w:pPr>
            <w:r>
              <w:rPr>
                <w:sz w:val="22"/>
                <w:szCs w:val="22"/>
              </w:rPr>
              <w:t>2) Pentru elevii încadrați în grad de dizabilitate, categoria se stabilește în funcție de deficiența funcțională de bază indicată în Certificatul de încadrare în grad de dizabilitate (HG nr. 357/2018, anexa nr. 3, pct. 33).</w:t>
            </w:r>
          </w:p>
          <w:p w:rsidR="006D0F73" w:rsidRDefault="00696797">
            <w:pPr>
              <w:spacing w:after="160" w:line="276" w:lineRule="auto"/>
              <w:jc w:val="both"/>
              <w:rPr>
                <w:sz w:val="22"/>
                <w:szCs w:val="22"/>
              </w:rPr>
            </w:pPr>
            <w:r>
              <w:rPr>
                <w:sz w:val="22"/>
                <w:szCs w:val="22"/>
              </w:rPr>
              <w:t>3) Pentru elevii cu cerințe educaționale speciale fără încadrare în grad de dizabilitate, categoria se stabilește în baza raportului de evaluare complexă emis de Structura teritorială de asistență psihopedagogică.</w:t>
            </w:r>
          </w:p>
          <w:p w:rsidR="006D0F73" w:rsidRDefault="00696797">
            <w:pPr>
              <w:spacing w:after="160" w:line="276" w:lineRule="auto"/>
              <w:jc w:val="both"/>
              <w:rPr>
                <w:sz w:val="22"/>
                <w:szCs w:val="22"/>
              </w:rPr>
            </w:pPr>
            <w:r>
              <w:rPr>
                <w:sz w:val="22"/>
                <w:szCs w:val="22"/>
              </w:rPr>
              <w:t xml:space="preserve">4) În cazul deficiențelor asociate (inclusiv </w:t>
            </w:r>
            <w:proofErr w:type="spellStart"/>
            <w:r>
              <w:rPr>
                <w:sz w:val="22"/>
                <w:szCs w:val="22"/>
              </w:rPr>
              <w:t>surdocecitatea</w:t>
            </w:r>
            <w:proofErr w:type="spellEnd"/>
            <w:r>
              <w:rPr>
                <w:sz w:val="22"/>
                <w:szCs w:val="22"/>
              </w:rPr>
              <w:t>), se aplică norma cea mai mare dintre categoriile implicate.”</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13</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În scopul asigurării deplinei concordanțe cu cadrul normativ național și internațional, se recomandă ca numărul elevilor, tipul și gradul dizabilității să fie utilizați ca indicatori de planificare a resurselor, iar stabilirea și ajustarea volumului efectiv al suportului să fie realizate în funcție de necesitățile individuale, natura serviciului și intensitatea intervenției necesare, cu asigurarea continuității serviciilor esențiale și a posibilității de ajustare a acestora în funcție de evoluția necesităților beneficiarului, stabilite/normate în cadrul de normate a unităților de personal per categorie de instituție și capacitatea acesteia.</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Nu se acceptă.</w:t>
            </w:r>
          </w:p>
          <w:p w:rsidR="006D0F73" w:rsidRDefault="00696797">
            <w:pPr>
              <w:spacing w:after="40"/>
              <w:jc w:val="both"/>
              <w:rPr>
                <w:sz w:val="22"/>
                <w:szCs w:val="22"/>
              </w:rPr>
            </w:pPr>
            <w:r>
              <w:rPr>
                <w:sz w:val="22"/>
                <w:szCs w:val="22"/>
              </w:rPr>
              <w:t>Posibilitatea ajustării volumului resurselor este asigurată prin coeficientul de finanțare Q de la pct. 3 și prin formulele de ajustare (7) și (9) din anexa nr. 3.</w:t>
            </w:r>
          </w:p>
        </w:tc>
      </w:tr>
      <w:tr w:rsidR="006D0F73">
        <w:tc>
          <w:tcPr>
            <w:tcW w:w="2655" w:type="dxa"/>
            <w:vMerge/>
            <w:tcMar>
              <w:top w:w="60" w:type="dxa"/>
              <w:left w:w="80" w:type="dxa"/>
              <w:bottom w:w="60" w:type="dxa"/>
              <w:right w:w="80" w:type="dxa"/>
            </w:tcMar>
          </w:tcPr>
          <w:p w:rsidR="006D0F73" w:rsidRDefault="006D0F73">
            <w:pPr>
              <w:widowControl w:val="0"/>
              <w:pBdr>
                <w:top w:val="nil"/>
                <w:left w:val="nil"/>
                <w:bottom w:val="nil"/>
                <w:right w:val="nil"/>
                <w:between w:val="nil"/>
              </w:pBdr>
              <w:spacing w:line="276" w:lineRule="auto"/>
              <w:rPr>
                <w:sz w:val="24"/>
                <w:szCs w:val="24"/>
              </w:rPr>
            </w:pP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14</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Subsidiar, pe plan redacțional, pe parcursul textului proiectului, abrevierea „</w:t>
            </w:r>
            <w:proofErr w:type="spellStart"/>
            <w:r>
              <w:rPr>
                <w:sz w:val="24"/>
                <w:szCs w:val="24"/>
              </w:rPr>
              <w:t>Cass</w:t>
            </w:r>
            <w:proofErr w:type="spellEnd"/>
            <w:r>
              <w:rPr>
                <w:sz w:val="24"/>
                <w:szCs w:val="24"/>
              </w:rPr>
              <w:t>” (contribuțiile asigurărilor sociale) urmează a fi revizuită și substituită cu abrevierea „CAS”. Totodată, în textul „contribuții de asigurări sociale de stat, achitate de angajator” sintagma „achitate de angajator” urmează a fi exclusă, întrucât, potrivit prevederilor cadrului normativ, obligația de achitare a contribuțiilor de asigurări sociale de stat de către angajator se subînțelege și nu necesită a fi menționată expres în text.</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acceptă.</w:t>
            </w:r>
          </w:p>
          <w:p w:rsidR="006D0F73" w:rsidRDefault="00696797">
            <w:pPr>
              <w:spacing w:after="40"/>
              <w:jc w:val="both"/>
              <w:rPr>
                <w:sz w:val="22"/>
                <w:szCs w:val="22"/>
              </w:rPr>
            </w:pPr>
            <w:r>
              <w:rPr>
                <w:sz w:val="22"/>
                <w:szCs w:val="22"/>
              </w:rPr>
              <w:t xml:space="preserve">Pe tot parcursul proiectului, inclusiv în </w:t>
            </w:r>
            <w:proofErr w:type="spellStart"/>
            <w:r>
              <w:rPr>
                <w:sz w:val="22"/>
                <w:szCs w:val="22"/>
              </w:rPr>
              <w:t>subpct</w:t>
            </w:r>
            <w:proofErr w:type="spellEnd"/>
            <w:r>
              <w:rPr>
                <w:sz w:val="22"/>
                <w:szCs w:val="22"/>
              </w:rPr>
              <w:t>. 1.5.10 și 1.5.24, în numerotarea definitivată, și în anexa nr. 3, abrevierea „</w:t>
            </w:r>
            <w:proofErr w:type="spellStart"/>
            <w:r>
              <w:rPr>
                <w:sz w:val="22"/>
                <w:szCs w:val="22"/>
              </w:rPr>
              <w:t>Cass</w:t>
            </w:r>
            <w:proofErr w:type="spellEnd"/>
            <w:r>
              <w:rPr>
                <w:sz w:val="22"/>
                <w:szCs w:val="22"/>
              </w:rPr>
              <w:t>” se substituie cu abrevierea „CAS”, iar sintagma „, achitate de angajator” se exclude.</w:t>
            </w:r>
          </w:p>
        </w:tc>
      </w:tr>
      <w:tr w:rsidR="006D0F73">
        <w:tc>
          <w:tcPr>
            <w:tcW w:w="2655" w:type="dxa"/>
            <w:tcMar>
              <w:top w:w="60" w:type="dxa"/>
              <w:left w:w="80" w:type="dxa"/>
              <w:bottom w:w="60" w:type="dxa"/>
              <w:right w:w="80" w:type="dxa"/>
            </w:tcMar>
          </w:tcPr>
          <w:p w:rsidR="006D0F73" w:rsidRDefault="00696797">
            <w:pPr>
              <w:widowControl w:val="0"/>
              <w:pBdr>
                <w:top w:val="nil"/>
                <w:left w:val="nil"/>
                <w:bottom w:val="nil"/>
                <w:right w:val="nil"/>
                <w:between w:val="nil"/>
              </w:pBdr>
              <w:spacing w:line="276" w:lineRule="auto"/>
              <w:rPr>
                <w:sz w:val="24"/>
                <w:szCs w:val="24"/>
              </w:rPr>
            </w:pPr>
            <w:r>
              <w:rPr>
                <w:b/>
                <w:bCs/>
                <w:sz w:val="24"/>
                <w:szCs w:val="24"/>
              </w:rPr>
              <w:t xml:space="preserve">Congresul Autorităților Locale din Moldova (CALM)  </w:t>
            </w:r>
            <w:r>
              <w:rPr>
                <w:sz w:val="24"/>
                <w:szCs w:val="24"/>
              </w:rPr>
              <w:t>(nr.335 din 30 septembrie 2026)</w:t>
            </w:r>
          </w:p>
        </w:tc>
        <w:tc>
          <w:tcPr>
            <w:tcW w:w="645" w:type="dxa"/>
            <w:tcMar>
              <w:top w:w="60" w:type="dxa"/>
              <w:left w:w="80" w:type="dxa"/>
              <w:bottom w:w="60" w:type="dxa"/>
              <w:right w:w="80" w:type="dxa"/>
            </w:tcMar>
          </w:tcPr>
          <w:p w:rsidR="006D0F73" w:rsidRDefault="00696797">
            <w:pPr>
              <w:jc w:val="center"/>
              <w:rPr>
                <w:sz w:val="24"/>
                <w:szCs w:val="24"/>
              </w:rPr>
            </w:pPr>
            <w:r>
              <w:rPr>
                <w:sz w:val="24"/>
                <w:szCs w:val="24"/>
              </w:rPr>
              <w:t>15</w:t>
            </w:r>
          </w:p>
        </w:tc>
        <w:tc>
          <w:tcPr>
            <w:tcW w:w="6000" w:type="dxa"/>
            <w:tcMar>
              <w:top w:w="60" w:type="dxa"/>
              <w:left w:w="80" w:type="dxa"/>
              <w:bottom w:w="60" w:type="dxa"/>
              <w:right w:w="80" w:type="dxa"/>
            </w:tcMar>
          </w:tcPr>
          <w:p w:rsidR="006D0F73" w:rsidRDefault="00696797">
            <w:pPr>
              <w:jc w:val="both"/>
              <w:rPr>
                <w:sz w:val="24"/>
                <w:szCs w:val="24"/>
              </w:rPr>
            </w:pPr>
            <w:r>
              <w:rPr>
                <w:sz w:val="24"/>
                <w:szCs w:val="24"/>
              </w:rPr>
              <w:t xml:space="preserve">CALM consideră că proiectul Hotărârii Guvernului pentru modificarea unor hotărâri ale Guvernului poate fi propus pentru aprobare. </w:t>
            </w:r>
          </w:p>
        </w:tc>
        <w:tc>
          <w:tcPr>
            <w:tcW w:w="5265" w:type="dxa"/>
            <w:tcBorders>
              <w:top w:val="nil"/>
              <w:left w:val="single" w:sz="7" w:space="0" w:color="000000"/>
              <w:bottom w:val="single" w:sz="7" w:space="0" w:color="000000"/>
              <w:right w:val="single" w:sz="7" w:space="0" w:color="000000"/>
            </w:tcBorders>
            <w:tcMar>
              <w:top w:w="60" w:type="dxa"/>
              <w:left w:w="80" w:type="dxa"/>
              <w:bottom w:w="60" w:type="dxa"/>
              <w:right w:w="80" w:type="dxa"/>
            </w:tcMar>
          </w:tcPr>
          <w:p w:rsidR="006D0F73" w:rsidRDefault="00696797">
            <w:pPr>
              <w:spacing w:after="40"/>
              <w:jc w:val="both"/>
              <w:rPr>
                <w:b/>
                <w:bCs/>
                <w:sz w:val="22"/>
                <w:szCs w:val="22"/>
              </w:rPr>
            </w:pPr>
            <w:r>
              <w:rPr>
                <w:b/>
                <w:bCs/>
                <w:sz w:val="22"/>
                <w:szCs w:val="22"/>
              </w:rPr>
              <w:t>Se ia act.</w:t>
            </w:r>
          </w:p>
        </w:tc>
      </w:tr>
    </w:tbl>
    <w:p w:rsidR="006D0F73" w:rsidRDefault="006D0F73">
      <w:pPr>
        <w:jc w:val="both"/>
        <w:rPr>
          <w:sz w:val="24"/>
          <w:szCs w:val="24"/>
        </w:rPr>
      </w:pPr>
    </w:p>
    <w:p w:rsidR="00DA7927" w:rsidRDefault="00DA7927">
      <w:pPr>
        <w:jc w:val="both"/>
        <w:rPr>
          <w:sz w:val="24"/>
          <w:szCs w:val="24"/>
        </w:rPr>
      </w:pPr>
    </w:p>
    <w:p w:rsidR="00DA7927" w:rsidRDefault="00DA7927">
      <w:pPr>
        <w:jc w:val="both"/>
        <w:rPr>
          <w:sz w:val="24"/>
          <w:szCs w:val="24"/>
        </w:rPr>
      </w:pPr>
    </w:p>
    <w:p w:rsidR="00DA7927" w:rsidRDefault="00DA7927">
      <w:pPr>
        <w:jc w:val="both"/>
        <w:rPr>
          <w:sz w:val="24"/>
          <w:szCs w:val="24"/>
        </w:rPr>
      </w:pPr>
    </w:p>
    <w:p w:rsidR="00DA7927" w:rsidRDefault="00DA7927">
      <w:pPr>
        <w:jc w:val="both"/>
        <w:rPr>
          <w:sz w:val="24"/>
          <w:szCs w:val="24"/>
        </w:rPr>
      </w:pPr>
    </w:p>
    <w:p w:rsidR="00DA7927" w:rsidRDefault="00DA7927" w:rsidP="00DA7927">
      <w:pPr>
        <w:jc w:val="center"/>
        <w:rPr>
          <w:b/>
          <w:sz w:val="24"/>
          <w:szCs w:val="24"/>
        </w:rPr>
      </w:pPr>
      <w:r w:rsidRPr="00DA7927">
        <w:rPr>
          <w:b/>
          <w:sz w:val="24"/>
          <w:szCs w:val="24"/>
        </w:rPr>
        <w:t xml:space="preserve">Ministru                                    </w:t>
      </w:r>
      <w:r>
        <w:rPr>
          <w:b/>
          <w:sz w:val="24"/>
          <w:szCs w:val="24"/>
        </w:rPr>
        <w:t xml:space="preserve">                         </w:t>
      </w:r>
      <w:r w:rsidRPr="00DA7927">
        <w:rPr>
          <w:b/>
          <w:sz w:val="24"/>
          <w:szCs w:val="24"/>
        </w:rPr>
        <w:t xml:space="preserve">        Dan PERCIUN</w:t>
      </w:r>
    </w:p>
    <w:p w:rsidR="00DA7927" w:rsidRPr="00DA7927" w:rsidRDefault="00DA7927" w:rsidP="00DA7927">
      <w:pPr>
        <w:rPr>
          <w:sz w:val="24"/>
          <w:szCs w:val="24"/>
        </w:rPr>
      </w:pPr>
    </w:p>
    <w:p w:rsidR="00DA7927" w:rsidRPr="00DA7927" w:rsidRDefault="00DA7927" w:rsidP="00DA7927">
      <w:pPr>
        <w:rPr>
          <w:sz w:val="24"/>
          <w:szCs w:val="24"/>
        </w:rPr>
      </w:pPr>
    </w:p>
    <w:p w:rsidR="00DA7927" w:rsidRPr="00DA7927" w:rsidRDefault="00DA7927" w:rsidP="00DA7927">
      <w:pPr>
        <w:rPr>
          <w:sz w:val="24"/>
          <w:szCs w:val="24"/>
        </w:rPr>
      </w:pPr>
    </w:p>
    <w:p w:rsidR="00DA7927" w:rsidRPr="00DA7927" w:rsidRDefault="00DA7927" w:rsidP="00DA7927">
      <w:pPr>
        <w:rPr>
          <w:sz w:val="24"/>
          <w:szCs w:val="24"/>
        </w:rPr>
      </w:pPr>
    </w:p>
    <w:p w:rsidR="00DA7927" w:rsidRPr="00DA7927" w:rsidRDefault="00DA7927" w:rsidP="00DA7927">
      <w:pPr>
        <w:rPr>
          <w:sz w:val="24"/>
          <w:szCs w:val="24"/>
        </w:rPr>
      </w:pPr>
    </w:p>
    <w:p w:rsidR="00DA7927" w:rsidRPr="00DA7927" w:rsidRDefault="00DA7927" w:rsidP="00DA7927">
      <w:pPr>
        <w:rPr>
          <w:sz w:val="24"/>
          <w:szCs w:val="24"/>
        </w:rPr>
      </w:pPr>
      <w:bookmarkStart w:id="1" w:name="_GoBack"/>
      <w:bookmarkEnd w:id="1"/>
    </w:p>
    <w:p w:rsidR="00DA7927" w:rsidRDefault="00DA7927" w:rsidP="00DA7927">
      <w:pPr>
        <w:rPr>
          <w:sz w:val="24"/>
          <w:szCs w:val="24"/>
        </w:rPr>
      </w:pPr>
    </w:p>
    <w:p w:rsidR="00DA7927" w:rsidRDefault="00DA7927" w:rsidP="00DA7927">
      <w:pPr>
        <w:rPr>
          <w:sz w:val="24"/>
          <w:szCs w:val="24"/>
        </w:rPr>
      </w:pPr>
    </w:p>
    <w:p w:rsidR="00DA7927" w:rsidRPr="00DA7927" w:rsidRDefault="00DA7927" w:rsidP="00DA7927">
      <w:pPr>
        <w:jc w:val="both"/>
        <w:rPr>
          <w:sz w:val="24"/>
          <w:szCs w:val="24"/>
        </w:rPr>
      </w:pPr>
      <w:r>
        <w:rPr>
          <w:sz w:val="24"/>
          <w:szCs w:val="24"/>
        </w:rPr>
        <w:tab/>
      </w:r>
      <w:r w:rsidRPr="00DA7927">
        <w:rPr>
          <w:szCs w:val="24"/>
        </w:rPr>
        <w:t xml:space="preserve">Ex.: </w:t>
      </w:r>
      <w:proofErr w:type="spellStart"/>
      <w:r w:rsidRPr="00DA7927">
        <w:rPr>
          <w:szCs w:val="24"/>
        </w:rPr>
        <w:t>A.Prisacaru</w:t>
      </w:r>
      <w:proofErr w:type="spellEnd"/>
      <w:r w:rsidRPr="00DA7927">
        <w:rPr>
          <w:szCs w:val="24"/>
        </w:rPr>
        <w:t>, 022-232785</w:t>
      </w:r>
    </w:p>
    <w:sectPr w:rsidR="00DA7927" w:rsidRPr="00DA7927">
      <w:pgSz w:w="16838" w:h="11906" w:orient="landscape"/>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39C9E0D-BB92-40F9-A4B9-450916304A88}"/>
  </w:font>
  <w:font w:name="Calibri Light">
    <w:panose1 w:val="020F0302020204030204"/>
    <w:charset w:val="00"/>
    <w:family w:val="swiss"/>
    <w:pitch w:val="variable"/>
    <w:sig w:usb0="E4002EFF" w:usb1="C200247B" w:usb2="00000009" w:usb3="00000000" w:csb0="000001FF" w:csb1="00000000"/>
    <w:embedRegular r:id="rId2" w:fontKey="{A430DBC8-F14B-4304-8E96-23D17A99BCB5}"/>
  </w:font>
  <w:font w:name="Calibri">
    <w:panose1 w:val="020F0502020204030204"/>
    <w:charset w:val="00"/>
    <w:family w:val="swiss"/>
    <w:pitch w:val="variable"/>
    <w:sig w:usb0="E4002EFF" w:usb1="C200247B" w:usb2="00000009" w:usb3="00000000" w:csb0="000001FF" w:csb1="00000000"/>
    <w:embedRegular r:id="rId3" w:fontKey="{60853B4F-7C23-4CFD-B87B-C70DDCF58D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73"/>
    <w:rsid w:val="00696797"/>
    <w:rsid w:val="006D0F73"/>
    <w:rsid w:val="00DA7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3C90D5-8EC7-44F2-80A6-067D177A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M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outlineLvl w:val="0"/>
    </w:pPr>
    <w:rPr>
      <w:color w:val="2E74B5"/>
      <w:sz w:val="32"/>
      <w:szCs w:val="32"/>
    </w:rPr>
  </w:style>
  <w:style w:type="paragraph" w:styleId="Heading2">
    <w:name w:val="heading 2"/>
    <w:basedOn w:val="Normal"/>
    <w:next w:val="Normal"/>
    <w:pPr>
      <w:pBdr>
        <w:top w:val="nil"/>
        <w:left w:val="nil"/>
        <w:bottom w:val="nil"/>
        <w:right w:val="nil"/>
        <w:between w:val="nil"/>
      </w:pBdr>
      <w:outlineLvl w:val="1"/>
    </w:pPr>
    <w:rPr>
      <w:color w:val="2E74B5"/>
      <w:sz w:val="26"/>
      <w:szCs w:val="26"/>
    </w:rPr>
  </w:style>
  <w:style w:type="paragraph" w:styleId="Heading3">
    <w:name w:val="heading 3"/>
    <w:basedOn w:val="Normal"/>
    <w:next w:val="Normal"/>
    <w:pPr>
      <w:pBdr>
        <w:top w:val="nil"/>
        <w:left w:val="nil"/>
        <w:bottom w:val="nil"/>
        <w:right w:val="nil"/>
        <w:between w:val="nil"/>
      </w:pBdr>
      <w:outlineLvl w:val="2"/>
    </w:pPr>
    <w:rPr>
      <w:color w:val="1F4D78"/>
      <w:sz w:val="24"/>
      <w:szCs w:val="24"/>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xjjjoOEfBG5wxB0c6Ya42dFoog==">CgMxLjAyDmguc2JjdXl4Z211bnRtOAByITFlVnp4OUlVeFZTR3JDUmg3aGw4SjQ5c0pyei1yRG1Qag==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1895</Words>
  <Characters>10807</Characters>
  <Application>Microsoft Office Word</Application>
  <DocSecurity>0</DocSecurity>
  <Lines>90</Lines>
  <Paragraphs>25</Paragraphs>
  <ScaleCrop>false</ScaleCrop>
  <Company/>
  <LinksUpToDate>false</LinksUpToDate>
  <CharactersWithSpaces>12677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Angela Prisacaru</cp:lastModifiedBy>
  <cp:revision>3</cp:revision>
  <dcterms:created xsi:type="dcterms:W3CDTF">2026-09-29T07:58:00Z</dcterms:created>
  <dcterms:modified xsi:type="dcterms:W3CDTF">2026-10-02T10:43:00Z</dcterms:modified>
</cp:coreProperties>
</file>