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66" w:rsidRPr="00C64E66" w:rsidRDefault="00C64E66" w:rsidP="00C64E66">
      <w:pPr>
        <w:pStyle w:val="Heading2"/>
        <w:rPr>
          <w:b/>
          <w:bCs/>
          <w:i/>
          <w:szCs w:val="28"/>
        </w:rPr>
      </w:pPr>
      <w:r w:rsidRPr="00C64E66">
        <w:rPr>
          <w:b/>
          <w:bCs/>
          <w:i/>
          <w:szCs w:val="28"/>
        </w:rPr>
        <w:t>Proiect</w:t>
      </w:r>
    </w:p>
    <w:p w:rsidR="00C64E66" w:rsidRPr="00C64E66" w:rsidRDefault="00C64E66" w:rsidP="00C64E66">
      <w:pPr>
        <w:jc w:val="right"/>
        <w:rPr>
          <w:rFonts w:ascii="Times New Roman" w:hAnsi="Times New Roman" w:cs="Times New Roman"/>
          <w:sz w:val="32"/>
        </w:rPr>
      </w:pPr>
    </w:p>
    <w:p w:rsidR="00C64E66" w:rsidRPr="00C64E66" w:rsidRDefault="00C64E66" w:rsidP="00C64E6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64E66">
        <w:rPr>
          <w:rFonts w:ascii="Times New Roman" w:hAnsi="Times New Roman" w:cs="Times New Roman"/>
          <w:b/>
          <w:sz w:val="28"/>
        </w:rPr>
        <w:t>GUVERNUL REPUBLICII MOLDOVA</w:t>
      </w:r>
    </w:p>
    <w:p w:rsidR="00C64E66" w:rsidRPr="00C64E66" w:rsidRDefault="00C64E66" w:rsidP="00C64E6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64E66" w:rsidRPr="00C64E66" w:rsidRDefault="00C64E66" w:rsidP="00C64E6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64E66">
        <w:rPr>
          <w:rFonts w:ascii="Times New Roman" w:hAnsi="Times New Roman" w:cs="Times New Roman"/>
          <w:b/>
          <w:sz w:val="28"/>
        </w:rPr>
        <w:t xml:space="preserve">HOTĂRÎRE   </w:t>
      </w:r>
      <w:r w:rsidRPr="00C64E66">
        <w:rPr>
          <w:rFonts w:ascii="Times New Roman" w:hAnsi="Times New Roman" w:cs="Times New Roman"/>
          <w:sz w:val="28"/>
        </w:rPr>
        <w:t>nr.</w:t>
      </w:r>
      <w:proofErr w:type="gramEnd"/>
      <w:r w:rsidRPr="00C64E66">
        <w:rPr>
          <w:rFonts w:ascii="Times New Roman" w:hAnsi="Times New Roman" w:cs="Times New Roman"/>
          <w:sz w:val="28"/>
        </w:rPr>
        <w:t xml:space="preserve"> ______</w:t>
      </w:r>
    </w:p>
    <w:p w:rsidR="00C64E66" w:rsidRPr="00C64E66" w:rsidRDefault="00C64E66" w:rsidP="00C64E66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din</w:t>
      </w:r>
      <w:proofErr w:type="gramEnd"/>
      <w:r>
        <w:rPr>
          <w:rFonts w:ascii="Times New Roman" w:hAnsi="Times New Roman" w:cs="Times New Roman"/>
          <w:sz w:val="28"/>
        </w:rPr>
        <w:t xml:space="preserve"> ____  ____________ 2015</w:t>
      </w:r>
    </w:p>
    <w:p w:rsidR="00C64E66" w:rsidRPr="00C64E66" w:rsidRDefault="00C64E66" w:rsidP="00C64E66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C64E66">
        <w:rPr>
          <w:rFonts w:ascii="Times New Roman" w:hAnsi="Times New Roman" w:cs="Times New Roman"/>
          <w:sz w:val="28"/>
        </w:rPr>
        <w:t>Chişinău</w:t>
      </w:r>
      <w:proofErr w:type="spellEnd"/>
    </w:p>
    <w:p w:rsidR="00C64E66" w:rsidRPr="00C64E66" w:rsidRDefault="00C64E66" w:rsidP="00C64E66">
      <w:pPr>
        <w:jc w:val="center"/>
        <w:rPr>
          <w:rFonts w:ascii="Times New Roman" w:hAnsi="Times New Roman" w:cs="Times New Roman"/>
          <w:sz w:val="28"/>
        </w:rPr>
      </w:pPr>
    </w:p>
    <w:p w:rsidR="00C64E66" w:rsidRPr="00C64E66" w:rsidRDefault="00C64E66" w:rsidP="00C64E66">
      <w:pPr>
        <w:pStyle w:val="cn"/>
        <w:rPr>
          <w:b/>
          <w:sz w:val="28"/>
          <w:szCs w:val="28"/>
        </w:rPr>
      </w:pPr>
      <w:r w:rsidRPr="00C64E66">
        <w:rPr>
          <w:rStyle w:val="docheader"/>
          <w:b/>
          <w:bCs/>
          <w:sz w:val="28"/>
          <w:szCs w:val="28"/>
        </w:rPr>
        <w:t>cu privire la completarea Listei şi tarifelor serviciilor contra cost din sfera sănătăţii publice prestate persoanelor fizice şi juridice, aprobate prin Hotărîrea Guvernului nr.533 din 13 iulie 2011</w:t>
      </w:r>
    </w:p>
    <w:p w:rsidR="00C64E66" w:rsidRDefault="00C64E66" w:rsidP="00C64E66">
      <w:pPr>
        <w:pStyle w:val="cn"/>
        <w:ind w:firstLine="709"/>
        <w:jc w:val="left"/>
        <w:rPr>
          <w:b/>
        </w:rPr>
      </w:pPr>
    </w:p>
    <w:p w:rsidR="00C64E66" w:rsidRDefault="00C64E66" w:rsidP="00C64E66">
      <w:pPr>
        <w:pStyle w:val="cn"/>
        <w:ind w:firstLine="709"/>
        <w:jc w:val="left"/>
        <w:rPr>
          <w:b/>
        </w:rPr>
      </w:pPr>
    </w:p>
    <w:p w:rsidR="00C64E66" w:rsidRPr="00C64E66" w:rsidRDefault="00C64E66" w:rsidP="00C64E66">
      <w:pPr>
        <w:pStyle w:val="cn"/>
        <w:ind w:firstLine="709"/>
        <w:jc w:val="left"/>
        <w:rPr>
          <w:b/>
        </w:rPr>
      </w:pPr>
    </w:p>
    <w:p w:rsidR="00C64E66" w:rsidRPr="00C64E66" w:rsidRDefault="00C64E66" w:rsidP="00C64E66">
      <w:pPr>
        <w:pStyle w:val="cn"/>
        <w:ind w:firstLine="709"/>
        <w:jc w:val="left"/>
        <w:rPr>
          <w:b/>
          <w:sz w:val="28"/>
          <w:szCs w:val="28"/>
        </w:rPr>
      </w:pPr>
      <w:r w:rsidRPr="00C64E66">
        <w:rPr>
          <w:b/>
          <w:sz w:val="28"/>
          <w:szCs w:val="28"/>
        </w:rPr>
        <w:t>Guvernul HOTĂRĂŞTE:</w:t>
      </w:r>
    </w:p>
    <w:p w:rsidR="00C64E66" w:rsidRPr="00C64E66" w:rsidRDefault="00C64E66" w:rsidP="00C64E66">
      <w:pPr>
        <w:pStyle w:val="cn"/>
        <w:ind w:firstLine="709"/>
        <w:jc w:val="left"/>
        <w:rPr>
          <w:sz w:val="28"/>
          <w:szCs w:val="28"/>
        </w:rPr>
      </w:pPr>
    </w:p>
    <w:p w:rsidR="00C64E66" w:rsidRPr="00C64E66" w:rsidRDefault="00C64E66" w:rsidP="00662085">
      <w:pPr>
        <w:pStyle w:val="cn"/>
        <w:ind w:firstLine="709"/>
        <w:jc w:val="both"/>
        <w:rPr>
          <w:sz w:val="28"/>
          <w:szCs w:val="28"/>
        </w:rPr>
      </w:pPr>
      <w:r w:rsidRPr="00C64E66">
        <w:rPr>
          <w:sz w:val="28"/>
          <w:szCs w:val="28"/>
        </w:rPr>
        <w:t>Lista şi tarifele serviciilor contra cost din sfera sănătăţii publice prestate persoanelor fizice şi juridice, aprobate prin Hotărîrea Guvernului nr.533 din 13 iulie 2011 (Monitorul Oficial al Republicii Moldova,</w:t>
      </w:r>
      <w:r w:rsidR="00662085">
        <w:rPr>
          <w:sz w:val="28"/>
          <w:szCs w:val="28"/>
        </w:rPr>
        <w:t xml:space="preserve"> 2011, nr.118-121, art.606), </w:t>
      </w:r>
      <w:r w:rsidR="00F31FDA">
        <w:rPr>
          <w:sz w:val="28"/>
          <w:szCs w:val="28"/>
        </w:rPr>
        <w:t>se completează</w:t>
      </w:r>
      <w:r w:rsidRPr="00C64E66">
        <w:rPr>
          <w:sz w:val="28"/>
          <w:szCs w:val="28"/>
        </w:rPr>
        <w:t>, corespunzător, cu următoarele poziţii:</w:t>
      </w:r>
    </w:p>
    <w:p w:rsidR="00C64E66" w:rsidRPr="00C64E66" w:rsidRDefault="00C64E66" w:rsidP="00C64E66">
      <w:pPr>
        <w:pStyle w:val="cn"/>
        <w:jc w:val="both"/>
        <w:rPr>
          <w:sz w:val="28"/>
          <w:szCs w:val="28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5894"/>
        <w:gridCol w:w="8"/>
        <w:gridCol w:w="1937"/>
        <w:gridCol w:w="8"/>
        <w:gridCol w:w="1059"/>
        <w:gridCol w:w="6"/>
      </w:tblGrid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rPr>
                <w:color w:val="000000"/>
              </w:rPr>
              <w:t>„</w:t>
            </w:r>
            <w:r w:rsidRPr="00C64E66">
              <w:t>3</w:t>
            </w:r>
            <w:r w:rsidRPr="00C64E66">
              <w:rPr>
                <w:vertAlign w:val="superscript"/>
              </w:rPr>
              <w:t>1</w:t>
            </w:r>
            <w:r w:rsidRPr="00C64E66"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ind w:right="-59"/>
              <w:jc w:val="left"/>
            </w:pPr>
            <w:r w:rsidRPr="00C64E66">
              <w:rPr>
                <w:color w:val="000000"/>
              </w:rPr>
              <w:t>Determinarea solvenţilor organici din aer prin metoda GC cu termodesorber cu recoltarea  pe tuburi: acetonă, alcool metilic, alcool etilic, alcool propilic, alcool butilic, butilacetat, benzină, etilacetat, furfurol, fenol, eter dietilic, fluoretan, dicloretan, dibutilftalat, dioctilftalat, hidrocarburi,  epiclorhidrină, benzen, xilen,  stiren, white-spirit, oxid de carbon, clorură de vinil, percloretilenă, tetracloretilenă, cloroform, metan, hexan, gaz lampant, clorbenzen, tetraclorură de carbon, vinilacetat, fenol, aldehidă formi</w:t>
            </w:r>
            <w:r>
              <w:rPr>
                <w:color w:val="000000"/>
              </w:rPr>
              <w:t>că, hexametilendiamin, toluilen</w:t>
            </w:r>
            <w:r w:rsidR="00020A51">
              <w:rPr>
                <w:color w:val="000000"/>
              </w:rPr>
              <w:t xml:space="preserve"> </w:t>
            </w:r>
            <w:r w:rsidRPr="00C64E66">
              <w:rPr>
                <w:color w:val="000000"/>
              </w:rPr>
              <w:t>diizocianat etc.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268”;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rPr>
                <w:color w:val="000000"/>
              </w:rPr>
              <w:t>„6</w:t>
            </w:r>
            <w:r w:rsidRPr="00C64E66">
              <w:rPr>
                <w:color w:val="000000"/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Pulbere PM 1,0; PM 2,5: PM 4,0; PM 10; PM total prin metoda la gazanalizator DUSTTRAK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1 investigaţie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97”;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rPr>
                <w:color w:val="000000"/>
              </w:rPr>
              <w:t>„33</w:t>
            </w:r>
            <w:r w:rsidRPr="00C64E66">
              <w:rPr>
                <w:color w:val="000000"/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Determinarea vitaminelor (vitamina B1, B2,  B6, K, E, A etc.)  prin metoda cromatografiei lichide cu detector DAD şi  fluorescent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515”;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t>„34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8B70A6">
            <w:pPr>
              <w:pStyle w:val="cn"/>
              <w:jc w:val="left"/>
            </w:pPr>
            <w:r w:rsidRPr="00C64E66">
              <w:rPr>
                <w:color w:val="000000"/>
              </w:rPr>
              <w:t>Determinarea micotoxinelor: Aflatoxina B1, Aflatoxina M1, Patulina, Ochratoxina,Vomitoxina, Zearalenon, T-2 toxin, Fumonizinelor B1, B2, suma aflatoxinelor B1, B2, G1, G2 etc. prin metoda LC/MS/MS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563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lastRenderedPageBreak/>
              <w:t>34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Determinarea micotoxinelor: Aflatoxina B1, Aflatoxina M1, Patulina, Ochratoxina,Vomitoxina, Zearalenon, T-2 toxin, Fumonizinelor B1, B2, suma aflatoxinelor B1, B2, G1, G2 etc.  prin metoda LC/detectori DAD/fluorimetric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524”;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t>„35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Aditivi alimentari în produse alimentare – acid sorbic, acid benzoic, cofeină, zaharină, aspartam, acesulfam, ciclamat etc.  prin metodele lichid-cromatografiei cu detector DAD şi Fluorescent, LC/MS/MS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499”;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t>„36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Metale toxice prin metoda spectrofotometriei prin absorbţie atomică cu hidrid systema: Arsen, Mercur, Staniu, Bismut etc.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318”;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t>„37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Metale toxice prin metoda spectrofotometriei de absorbţie atomică cu atomizare în flacără: Cupru, Plumb, Cadmiu, Zinc, Nichel, Fier etc.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310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t>37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Metale toxice prin metoda spectrofotometriei prin absorbţie atomică cu cuptor din grafit: Plumb, Cadmiu, Crom, Molibden etc.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</w:pPr>
            <w:r w:rsidRPr="00C64E66">
              <w:rPr>
                <w:color w:val="000000"/>
              </w:rPr>
              <w:t>325”;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„72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t>Determinarea pesticidelor organoclorurate prin metodele  GC/DCE/DNP şi GC/MS/MS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407”;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„74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t xml:space="preserve">Determinarea pesticidelor organofosforice prin metodele  GC/DCE/DNP şi GC/MS/MS  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414”;</w:t>
            </w:r>
          </w:p>
        </w:tc>
      </w:tr>
      <w:tr w:rsidR="00C64E66" w:rsidRPr="00C64E66" w:rsidTr="00FC6D89">
        <w:tc>
          <w:tcPr>
            <w:tcW w:w="423" w:type="pct"/>
            <w:tcBorders>
              <w:bottom w:val="single" w:sz="4" w:space="0" w:color="auto"/>
            </w:tcBorders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„75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  <w:tcBorders>
              <w:bottom w:val="single" w:sz="4" w:space="0" w:color="auto"/>
            </w:tcBorders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t>Determinarea piretroizilor prin metodele GC/DCE/DNP şi GC/MS/MS</w:t>
            </w:r>
          </w:p>
        </w:tc>
        <w:tc>
          <w:tcPr>
            <w:tcW w:w="999" w:type="pct"/>
            <w:gridSpan w:val="2"/>
            <w:tcBorders>
              <w:bottom w:val="single" w:sz="4" w:space="0" w:color="auto"/>
            </w:tcBorders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  <w:tcBorders>
              <w:bottom w:val="single" w:sz="4" w:space="0" w:color="auto"/>
            </w:tcBorders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432”;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„79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t>Determinarea ridomilului prin metodele GC/DCE/DNP şi GC/MS/MS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445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79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t>Determinarea Baitan, Vectra, Scor prin metodele GC/DCE/DNP şi GC/MS/MS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440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79</w:t>
            </w:r>
            <w:r w:rsidRPr="00C64E66">
              <w:rPr>
                <w:vertAlign w:val="superscript"/>
              </w:rPr>
              <w:t>3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t>Determinarea omaitului prin metodele GC/DCE/DNP şi GC/MS/MS şi LC/MS/MS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446”;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„80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t>Determinarea topazului prin metodele GC/DCE/DNP şi GC/MS/MS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405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80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t>Determinarea mospilanului prin metodele GC/DCE/DNP, GC/MS/MS şi LC/MS/MS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431”;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„81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t>Determinarea triazinici prin metodele GC/DCE/DNP şi GC/MS/MS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299”;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„82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t>Determinarea ftalanului prin metodele GC/DCE/DNP şi GC/MS/MS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397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82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t>Determinarea cimoxanilului prin metodele GC/DCE/DNP, GC/MS/MS şi LC/MS/MS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436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82</w:t>
            </w:r>
            <w:r w:rsidRPr="00C64E66">
              <w:rPr>
                <w:vertAlign w:val="superscript"/>
              </w:rPr>
              <w:t>3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t>Determinarea actara prin metodele GC/DCE/DNP şi GC/MS/MS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445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82</w:t>
            </w:r>
            <w:r w:rsidRPr="00C64E66">
              <w:rPr>
                <w:vertAlign w:val="superscript"/>
              </w:rPr>
              <w:t>4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593B4B" w:rsidRDefault="00C64E66" w:rsidP="00FC6D89">
            <w:pPr>
              <w:pStyle w:val="cn"/>
              <w:jc w:val="left"/>
            </w:pPr>
            <w:r w:rsidRPr="00593B4B">
              <w:t>Determinarea flintului prin metodele GC/DCE/DNP şi GC/MS/MS</w:t>
            </w:r>
          </w:p>
        </w:tc>
        <w:tc>
          <w:tcPr>
            <w:tcW w:w="999" w:type="pct"/>
            <w:gridSpan w:val="2"/>
          </w:tcPr>
          <w:p w:rsidR="00C64E66" w:rsidRPr="00593B4B" w:rsidRDefault="00C64E66" w:rsidP="00FC6D89">
            <w:pPr>
              <w:pStyle w:val="cn"/>
              <w:rPr>
                <w:color w:val="000000"/>
              </w:rPr>
            </w:pPr>
            <w:r w:rsidRPr="00593B4B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593B4B" w:rsidRDefault="00C64E66" w:rsidP="00FC6D89">
            <w:pPr>
              <w:pStyle w:val="cn"/>
              <w:rPr>
                <w:color w:val="000000"/>
              </w:rPr>
            </w:pPr>
            <w:r w:rsidRPr="00593B4B">
              <w:rPr>
                <w:color w:val="000000"/>
              </w:rPr>
              <w:t>431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82</w:t>
            </w:r>
            <w:r w:rsidRPr="00C64E66">
              <w:rPr>
                <w:vertAlign w:val="superscript"/>
              </w:rPr>
              <w:t>5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t>Determinarea confidorului prin metodele GC/DCE/DNP, GC/MS/MS şi LC/MS/MS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403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82</w:t>
            </w:r>
            <w:r w:rsidRPr="00C64E66">
              <w:rPr>
                <w:vertAlign w:val="superscript"/>
              </w:rPr>
              <w:t>6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722F8E" w:rsidP="00FC6D89">
            <w:pPr>
              <w:pStyle w:val="cn"/>
              <w:jc w:val="left"/>
            </w:pPr>
            <w:r>
              <w:t xml:space="preserve">Determinarea pesticidului Coragen </w:t>
            </w:r>
            <w:r w:rsidR="00C64E66" w:rsidRPr="00C64E66">
              <w:t>prin metodele GC/DCE/DNP, GC/MS/MS şi LC/MS/MS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424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82</w:t>
            </w:r>
            <w:r w:rsidRPr="00C64E66">
              <w:rPr>
                <w:vertAlign w:val="superscript"/>
              </w:rPr>
              <w:t>7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t>Determinarea pesticidului Stroby prin metodele GC/DCE/DNP şi GC/MS/MS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395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82</w:t>
            </w:r>
            <w:r w:rsidRPr="00C64E66">
              <w:rPr>
                <w:vertAlign w:val="superscript"/>
              </w:rPr>
              <w:t>8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t>Determinarea pesticidului Calipso prin metodele GC/DCE/DNP şi GC/MS/MS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431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82</w:t>
            </w:r>
            <w:r w:rsidRPr="00C64E66">
              <w:rPr>
                <w:vertAlign w:val="superscript"/>
              </w:rPr>
              <w:t>9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t>Determinarea Pirimetanilului prin metodele GC/DCE/DNP si GC/MS/MS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455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82</w:t>
            </w:r>
            <w:r w:rsidRPr="00C64E66">
              <w:rPr>
                <w:vertAlign w:val="superscript"/>
              </w:rPr>
              <w:t>10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t>Determinarea Tebufenpyradului prin metodele GC/DCE/DNP şi GC/MS/MS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412”;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„90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Determinarea    metalelor  toxice (Plumb, Cadmiu, Cuppru, Zinc, Crom, Nichel, Fier, Mangan etc.)  prin metoda absorbţiei atomare cu flacăra în mediile model a materialelor polimerice şi sintetice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315”;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„93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Determinarea  Bis-a-fenolului prin metoda cromatografiei în strat subţire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418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93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Determinarea substanţelor organice (fe</w:t>
            </w:r>
            <w:r w:rsidR="00722F8E">
              <w:rPr>
                <w:color w:val="000000"/>
              </w:rPr>
              <w:t>nolul, bis-a-fenolului, coloranț</w:t>
            </w:r>
            <w:r w:rsidRPr="00C64E66">
              <w:rPr>
                <w:color w:val="000000"/>
              </w:rPr>
              <w:t>ilor) prin metoda LC/MS/MS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465”;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spacing w:line="480" w:lineRule="auto"/>
              <w:jc w:val="left"/>
              <w:rPr>
                <w:color w:val="000000"/>
              </w:rPr>
            </w:pPr>
            <w:r w:rsidRPr="00C64E66">
              <w:t>„94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Determinarea substanţelor organice:  dimetilftalat, dimetiltereftalat, dietilftalat, dibutilftalat, butilbenzilftalat, bis (2-etilhexil) ftalat, dioctilftalat, amine aromatice, solvenţi volatili (toluen, benzen, metanol, xilen, etilbenzen), stiren etc. prin metoda GC/MS/MS în materiale polimerice, jucării etc.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465”;</w:t>
            </w:r>
          </w:p>
        </w:tc>
      </w:tr>
      <w:tr w:rsidR="00C64E66" w:rsidRPr="00C64E66" w:rsidTr="00FC6D89"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„95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31" w:type="pct"/>
            <w:gridSpan w:val="2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Determinarea substanţelor  organice în aer: dioctilftalat, dibutilftalat, aldehidă formică, fenol, toluen, benzen etc. prin metoda GC cu termodesorber cu recoltarea pe tuburi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7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404”;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„101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t>Conductivitatea electrică prin utilizarea materialelor referente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210”;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„103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Determinarea metalelor toxice în apă prin metoda SAA (flacăra)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277”;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„107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t>Determinarea durităţii prin utilizarea materialelor referente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65”;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„111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t>Determinarea suspensiilor prin utilizarea materialelor referente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187”;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„112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t>Determinarea consumului biochimic de oxigen prin utilizarea materialelor referente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193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t>112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t>Determinarea consumului chimic de oxigen prin utilizarea materialelor referente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195”;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</w:pPr>
            <w:r w:rsidRPr="00C64E66">
              <w:t>„114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8B70A6">
            <w:pPr>
              <w:pStyle w:val="cn"/>
              <w:jc w:val="left"/>
            </w:pPr>
            <w:r w:rsidRPr="00C64E66">
              <w:t>Determinarea ionului de bor prin metoda fotocolorimetrică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223”;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„116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8B70A6">
            <w:pPr>
              <w:pStyle w:val="cn"/>
              <w:jc w:val="left"/>
            </w:pPr>
            <w:r w:rsidRPr="00C64E66">
              <w:t>Determinarea amoniacului prin metoda fotocolorimetrică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87”;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</w:pPr>
            <w:r w:rsidRPr="00C64E66">
              <w:t>„117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8B70A6">
            <w:pPr>
              <w:pStyle w:val="cn"/>
              <w:jc w:val="left"/>
            </w:pPr>
            <w:r w:rsidRPr="00C64E66">
              <w:t>Determinarea nitraţilor prin metoda fotocolorimetrică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219”;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</w:pPr>
            <w:r w:rsidRPr="00C64E66">
              <w:t>„120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8B70A6">
            <w:pPr>
              <w:pStyle w:val="cn"/>
              <w:jc w:val="left"/>
            </w:pPr>
            <w:r w:rsidRPr="00C64E66">
              <w:t>Determinarea nitriţilor prin metoda fotocolorimetrică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 la fiecare substanţă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96”;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</w:pPr>
            <w:r w:rsidRPr="00C64E66">
              <w:t xml:space="preserve"> 138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8B70A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Numărarea Escherichia coli prin metoda numărului celui mai probabil (NCP)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116”;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</w:pPr>
            <w:r w:rsidRPr="00C64E66">
              <w:t>„142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jc w:val="left"/>
            </w:pPr>
            <w:r w:rsidRPr="00C64E66">
              <w:rPr>
                <w:color w:val="000000"/>
              </w:rPr>
              <w:t>Numărarea  Clostridiilor sulfitreducătoare prin metoda numărului celui mai probabil (NCP)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102”;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„147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Detectarea Cronobacter  sakazakii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281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147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Numărarea microorganismelor mezofile aerobe şi facultativ anaerobe la 30 C prin metoda orizontală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98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147</w:t>
            </w:r>
            <w:r w:rsidRPr="00C64E66">
              <w:rPr>
                <w:vertAlign w:val="superscript"/>
              </w:rPr>
              <w:t>3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Numărarea bacteriilor coliforme prin metoda orizontală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92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147</w:t>
            </w:r>
            <w:r w:rsidRPr="00C64E66">
              <w:rPr>
                <w:vertAlign w:val="superscript"/>
              </w:rPr>
              <w:t>4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Numărarea bacteriilor coliforme prin metoda numărului celui mai probabil (NCP)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117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147</w:t>
            </w:r>
            <w:r w:rsidRPr="00C64E66">
              <w:rPr>
                <w:vertAlign w:val="superscript"/>
              </w:rPr>
              <w:t>5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Numărarea stafilococilor coagulazo-pozitivi prin tehnica pentru numere mici (NCP)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146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147</w:t>
            </w:r>
            <w:r w:rsidRPr="00C64E66">
              <w:rPr>
                <w:vertAlign w:val="superscript"/>
              </w:rPr>
              <w:t>6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Detectarea stafilococilor coagulazo-pozitivi prin metoda ISO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112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147</w:t>
            </w:r>
            <w:r w:rsidRPr="00C64E66">
              <w:rPr>
                <w:vertAlign w:val="superscript"/>
              </w:rPr>
              <w:t>7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Detectarea bacteriilor de genul Salmonella spp. prin metoda ISO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339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147</w:t>
            </w:r>
            <w:r w:rsidRPr="00C64E66">
              <w:rPr>
                <w:vertAlign w:val="superscript"/>
              </w:rPr>
              <w:t>8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Numărarea  Enterobacteriaceae prin tehnica NCP cu preîmbogăţire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132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  <w:tcBorders>
              <w:bottom w:val="single" w:sz="4" w:space="0" w:color="auto"/>
            </w:tcBorders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147</w:t>
            </w:r>
            <w:r w:rsidRPr="00C64E66">
              <w:rPr>
                <w:vertAlign w:val="superscript"/>
              </w:rPr>
              <w:t>9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  <w:tcBorders>
              <w:bottom w:val="single" w:sz="4" w:space="0" w:color="auto"/>
            </w:tcBorders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Numărarea levurilor şi micetelor prin metoda ISO</w:t>
            </w:r>
          </w:p>
        </w:tc>
        <w:tc>
          <w:tcPr>
            <w:tcW w:w="999" w:type="pct"/>
            <w:gridSpan w:val="2"/>
            <w:tcBorders>
              <w:bottom w:val="single" w:sz="4" w:space="0" w:color="auto"/>
            </w:tcBorders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100”;</w:t>
            </w:r>
          </w:p>
        </w:tc>
      </w:tr>
      <w:tr w:rsidR="006D3ECF" w:rsidRPr="00C64E66" w:rsidTr="00F31307">
        <w:trPr>
          <w:gridAfter w:val="1"/>
          <w:wAfter w:w="3" w:type="pct"/>
        </w:trPr>
        <w:tc>
          <w:tcPr>
            <w:tcW w:w="423" w:type="pct"/>
            <w:tcBorders>
              <w:bottom w:val="single" w:sz="4" w:space="0" w:color="auto"/>
            </w:tcBorders>
          </w:tcPr>
          <w:p w:rsidR="006D3ECF" w:rsidRPr="00C64E66" w:rsidRDefault="006D3ECF" w:rsidP="00E83E0D">
            <w:pPr>
              <w:pStyle w:val="cn"/>
              <w:jc w:val="left"/>
            </w:pPr>
          </w:p>
        </w:tc>
        <w:tc>
          <w:tcPr>
            <w:tcW w:w="3027" w:type="pct"/>
            <w:tcBorders>
              <w:bottom w:val="single" w:sz="4" w:space="0" w:color="auto"/>
            </w:tcBorders>
          </w:tcPr>
          <w:p w:rsidR="006D3ECF" w:rsidRPr="00C64E66" w:rsidRDefault="006D3ECF" w:rsidP="00FC6D89">
            <w:pPr>
              <w:pStyle w:val="cn"/>
              <w:jc w:val="left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C432C7">
              <w:rPr>
                <w:b/>
                <w:color w:val="000000"/>
              </w:rPr>
              <w:t>2.8.1. Determinarea indicilor sanitaro-bacteriologici la sistemul automat „Vidas”</w:t>
            </w:r>
          </w:p>
        </w:tc>
        <w:tc>
          <w:tcPr>
            <w:tcW w:w="999" w:type="pct"/>
            <w:gridSpan w:val="2"/>
            <w:tcBorders>
              <w:bottom w:val="single" w:sz="4" w:space="0" w:color="auto"/>
            </w:tcBorders>
          </w:tcPr>
          <w:p w:rsidR="006D3ECF" w:rsidRPr="00C64E66" w:rsidRDefault="006D3ECF" w:rsidP="00FC6D89">
            <w:pPr>
              <w:pStyle w:val="cn"/>
              <w:rPr>
                <w:color w:val="000000"/>
              </w:rPr>
            </w:pP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</w:tcPr>
          <w:p w:rsidR="006D3ECF" w:rsidRPr="00C64E66" w:rsidRDefault="006D3ECF" w:rsidP="00FC6D89">
            <w:pPr>
              <w:pStyle w:val="cn"/>
              <w:rPr>
                <w:color w:val="000000"/>
              </w:rPr>
            </w:pP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194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t xml:space="preserve">Investigaţii la </w:t>
            </w:r>
            <w:r w:rsidRPr="00C64E66">
              <w:rPr>
                <w:iCs/>
              </w:rPr>
              <w:t>Enterotoxina Stafolococică</w:t>
            </w:r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 investigaţie</w:t>
            </w:r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t>234</w:t>
            </w:r>
          </w:p>
        </w:tc>
      </w:tr>
      <w:tr w:rsidR="00C64E66" w:rsidRPr="00C64E66" w:rsidTr="007400B5">
        <w:trPr>
          <w:gridAfter w:val="1"/>
          <w:wAfter w:w="3" w:type="pct"/>
          <w:trHeight w:val="291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>194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 xml:space="preserve">Determinarea </w:t>
            </w:r>
            <w:r w:rsidRPr="00C64E66">
              <w:rPr>
                <w:iCs/>
              </w:rPr>
              <w:t>Salmonella</w:t>
            </w:r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>194</w:t>
            </w:r>
            <w:r w:rsidRPr="00C64E66">
              <w:rPr>
                <w:vertAlign w:val="superscript"/>
              </w:rPr>
              <w:t>3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 xml:space="preserve">Determinarea </w:t>
            </w:r>
            <w:r w:rsidRPr="00C64E66">
              <w:rPr>
                <w:iCs/>
              </w:rPr>
              <w:t>Listeria monocytogenes</w:t>
            </w:r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t>352”;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>„195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Determinarea cantitativă a anticorpilor specifici acidului folic prin RIE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242”;</w:t>
            </w:r>
          </w:p>
        </w:tc>
      </w:tr>
      <w:tr w:rsidR="00C64E66" w:rsidRPr="00C64E66" w:rsidTr="00F31307">
        <w:trPr>
          <w:gridAfter w:val="1"/>
          <w:wAfter w:w="3" w:type="pct"/>
          <w:trHeight w:val="270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 xml:space="preserve"> 197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Cercetarea voscopică a solului după Romanenko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118</w:t>
            </w:r>
          </w:p>
        </w:tc>
      </w:tr>
      <w:tr w:rsidR="00C64E66" w:rsidRPr="00C64E66" w:rsidTr="00F31307">
        <w:trPr>
          <w:gridAfter w:val="1"/>
          <w:wAfter w:w="3" w:type="pct"/>
          <w:trHeight w:val="270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>197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Cercetarea larvoscopică a solului după Baermann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85</w:t>
            </w:r>
          </w:p>
        </w:tc>
      </w:tr>
      <w:tr w:rsidR="00C64E66" w:rsidRPr="00C64E66" w:rsidTr="00F31307">
        <w:trPr>
          <w:gridAfter w:val="1"/>
          <w:wAfter w:w="3" w:type="pct"/>
          <w:trHeight w:val="539"/>
        </w:trPr>
        <w:tc>
          <w:tcPr>
            <w:tcW w:w="423" w:type="pct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Cercetarea solului la chisturi de protozoare patogene după Padcenco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170”;</w:t>
            </w:r>
          </w:p>
        </w:tc>
      </w:tr>
      <w:tr w:rsidR="00C64E66" w:rsidRPr="00C64E66" w:rsidTr="00F31307">
        <w:trPr>
          <w:gridAfter w:val="1"/>
          <w:wAfter w:w="3" w:type="pct"/>
          <w:trHeight w:val="270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>„198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Cercetarea ovoscopică a apelor reziduale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118</w:t>
            </w:r>
          </w:p>
        </w:tc>
      </w:tr>
      <w:tr w:rsidR="00C64E66" w:rsidRPr="00C64E66" w:rsidTr="00F31307">
        <w:trPr>
          <w:gridAfter w:val="1"/>
          <w:wAfter w:w="3" w:type="pct"/>
          <w:trHeight w:val="554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>198</w:t>
            </w:r>
            <w:r w:rsidRPr="00C64E66">
              <w:rPr>
                <w:vertAlign w:val="superscript"/>
              </w:rPr>
              <w:t>2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Cercetarea apelor reziduale la chisturi de protozoare patogene după Padcenco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86”;</w:t>
            </w:r>
          </w:p>
        </w:tc>
      </w:tr>
      <w:tr w:rsidR="00C64E66" w:rsidRPr="00C64E66" w:rsidTr="00F31307">
        <w:trPr>
          <w:gridAfter w:val="1"/>
          <w:wAfter w:w="3" w:type="pct"/>
          <w:trHeight w:val="539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>„199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Cercetarea apei din bazinele de suprafaţă prin metoda de sedimentare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1279”;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pStyle w:val="cn"/>
              <w:jc w:val="left"/>
              <w:rPr>
                <w:color w:val="000000"/>
              </w:rPr>
            </w:pPr>
            <w:r w:rsidRPr="00C64E66">
              <w:t xml:space="preserve"> „218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ind w:right="-108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Expertiza sanitară a documentaţiei şi evaluarea rezultatelor investigaţiilor de laborator în scopul avizării sanitare a termenelor de valabilitate pentru produsele alimentare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expertiză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2322”;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t>„244</w:t>
            </w:r>
            <w:r w:rsidRPr="00C64E66">
              <w:rPr>
                <w:vertAlign w:val="superscript"/>
              </w:rPr>
              <w:t>1</w:t>
            </w:r>
            <w:r w:rsidRPr="00C64E66">
              <w:rPr>
                <w:color w:val="000000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Primirea în exploatare a cabinetului de radiodiagnostic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364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Examinarea încăperilor pentru amplasarea şi amenajarea unui cabinet radiologic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170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Examinarea efectuării radiografiilor şi radiofotografiilor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41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Examinarea stării tehnice a dispozitivelor de radiodiagnostic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148”;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</w:tcPr>
          <w:p w:rsidR="00C64E66" w:rsidRPr="00C64E66" w:rsidRDefault="00C64E66" w:rsidP="00E83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„245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Evaluarea toxicităţii acute la administrarea intragastrică (DL50)</w:t>
            </w:r>
          </w:p>
        </w:tc>
        <w:tc>
          <w:tcPr>
            <w:tcW w:w="999" w:type="pct"/>
            <w:gridSpan w:val="2"/>
          </w:tcPr>
          <w:p w:rsidR="00C64E66" w:rsidRPr="00C64E66" w:rsidRDefault="00C64E66" w:rsidP="00FC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3992”;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  <w:tcBorders>
              <w:bottom w:val="single" w:sz="4" w:space="0" w:color="auto"/>
            </w:tcBorders>
          </w:tcPr>
          <w:p w:rsidR="00C64E66" w:rsidRPr="00C64E66" w:rsidRDefault="00C64E66" w:rsidP="00E83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„246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tcBorders>
              <w:bottom w:val="single" w:sz="4" w:space="0" w:color="auto"/>
            </w:tcBorders>
          </w:tcPr>
          <w:p w:rsidR="00C64E66" w:rsidRPr="00C64E66" w:rsidRDefault="00C64E66" w:rsidP="00FC6D89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Evaluarea toxicităţii acute la administrarea dermică (DL50)</w:t>
            </w:r>
          </w:p>
        </w:tc>
        <w:tc>
          <w:tcPr>
            <w:tcW w:w="999" w:type="pct"/>
            <w:gridSpan w:val="2"/>
            <w:tcBorders>
              <w:bottom w:val="single" w:sz="4" w:space="0" w:color="auto"/>
            </w:tcBorders>
          </w:tcPr>
          <w:p w:rsidR="00C64E66" w:rsidRPr="00C64E66" w:rsidRDefault="00C64E66" w:rsidP="00FC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</w:tcPr>
          <w:p w:rsidR="00C64E66" w:rsidRPr="00C64E66" w:rsidRDefault="00C64E66" w:rsidP="00FC6D89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3992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C64E66" w:rsidRDefault="00C64E66" w:rsidP="008B70A6">
            <w:pPr>
              <w:pStyle w:val="cn"/>
              <w:jc w:val="left"/>
              <w:rPr>
                <w:color w:val="000000"/>
              </w:rPr>
            </w:pPr>
            <w:r w:rsidRPr="00C64E66">
              <w:rPr>
                <w:color w:val="000000"/>
              </w:rPr>
              <w:t>Determinarea dozei letale medii dermice</w:t>
            </w:r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C64E66" w:rsidRDefault="00C64E66" w:rsidP="008B70A6">
            <w:pPr>
              <w:pStyle w:val="cn"/>
              <w:rPr>
                <w:color w:val="000000"/>
              </w:rPr>
            </w:pPr>
            <w:r w:rsidRPr="00C64E66">
              <w:rPr>
                <w:color w:val="000000"/>
              </w:rPr>
              <w:t>3794”;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„247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Evaluarea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toxicităţii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acute la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administrarea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inhalatorie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„249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proprietăţilor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sensibilizare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dermică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„252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proprietăţilor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iritare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coroziune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dermică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animale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proprietăţilor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iritare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pielii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voluntare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proprietăţilor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iritare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mucoasei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ochiului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„254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Evaluarea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toxicităţii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acute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celulară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1317”;</w:t>
            </w:r>
          </w:p>
        </w:tc>
      </w:tr>
      <w:tr w:rsidR="00C64E66" w:rsidRPr="00C64E66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„255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C64E66" w:rsidRPr="00C64E66" w:rsidRDefault="00C64E66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Determinarea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indicelui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toxicitate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</w:p>
        </w:tc>
        <w:tc>
          <w:tcPr>
            <w:tcW w:w="548" w:type="pct"/>
            <w:gridSpan w:val="2"/>
            <w:shd w:val="clear" w:color="auto" w:fill="FFFFFF"/>
          </w:tcPr>
          <w:p w:rsidR="00C64E66" w:rsidRPr="00C64E66" w:rsidRDefault="00C64E66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326”;</w:t>
            </w:r>
          </w:p>
        </w:tc>
      </w:tr>
      <w:tr w:rsidR="00FC6D89" w:rsidRPr="00C64E66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FC6D89" w:rsidRPr="00C64E66" w:rsidRDefault="00FC6D89" w:rsidP="00E83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„278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FC6D89" w:rsidRPr="00C64E66" w:rsidRDefault="00FC6D89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Evaluarea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factorilor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risc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profesional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ergonomici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RULA </w:t>
            </w:r>
          </w:p>
        </w:tc>
        <w:tc>
          <w:tcPr>
            <w:tcW w:w="999" w:type="pct"/>
            <w:gridSpan w:val="2"/>
            <w:shd w:val="clear" w:color="auto" w:fill="FFFFFF"/>
          </w:tcPr>
          <w:p w:rsidR="00FC6D89" w:rsidRPr="00C64E66" w:rsidRDefault="00FC6D89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examen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8" w:type="pct"/>
            <w:gridSpan w:val="2"/>
            <w:shd w:val="clear" w:color="auto" w:fill="FFFFFF"/>
          </w:tcPr>
          <w:p w:rsidR="00FC6D89" w:rsidRPr="00C64E66" w:rsidRDefault="00FC6D89" w:rsidP="00FC6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</w:tr>
      <w:tr w:rsidR="00FC6D89" w:rsidRPr="00C64E66" w:rsidTr="00F31307">
        <w:trPr>
          <w:gridAfter w:val="1"/>
          <w:wAfter w:w="3" w:type="pct"/>
        </w:trPr>
        <w:tc>
          <w:tcPr>
            <w:tcW w:w="423" w:type="pct"/>
            <w:shd w:val="clear" w:color="auto" w:fill="FFFFFF"/>
          </w:tcPr>
          <w:p w:rsidR="00FC6D89" w:rsidRPr="00C64E66" w:rsidRDefault="00FC6D89" w:rsidP="00E83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FC6D89" w:rsidRPr="00C64E66" w:rsidRDefault="00FC6D89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Evaluarea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igienică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condiţiilor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muncă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după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gradul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efort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fizic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FC6D89" w:rsidRPr="00C64E66" w:rsidRDefault="00FC6D89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examen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8" w:type="pct"/>
            <w:gridSpan w:val="2"/>
            <w:shd w:val="clear" w:color="auto" w:fill="FFFFFF"/>
          </w:tcPr>
          <w:p w:rsidR="00FC6D89" w:rsidRPr="00C64E66" w:rsidRDefault="00FC6D89" w:rsidP="00FC6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</w:tr>
      <w:tr w:rsidR="00FC6D89" w:rsidRPr="00C64E66" w:rsidTr="00F31307">
        <w:trPr>
          <w:gridAfter w:val="1"/>
          <w:wAfter w:w="3" w:type="pct"/>
          <w:trHeight w:val="430"/>
        </w:trPr>
        <w:tc>
          <w:tcPr>
            <w:tcW w:w="423" w:type="pct"/>
            <w:shd w:val="clear" w:color="auto" w:fill="FFFFFF"/>
          </w:tcPr>
          <w:p w:rsidR="00FC6D89" w:rsidRPr="00C64E66" w:rsidRDefault="00FC6D89" w:rsidP="00E83E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C64E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7" w:type="pct"/>
            <w:shd w:val="clear" w:color="auto" w:fill="FFFFFF"/>
          </w:tcPr>
          <w:p w:rsidR="00FC6D89" w:rsidRPr="00C64E66" w:rsidRDefault="00FC6D89" w:rsidP="008B70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Evaluarea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igienică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condiţiilor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muncă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după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gradul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încordare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procesul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lucru</w:t>
            </w:r>
            <w:proofErr w:type="spellEnd"/>
          </w:p>
        </w:tc>
        <w:tc>
          <w:tcPr>
            <w:tcW w:w="999" w:type="pct"/>
            <w:gridSpan w:val="2"/>
            <w:shd w:val="clear" w:color="auto" w:fill="FFFFFF"/>
          </w:tcPr>
          <w:p w:rsidR="00FC6D89" w:rsidRPr="00C64E66" w:rsidRDefault="00FC6D89" w:rsidP="008B70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investigaţie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examen</w:t>
            </w:r>
            <w:proofErr w:type="spellEnd"/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8" w:type="pct"/>
            <w:gridSpan w:val="2"/>
            <w:shd w:val="clear" w:color="auto" w:fill="FFFFFF"/>
          </w:tcPr>
          <w:p w:rsidR="00FC6D89" w:rsidRPr="00C64E66" w:rsidRDefault="00FC6D89" w:rsidP="00FC6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585”.</w:t>
            </w:r>
          </w:p>
        </w:tc>
      </w:tr>
    </w:tbl>
    <w:p w:rsidR="00C64E66" w:rsidRDefault="00C64E66" w:rsidP="00C64E66">
      <w:pPr>
        <w:pStyle w:val="cn"/>
        <w:ind w:firstLine="709"/>
        <w:jc w:val="both"/>
        <w:rPr>
          <w:sz w:val="16"/>
          <w:szCs w:val="16"/>
        </w:rPr>
      </w:pPr>
    </w:p>
    <w:p w:rsidR="001B783C" w:rsidRPr="00703A3A" w:rsidRDefault="001B783C" w:rsidP="001B783C">
      <w:pPr>
        <w:pStyle w:val="cn"/>
        <w:ind w:firstLine="709"/>
        <w:jc w:val="both"/>
        <w:rPr>
          <w:sz w:val="28"/>
          <w:szCs w:val="28"/>
        </w:rPr>
      </w:pPr>
      <w:r w:rsidRPr="00703A3A">
        <w:rPr>
          <w:sz w:val="28"/>
          <w:szCs w:val="28"/>
        </w:rPr>
        <w:t>în final tabelul Listei se completează cu Notă, cu următorul cuprins:</w:t>
      </w:r>
    </w:p>
    <w:p w:rsidR="001B783C" w:rsidRPr="00703A3A" w:rsidRDefault="001B783C" w:rsidP="001B783C">
      <w:pPr>
        <w:pStyle w:val="cn"/>
        <w:ind w:firstLine="709"/>
        <w:jc w:val="both"/>
        <w:rPr>
          <w:sz w:val="28"/>
          <w:szCs w:val="28"/>
        </w:rPr>
      </w:pPr>
      <w:r w:rsidRPr="00703A3A">
        <w:rPr>
          <w:sz w:val="28"/>
          <w:szCs w:val="28"/>
        </w:rPr>
        <w:t xml:space="preserve">„Notă: Instituţiile Serviciului de Supraveghere de Stat a Sănătăţii Publice sunt în drept să micşoreze tarifele la investigaţiile şi serviciile în sănătatea publică </w:t>
      </w:r>
      <w:r w:rsidR="0082713F">
        <w:rPr>
          <w:sz w:val="28"/>
          <w:szCs w:val="28"/>
        </w:rPr>
        <w:t xml:space="preserve">pentru păturile socialmente vulnerabile </w:t>
      </w:r>
      <w:r w:rsidRPr="00703A3A">
        <w:rPr>
          <w:sz w:val="28"/>
          <w:szCs w:val="28"/>
        </w:rPr>
        <w:t>în baza deciziilor comisiilor respective formate în instituţiile medicale.”</w:t>
      </w:r>
    </w:p>
    <w:p w:rsidR="001B783C" w:rsidRDefault="001B783C" w:rsidP="00C64E66">
      <w:pPr>
        <w:pStyle w:val="cn"/>
        <w:ind w:firstLine="709"/>
        <w:jc w:val="both"/>
        <w:rPr>
          <w:sz w:val="16"/>
          <w:szCs w:val="16"/>
        </w:rPr>
      </w:pPr>
    </w:p>
    <w:p w:rsidR="001B783C" w:rsidRDefault="001B783C" w:rsidP="00C64E66">
      <w:pPr>
        <w:pStyle w:val="cn"/>
        <w:ind w:firstLine="709"/>
        <w:jc w:val="both"/>
        <w:rPr>
          <w:sz w:val="16"/>
          <w:szCs w:val="16"/>
        </w:rPr>
      </w:pPr>
    </w:p>
    <w:p w:rsidR="001B783C" w:rsidRDefault="001B783C" w:rsidP="00C64E66">
      <w:pPr>
        <w:pStyle w:val="cn"/>
        <w:ind w:firstLine="709"/>
        <w:jc w:val="both"/>
        <w:rPr>
          <w:sz w:val="16"/>
          <w:szCs w:val="16"/>
        </w:rPr>
      </w:pPr>
    </w:p>
    <w:p w:rsidR="001B783C" w:rsidRDefault="001B783C" w:rsidP="00C64E66">
      <w:pPr>
        <w:pStyle w:val="cn"/>
        <w:ind w:firstLine="709"/>
        <w:jc w:val="both"/>
        <w:rPr>
          <w:sz w:val="16"/>
          <w:szCs w:val="16"/>
        </w:rPr>
      </w:pPr>
    </w:p>
    <w:p w:rsidR="001B783C" w:rsidRDefault="001B783C" w:rsidP="00C64E66">
      <w:pPr>
        <w:pStyle w:val="cn"/>
        <w:ind w:firstLine="709"/>
        <w:jc w:val="both"/>
        <w:rPr>
          <w:sz w:val="16"/>
          <w:szCs w:val="16"/>
        </w:rPr>
      </w:pPr>
    </w:p>
    <w:p w:rsidR="00662085" w:rsidRPr="00C64E66" w:rsidRDefault="00662085" w:rsidP="00C64E66">
      <w:pPr>
        <w:pStyle w:val="cn"/>
        <w:ind w:firstLine="709"/>
        <w:jc w:val="both"/>
        <w:rPr>
          <w:sz w:val="16"/>
          <w:szCs w:val="16"/>
        </w:rPr>
      </w:pPr>
    </w:p>
    <w:tbl>
      <w:tblPr>
        <w:tblW w:w="4629" w:type="pct"/>
        <w:tblCellSpacing w:w="15" w:type="dxa"/>
        <w:tblInd w:w="7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24"/>
        <w:gridCol w:w="2739"/>
        <w:gridCol w:w="898"/>
      </w:tblGrid>
      <w:tr w:rsidR="00C64E66" w:rsidRPr="00C64E66" w:rsidTr="00662085">
        <w:trPr>
          <w:gridAfter w:val="1"/>
          <w:wAfter w:w="455" w:type="pct"/>
          <w:trHeight w:val="281"/>
          <w:tblCellSpacing w:w="15" w:type="dxa"/>
        </w:trPr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E8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PRIM-MINISTRU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7D6A7F" w:rsidP="00E8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hiril</w:t>
            </w:r>
            <w:proofErr w:type="spellEnd"/>
            <w:r w:rsid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GABURICI</w:t>
            </w:r>
          </w:p>
        </w:tc>
      </w:tr>
      <w:tr w:rsidR="00C64E66" w:rsidRPr="00C64E66" w:rsidTr="00662085">
        <w:trPr>
          <w:trHeight w:val="576"/>
          <w:tblCellSpacing w:w="15" w:type="dxa"/>
        </w:trPr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E8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72" w:type="pct"/>
            <w:gridSpan w:val="2"/>
            <w:vAlign w:val="center"/>
          </w:tcPr>
          <w:p w:rsidR="00C64E66" w:rsidRPr="00C64E66" w:rsidRDefault="00C64E66" w:rsidP="00E83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66" w:rsidRPr="00C64E66" w:rsidTr="00662085">
        <w:trPr>
          <w:trHeight w:val="281"/>
          <w:tblCellSpacing w:w="15" w:type="dxa"/>
        </w:trPr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C64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Viceprim-ministru</w:t>
            </w:r>
            <w:proofErr w:type="spellEnd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C64E66" w:rsidRDefault="00C64E66" w:rsidP="00662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ministrul</w:t>
            </w:r>
            <w:proofErr w:type="spellEnd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economiei</w:t>
            </w:r>
            <w:proofErr w:type="spellEnd"/>
          </w:p>
          <w:p w:rsidR="00662085" w:rsidRPr="00C64E66" w:rsidRDefault="00662085" w:rsidP="006620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C64E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4E66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Stephane</w:t>
            </w:r>
            <w:proofErr w:type="spellEnd"/>
            <w:r w:rsidRPr="00C64E66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 Christophe Bride</w:t>
            </w:r>
          </w:p>
        </w:tc>
      </w:tr>
      <w:tr w:rsidR="00C64E66" w:rsidRPr="00C64E66" w:rsidTr="00662085">
        <w:trPr>
          <w:trHeight w:val="296"/>
          <w:tblCellSpacing w:w="15" w:type="dxa"/>
        </w:trPr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E8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Ministrul</w:t>
            </w:r>
            <w:proofErr w:type="spellEnd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sănătăţii</w:t>
            </w:r>
            <w:proofErr w:type="spellEnd"/>
          </w:p>
        </w:tc>
        <w:tc>
          <w:tcPr>
            <w:tcW w:w="19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6620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Mircea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Buga</w:t>
            </w:r>
            <w:proofErr w:type="spellEnd"/>
          </w:p>
        </w:tc>
      </w:tr>
      <w:tr w:rsidR="00C64E66" w:rsidRPr="00C64E66" w:rsidTr="00662085">
        <w:trPr>
          <w:trHeight w:val="281"/>
          <w:tblCellSpacing w:w="15" w:type="dxa"/>
        </w:trPr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E8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Ministrul</w:t>
            </w:r>
            <w:proofErr w:type="spellEnd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finanţelor</w:t>
            </w:r>
            <w:proofErr w:type="spellEnd"/>
          </w:p>
        </w:tc>
        <w:tc>
          <w:tcPr>
            <w:tcW w:w="19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4E66" w:rsidRPr="00C64E66" w:rsidRDefault="00C64E66" w:rsidP="00E83E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Anatol</w:t>
            </w:r>
            <w:proofErr w:type="spellEnd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Arapu</w:t>
            </w:r>
            <w:proofErr w:type="spellEnd"/>
          </w:p>
        </w:tc>
      </w:tr>
    </w:tbl>
    <w:p w:rsidR="002148D2" w:rsidRPr="00C64E66" w:rsidRDefault="002148D2">
      <w:pPr>
        <w:rPr>
          <w:rFonts w:ascii="Times New Roman" w:hAnsi="Times New Roman" w:cs="Times New Roman"/>
        </w:rPr>
      </w:pPr>
    </w:p>
    <w:sectPr w:rsidR="002148D2" w:rsidRPr="00C64E66" w:rsidSect="0066208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732"/>
    <w:multiLevelType w:val="hybridMultilevel"/>
    <w:tmpl w:val="709CAD8A"/>
    <w:lvl w:ilvl="0" w:tplc="C248E5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64E66"/>
    <w:rsid w:val="00020A51"/>
    <w:rsid w:val="000A3BFA"/>
    <w:rsid w:val="000C693F"/>
    <w:rsid w:val="00144D28"/>
    <w:rsid w:val="001B783C"/>
    <w:rsid w:val="002148D2"/>
    <w:rsid w:val="00250EB8"/>
    <w:rsid w:val="00462281"/>
    <w:rsid w:val="004C0304"/>
    <w:rsid w:val="00593B4B"/>
    <w:rsid w:val="00662085"/>
    <w:rsid w:val="006D3ECF"/>
    <w:rsid w:val="006F7666"/>
    <w:rsid w:val="00722F8E"/>
    <w:rsid w:val="007400B5"/>
    <w:rsid w:val="00787334"/>
    <w:rsid w:val="007D6A7F"/>
    <w:rsid w:val="007E0A23"/>
    <w:rsid w:val="0082713F"/>
    <w:rsid w:val="008B70A6"/>
    <w:rsid w:val="008D22FB"/>
    <w:rsid w:val="00957FD5"/>
    <w:rsid w:val="00C432C7"/>
    <w:rsid w:val="00C64E66"/>
    <w:rsid w:val="00C738D3"/>
    <w:rsid w:val="00C77724"/>
    <w:rsid w:val="00D63B44"/>
    <w:rsid w:val="00DC297E"/>
    <w:rsid w:val="00DF5A95"/>
    <w:rsid w:val="00F31307"/>
    <w:rsid w:val="00F31FDA"/>
    <w:rsid w:val="00F66CDC"/>
    <w:rsid w:val="00FC6D89"/>
    <w:rsid w:val="00FD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24"/>
  </w:style>
  <w:style w:type="paragraph" w:styleId="Heading2">
    <w:name w:val="heading 2"/>
    <w:basedOn w:val="Normal"/>
    <w:next w:val="Normal"/>
    <w:link w:val="Heading2Char"/>
    <w:qFormat/>
    <w:rsid w:val="00C64E6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4E66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docheader">
    <w:name w:val="doc_header"/>
    <w:basedOn w:val="DefaultParagraphFont"/>
    <w:rsid w:val="00C64E66"/>
  </w:style>
  <w:style w:type="paragraph" w:customStyle="1" w:styleId="cn">
    <w:name w:val="cn"/>
    <w:basedOn w:val="Normal"/>
    <w:rsid w:val="00C64E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TableGrid">
    <w:name w:val="Table Grid"/>
    <w:basedOn w:val="TableNormal"/>
    <w:rsid w:val="00C6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64E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Cerescu</dc:creator>
  <cp:keywords/>
  <dc:description/>
  <cp:lastModifiedBy>Svetlana Cerescu</cp:lastModifiedBy>
  <cp:revision>31</cp:revision>
  <cp:lastPrinted>2015-05-04T06:00:00Z</cp:lastPrinted>
  <dcterms:created xsi:type="dcterms:W3CDTF">2015-03-10T11:53:00Z</dcterms:created>
  <dcterms:modified xsi:type="dcterms:W3CDTF">2015-05-04T06:01:00Z</dcterms:modified>
</cp:coreProperties>
</file>