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4D225" w14:textId="77777777" w:rsidR="00895F78" w:rsidRDefault="00000000">
      <w:pPr>
        <w:spacing w:before="240" w:after="240" w:line="276"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 Tabelul comparativ</w:t>
      </w:r>
    </w:p>
    <w:p w14:paraId="193E83F9" w14:textId="77777777" w:rsidR="00895F78" w:rsidRDefault="00000000">
      <w:pPr>
        <w:spacing w:before="240" w:after="240" w:line="276"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 xml:space="preserve">la proiectul de lege </w:t>
      </w:r>
      <w:r>
        <w:rPr>
          <w:rFonts w:ascii="Times New Roman" w:eastAsia="Times New Roman" w:hAnsi="Times New Roman" w:cs="Times New Roman"/>
          <w:b/>
          <w:bCs/>
        </w:rPr>
        <w:t>pentru modificarea unor acte normative (pentru asigurarea egalității de remunerare prin transparență salarială)</w:t>
      </w:r>
    </w:p>
    <w:tbl>
      <w:tblPr>
        <w:tblStyle w:val="a5"/>
        <w:tblW w:w="139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545"/>
        <w:gridCol w:w="4665"/>
        <w:gridCol w:w="4515"/>
        <w:gridCol w:w="240"/>
      </w:tblGrid>
      <w:tr w:rsidR="00895F78" w14:paraId="392A0ABD" w14:textId="77777777">
        <w:trPr>
          <w:trHeight w:val="315"/>
        </w:trPr>
        <w:tc>
          <w:tcPr>
            <w:tcW w:w="454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E59B995" w14:textId="77777777" w:rsidR="00895F78" w:rsidRDefault="00000000">
            <w:pPr>
              <w:spacing w:before="240" w:after="240" w:line="276" w:lineRule="auto"/>
              <w:jc w:val="center"/>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Conținutul normei în vigoare</w:t>
            </w:r>
          </w:p>
        </w:tc>
        <w:tc>
          <w:tcPr>
            <w:tcW w:w="466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3313F9B" w14:textId="77777777" w:rsidR="00895F78" w:rsidRDefault="00000000">
            <w:pPr>
              <w:spacing w:before="240" w:after="240" w:line="276" w:lineRule="auto"/>
              <w:jc w:val="center"/>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Modificarea propusă</w:t>
            </w:r>
          </w:p>
        </w:tc>
        <w:tc>
          <w:tcPr>
            <w:tcW w:w="451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361D2CF" w14:textId="77777777" w:rsidR="00895F78" w:rsidRDefault="00000000">
            <w:pPr>
              <w:spacing w:before="240" w:after="240" w:line="276" w:lineRule="auto"/>
              <w:jc w:val="center"/>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Conținutul normei după modificare</w:t>
            </w:r>
          </w:p>
        </w:tc>
        <w:tc>
          <w:tcPr>
            <w:tcW w:w="240" w:type="dxa"/>
            <w:tcBorders>
              <w:top w:val="nil"/>
              <w:left w:val="nil"/>
              <w:bottom w:val="nil"/>
              <w:right w:val="nil"/>
            </w:tcBorders>
            <w:tcMar>
              <w:top w:w="0" w:type="dxa"/>
              <w:left w:w="0" w:type="dxa"/>
              <w:bottom w:w="0" w:type="dxa"/>
              <w:right w:w="0" w:type="dxa"/>
            </w:tcMar>
          </w:tcPr>
          <w:p w14:paraId="4AE11D33" w14:textId="77777777" w:rsidR="00895F78" w:rsidRDefault="00000000">
            <w:pPr>
              <w:spacing w:before="240" w:after="240" w:line="276" w:lineRule="auto"/>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xml:space="preserve"> </w:t>
            </w:r>
          </w:p>
        </w:tc>
      </w:tr>
      <w:tr w:rsidR="00895F78" w14:paraId="58A4E98F" w14:textId="77777777">
        <w:trPr>
          <w:trHeight w:val="799"/>
        </w:trPr>
        <w:tc>
          <w:tcPr>
            <w:tcW w:w="13725" w:type="dxa"/>
            <w:gridSpan w:val="3"/>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CEACD01"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highlight w:val="white"/>
              </w:rPr>
              <w:t xml:space="preserve"> </w:t>
            </w:r>
            <w:r>
              <w:rPr>
                <w:rFonts w:ascii="Times New Roman" w:eastAsia="Times New Roman" w:hAnsi="Times New Roman" w:cs="Times New Roman"/>
                <w:b/>
                <w:bCs/>
                <w:sz w:val="22"/>
                <w:szCs w:val="22"/>
              </w:rPr>
              <w:t>Articolul I.</w:t>
            </w:r>
            <w:r>
              <w:rPr>
                <w:rFonts w:ascii="Times New Roman" w:eastAsia="Times New Roman" w:hAnsi="Times New Roman" w:cs="Times New Roman"/>
                <w:sz w:val="22"/>
                <w:szCs w:val="22"/>
              </w:rPr>
              <w:t> </w:t>
            </w:r>
            <w:r>
              <w:rPr>
                <w:rFonts w:ascii="Times New Roman" w:eastAsia="Times New Roman" w:hAnsi="Times New Roman" w:cs="Times New Roman"/>
                <w:b/>
                <w:bCs/>
                <w:sz w:val="22"/>
                <w:szCs w:val="22"/>
              </w:rPr>
              <w:t>Codul Muncii al Republicii Moldova nr. 154/2003</w:t>
            </w:r>
            <w:r>
              <w:rPr>
                <w:rFonts w:ascii="Times New Roman" w:eastAsia="Times New Roman" w:hAnsi="Times New Roman" w:cs="Times New Roman"/>
                <w:sz w:val="22"/>
                <w:szCs w:val="22"/>
              </w:rPr>
              <w:t xml:space="preserve"> (Monitorul Oficial al Republicii Moldova, 2003, nr. 159–162, art. 648), cu modificările ulterioare, se modifică după cum urmează:</w:t>
            </w:r>
          </w:p>
        </w:tc>
        <w:tc>
          <w:tcPr>
            <w:tcW w:w="240" w:type="dxa"/>
            <w:tcBorders>
              <w:top w:val="nil"/>
              <w:left w:val="nil"/>
              <w:bottom w:val="nil"/>
              <w:right w:val="nil"/>
            </w:tcBorders>
            <w:tcMar>
              <w:top w:w="0" w:type="dxa"/>
              <w:left w:w="0" w:type="dxa"/>
              <w:bottom w:w="0" w:type="dxa"/>
              <w:right w:w="0" w:type="dxa"/>
            </w:tcMar>
          </w:tcPr>
          <w:p w14:paraId="76C758C1" w14:textId="77777777" w:rsidR="00895F78" w:rsidRDefault="00000000">
            <w:pPr>
              <w:spacing w:before="240" w:after="240" w:line="276" w:lineRule="auto"/>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xml:space="preserve"> </w:t>
            </w:r>
          </w:p>
        </w:tc>
      </w:tr>
      <w:tr w:rsidR="00895F78" w14:paraId="7C397F7D"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9A1001F" w14:textId="77777777" w:rsidR="00895F78" w:rsidRDefault="00000000">
            <w:pPr>
              <w:shd w:val="clear" w:color="auto" w:fill="FFFFFF"/>
              <w:spacing w:after="0" w:line="276" w:lineRule="auto"/>
              <w:ind w:firstLine="700"/>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Parlamentul adoptă prezentul cod.</w:t>
            </w:r>
          </w:p>
          <w:p w14:paraId="408E71B0" w14:textId="77777777" w:rsidR="00895F78" w:rsidRDefault="00000000">
            <w:pPr>
              <w:shd w:val="clear" w:color="auto" w:fill="FFFFFF"/>
              <w:spacing w:after="0" w:line="276" w:lineRule="auto"/>
              <w:ind w:firstLine="700"/>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Prezenta lege:</w:t>
            </w:r>
          </w:p>
          <w:p w14:paraId="33AC5144" w14:textId="77777777" w:rsidR="00895F78" w:rsidRDefault="00000000">
            <w:pPr>
              <w:shd w:val="clear" w:color="auto" w:fill="FFFFFF"/>
              <w:spacing w:after="0" w:line="276" w:lineRule="auto"/>
              <w:ind w:firstLine="700"/>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transpune parțial (art. 1 alin. (1) și (2), art. 2, 3, art. 4 alin. (1), (2) și (4), art. 5 alin. (1), (2) și (5), art. 6, art. 9 alin. (2) și art. 10) Directiva 2008/104/CE a Parlamentului European și a Consiliului din 19 noiembrie 2008 privind munca prin agent de muncă temporară, publicată în Jurnalul Oficial al Uniunii Europene L 327/9 din 5 decembrie 2008, CELEX: 32008L0104;</w:t>
            </w:r>
          </w:p>
          <w:p w14:paraId="74B67FDB" w14:textId="77777777" w:rsidR="00895F78" w:rsidRDefault="00000000">
            <w:pPr>
              <w:shd w:val="clear" w:color="auto" w:fill="FFFFFF"/>
              <w:spacing w:after="0" w:line="276" w:lineRule="auto"/>
              <w:ind w:firstLine="700"/>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xml:space="preserve">– transpune parțial (art. 3 lit. (e) și (f), art. 8 alin. (1) și (4), art. 9 alin. (1), art. 10 alin. (1) și art. 12)  Directiva 94/33/CE a Consiliului din 22 iunie 1994 privind protecția tinerilor la locul de muncă, publicată în Jurnalul Oficial al Uniunii Europene L 216/12 din 20 august 1994, CELEX: 31994L0033, astfel cum a fost modificată ultima dată prin Regulamentul (UE) </w:t>
            </w:r>
            <w:r>
              <w:rPr>
                <w:rFonts w:ascii="Times New Roman" w:eastAsia="Times New Roman" w:hAnsi="Times New Roman" w:cs="Times New Roman"/>
                <w:sz w:val="22"/>
                <w:szCs w:val="22"/>
                <w:highlight w:val="white"/>
              </w:rPr>
              <w:lastRenderedPageBreak/>
              <w:t>2019/1243 al Parlamentului European și al Consiliului din 20 iunie 2019;</w:t>
            </w:r>
          </w:p>
          <w:p w14:paraId="1853F2D1" w14:textId="77777777" w:rsidR="00895F78" w:rsidRDefault="00000000">
            <w:pPr>
              <w:shd w:val="clear" w:color="auto" w:fill="FFFFFF"/>
              <w:spacing w:after="0" w:line="276" w:lineRule="auto"/>
              <w:ind w:firstLine="700"/>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transpune parțial (art. 2 pct. 1, 2, 4 și 9, art. 3, 5, 8, art. 16 lit. (b) și (c), art. 17 alin. (5) și art. 19) Directiva 2003/88/CE a Parlamentului European și a Consiliului din 4 noiembrie 2003 privind anumite aspecte ale organizării timpului de lucru, publicată în Jurnalul Oficial al Uniunii Europene L 299/9 din 18 noiembrie 2003, CELEX: 32003L0088;</w:t>
            </w:r>
          </w:p>
          <w:p w14:paraId="6796F1F2" w14:textId="77777777" w:rsidR="00895F78" w:rsidRDefault="00000000">
            <w:pPr>
              <w:shd w:val="clear" w:color="auto" w:fill="FFFFFF"/>
              <w:spacing w:after="0" w:line="276" w:lineRule="auto"/>
              <w:ind w:firstLine="700"/>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transpune parțial (art. 1 alin. (2), art. 2 lit. (a), art. 4 alin. (2) lit. (f)–(h) și (j)–(l), art. 6 alin. (2), art. 7 alin. (1) lit. (d), art. 12, 13, 17 și art. 18 alin. (1)) Directiva (UE) 2019/1152 a Parlamentului European și a Consiliului din 20 iunie 2019 privind transparența și previzibilitatea condițiilor de muncă în Uniunea Europeană, publicată în Jurnalul Oficial al Uniunii Europene L 186/105 din 11 iulie 2019, CELEX: 32019L1152;</w:t>
            </w:r>
          </w:p>
          <w:p w14:paraId="24CCCFB2" w14:textId="77777777" w:rsidR="00895F78" w:rsidRDefault="00000000">
            <w:pPr>
              <w:shd w:val="clear" w:color="auto" w:fill="FFFFFF"/>
              <w:spacing w:after="0" w:line="276" w:lineRule="auto"/>
              <w:ind w:firstLine="700"/>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transpune parțial (art. 1 alin. (1)–(3), art. 3 pct. 3 și 5, art. 4 alin. (1) lit. (a) și (d), art. 5 alin. (1), art. 7, 9 și art. 10 alin. (1)) Directiva (UE) 2022/2041 a Parlamentului European și a Consiliului din 19 octombrie 2022 privind salariile minime adecvate în Uniunea Europeană, publicată în Jurnalul Oficial al Uniunii Europene L 275 din 25 octombrie 2022, CELEX: 32022L2041.</w:t>
            </w:r>
          </w:p>
          <w:p w14:paraId="6048A007" w14:textId="77777777" w:rsidR="00895F78" w:rsidRDefault="00895F78">
            <w:pPr>
              <w:shd w:val="clear" w:color="auto" w:fill="FFFFFF"/>
              <w:spacing w:after="0" w:line="276" w:lineRule="auto"/>
              <w:ind w:firstLine="700"/>
              <w:rPr>
                <w:rFonts w:ascii="Times New Roman" w:eastAsia="Times New Roman" w:hAnsi="Times New Roman" w:cs="Times New Roman"/>
                <w:sz w:val="22"/>
                <w:szCs w:val="22"/>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5D300781"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highlight w:val="white"/>
              </w:rPr>
              <w:lastRenderedPageBreak/>
              <w:t>1.</w:t>
            </w:r>
            <w:r>
              <w:rPr>
                <w:rFonts w:ascii="Times New Roman" w:eastAsia="Times New Roman" w:hAnsi="Times New Roman" w:cs="Times New Roman"/>
                <w:sz w:val="22"/>
                <w:szCs w:val="22"/>
                <w:highlight w:val="white"/>
              </w:rPr>
              <w:t xml:space="preserve"> Clauza de armonizare se completează, după cum urmează: </w:t>
            </w:r>
          </w:p>
          <w:p w14:paraId="169CCD56"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transpune parțial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(Text cu relevanță pentru SEE), CELEX: 32023L0970, publicată în Jurnalul Oficial al Uniunii Europene L 132 din 17 mai 2023 și se aliniază la Recomandarea Comisiei din 7 martie 2014 referitoare la consolidarea principiului egalității de remunerare între bărbați și femei prin transparență (Text cu relevanță pentru SEE).</w:t>
            </w:r>
          </w:p>
          <w:p w14:paraId="187E1E2F"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p w14:paraId="39589E8E"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p w14:paraId="17C7913E"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5E1BC154" w14:textId="77777777" w:rsidR="00895F78" w:rsidRDefault="00000000">
            <w:pPr>
              <w:spacing w:before="240" w:after="240" w:line="276" w:lineRule="auto"/>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Parlamentul adoptă prezentul cod.</w:t>
            </w:r>
          </w:p>
          <w:p w14:paraId="69D48A21" w14:textId="77777777" w:rsidR="00895F78" w:rsidRDefault="00000000">
            <w:pPr>
              <w:spacing w:before="240" w:after="240" w:line="276" w:lineRule="auto"/>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Prezenta lege:</w:t>
            </w:r>
          </w:p>
          <w:p w14:paraId="19C4134B" w14:textId="77777777" w:rsidR="00895F78" w:rsidRDefault="00000000">
            <w:pPr>
              <w:spacing w:before="240" w:after="240" w:line="276" w:lineRule="auto"/>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1224EF07" w14:textId="77777777" w:rsidR="00895F78" w:rsidRDefault="00000000">
            <w:pPr>
              <w:ind w:firstLine="56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 transpune parțial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(Text cu relevanță pentru SEE), CELEX: 32023L0970, publicată în Jurnalul Oficial al Uniunii Europene L 132 din 17 mai 2023 și se aliniază la Recomandarea Comisiei din 7 martie 2014 referitoare la consolidarea principiului egalității de </w:t>
            </w:r>
            <w:r>
              <w:rPr>
                <w:rFonts w:ascii="Times New Roman" w:eastAsia="Times New Roman" w:hAnsi="Times New Roman" w:cs="Times New Roman"/>
                <w:b/>
                <w:bCs/>
                <w:sz w:val="22"/>
                <w:szCs w:val="22"/>
              </w:rPr>
              <w:lastRenderedPageBreak/>
              <w:t>remunerare între bărbați și femei prin transparență (Text cu relevanță pentru SEE).</w:t>
            </w:r>
          </w:p>
          <w:p w14:paraId="2DF29DA9" w14:textId="77777777" w:rsidR="00895F78" w:rsidRDefault="00895F78">
            <w:pPr>
              <w:spacing w:before="240" w:after="240" w:line="276" w:lineRule="auto"/>
              <w:rPr>
                <w:rFonts w:ascii="Times New Roman" w:eastAsia="Times New Roman" w:hAnsi="Times New Roman" w:cs="Times New Roman"/>
                <w:b/>
                <w:bCs/>
                <w:sz w:val="22"/>
                <w:szCs w:val="22"/>
              </w:rPr>
            </w:pPr>
          </w:p>
          <w:p w14:paraId="4F972620" w14:textId="77777777" w:rsidR="00895F78" w:rsidRDefault="00895F78">
            <w:pPr>
              <w:shd w:val="clear" w:color="auto" w:fill="FFFFFF"/>
              <w:spacing w:after="0" w:line="276" w:lineRule="auto"/>
              <w:ind w:firstLine="700"/>
              <w:rPr>
                <w:rFonts w:ascii="Times New Roman" w:eastAsia="Times New Roman" w:hAnsi="Times New Roman" w:cs="Times New Roman"/>
                <w:sz w:val="22"/>
                <w:szCs w:val="22"/>
                <w:highlight w:val="white"/>
              </w:rPr>
            </w:pPr>
          </w:p>
        </w:tc>
        <w:tc>
          <w:tcPr>
            <w:tcW w:w="240" w:type="dxa"/>
            <w:tcBorders>
              <w:top w:val="nil"/>
              <w:left w:val="nil"/>
              <w:bottom w:val="nil"/>
              <w:right w:val="nil"/>
            </w:tcBorders>
            <w:tcMar>
              <w:top w:w="0" w:type="dxa"/>
              <w:left w:w="0" w:type="dxa"/>
              <w:bottom w:w="0" w:type="dxa"/>
              <w:right w:w="0" w:type="dxa"/>
            </w:tcMar>
          </w:tcPr>
          <w:p w14:paraId="749E6945" w14:textId="77777777" w:rsidR="00895F78" w:rsidRDefault="00000000">
            <w:pPr>
              <w:spacing w:before="240" w:after="240" w:line="276" w:lineRule="auto"/>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lastRenderedPageBreak/>
              <w:t xml:space="preserve"> </w:t>
            </w:r>
          </w:p>
        </w:tc>
      </w:tr>
      <w:tr w:rsidR="00895F78" w14:paraId="218A8E28"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4DCCF54" w14:textId="77777777" w:rsidR="00895F78" w:rsidRDefault="00000000">
            <w:pPr>
              <w:spacing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color w:val="333333"/>
                <w:sz w:val="22"/>
                <w:szCs w:val="22"/>
                <w:highlight w:val="white"/>
              </w:rPr>
              <w:lastRenderedPageBreak/>
              <w:t xml:space="preserve"> </w:t>
            </w:r>
            <w:r>
              <w:rPr>
                <w:rFonts w:ascii="Times New Roman" w:eastAsia="Times New Roman" w:hAnsi="Times New Roman" w:cs="Times New Roman"/>
                <w:sz w:val="22"/>
                <w:szCs w:val="22"/>
                <w:highlight w:val="white"/>
              </w:rPr>
              <w:t>Articolul 1. Noţiuni principale</w:t>
            </w:r>
          </w:p>
          <w:p w14:paraId="660A992A" w14:textId="77777777" w:rsidR="00895F78" w:rsidRDefault="00000000">
            <w:pPr>
              <w:shd w:val="clear" w:color="auto" w:fill="FFFFFF"/>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În sensul prezentului cod, se definesc următoarele noţiuni:</w:t>
            </w:r>
          </w:p>
          <w:p w14:paraId="3FA2BD52" w14:textId="77777777" w:rsidR="00895F78" w:rsidRDefault="00000000">
            <w:pPr>
              <w:shd w:val="clear" w:color="auto" w:fill="FFFFFF"/>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i/>
                <w:iCs/>
                <w:sz w:val="22"/>
                <w:szCs w:val="22"/>
                <w:highlight w:val="white"/>
              </w:rPr>
              <w:t>diferență de gen de salarizare</w:t>
            </w:r>
            <w:r>
              <w:rPr>
                <w:rFonts w:ascii="Times New Roman" w:eastAsia="Times New Roman" w:hAnsi="Times New Roman" w:cs="Times New Roman"/>
                <w:sz w:val="22"/>
                <w:szCs w:val="22"/>
                <w:highlight w:val="white"/>
              </w:rPr>
              <w:t> – diferență dintre nivelurile medii de salarizare între salariații de sex feminin și cei de sex masculin, exprimată ca procent din nivelul mediu de salarizare a salariaților de sex masculin;</w:t>
            </w:r>
          </w:p>
          <w:p w14:paraId="6145BD31"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4B77E8CD" w14:textId="77777777" w:rsidR="00895F78" w:rsidRDefault="00000000">
            <w:pPr>
              <w:shd w:val="clear" w:color="auto" w:fill="FFFFFF"/>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i/>
                <w:iCs/>
                <w:sz w:val="22"/>
                <w:szCs w:val="22"/>
                <w:highlight w:val="white"/>
              </w:rPr>
              <w:t>hărțuire sexuală </w:t>
            </w:r>
            <w:r>
              <w:rPr>
                <w:rFonts w:ascii="Times New Roman" w:eastAsia="Times New Roman" w:hAnsi="Times New Roman" w:cs="Times New Roman"/>
                <w:sz w:val="22"/>
                <w:szCs w:val="22"/>
                <w:highlight w:val="white"/>
              </w:rPr>
              <w:t>– manifestare a unui comportament fizic, verbal, nonverbal sau a altor acțiuni de natură sexuală care conduc la crearea unui mediu intimidant, ostil, degradant, umilitor sau ofensator, având drept scop sau efect lezarea demnității unei persoane;</w:t>
            </w:r>
          </w:p>
          <w:p w14:paraId="522ADECE"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51B278F9" w14:textId="77777777" w:rsidR="00895F78" w:rsidRDefault="00000000">
            <w:pPr>
              <w:shd w:val="clear" w:color="auto" w:fill="FFFFFF"/>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i/>
                <w:iCs/>
                <w:sz w:val="22"/>
                <w:szCs w:val="22"/>
                <w:highlight w:val="white"/>
              </w:rPr>
              <w:t>nivel de salarizare</w:t>
            </w:r>
            <w:r>
              <w:rPr>
                <w:rFonts w:ascii="Times New Roman" w:eastAsia="Times New Roman" w:hAnsi="Times New Roman" w:cs="Times New Roman"/>
                <w:sz w:val="22"/>
                <w:szCs w:val="22"/>
                <w:highlight w:val="white"/>
              </w:rPr>
              <w:t> – remunerație anuală brută și remunerație orară brută corespunzătoare;</w:t>
            </w:r>
          </w:p>
          <w:p w14:paraId="46D7D720"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6164CB54" w14:textId="77777777" w:rsidR="00895F78" w:rsidRDefault="00000000">
            <w:pPr>
              <w:shd w:val="clear" w:color="auto" w:fill="FFFFFF"/>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i/>
                <w:iCs/>
                <w:sz w:val="22"/>
                <w:szCs w:val="22"/>
                <w:highlight w:val="white"/>
              </w:rPr>
              <w:t xml:space="preserve">remunerație – </w:t>
            </w:r>
            <w:r>
              <w:rPr>
                <w:rFonts w:ascii="Times New Roman" w:eastAsia="Times New Roman" w:hAnsi="Times New Roman" w:cs="Times New Roman"/>
                <w:sz w:val="22"/>
                <w:szCs w:val="22"/>
                <w:highlight w:val="white"/>
              </w:rPr>
              <w:t>retribuție bănească care include salariul de bază (salariul tarifar, salariul funcției), precum și toate adaosurile, sporurile, premiile și alte plăți de stimulare și compensare acordate salariatului de către angajator în temeiul contractului individual de muncă pentru munca prestată;</w:t>
            </w:r>
          </w:p>
          <w:p w14:paraId="72D93426" w14:textId="77777777" w:rsidR="00895F78" w:rsidRDefault="00895F78">
            <w:pPr>
              <w:shd w:val="clear" w:color="auto" w:fill="FFFFFF"/>
              <w:spacing w:after="0" w:line="276" w:lineRule="auto"/>
              <w:jc w:val="both"/>
              <w:rPr>
                <w:rFonts w:ascii="Times New Roman" w:eastAsia="Times New Roman" w:hAnsi="Times New Roman" w:cs="Times New Roman"/>
                <w:i/>
                <w:iCs/>
                <w:sz w:val="22"/>
                <w:szCs w:val="22"/>
                <w:highlight w:val="white"/>
              </w:rPr>
            </w:pPr>
          </w:p>
          <w:p w14:paraId="11B27F75" w14:textId="77777777" w:rsidR="00895F78" w:rsidRDefault="00000000">
            <w:pPr>
              <w:shd w:val="clear" w:color="auto" w:fill="FFFFFF"/>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07D0637B" w14:textId="77777777" w:rsidR="00895F78" w:rsidRDefault="00895F78">
            <w:pPr>
              <w:shd w:val="clear" w:color="auto" w:fill="FFFFFF"/>
              <w:spacing w:after="0" w:line="276" w:lineRule="auto"/>
              <w:jc w:val="both"/>
              <w:rPr>
                <w:rFonts w:ascii="Times New Roman" w:eastAsia="Times New Roman" w:hAnsi="Times New Roman" w:cs="Times New Roman"/>
                <w:i/>
                <w:iCs/>
                <w:sz w:val="22"/>
                <w:szCs w:val="22"/>
                <w:highlight w:val="white"/>
              </w:rPr>
            </w:pPr>
          </w:p>
          <w:p w14:paraId="60850D18"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6B544063"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1A36FAAC"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4A3B50C1"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6095E5C3"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719C4806"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1383F463"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48432426"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52CEA9C2"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5D535D27"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62298DAA"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6F2C8D32"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1B319A39"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58F63547"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7866C3F3"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19783558"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highlight w:val="white"/>
              </w:rPr>
              <w:lastRenderedPageBreak/>
              <w:t xml:space="preserve">   </w:t>
            </w:r>
            <w:r>
              <w:rPr>
                <w:rFonts w:ascii="Times New Roman" w:eastAsia="Times New Roman" w:hAnsi="Times New Roman" w:cs="Times New Roman"/>
                <w:b/>
                <w:bCs/>
                <w:sz w:val="22"/>
                <w:szCs w:val="22"/>
              </w:rPr>
              <w:t>2.</w:t>
            </w:r>
            <w:r>
              <w:rPr>
                <w:rFonts w:ascii="Times New Roman" w:eastAsia="Times New Roman" w:hAnsi="Times New Roman" w:cs="Times New Roman"/>
                <w:sz w:val="22"/>
                <w:szCs w:val="22"/>
              </w:rPr>
              <w:t xml:space="preserve"> Articolul 1:</w:t>
            </w:r>
          </w:p>
          <w:p w14:paraId="33A33262" w14:textId="77777777" w:rsidR="00895F78" w:rsidRDefault="00000000">
            <w:pPr>
              <w:spacing w:after="0"/>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noțiunea </w:t>
            </w:r>
            <w:r>
              <w:rPr>
                <w:rFonts w:ascii="Times New Roman" w:eastAsia="Times New Roman" w:hAnsi="Times New Roman" w:cs="Times New Roman"/>
                <w:i/>
                <w:iCs/>
                <w:sz w:val="22"/>
                <w:szCs w:val="22"/>
              </w:rPr>
              <w:t>„diferență de gen de salarizare”</w:t>
            </w:r>
            <w:r>
              <w:rPr>
                <w:rFonts w:ascii="Times New Roman" w:eastAsia="Times New Roman" w:hAnsi="Times New Roman" w:cs="Times New Roman"/>
                <w:sz w:val="22"/>
                <w:szCs w:val="22"/>
              </w:rPr>
              <w:t xml:space="preserve"> se redenumește în „</w:t>
            </w:r>
            <w:r>
              <w:rPr>
                <w:rFonts w:ascii="Times New Roman" w:eastAsia="Times New Roman" w:hAnsi="Times New Roman" w:cs="Times New Roman"/>
                <w:i/>
                <w:iCs/>
                <w:sz w:val="22"/>
                <w:szCs w:val="22"/>
              </w:rPr>
              <w:t>diferența de remunerare între femei și bărbați</w:t>
            </w:r>
            <w:r>
              <w:rPr>
                <w:rFonts w:ascii="Times New Roman" w:eastAsia="Times New Roman" w:hAnsi="Times New Roman" w:cs="Times New Roman"/>
                <w:sz w:val="22"/>
                <w:szCs w:val="22"/>
              </w:rPr>
              <w:t xml:space="preserve">”, iar în cuprinsul definiției, cuvântul </w:t>
            </w:r>
            <w:r>
              <w:rPr>
                <w:rFonts w:ascii="Times New Roman" w:eastAsia="Times New Roman" w:hAnsi="Times New Roman" w:cs="Times New Roman"/>
                <w:i/>
                <w:iCs/>
                <w:sz w:val="22"/>
                <w:szCs w:val="22"/>
              </w:rPr>
              <w:t>„salarizare”</w:t>
            </w:r>
            <w:r>
              <w:rPr>
                <w:rFonts w:ascii="Times New Roman" w:eastAsia="Times New Roman" w:hAnsi="Times New Roman" w:cs="Times New Roman"/>
                <w:sz w:val="22"/>
                <w:szCs w:val="22"/>
              </w:rPr>
              <w:t xml:space="preserve"> se substituie cu cuvântul „</w:t>
            </w:r>
            <w:r>
              <w:rPr>
                <w:rFonts w:ascii="Times New Roman" w:eastAsia="Times New Roman" w:hAnsi="Times New Roman" w:cs="Times New Roman"/>
                <w:i/>
                <w:iCs/>
                <w:sz w:val="22"/>
                <w:szCs w:val="22"/>
              </w:rPr>
              <w:t>remunerare”</w:t>
            </w:r>
            <w:r>
              <w:rPr>
                <w:rFonts w:ascii="Times New Roman" w:eastAsia="Times New Roman" w:hAnsi="Times New Roman" w:cs="Times New Roman"/>
                <w:sz w:val="22"/>
                <w:szCs w:val="22"/>
              </w:rPr>
              <w:t>.</w:t>
            </w:r>
          </w:p>
          <w:p w14:paraId="16D0A309" w14:textId="77777777" w:rsidR="00895F78" w:rsidRDefault="00895F78">
            <w:pPr>
              <w:spacing w:after="0"/>
              <w:ind w:firstLine="567"/>
              <w:jc w:val="both"/>
              <w:rPr>
                <w:rFonts w:ascii="Times New Roman" w:eastAsia="Times New Roman" w:hAnsi="Times New Roman" w:cs="Times New Roman"/>
                <w:sz w:val="22"/>
                <w:szCs w:val="22"/>
              </w:rPr>
            </w:pPr>
          </w:p>
          <w:p w14:paraId="5D0B440B"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noțiunea „</w:t>
            </w:r>
            <w:r>
              <w:rPr>
                <w:rFonts w:ascii="Times New Roman" w:eastAsia="Times New Roman" w:hAnsi="Times New Roman" w:cs="Times New Roman"/>
                <w:i/>
                <w:iCs/>
                <w:sz w:val="22"/>
                <w:szCs w:val="22"/>
              </w:rPr>
              <w:t>hărțuire sexuală</w:t>
            </w:r>
            <w:r>
              <w:rPr>
                <w:rFonts w:ascii="Times New Roman" w:eastAsia="Times New Roman" w:hAnsi="Times New Roman" w:cs="Times New Roman"/>
                <w:sz w:val="22"/>
                <w:szCs w:val="22"/>
              </w:rPr>
              <w:t xml:space="preserve">” se completează  cu următorul cuprins: </w:t>
            </w:r>
          </w:p>
          <w:p w14:paraId="143E478B"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 precum și orice tratament mai puțin favorabil bazat pe refuzul unei persoane de a accepta sau pe acceptarea de către aceasta a unui astfel de comportament, atunci când un asemenea comportament sau acțiuni rezultă din exercitarea dreptului de a primi remunerație fără nici o discriminare;”</w:t>
            </w:r>
          </w:p>
          <w:p w14:paraId="344B6867" w14:textId="77777777" w:rsidR="00895F78" w:rsidRDefault="00000000">
            <w:pPr>
              <w:spacing w:after="0"/>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noțiunea </w:t>
            </w:r>
            <w:r>
              <w:rPr>
                <w:rFonts w:ascii="Times New Roman" w:eastAsia="Times New Roman" w:hAnsi="Times New Roman" w:cs="Times New Roman"/>
                <w:i/>
                <w:iCs/>
                <w:sz w:val="22"/>
                <w:szCs w:val="22"/>
              </w:rPr>
              <w:t>”nivel de salarizare”</w:t>
            </w:r>
            <w:r>
              <w:rPr>
                <w:rFonts w:ascii="Times New Roman" w:eastAsia="Times New Roman" w:hAnsi="Times New Roman" w:cs="Times New Roman"/>
                <w:sz w:val="22"/>
                <w:szCs w:val="22"/>
              </w:rPr>
              <w:t xml:space="preserve"> cuvântul ”salarizare” se substituie cu cuvântul ”remunerare”.</w:t>
            </w:r>
          </w:p>
          <w:p w14:paraId="4BF10724" w14:textId="77777777" w:rsidR="00895F78" w:rsidRDefault="00895F78">
            <w:pPr>
              <w:spacing w:after="0"/>
              <w:ind w:firstLine="567"/>
              <w:jc w:val="both"/>
              <w:rPr>
                <w:rFonts w:ascii="Times New Roman" w:eastAsia="Times New Roman" w:hAnsi="Times New Roman" w:cs="Times New Roman"/>
                <w:sz w:val="22"/>
                <w:szCs w:val="22"/>
              </w:rPr>
            </w:pPr>
          </w:p>
          <w:p w14:paraId="78ABD41B" w14:textId="77777777" w:rsidR="00895F78" w:rsidRDefault="00000000">
            <w:pPr>
              <w:spacing w:after="0"/>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noțiunea </w:t>
            </w:r>
            <w:r>
              <w:rPr>
                <w:rFonts w:ascii="Times New Roman" w:eastAsia="Times New Roman" w:hAnsi="Times New Roman" w:cs="Times New Roman"/>
                <w:i/>
                <w:iCs/>
                <w:sz w:val="22"/>
                <w:szCs w:val="22"/>
              </w:rPr>
              <w:t>”remunerație”</w:t>
            </w:r>
            <w:r>
              <w:rPr>
                <w:rFonts w:ascii="Times New Roman" w:eastAsia="Times New Roman" w:hAnsi="Times New Roman" w:cs="Times New Roman"/>
                <w:sz w:val="22"/>
                <w:szCs w:val="22"/>
              </w:rPr>
              <w:t xml:space="preserve"> va avea următorul cuprins:</w:t>
            </w:r>
          </w:p>
          <w:p w14:paraId="72F4FC74" w14:textId="77777777" w:rsidR="00895F78" w:rsidRDefault="00000000">
            <w:pPr>
              <w:spacing w:after="0"/>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Pr>
                <w:rFonts w:ascii="Times New Roman" w:eastAsia="Times New Roman" w:hAnsi="Times New Roman" w:cs="Times New Roman"/>
                <w:i/>
                <w:iCs/>
                <w:sz w:val="22"/>
                <w:szCs w:val="22"/>
              </w:rPr>
              <w:t>remunerație</w:t>
            </w:r>
            <w:r>
              <w:rPr>
                <w:rFonts w:ascii="Times New Roman" w:eastAsia="Times New Roman" w:hAnsi="Times New Roman" w:cs="Times New Roman"/>
                <w:sz w:val="22"/>
                <w:szCs w:val="22"/>
              </w:rPr>
              <w:t xml:space="preserve"> – retribuție bănească care include salariul de bază (salariul tarifar, salariul funcției), toate adaosurile, sporurile, premiile și alte plăți de stimulare sau compensare, precum și orice alte elemente constitutive suplimentare sau variabile ale veniturilor salariale acordate salariatului de către angajator în temeiul </w:t>
            </w:r>
            <w:r>
              <w:rPr>
                <w:rFonts w:ascii="Times New Roman" w:eastAsia="Times New Roman" w:hAnsi="Times New Roman" w:cs="Times New Roman"/>
                <w:sz w:val="22"/>
                <w:szCs w:val="22"/>
              </w:rPr>
              <w:lastRenderedPageBreak/>
              <w:t>contractului individual de muncă pentru munca prestată;”</w:t>
            </w:r>
          </w:p>
          <w:p w14:paraId="3B85D6AB" w14:textId="77777777" w:rsidR="00895F78" w:rsidRDefault="00895F78">
            <w:pPr>
              <w:spacing w:after="0"/>
              <w:ind w:firstLine="567"/>
              <w:jc w:val="both"/>
              <w:rPr>
                <w:rFonts w:ascii="Times New Roman" w:eastAsia="Times New Roman" w:hAnsi="Times New Roman" w:cs="Times New Roman"/>
                <w:sz w:val="22"/>
                <w:szCs w:val="22"/>
              </w:rPr>
            </w:pPr>
          </w:p>
          <w:p w14:paraId="18892096" w14:textId="77777777" w:rsidR="00895F78" w:rsidRDefault="00000000">
            <w:pPr>
              <w:spacing w:after="0"/>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articolul se completează cu 4  noțiuni noi cu următorul cuprins:</w:t>
            </w:r>
          </w:p>
          <w:p w14:paraId="5FB3D263" w14:textId="77777777" w:rsidR="00895F78" w:rsidRDefault="00000000">
            <w:pPr>
              <w:spacing w:after="0"/>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Pr>
                <w:rFonts w:ascii="Times New Roman" w:eastAsia="Times New Roman" w:hAnsi="Times New Roman" w:cs="Times New Roman"/>
                <w:i/>
                <w:iCs/>
                <w:sz w:val="22"/>
                <w:szCs w:val="22"/>
              </w:rPr>
              <w:t>nivel median de remunerare</w:t>
            </w:r>
            <w:r>
              <w:rPr>
                <w:rFonts w:ascii="Times New Roman" w:eastAsia="Times New Roman" w:hAnsi="Times New Roman" w:cs="Times New Roman"/>
                <w:sz w:val="22"/>
                <w:szCs w:val="22"/>
              </w:rPr>
              <w:t xml:space="preserve"> – nivelul de remunerare la care jumătate dintre salariații unui angajator câștigă mai mult și jumătate câștigă mai puțin;</w:t>
            </w:r>
          </w:p>
          <w:p w14:paraId="109B0D23"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 xml:space="preserve">diferență mediană de remunerare între femei și bărbați </w:t>
            </w:r>
            <w:r>
              <w:rPr>
                <w:rFonts w:ascii="Times New Roman" w:eastAsia="Times New Roman" w:hAnsi="Times New Roman" w:cs="Times New Roman"/>
                <w:sz w:val="22"/>
                <w:szCs w:val="22"/>
              </w:rPr>
              <w:t>- diferența dintre nivelul median de remunerare a salariaților de sex feminin și nivelul median de remunerare a salariaților de sex masculin ai unui angajator, exprimată ca procent din nivelul median de remunerare a salarizaților de sex masculin;</w:t>
            </w:r>
          </w:p>
          <w:p w14:paraId="2753C425"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interval de remunerare de tip cuartilă</w:t>
            </w:r>
            <w:r>
              <w:rPr>
                <w:rFonts w:ascii="Times New Roman" w:eastAsia="Times New Roman" w:hAnsi="Times New Roman" w:cs="Times New Roman"/>
                <w:sz w:val="22"/>
                <w:szCs w:val="22"/>
              </w:rPr>
              <w:t xml:space="preserve"> - fiecare dintre cele patru grupuri egale de salariați în care sunt împărțiți aceștia în funcție de nivelurile lor de remunerare, de la cel mai mic la cel mai mare;</w:t>
            </w:r>
          </w:p>
          <w:p w14:paraId="53987D68"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categorie de salariați</w:t>
            </w:r>
            <w:r>
              <w:rPr>
                <w:rFonts w:ascii="Times New Roman" w:eastAsia="Times New Roman" w:hAnsi="Times New Roman" w:cs="Times New Roman"/>
                <w:sz w:val="22"/>
                <w:szCs w:val="22"/>
              </w:rPr>
              <w:t xml:space="preserve"> – salariați care prestează aceeași muncă sau muncă de valoare egală, grupați într-un mod nearbitrar, pe baza unor criterii obiective, neutre din punctul de vedere al genului și nediscriminatorii, stabilite de angajator după consultarea reprezentanților salariaților, după caz.”</w:t>
            </w:r>
          </w:p>
          <w:p w14:paraId="1C0FE0F1" w14:textId="77777777" w:rsidR="00895F78" w:rsidRDefault="00895F78">
            <w:pPr>
              <w:shd w:val="clear" w:color="auto" w:fill="FFFFFF"/>
              <w:spacing w:after="0" w:line="240" w:lineRule="auto"/>
              <w:jc w:val="both"/>
              <w:rPr>
                <w:rFonts w:ascii="Times New Roman" w:eastAsia="Times New Roman" w:hAnsi="Times New Roman" w:cs="Times New Roman"/>
                <w:sz w:val="22"/>
                <w:szCs w:val="22"/>
                <w:highlight w:val="white"/>
              </w:rPr>
            </w:pPr>
          </w:p>
          <w:p w14:paraId="28352F15" w14:textId="77777777" w:rsidR="00895F78" w:rsidRDefault="00895F78">
            <w:pPr>
              <w:shd w:val="clear" w:color="auto" w:fill="FFFFFF"/>
              <w:spacing w:after="0" w:line="240" w:lineRule="auto"/>
              <w:jc w:val="both"/>
              <w:rPr>
                <w:rFonts w:ascii="Times New Roman" w:eastAsia="Times New Roman" w:hAnsi="Times New Roman" w:cs="Times New Roman"/>
                <w:sz w:val="22"/>
                <w:szCs w:val="22"/>
                <w:highlight w:val="white"/>
              </w:rPr>
            </w:pPr>
          </w:p>
          <w:p w14:paraId="1B5BEE94" w14:textId="77777777" w:rsidR="00895F78" w:rsidRDefault="00895F78">
            <w:pPr>
              <w:spacing w:before="240" w:after="240" w:line="276" w:lineRule="auto"/>
              <w:rPr>
                <w:rFonts w:ascii="Times New Roman" w:eastAsia="Times New Roman" w:hAnsi="Times New Roman" w:cs="Times New Roman"/>
                <w:sz w:val="22"/>
                <w:szCs w:val="22"/>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30DC7537" w14:textId="77777777" w:rsidR="00895F78" w:rsidRDefault="00000000">
            <w:pPr>
              <w:spacing w:line="276" w:lineRule="auto"/>
              <w:rPr>
                <w:rFonts w:ascii="Times New Roman" w:eastAsia="Times New Roman" w:hAnsi="Times New Roman" w:cs="Times New Roman"/>
                <w:b/>
                <w:bCs/>
                <w:color w:val="333333"/>
                <w:sz w:val="22"/>
                <w:szCs w:val="22"/>
                <w:highlight w:val="white"/>
              </w:rPr>
            </w:pPr>
            <w:r>
              <w:rPr>
                <w:rFonts w:ascii="Times New Roman" w:eastAsia="Times New Roman" w:hAnsi="Times New Roman" w:cs="Times New Roman"/>
                <w:b/>
                <w:bCs/>
                <w:color w:val="333333"/>
                <w:sz w:val="22"/>
                <w:szCs w:val="22"/>
                <w:highlight w:val="white"/>
              </w:rPr>
              <w:lastRenderedPageBreak/>
              <w:t xml:space="preserve">   Articolul 1. Noţiuni principale</w:t>
            </w:r>
          </w:p>
          <w:p w14:paraId="14898378" w14:textId="77777777" w:rsidR="00895F78" w:rsidRDefault="00000000">
            <w:pPr>
              <w:shd w:val="clear" w:color="auto" w:fill="FFFFFF"/>
              <w:spacing w:after="0" w:line="276" w:lineRule="auto"/>
              <w:rPr>
                <w:rFonts w:ascii="Times New Roman" w:eastAsia="Times New Roman" w:hAnsi="Times New Roman" w:cs="Times New Roman"/>
                <w:b/>
                <w:bCs/>
                <w:color w:val="333333"/>
                <w:sz w:val="22"/>
                <w:szCs w:val="22"/>
                <w:highlight w:val="white"/>
              </w:rPr>
            </w:pPr>
            <w:r>
              <w:rPr>
                <w:rFonts w:ascii="Times New Roman" w:eastAsia="Times New Roman" w:hAnsi="Times New Roman" w:cs="Times New Roman"/>
                <w:b/>
                <w:bCs/>
                <w:color w:val="333333"/>
                <w:sz w:val="22"/>
                <w:szCs w:val="22"/>
                <w:highlight w:val="white"/>
              </w:rPr>
              <w:t>În sensul prezentului cod, se definesc următoarele noţiuni:</w:t>
            </w:r>
          </w:p>
          <w:p w14:paraId="7A8546D1" w14:textId="77777777" w:rsidR="00895F78" w:rsidRDefault="00000000">
            <w:pPr>
              <w:shd w:val="clear" w:color="auto" w:fill="FFFFFF"/>
              <w:spacing w:after="0" w:line="276" w:lineRule="auto"/>
              <w:rPr>
                <w:rFonts w:ascii="Times New Roman" w:eastAsia="Times New Roman" w:hAnsi="Times New Roman" w:cs="Times New Roman"/>
                <w:color w:val="333333"/>
                <w:sz w:val="22"/>
                <w:szCs w:val="22"/>
                <w:highlight w:val="white"/>
              </w:rPr>
            </w:pPr>
            <w:r>
              <w:rPr>
                <w:rFonts w:ascii="Times New Roman" w:eastAsia="Times New Roman" w:hAnsi="Times New Roman" w:cs="Times New Roman"/>
                <w:b/>
                <w:bCs/>
                <w:i/>
                <w:iCs/>
                <w:color w:val="333333"/>
                <w:sz w:val="22"/>
                <w:szCs w:val="22"/>
                <w:highlight w:val="white"/>
              </w:rPr>
              <w:t xml:space="preserve">diferență de </w:t>
            </w:r>
            <w:r>
              <w:rPr>
                <w:rFonts w:ascii="Times New Roman" w:eastAsia="Times New Roman" w:hAnsi="Times New Roman" w:cs="Times New Roman"/>
                <w:b/>
                <w:bCs/>
                <w:i/>
                <w:iCs/>
                <w:sz w:val="22"/>
                <w:szCs w:val="22"/>
              </w:rPr>
              <w:t>remunerare între femei și bărbați</w:t>
            </w:r>
            <w:r>
              <w:rPr>
                <w:rFonts w:ascii="Times New Roman" w:eastAsia="Times New Roman" w:hAnsi="Times New Roman" w:cs="Times New Roman"/>
                <w:b/>
                <w:bCs/>
                <w:color w:val="333333"/>
                <w:sz w:val="22"/>
                <w:szCs w:val="22"/>
                <w:highlight w:val="white"/>
              </w:rPr>
              <w:t xml:space="preserve"> –</w:t>
            </w:r>
            <w:r>
              <w:rPr>
                <w:rFonts w:ascii="Times New Roman" w:eastAsia="Times New Roman" w:hAnsi="Times New Roman" w:cs="Times New Roman"/>
                <w:color w:val="333333"/>
                <w:sz w:val="22"/>
                <w:szCs w:val="22"/>
                <w:highlight w:val="white"/>
              </w:rPr>
              <w:t xml:space="preserve"> diferență dintre nivelurile medii de salarizare între salariații de sex feminin și cei de sex masculin, exprimată ca procent din nivelul mediu de </w:t>
            </w:r>
            <w:r>
              <w:rPr>
                <w:rFonts w:ascii="Times New Roman" w:eastAsia="Times New Roman" w:hAnsi="Times New Roman" w:cs="Times New Roman"/>
                <w:b/>
                <w:bCs/>
                <w:sz w:val="22"/>
                <w:szCs w:val="22"/>
              </w:rPr>
              <w:t>remunerare</w:t>
            </w:r>
            <w:r>
              <w:rPr>
                <w:rFonts w:ascii="Times New Roman" w:eastAsia="Times New Roman" w:hAnsi="Times New Roman" w:cs="Times New Roman"/>
                <w:color w:val="333333"/>
                <w:sz w:val="22"/>
                <w:szCs w:val="22"/>
                <w:highlight w:val="white"/>
              </w:rPr>
              <w:t xml:space="preserve"> a salariaților de sex masculin; </w:t>
            </w:r>
          </w:p>
          <w:p w14:paraId="65FAB0EA" w14:textId="77777777" w:rsidR="00895F78" w:rsidRDefault="00895F78">
            <w:pPr>
              <w:shd w:val="clear" w:color="auto" w:fill="FFFFFF"/>
              <w:spacing w:after="0" w:line="276" w:lineRule="auto"/>
              <w:rPr>
                <w:rFonts w:ascii="Times New Roman" w:eastAsia="Times New Roman" w:hAnsi="Times New Roman" w:cs="Times New Roman"/>
                <w:color w:val="333333"/>
                <w:sz w:val="22"/>
                <w:szCs w:val="22"/>
                <w:highlight w:val="white"/>
              </w:rPr>
            </w:pPr>
          </w:p>
          <w:p w14:paraId="5D61FDE9" w14:textId="77777777" w:rsidR="00895F78" w:rsidRDefault="00000000">
            <w:pPr>
              <w:shd w:val="clear" w:color="auto" w:fill="FFFFFF"/>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i/>
                <w:iCs/>
                <w:sz w:val="22"/>
                <w:szCs w:val="22"/>
                <w:highlight w:val="white"/>
              </w:rPr>
              <w:t>hărțuire sexuală </w:t>
            </w:r>
            <w:r>
              <w:rPr>
                <w:rFonts w:ascii="Times New Roman" w:eastAsia="Times New Roman" w:hAnsi="Times New Roman" w:cs="Times New Roman"/>
                <w:sz w:val="22"/>
                <w:szCs w:val="22"/>
                <w:highlight w:val="white"/>
              </w:rPr>
              <w:t>– manifestare a unui comportament fizic, verbal, nonverbal sau a altor acțiuni de natură sexuală care conduc la crearea unui mediu intimidant, ostil, degradant, umilitor sau ofensator, având drept scop sau efect lezarea demnității unei persoane</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precum și orice tratament mai puțin favorabil bazat pe refuzul unei persoane de a accepta sau pe acceptarea de către aceasta a unui astfel de comportament, atunci când un asemenea comportament sau acțiuni rezultă din exercitarea dreptului de a primi remunerație fără nici o discriminare</w:t>
            </w:r>
            <w:r>
              <w:rPr>
                <w:rFonts w:ascii="Times New Roman" w:eastAsia="Times New Roman" w:hAnsi="Times New Roman" w:cs="Times New Roman"/>
                <w:b/>
                <w:bCs/>
                <w:sz w:val="22"/>
                <w:szCs w:val="22"/>
                <w:highlight w:val="white"/>
              </w:rPr>
              <w:t>;</w:t>
            </w:r>
          </w:p>
          <w:p w14:paraId="1356CBFB" w14:textId="77777777" w:rsidR="00895F78" w:rsidRDefault="00895F78">
            <w:pPr>
              <w:shd w:val="clear" w:color="auto" w:fill="FFFFFF"/>
              <w:spacing w:after="0" w:line="276" w:lineRule="auto"/>
              <w:rPr>
                <w:rFonts w:ascii="Times New Roman" w:eastAsia="Times New Roman" w:hAnsi="Times New Roman" w:cs="Times New Roman"/>
                <w:sz w:val="22"/>
                <w:szCs w:val="22"/>
                <w:highlight w:val="white"/>
              </w:rPr>
            </w:pPr>
          </w:p>
          <w:p w14:paraId="03DC2B16" w14:textId="77777777" w:rsidR="00895F78" w:rsidRDefault="00000000">
            <w:pPr>
              <w:shd w:val="clear" w:color="auto" w:fill="FFFFFF"/>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i/>
                <w:iCs/>
                <w:sz w:val="22"/>
                <w:szCs w:val="22"/>
                <w:highlight w:val="white"/>
              </w:rPr>
              <w:t xml:space="preserve">nivel de </w:t>
            </w:r>
            <w:r>
              <w:rPr>
                <w:rFonts w:ascii="Times New Roman" w:eastAsia="Times New Roman" w:hAnsi="Times New Roman" w:cs="Times New Roman"/>
                <w:b/>
                <w:bCs/>
                <w:sz w:val="22"/>
                <w:szCs w:val="22"/>
              </w:rPr>
              <w:t>remunerare</w:t>
            </w:r>
            <w:r>
              <w:rPr>
                <w:rFonts w:ascii="Times New Roman" w:eastAsia="Times New Roman" w:hAnsi="Times New Roman" w:cs="Times New Roman"/>
                <w:sz w:val="22"/>
                <w:szCs w:val="22"/>
                <w:highlight w:val="white"/>
              </w:rPr>
              <w:t> – remunerație anuală brută și remunerație orară brută corespunzătoare;</w:t>
            </w:r>
          </w:p>
          <w:p w14:paraId="306DA8BC" w14:textId="77777777" w:rsidR="00895F78" w:rsidRDefault="00895F78">
            <w:pPr>
              <w:shd w:val="clear" w:color="auto" w:fill="FFFFFF"/>
              <w:spacing w:after="0" w:line="276" w:lineRule="auto"/>
              <w:jc w:val="both"/>
              <w:rPr>
                <w:rFonts w:ascii="Times New Roman" w:eastAsia="Times New Roman" w:hAnsi="Times New Roman" w:cs="Times New Roman"/>
                <w:sz w:val="22"/>
                <w:szCs w:val="22"/>
                <w:highlight w:val="white"/>
              </w:rPr>
            </w:pPr>
          </w:p>
          <w:p w14:paraId="79EF018B" w14:textId="77777777" w:rsidR="00895F78" w:rsidRDefault="00000000">
            <w:pPr>
              <w:shd w:val="clear" w:color="auto" w:fill="FFFFFF"/>
              <w:spacing w:after="0"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i/>
                <w:iCs/>
                <w:sz w:val="22"/>
                <w:szCs w:val="22"/>
              </w:rPr>
              <w:t>remunerație</w:t>
            </w:r>
            <w:r>
              <w:rPr>
                <w:rFonts w:ascii="Times New Roman" w:eastAsia="Times New Roman" w:hAnsi="Times New Roman" w:cs="Times New Roman"/>
                <w:b/>
                <w:bCs/>
                <w:sz w:val="22"/>
                <w:szCs w:val="22"/>
              </w:rPr>
              <w:t xml:space="preserve"> – retribuție bănească care include salariul de bază (salariul tarifar, salariul funcției), toate adaosurile, sporurile, premiile </w:t>
            </w:r>
            <w:r>
              <w:rPr>
                <w:rFonts w:ascii="Times New Roman" w:eastAsia="Times New Roman" w:hAnsi="Times New Roman" w:cs="Times New Roman"/>
                <w:b/>
                <w:bCs/>
                <w:sz w:val="22"/>
                <w:szCs w:val="22"/>
              </w:rPr>
              <w:lastRenderedPageBreak/>
              <w:t>și alte plăți de stimulare sau compensare, precum și orice alte elemente constitutive suplimentare sau variabile ale veniturilor salariale acordate salariatului de către angajator în temeiul contractului individual de muncă pentru munca prestată;”</w:t>
            </w:r>
          </w:p>
          <w:p w14:paraId="611B3C1D" w14:textId="77777777" w:rsidR="00895F78" w:rsidRDefault="00000000">
            <w:pPr>
              <w:shd w:val="clear" w:color="auto" w:fill="FFFFFF"/>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6CDDFFDF" w14:textId="77777777" w:rsidR="00895F78" w:rsidRDefault="00000000">
            <w:pPr>
              <w:spacing w:after="0"/>
              <w:ind w:firstLine="567"/>
              <w:jc w:val="both"/>
              <w:rPr>
                <w:rFonts w:ascii="Times New Roman" w:eastAsia="Times New Roman" w:hAnsi="Times New Roman" w:cs="Times New Roman"/>
                <w:b/>
                <w:bCs/>
                <w:sz w:val="22"/>
                <w:szCs w:val="22"/>
              </w:rPr>
            </w:pPr>
            <w:r>
              <w:rPr>
                <w:rFonts w:ascii="Times New Roman" w:eastAsia="Times New Roman" w:hAnsi="Times New Roman" w:cs="Times New Roman"/>
                <w:b/>
                <w:bCs/>
                <w:i/>
                <w:iCs/>
                <w:sz w:val="22"/>
                <w:szCs w:val="22"/>
              </w:rPr>
              <w:t>nivel median de remunerare</w:t>
            </w:r>
            <w:r>
              <w:rPr>
                <w:rFonts w:ascii="Times New Roman" w:eastAsia="Times New Roman" w:hAnsi="Times New Roman" w:cs="Times New Roman"/>
                <w:b/>
                <w:bCs/>
                <w:sz w:val="22"/>
                <w:szCs w:val="22"/>
              </w:rPr>
              <w:t xml:space="preserve"> – nivelul de remunerare la care jumătate dintre salariații unui angajator câștigă mai mult și jumătate câștigă mai puțin;</w:t>
            </w:r>
          </w:p>
          <w:p w14:paraId="1BADF7F6" w14:textId="77777777" w:rsidR="00895F78" w:rsidRDefault="00000000">
            <w:pPr>
              <w:ind w:firstLine="567"/>
              <w:jc w:val="both"/>
              <w:rPr>
                <w:rFonts w:ascii="Times New Roman" w:eastAsia="Times New Roman" w:hAnsi="Times New Roman" w:cs="Times New Roman"/>
                <w:b/>
                <w:bCs/>
                <w:sz w:val="22"/>
                <w:szCs w:val="22"/>
              </w:rPr>
            </w:pPr>
            <w:r>
              <w:rPr>
                <w:rFonts w:ascii="Times New Roman" w:eastAsia="Times New Roman" w:hAnsi="Times New Roman" w:cs="Times New Roman"/>
                <w:b/>
                <w:bCs/>
                <w:i/>
                <w:iCs/>
                <w:sz w:val="22"/>
                <w:szCs w:val="22"/>
              </w:rPr>
              <w:t>diferență mediană de remunerare între femei și bărbați</w:t>
            </w:r>
            <w:r>
              <w:rPr>
                <w:rFonts w:ascii="Times New Roman" w:eastAsia="Times New Roman" w:hAnsi="Times New Roman" w:cs="Times New Roman"/>
                <w:b/>
                <w:bCs/>
                <w:sz w:val="22"/>
                <w:szCs w:val="22"/>
              </w:rPr>
              <w:t xml:space="preserve"> - diferența dintre nivelul median de remunerare a salariaților de sex feminin și nivelul median de remunerare a salariaților de sex masculin ai unui angajator, exprimată ca procent din nivelul median de remunerare a salarizaților de sex masculin;</w:t>
            </w:r>
          </w:p>
          <w:p w14:paraId="7C0E6C35" w14:textId="77777777" w:rsidR="00895F78" w:rsidRDefault="00000000">
            <w:pPr>
              <w:ind w:firstLine="567"/>
              <w:jc w:val="both"/>
              <w:rPr>
                <w:rFonts w:ascii="Times New Roman" w:eastAsia="Times New Roman" w:hAnsi="Times New Roman" w:cs="Times New Roman"/>
                <w:b/>
                <w:bCs/>
                <w:sz w:val="22"/>
                <w:szCs w:val="22"/>
              </w:rPr>
            </w:pPr>
            <w:r>
              <w:rPr>
                <w:rFonts w:ascii="Times New Roman" w:eastAsia="Times New Roman" w:hAnsi="Times New Roman" w:cs="Times New Roman"/>
                <w:b/>
                <w:bCs/>
                <w:i/>
                <w:iCs/>
                <w:sz w:val="22"/>
                <w:szCs w:val="22"/>
              </w:rPr>
              <w:t>interval de remunerare de tip cuartilă</w:t>
            </w:r>
            <w:r>
              <w:rPr>
                <w:rFonts w:ascii="Times New Roman" w:eastAsia="Times New Roman" w:hAnsi="Times New Roman" w:cs="Times New Roman"/>
                <w:b/>
                <w:bCs/>
                <w:sz w:val="22"/>
                <w:szCs w:val="22"/>
              </w:rPr>
              <w:t xml:space="preserve"> - fiecare dintre cele patru grupuri egale de salariați în care sunt împărțiți aceștia în funcție de nivelurile lor de remunerare, de la cel mai mic la cel mai mare;</w:t>
            </w:r>
          </w:p>
          <w:p w14:paraId="505A3745" w14:textId="77777777" w:rsidR="00895F78" w:rsidRDefault="00000000">
            <w:pPr>
              <w:ind w:firstLine="567"/>
              <w:jc w:val="both"/>
              <w:rPr>
                <w:rFonts w:ascii="Times New Roman" w:eastAsia="Times New Roman" w:hAnsi="Times New Roman" w:cs="Times New Roman"/>
                <w:b/>
                <w:bCs/>
                <w:sz w:val="22"/>
                <w:szCs w:val="22"/>
              </w:rPr>
            </w:pPr>
            <w:r>
              <w:rPr>
                <w:rFonts w:ascii="Times New Roman" w:eastAsia="Times New Roman" w:hAnsi="Times New Roman" w:cs="Times New Roman"/>
                <w:b/>
                <w:bCs/>
                <w:i/>
                <w:iCs/>
                <w:sz w:val="22"/>
                <w:szCs w:val="22"/>
              </w:rPr>
              <w:t>categorie de salariați</w:t>
            </w:r>
            <w:r>
              <w:rPr>
                <w:rFonts w:ascii="Times New Roman" w:eastAsia="Times New Roman" w:hAnsi="Times New Roman" w:cs="Times New Roman"/>
                <w:b/>
                <w:bCs/>
                <w:sz w:val="22"/>
                <w:szCs w:val="22"/>
              </w:rPr>
              <w:t xml:space="preserve"> – salariați care prestează aceeași muncă sau muncă de valoare egală, grupați într-un mod nearbitrar, pe baza unor criterii obiective, neutre din punctul de vedere al genului și nediscriminatorii, stabilite de angajator după consultarea reprezentanților salariaților, după caz.</w:t>
            </w:r>
          </w:p>
        </w:tc>
        <w:tc>
          <w:tcPr>
            <w:tcW w:w="240" w:type="dxa"/>
            <w:tcBorders>
              <w:top w:val="nil"/>
              <w:left w:val="nil"/>
              <w:bottom w:val="nil"/>
              <w:right w:val="nil"/>
            </w:tcBorders>
            <w:tcMar>
              <w:top w:w="0" w:type="dxa"/>
              <w:left w:w="0" w:type="dxa"/>
              <w:bottom w:w="0" w:type="dxa"/>
              <w:right w:w="0" w:type="dxa"/>
            </w:tcMar>
          </w:tcPr>
          <w:p w14:paraId="30074263"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24837912"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B7C653A" w14:textId="77777777" w:rsidR="00895F78" w:rsidRDefault="00000000">
            <w:pPr>
              <w:shd w:val="clear" w:color="auto" w:fill="FFFFFF"/>
              <w:spacing w:after="0" w:line="276" w:lineRule="auto"/>
              <w:ind w:firstLine="70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Articolul 3. Domeniul de aplicare a codului</w:t>
            </w:r>
          </w:p>
          <w:p w14:paraId="4E4453F6" w14:textId="77777777" w:rsidR="00895F78" w:rsidRDefault="00000000">
            <w:pPr>
              <w:shd w:val="clear" w:color="auto" w:fill="FFFFFF"/>
              <w:spacing w:after="0" w:line="276" w:lineRule="auto"/>
              <w:ind w:firstLine="70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Dispoziţiile prezentului cod se aplică:</w:t>
            </w:r>
          </w:p>
          <w:p w14:paraId="2E55E1CE"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a) salariaţilor cetăţeni ai Republicii Moldova, încadraţi în baza unui contract individual de muncă, inclusiv celor cu contract de formare profesională continuă sau de calificare profesională, care prestează muncă în Republica Moldova;</w:t>
            </w:r>
          </w:p>
          <w:p w14:paraId="2FC462B8"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b) salariaţilor cetăţeni străini sau apatrizi, încadraţi în baza unui contract individual de muncă, care prestează muncă pentru un angajator care îşi desfăşoară activitatea în Republica Moldova;</w:t>
            </w:r>
          </w:p>
          <w:p w14:paraId="1C0C003E"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b</w:t>
            </w:r>
            <w:r>
              <w:rPr>
                <w:rFonts w:ascii="Times New Roman" w:eastAsia="Times New Roman" w:hAnsi="Times New Roman" w:cs="Times New Roman"/>
                <w:sz w:val="22"/>
                <w:szCs w:val="22"/>
                <w:highlight w:val="white"/>
                <w:vertAlign w:val="superscript"/>
              </w:rPr>
              <w:t>1</w:t>
            </w:r>
            <w:r>
              <w:rPr>
                <w:rFonts w:ascii="Times New Roman" w:eastAsia="Times New Roman" w:hAnsi="Times New Roman" w:cs="Times New Roman"/>
                <w:sz w:val="22"/>
                <w:szCs w:val="22"/>
                <w:highlight w:val="white"/>
              </w:rPr>
              <w:t>) salariaților cetățeni ai statelor membre ale Uniunii Europene și ai statelor semnatare ale Acordului Schengen, încadrați în baza unui contract individual de muncă, care prestează muncă în Republica Moldova;</w:t>
            </w:r>
          </w:p>
          <w:p w14:paraId="1372045F"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c) salariaţilor cetăţeni ai Republicii Moldova care activează la misiunile diplomatice ale Republicii Moldova de peste hotare;</w:t>
            </w:r>
          </w:p>
          <w:p w14:paraId="181E6CAF"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d) angajatorilor persoane fizice sau juridice din sectorul public, privat sau mixt care folosesc munca salariată;</w:t>
            </w:r>
          </w:p>
          <w:p w14:paraId="623C2394"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e) salariaţilor din aparatul asociaţiilor obşteşti, religioase, sindicale, patronale, al fundaţiilor, partidelor şi altor organizaţii necomerciale care folosesc munca salariată;</w:t>
            </w:r>
          </w:p>
          <w:p w14:paraId="382DD2D6"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f) agenților de muncă temporară, salariaților temporari și utilizatorilor de muncă temporară, astfel cum aceștia sunt definiți de prezentul cod.</w:t>
            </w:r>
          </w:p>
          <w:p w14:paraId="50FE2F10" w14:textId="77777777" w:rsidR="00895F78" w:rsidRDefault="00895F78">
            <w:pPr>
              <w:shd w:val="clear" w:color="auto" w:fill="FFFFFF"/>
              <w:spacing w:after="0" w:line="276" w:lineRule="auto"/>
              <w:ind w:firstLine="700"/>
              <w:jc w:val="both"/>
              <w:rPr>
                <w:rFonts w:ascii="Times New Roman" w:eastAsia="Times New Roman" w:hAnsi="Times New Roman" w:cs="Times New Roman"/>
                <w:sz w:val="22"/>
                <w:szCs w:val="22"/>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4260520D" w14:textId="77777777" w:rsidR="00895F78" w:rsidRDefault="00000000">
            <w:pPr>
              <w:shd w:val="clear" w:color="auto" w:fill="FFFFFF"/>
              <w:spacing w:after="0" w:line="240" w:lineRule="auto"/>
              <w:ind w:firstLine="72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3. Articolul 3 se completează cu litera g) cu următorul cuprins:</w:t>
            </w:r>
          </w:p>
          <w:p w14:paraId="0438A361" w14:textId="77777777" w:rsidR="00895F78" w:rsidRDefault="00000000">
            <w:pPr>
              <w:shd w:val="clear" w:color="auto" w:fill="FFFFFF"/>
              <w:spacing w:after="0" w:line="240" w:lineRule="auto"/>
              <w:ind w:firstLine="72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„g) candidaților pentru angajare, în măsura în care este relevant pentru dreptul acestora la angajare în condițiile stabilite de lege, la încheierea unui contract individual de muncă sau la stabilirea salariului fără nici o discriminare, precum și la contestarea încălcărilor drepturilor lor.”</w:t>
            </w:r>
          </w:p>
          <w:p w14:paraId="0BE06DE0" w14:textId="77777777" w:rsidR="00895F78" w:rsidRDefault="00895F78">
            <w:pPr>
              <w:shd w:val="clear" w:color="auto" w:fill="FFFFFF"/>
              <w:spacing w:after="0" w:line="240" w:lineRule="auto"/>
              <w:ind w:firstLine="720"/>
              <w:jc w:val="both"/>
              <w:rPr>
                <w:rFonts w:ascii="Times New Roman" w:eastAsia="Times New Roman" w:hAnsi="Times New Roman" w:cs="Times New Roman"/>
                <w:b/>
                <w:bCs/>
                <w:sz w:val="22"/>
                <w:szCs w:val="22"/>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3BE3CF3E" w14:textId="77777777" w:rsidR="00895F78" w:rsidRDefault="00000000">
            <w:pPr>
              <w:shd w:val="clear" w:color="auto" w:fill="FFFFFF"/>
              <w:spacing w:after="0" w:line="276" w:lineRule="auto"/>
              <w:ind w:firstLine="70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Articolul 3. Domeniul de aplicare a codului</w:t>
            </w:r>
          </w:p>
          <w:p w14:paraId="2D923F16" w14:textId="77777777" w:rsidR="00895F78" w:rsidRDefault="00000000">
            <w:pPr>
              <w:shd w:val="clear" w:color="auto" w:fill="FFFFFF"/>
              <w:spacing w:after="0" w:line="276" w:lineRule="auto"/>
              <w:ind w:firstLine="70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Dispoziţiile prezentului cod se aplică:</w:t>
            </w:r>
          </w:p>
          <w:p w14:paraId="5E8B065B" w14:textId="77777777" w:rsidR="00895F78" w:rsidRDefault="00000000">
            <w:pPr>
              <w:shd w:val="clear" w:color="auto" w:fill="FFFFFF"/>
              <w:spacing w:after="0" w:line="240" w:lineRule="auto"/>
              <w:ind w:firstLine="72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167FC952" w14:textId="77777777" w:rsidR="00895F78" w:rsidRDefault="00000000">
            <w:pPr>
              <w:shd w:val="clear" w:color="auto" w:fill="FFFFFF"/>
              <w:spacing w:after="0" w:line="240" w:lineRule="auto"/>
              <w:ind w:firstLine="72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„g) candidaților pentru angajare, în măsura în care este relevant pentru dreptul acestora la angajare în condițiile stabilite de lege, la încheierea unui contract individual de muncă sau la stabilirea salariului fără nici o discriminare, precum și la contestarea încălcărilor drepturilor lor.”</w:t>
            </w:r>
          </w:p>
        </w:tc>
        <w:tc>
          <w:tcPr>
            <w:tcW w:w="240" w:type="dxa"/>
            <w:tcBorders>
              <w:top w:val="nil"/>
              <w:left w:val="nil"/>
              <w:bottom w:val="nil"/>
              <w:right w:val="nil"/>
            </w:tcBorders>
            <w:tcMar>
              <w:top w:w="0" w:type="dxa"/>
              <w:left w:w="0" w:type="dxa"/>
              <w:bottom w:w="0" w:type="dxa"/>
              <w:right w:w="0" w:type="dxa"/>
            </w:tcMar>
          </w:tcPr>
          <w:p w14:paraId="3F5B16B8"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77A2F24F"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2C8746A"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9.</w:t>
            </w:r>
            <w:r>
              <w:rPr>
                <w:rFonts w:ascii="Times New Roman" w:eastAsia="Times New Roman" w:hAnsi="Times New Roman" w:cs="Times New Roman"/>
                <w:sz w:val="22"/>
                <w:szCs w:val="22"/>
                <w:highlight w:val="white"/>
              </w:rPr>
              <w:t> Drepturile şi obligaţiile de bază ale salariatului</w:t>
            </w:r>
          </w:p>
          <w:p w14:paraId="3F26EE49"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Salariatul are dreptul:</w:t>
            </w:r>
          </w:p>
          <w:p w14:paraId="53902FF3"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5D8C576A"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f) la informarea deplină și veridică, anterior angajării sau transferării într-o altă funcție, privind condițiile de activitate, în special privind condițiile de retribuire a muncii, inclusiv salariul funcției sau cel tarifar, suplimentele, premiile și ajutoarele materiale (în cazul în care acestea fac parte din sistemul de salarizare al unității), periodicitatea achitării plăților și criteriile utilizate pentru stabilirea nivelurilor de salarizare;</w:t>
            </w:r>
          </w:p>
          <w:p w14:paraId="6C026B0D"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33D1C0FE" w14:textId="77777777" w:rsidR="00895F78" w:rsidRDefault="00895F78">
            <w:pPr>
              <w:shd w:val="clear" w:color="auto" w:fill="FFFFFF"/>
              <w:spacing w:after="0" w:line="276" w:lineRule="auto"/>
              <w:ind w:firstLine="700"/>
              <w:jc w:val="both"/>
              <w:rPr>
                <w:rFonts w:ascii="Times New Roman" w:eastAsia="Times New Roman" w:hAnsi="Times New Roman" w:cs="Times New Roman"/>
                <w:sz w:val="22"/>
                <w:szCs w:val="22"/>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10E5A013"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4. Articolul 9 alin. (1) lit. f) se modifică și va avea următorul cuprins:</w:t>
            </w:r>
          </w:p>
          <w:p w14:paraId="543ABD89"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”f) la informarea deplină și veridică, anterior angajării sau transferării într-o altă funcție, privind condițiile de activitate, în special privind condițiile de retribuire a muncii, inclusiv salariul funcției sau cel tarifar, suplimentele, premiile, ajutoarele materiale, precum și orice alte elemente constitutive suplimentare sau variabile ale veniturilor salariale (în cazul în care acestea fac parte din sistemul de salarizare al unității), periodicitatea achitării plăților și criteriile utilizate pentru stabilirea nivelurilor de remunerare;”</w:t>
            </w:r>
            <w:r>
              <w:rPr>
                <w:rFonts w:ascii="Times New Roman" w:eastAsia="Times New Roman" w:hAnsi="Times New Roman" w:cs="Times New Roman"/>
                <w:b/>
                <w:bCs/>
                <w:sz w:val="22"/>
                <w:szCs w:val="22"/>
                <w:highlight w:val="white"/>
              </w:rPr>
              <w:t xml:space="preserve"> </w:t>
            </w: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6C86194B"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9.</w:t>
            </w:r>
            <w:r>
              <w:rPr>
                <w:rFonts w:ascii="Times New Roman" w:eastAsia="Times New Roman" w:hAnsi="Times New Roman" w:cs="Times New Roman"/>
                <w:sz w:val="22"/>
                <w:szCs w:val="22"/>
                <w:highlight w:val="white"/>
              </w:rPr>
              <w:t> Drepturile şi obligaţiile de bază ale salariatului</w:t>
            </w:r>
          </w:p>
          <w:p w14:paraId="6F853AFE"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Salariatul are dreptul:</w:t>
            </w:r>
          </w:p>
          <w:p w14:paraId="65352013"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421C7835" w14:textId="77777777" w:rsidR="00895F78" w:rsidRDefault="00000000">
            <w:pPr>
              <w:shd w:val="clear" w:color="auto" w:fill="FFFFFF"/>
              <w:spacing w:after="0" w:line="276" w:lineRule="auto"/>
              <w:ind w:firstLine="70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f) la informarea deplină și veridică, anterior angajării sau transferării într-o altă funcție, privind condițiile de activitate, în special privind condițiile de retribuire a muncii, inclusiv salariul funcției sau cel tarifar, suplimentele, premiile, ajutoarele materiale, precum și orice alte elemente constitutive suplimentare sau variabile ale veniturilor salariale (în cazul în care acestea fac parte din sistemul de salarizare al unității), periodicitatea achitării plăților și criteriile utilizate pentru stabilirea nivelurilor de remunerare;</w:t>
            </w:r>
          </w:p>
          <w:p w14:paraId="593C5408"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7A709B62" w14:textId="77777777" w:rsidR="00895F78" w:rsidRDefault="00895F78">
            <w:pPr>
              <w:shd w:val="clear" w:color="auto" w:fill="FFFFFF"/>
              <w:spacing w:after="0" w:line="276" w:lineRule="auto"/>
              <w:ind w:firstLine="700"/>
              <w:jc w:val="both"/>
              <w:rPr>
                <w:rFonts w:ascii="Times New Roman" w:eastAsia="Times New Roman" w:hAnsi="Times New Roman" w:cs="Times New Roman"/>
                <w:b/>
                <w:bCs/>
                <w:sz w:val="22"/>
                <w:szCs w:val="22"/>
                <w:highlight w:val="white"/>
              </w:rPr>
            </w:pPr>
          </w:p>
        </w:tc>
        <w:tc>
          <w:tcPr>
            <w:tcW w:w="240" w:type="dxa"/>
            <w:tcBorders>
              <w:top w:val="nil"/>
              <w:left w:val="nil"/>
              <w:bottom w:val="nil"/>
              <w:right w:val="nil"/>
            </w:tcBorders>
            <w:tcMar>
              <w:top w:w="0" w:type="dxa"/>
              <w:left w:w="100" w:type="dxa"/>
              <w:bottom w:w="0" w:type="dxa"/>
              <w:right w:w="100" w:type="dxa"/>
            </w:tcMar>
          </w:tcPr>
          <w:p w14:paraId="4D05EEB2"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1EB2BCA8"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136C420" w14:textId="77777777" w:rsidR="00895F78" w:rsidRDefault="00000000">
            <w:pPr>
              <w:shd w:val="clear" w:color="auto" w:fill="FFFFFF"/>
              <w:spacing w:after="0" w:line="276" w:lineRule="auto"/>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10.</w:t>
            </w:r>
            <w:r>
              <w:rPr>
                <w:rFonts w:ascii="Times New Roman" w:eastAsia="Times New Roman" w:hAnsi="Times New Roman" w:cs="Times New Roman"/>
                <w:sz w:val="22"/>
                <w:szCs w:val="22"/>
                <w:highlight w:val="white"/>
              </w:rPr>
              <w:t> Drepturile şi obligaţiile angajatorului</w:t>
            </w:r>
          </w:p>
          <w:p w14:paraId="6D0ECA2D" w14:textId="77777777" w:rsidR="00895F78" w:rsidRDefault="00000000">
            <w:pPr>
              <w:shd w:val="clear" w:color="auto" w:fill="FFFFFF"/>
              <w:spacing w:after="0" w:line="276" w:lineRule="auto"/>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Angajatorul este obligat:</w:t>
            </w:r>
          </w:p>
          <w:p w14:paraId="6B6F1648" w14:textId="77777777" w:rsidR="00895F78" w:rsidRDefault="00000000">
            <w:pPr>
              <w:shd w:val="clear" w:color="auto" w:fill="FFFFFF"/>
              <w:spacing w:after="0" w:line="276" w:lineRule="auto"/>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1FB6C4C4" w14:textId="77777777" w:rsidR="00895F78" w:rsidRDefault="00000000">
            <w:pPr>
              <w:shd w:val="clear" w:color="auto" w:fill="FFFFFF"/>
              <w:spacing w:after="0" w:line="240"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 </w:t>
            </w:r>
            <w:r>
              <w:rPr>
                <w:rFonts w:ascii="Times New Roman" w:eastAsia="Times New Roman" w:hAnsi="Times New Roman" w:cs="Times New Roman"/>
                <w:sz w:val="22"/>
                <w:szCs w:val="22"/>
                <w:highlight w:val="white"/>
              </w:rPr>
              <w:t>Articolul 10 alin. (2) se completează cu litera s) cu următorul cuprins:</w:t>
            </w:r>
          </w:p>
          <w:p w14:paraId="41A74960" w14:textId="77777777" w:rsidR="00895F78" w:rsidRDefault="00000000">
            <w:pPr>
              <w:shd w:val="clear" w:color="auto" w:fill="FFFFFF"/>
              <w:spacing w:after="0" w:line="240"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„s) să prelucreze datele cu caracter personal ale salariaților, colectate și furnizate în cadrul implementării principiului remunerării egale pentru muncă egală sau pentru muncă de valoare egală, cu respectarea prevederilor legislației în vigoare privind protecția datelor cu caracter personal, asigurând că aceste date sunt prelucrate în mod legal, exclusiv în scopul aplicării, monitorizării și asigurării respectării principiului menționat, fără a fi utilizate în alte scopuri incompatibile cu aceste obiective.”</w:t>
            </w:r>
          </w:p>
          <w:p w14:paraId="49B6CE3A" w14:textId="77777777" w:rsidR="00895F78" w:rsidRDefault="00895F78">
            <w:pPr>
              <w:shd w:val="clear" w:color="auto" w:fill="FFFFFF"/>
              <w:spacing w:after="0" w:line="240" w:lineRule="auto"/>
              <w:jc w:val="both"/>
              <w:rPr>
                <w:rFonts w:ascii="Times New Roman" w:eastAsia="Times New Roman" w:hAnsi="Times New Roman" w:cs="Times New Roman"/>
                <w:b/>
                <w:bCs/>
                <w:sz w:val="22"/>
                <w:szCs w:val="22"/>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0512658F" w14:textId="77777777" w:rsidR="00895F78" w:rsidRDefault="00000000">
            <w:pPr>
              <w:shd w:val="clear" w:color="auto" w:fill="FFFFFF"/>
              <w:spacing w:after="0" w:line="276" w:lineRule="auto"/>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10.</w:t>
            </w:r>
            <w:r>
              <w:rPr>
                <w:rFonts w:ascii="Times New Roman" w:eastAsia="Times New Roman" w:hAnsi="Times New Roman" w:cs="Times New Roman"/>
                <w:sz w:val="22"/>
                <w:szCs w:val="22"/>
                <w:highlight w:val="white"/>
              </w:rPr>
              <w:t> Drepturile şi obligaţiile angajatorului</w:t>
            </w:r>
          </w:p>
          <w:p w14:paraId="2DCED44D" w14:textId="77777777" w:rsidR="00895F78" w:rsidRDefault="00000000">
            <w:pPr>
              <w:shd w:val="clear" w:color="auto" w:fill="FFFFFF"/>
              <w:spacing w:after="0" w:line="276" w:lineRule="auto"/>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Angajatorul este obligat:</w:t>
            </w:r>
          </w:p>
          <w:p w14:paraId="72B34E09"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63C594B8"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s) să prelucreze datele cu caracter personal ale salariaților, colectate și furnizate în cadrul implementării principiului remunerării egale pentru muncă egală sau pentru muncă de valoare egală, cu respectarea prevederilor legislației în vigoare privind protecția datelor cu caracter personal, asigurând că aceste date sunt prelucrate în mod legal, exclusiv în scopul aplicării, monitorizării și asigurării respectării principiului menționat, fără a fi utilizate în alte scopuri incompatibile cu aceste obiective.</w:t>
            </w:r>
          </w:p>
        </w:tc>
        <w:tc>
          <w:tcPr>
            <w:tcW w:w="240" w:type="dxa"/>
            <w:tcBorders>
              <w:top w:val="nil"/>
              <w:left w:val="nil"/>
              <w:bottom w:val="nil"/>
              <w:right w:val="nil"/>
            </w:tcBorders>
            <w:tcMar>
              <w:top w:w="0" w:type="dxa"/>
              <w:left w:w="100" w:type="dxa"/>
              <w:bottom w:w="0" w:type="dxa"/>
              <w:right w:w="100" w:type="dxa"/>
            </w:tcMar>
          </w:tcPr>
          <w:p w14:paraId="2DE754F3"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42BB782C" w14:textId="77777777">
        <w:trPr>
          <w:trHeight w:val="315"/>
        </w:trPr>
        <w:tc>
          <w:tcPr>
            <w:tcW w:w="4545" w:type="dxa"/>
            <w:tcBorders>
              <w:top w:val="nil"/>
              <w:left w:val="single" w:sz="8" w:space="0" w:color="000000"/>
              <w:bottom w:val="single" w:sz="4" w:space="0" w:color="000000"/>
              <w:right w:val="single" w:sz="8" w:space="0" w:color="000000"/>
            </w:tcBorders>
            <w:tcMar>
              <w:top w:w="0" w:type="dxa"/>
              <w:left w:w="100" w:type="dxa"/>
              <w:bottom w:w="0" w:type="dxa"/>
              <w:right w:w="100" w:type="dxa"/>
            </w:tcMar>
          </w:tcPr>
          <w:p w14:paraId="49FC2C5B"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tc>
        <w:tc>
          <w:tcPr>
            <w:tcW w:w="4665" w:type="dxa"/>
            <w:tcBorders>
              <w:top w:val="nil"/>
              <w:left w:val="single" w:sz="8" w:space="0" w:color="000000"/>
              <w:bottom w:val="single" w:sz="4" w:space="0" w:color="000000"/>
              <w:right w:val="single" w:sz="8" w:space="0" w:color="000000"/>
            </w:tcBorders>
            <w:tcMar>
              <w:top w:w="0" w:type="dxa"/>
              <w:left w:w="100" w:type="dxa"/>
              <w:bottom w:w="0" w:type="dxa"/>
              <w:right w:w="100" w:type="dxa"/>
            </w:tcMar>
          </w:tcPr>
          <w:p w14:paraId="6A3E8928" w14:textId="77777777" w:rsidR="00895F78" w:rsidRDefault="00000000">
            <w:pPr>
              <w:shd w:val="clear" w:color="auto" w:fill="FFFFFF"/>
              <w:spacing w:after="0" w:line="240"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 xml:space="preserve">6. </w:t>
            </w:r>
            <w:r>
              <w:rPr>
                <w:rFonts w:ascii="Times New Roman" w:eastAsia="Times New Roman" w:hAnsi="Times New Roman" w:cs="Times New Roman"/>
                <w:sz w:val="22"/>
                <w:szCs w:val="22"/>
                <w:highlight w:val="white"/>
              </w:rPr>
              <w:t>Codul muncii se completează cu articolele 47</w:t>
            </w:r>
            <w:r>
              <w:rPr>
                <w:rFonts w:ascii="Times New Roman" w:eastAsia="Times New Roman" w:hAnsi="Times New Roman" w:cs="Times New Roman"/>
                <w:sz w:val="22"/>
                <w:szCs w:val="22"/>
                <w:highlight w:val="white"/>
                <w:vertAlign w:val="superscript"/>
              </w:rPr>
              <w:t>1 </w:t>
            </w:r>
            <w:r>
              <w:rPr>
                <w:rFonts w:ascii="Times New Roman" w:eastAsia="Times New Roman" w:hAnsi="Times New Roman" w:cs="Times New Roman"/>
                <w:sz w:val="22"/>
                <w:szCs w:val="22"/>
                <w:highlight w:val="white"/>
              </w:rPr>
              <w:t>cu următorul cuprins:</w:t>
            </w:r>
          </w:p>
          <w:p w14:paraId="7C20A529"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r>
              <w:rPr>
                <w:rFonts w:ascii="Times New Roman" w:eastAsia="Times New Roman" w:hAnsi="Times New Roman" w:cs="Times New Roman"/>
                <w:b/>
                <w:bCs/>
                <w:sz w:val="22"/>
                <w:szCs w:val="22"/>
                <w:highlight w:val="white"/>
              </w:rPr>
              <w:t xml:space="preserve">Articolul 47¹. </w:t>
            </w:r>
            <w:r>
              <w:rPr>
                <w:rFonts w:ascii="Times New Roman" w:eastAsia="Times New Roman" w:hAnsi="Times New Roman" w:cs="Times New Roman"/>
                <w:sz w:val="22"/>
                <w:szCs w:val="22"/>
                <w:highlight w:val="white"/>
              </w:rPr>
              <w:t>Transparența salarială înainte de angajare</w:t>
            </w:r>
          </w:p>
          <w:p w14:paraId="0B6D09BD"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Anunțurile privind ofertele de angajare, precum și denumirile funcțiilor sau ale locurilor de muncă, sunt formulate în mod neutru din punct de vedere al sexului.</w:t>
            </w:r>
          </w:p>
          <w:p w14:paraId="711B443D"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Angajatorul are obligația de a informa candidatul la ocuparea unui loc de muncă despre nivelul inițial al remunerației sau intervalul acesteia,  stabilit pe baza unor criterii obiective și neutre din punct de vedere al sexului, aferent funcției oferite, precum și, după caz, despre clauzele relevante ale convenției colective de muncă aplicate de angajator în legătură cu funcția respectivă.  Aceste informații se furnizează prin anunțul de angajare, sau se comunică în scris candidatului înainte de desfășurarea interviului de angajare, pentru a asigura negocieri informate și transparente privind remunerația.</w:t>
            </w:r>
          </w:p>
          <w:p w14:paraId="3E15DB49"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(3) Angajatorul asigură desfășurarea proceselor de angajare într-o manieră nediscriminatorie, astfel încât acestea să nu aducă atingere dreptului la egalitatea de remunerare pentru muncă egală sau muncă de valoare egală, precum și drepturilor la informare ale persoanelor cu dizabilități.</w:t>
            </w:r>
          </w:p>
          <w:p w14:paraId="678A5490"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(4) Angajatorului îi este interzis să solicite sau să pretindă candidaților care aplică pentru o ofertă de angajare orice informații privind istoricul salarial aferent raporturilor de muncă curente sau anterioare.”</w:t>
            </w:r>
          </w:p>
          <w:p w14:paraId="40DAF85F"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tc>
        <w:tc>
          <w:tcPr>
            <w:tcW w:w="4515" w:type="dxa"/>
            <w:tcBorders>
              <w:top w:val="nil"/>
              <w:left w:val="nil"/>
              <w:bottom w:val="single" w:sz="4" w:space="0" w:color="000000"/>
              <w:right w:val="single" w:sz="8" w:space="0" w:color="000000"/>
            </w:tcBorders>
            <w:tcMar>
              <w:top w:w="0" w:type="dxa"/>
              <w:left w:w="100" w:type="dxa"/>
              <w:bottom w:w="0" w:type="dxa"/>
              <w:right w:w="100" w:type="dxa"/>
            </w:tcMar>
          </w:tcPr>
          <w:p w14:paraId="2B77291B"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Articolul 47¹. Transparența salarială înainte de angajare</w:t>
            </w:r>
          </w:p>
          <w:p w14:paraId="1570CD6C"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(1) Anunțurile privind ofertele de angajare, precum și denumirile funcțiilor sau ale locurilor de muncă, sunt formulate în mod neutru din punct de vedere al sexului.</w:t>
            </w:r>
          </w:p>
          <w:p w14:paraId="23856F32"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(2) Angajatorul are obligația de a informa candidatul la ocuparea unui loc de muncă despre nivelul inițial al remunerației sau intervalul acesteia,  stabilit pe baza unor criterii obiective și neutre din punct de vedere al sexului, aferent funcției oferite, precum și, după caz, despre clauzele relevante ale convenției colective de muncă aplicate de angajator în legătură cu funcția respectivă.  Aceste informații se furnizează prin anunțul de angajare, sau se comunică în scris candidatului înainte de desfășurarea interviului de angajare, pentru a asigura negocieri informate și transparente privind remunerația.</w:t>
            </w:r>
          </w:p>
          <w:p w14:paraId="5107852A"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(3) Angajatorul asigură desfășurarea proceselor de angajare într-o manieră nediscriminatorie, astfel încât acestea să nu aducă atingere dreptului la egalitatea de remunerare pentru muncă egală sau muncă de valoare egală, precum și drepturilor la informare ale persoanelor cu dizabilități.</w:t>
            </w:r>
          </w:p>
          <w:p w14:paraId="288C7859"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(4) Angajatorului îi este interzis să solicite sau să pretindă candidaților care aplică pentru o ofertă de angajare orice informații privind istoricul salarial aferent raporturilor de muncă curente sau anterioare.</w:t>
            </w:r>
          </w:p>
          <w:p w14:paraId="2FF1AAE0" w14:textId="77777777" w:rsidR="00895F78" w:rsidRDefault="00895F78">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p>
        </w:tc>
        <w:tc>
          <w:tcPr>
            <w:tcW w:w="240" w:type="dxa"/>
            <w:tcBorders>
              <w:top w:val="nil"/>
              <w:left w:val="nil"/>
              <w:bottom w:val="nil"/>
              <w:right w:val="nil"/>
            </w:tcBorders>
            <w:tcMar>
              <w:top w:w="0" w:type="dxa"/>
              <w:left w:w="100" w:type="dxa"/>
              <w:bottom w:w="0" w:type="dxa"/>
              <w:right w:w="100" w:type="dxa"/>
            </w:tcMar>
          </w:tcPr>
          <w:p w14:paraId="65352438"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239A656F" w14:textId="77777777">
        <w:trPr>
          <w:trHeight w:val="315"/>
        </w:trPr>
        <w:tc>
          <w:tcPr>
            <w:tcW w:w="45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CFE052E"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91.</w:t>
            </w:r>
            <w:r>
              <w:rPr>
                <w:rFonts w:ascii="Times New Roman" w:eastAsia="Times New Roman" w:hAnsi="Times New Roman" w:cs="Times New Roman"/>
                <w:sz w:val="22"/>
                <w:szCs w:val="22"/>
                <w:highlight w:val="white"/>
              </w:rPr>
              <w:t> Cerinţele generale privind prelucrarea datelor personale ale salariatului şi garanţiile referitoare la protecţia lor</w:t>
            </w:r>
          </w:p>
          <w:p w14:paraId="28197D58"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În scopul asigurării drepturilor şi libertăţilor omului şi cetăţeanului, în procesul prelucrării datelor personale ale salariatului, angajatorul şi reprezentanţii lui sunt obligaţi să respecte următoarele cerinţe:</w:t>
            </w:r>
          </w:p>
          <w:p w14:paraId="74EA6551"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tc>
        <w:tc>
          <w:tcPr>
            <w:tcW w:w="46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F3DD826"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7.</w:t>
            </w:r>
            <w:r>
              <w:rPr>
                <w:rFonts w:ascii="Times New Roman" w:eastAsia="Times New Roman" w:hAnsi="Times New Roman" w:cs="Times New Roman"/>
                <w:sz w:val="22"/>
                <w:szCs w:val="22"/>
                <w:highlight w:val="white"/>
              </w:rPr>
              <w:t xml:space="preserve"> Articolul 91 se completează cu litera k) cu următorul cuprins:</w:t>
            </w:r>
          </w:p>
          <w:p w14:paraId="629A103B"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„k) angajatorul prelucrează datele cu caracter personal ale salariaților în procesul implementării principiului remunerării egale pentru muncă egală sau muncă de valoare egală, cu respectarea Legii privind protecția datelor cu caracter personal nr. 195/2024.”</w:t>
            </w:r>
          </w:p>
          <w:p w14:paraId="4B6D8CE3"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tc>
        <w:tc>
          <w:tcPr>
            <w:tcW w:w="45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4C2B80E"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91.</w:t>
            </w:r>
            <w:r>
              <w:rPr>
                <w:rFonts w:ascii="Times New Roman" w:eastAsia="Times New Roman" w:hAnsi="Times New Roman" w:cs="Times New Roman"/>
                <w:sz w:val="22"/>
                <w:szCs w:val="22"/>
                <w:highlight w:val="white"/>
              </w:rPr>
              <w:t> Cerinţele generale privind prelucrarea datelor personale ale salariatului şi garanţiile referitoare la protecţia lor</w:t>
            </w:r>
          </w:p>
          <w:p w14:paraId="7D1BD7E2"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În scopul asigurării drepturilor şi libertăţilor omului şi cetăţeanului, în procesul prelucrării datelor personale ale salariatului, angajatorul şi reprezentanţii lui sunt obligaţi să respecte următoarele cerinţe:</w:t>
            </w:r>
          </w:p>
          <w:p w14:paraId="30360166"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22E0691E"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k) angajatorul prelucrează datele cu caracter personal ale salariaților în procesul implementării principiului remunerării egale pentru muncă egală sau muncă de valoare egală, cu respectarea Legii privind protecția datelor cu caracter personal nr. 195/2024.</w:t>
            </w:r>
          </w:p>
          <w:p w14:paraId="162D6D2E" w14:textId="77777777" w:rsidR="00895F78" w:rsidRDefault="00895F78">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p>
        </w:tc>
        <w:tc>
          <w:tcPr>
            <w:tcW w:w="240" w:type="dxa"/>
            <w:tcBorders>
              <w:top w:val="nil"/>
              <w:left w:val="single" w:sz="4" w:space="0" w:color="000000"/>
              <w:bottom w:val="nil"/>
              <w:right w:val="nil"/>
            </w:tcBorders>
            <w:tcMar>
              <w:top w:w="0" w:type="dxa"/>
              <w:left w:w="100" w:type="dxa"/>
              <w:bottom w:w="0" w:type="dxa"/>
              <w:right w:w="100" w:type="dxa"/>
            </w:tcMar>
          </w:tcPr>
          <w:p w14:paraId="67C249E9"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302B7499" w14:textId="77777777">
        <w:trPr>
          <w:trHeight w:val="315"/>
        </w:trPr>
        <w:tc>
          <w:tcPr>
            <w:tcW w:w="4545" w:type="dxa"/>
            <w:tcBorders>
              <w:top w:val="single" w:sz="4"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5321B7A"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128.</w:t>
            </w:r>
            <w:r>
              <w:rPr>
                <w:rFonts w:ascii="Times New Roman" w:eastAsia="Times New Roman" w:hAnsi="Times New Roman" w:cs="Times New Roman"/>
                <w:sz w:val="22"/>
                <w:szCs w:val="22"/>
                <w:highlight w:val="white"/>
              </w:rPr>
              <w:t> Salariul</w:t>
            </w:r>
          </w:p>
          <w:p w14:paraId="1E551474"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40FE66CE"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w:t>
            </w:r>
            <w:r>
              <w:rPr>
                <w:rFonts w:ascii="Times New Roman" w:eastAsia="Times New Roman" w:hAnsi="Times New Roman" w:cs="Times New Roman"/>
                <w:sz w:val="22"/>
                <w:szCs w:val="22"/>
                <w:highlight w:val="white"/>
                <w:vertAlign w:val="superscript"/>
              </w:rPr>
              <w:t>4</w:t>
            </w:r>
            <w:r>
              <w:rPr>
                <w:rFonts w:ascii="Times New Roman" w:eastAsia="Times New Roman" w:hAnsi="Times New Roman" w:cs="Times New Roman"/>
                <w:sz w:val="22"/>
                <w:szCs w:val="22"/>
                <w:highlight w:val="white"/>
              </w:rPr>
              <w:t>) Angajatorul trebuie să pună la dispoziția salariaților, într-un mod ușor accesibil, informația privind criteriile utilizate pentru sistemul de evaluare și clasificare a funcțiilor pentru stabilirea nivelurilor de salarizare, aplicat în unitate.</w:t>
            </w:r>
          </w:p>
          <w:p w14:paraId="7ABABD4E"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(3) Salariul este confidenţial şi garantat.</w:t>
            </w:r>
          </w:p>
          <w:p w14:paraId="68FD5CAF"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tc>
        <w:tc>
          <w:tcPr>
            <w:tcW w:w="4665" w:type="dxa"/>
            <w:tcBorders>
              <w:top w:val="single" w:sz="4" w:space="0" w:color="000000"/>
              <w:left w:val="nil"/>
              <w:bottom w:val="single" w:sz="8" w:space="0" w:color="000000"/>
              <w:right w:val="single" w:sz="8" w:space="0" w:color="000000"/>
            </w:tcBorders>
            <w:tcMar>
              <w:top w:w="0" w:type="dxa"/>
              <w:left w:w="100" w:type="dxa"/>
              <w:bottom w:w="0" w:type="dxa"/>
              <w:right w:w="100" w:type="dxa"/>
            </w:tcMar>
          </w:tcPr>
          <w:p w14:paraId="5AD98F72" w14:textId="77777777" w:rsidR="00895F78" w:rsidRDefault="00000000">
            <w:pPr>
              <w:spacing w:after="0" w:line="276" w:lineRule="auto"/>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Articolul 128 la alineatul (2³) textul „diferența de gen de salarizare” se substituie cu  textul „diferența de remunerare între femei și bărbați”;</w:t>
            </w:r>
          </w:p>
          <w:p w14:paraId="6760FB80" w14:textId="77777777" w:rsidR="00895F78" w:rsidRDefault="00895F78">
            <w:pPr>
              <w:spacing w:after="0" w:line="276" w:lineRule="auto"/>
              <w:rPr>
                <w:rFonts w:ascii="Times New Roman" w:eastAsia="Times New Roman" w:hAnsi="Times New Roman" w:cs="Times New Roman"/>
                <w:sz w:val="22"/>
                <w:szCs w:val="22"/>
                <w:highlight w:val="white"/>
              </w:rPr>
            </w:pPr>
          </w:p>
          <w:p w14:paraId="0E9D5DB5" w14:textId="77777777" w:rsidR="00895F78" w:rsidRDefault="00000000">
            <w:pPr>
              <w:spacing w:after="0" w:line="276" w:lineRule="auto"/>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alineatul (2</w:t>
            </w:r>
            <w:r>
              <w:rPr>
                <w:rFonts w:ascii="Times New Roman" w:eastAsia="Times New Roman" w:hAnsi="Times New Roman" w:cs="Times New Roman"/>
                <w:sz w:val="22"/>
                <w:szCs w:val="22"/>
                <w:highlight w:val="white"/>
                <w:vertAlign w:val="superscript"/>
              </w:rPr>
              <w:t>4</w:t>
            </w:r>
            <w:r>
              <w:rPr>
                <w:rFonts w:ascii="Times New Roman" w:eastAsia="Times New Roman" w:hAnsi="Times New Roman" w:cs="Times New Roman"/>
                <w:sz w:val="22"/>
                <w:szCs w:val="22"/>
                <w:highlight w:val="white"/>
              </w:rPr>
              <w:t>) va avea următorul cuprins:</w:t>
            </w:r>
          </w:p>
          <w:p w14:paraId="46209410" w14:textId="77777777" w:rsidR="00895F78" w:rsidRDefault="00000000">
            <w:pPr>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w:t>
            </w:r>
            <w:r>
              <w:rPr>
                <w:rFonts w:ascii="Times New Roman" w:eastAsia="Times New Roman" w:hAnsi="Times New Roman" w:cs="Times New Roman"/>
                <w:sz w:val="22"/>
                <w:szCs w:val="22"/>
                <w:highlight w:val="white"/>
                <w:vertAlign w:val="superscript"/>
              </w:rPr>
              <w:t>4</w:t>
            </w:r>
            <w:r>
              <w:rPr>
                <w:rFonts w:ascii="Times New Roman" w:eastAsia="Times New Roman" w:hAnsi="Times New Roman" w:cs="Times New Roman"/>
                <w:sz w:val="22"/>
                <w:szCs w:val="22"/>
                <w:highlight w:val="white"/>
              </w:rPr>
              <w:t>) Angajatorul trebuie să pună la dispoziția salariaților, într-un mod ușor accesibil, informația privind criteriile utilizate pentru sistemul de evaluare și clasificare a funcțiilor pentru stabilirea nivelurilor de remunerare, inclusiv criteriile aplicabile pentru determinarea evoluției remunerației în unitate. Angajatorii care au sub 50 de salariați sunt exonerați de obligația informării salariaților cu privire la criteriile aplicate la determinarea evoluției remunerației.”</w:t>
            </w:r>
          </w:p>
          <w:p w14:paraId="6ADD0333" w14:textId="77777777" w:rsidR="00895F78" w:rsidRDefault="00895F78">
            <w:pPr>
              <w:spacing w:after="0" w:line="276" w:lineRule="auto"/>
              <w:jc w:val="both"/>
              <w:rPr>
                <w:rFonts w:ascii="Times New Roman" w:eastAsia="Times New Roman" w:hAnsi="Times New Roman" w:cs="Times New Roman"/>
                <w:sz w:val="22"/>
                <w:szCs w:val="22"/>
                <w:highlight w:val="white"/>
              </w:rPr>
            </w:pPr>
          </w:p>
          <w:p w14:paraId="3BD0B01E" w14:textId="77777777" w:rsidR="00895F78" w:rsidRDefault="00000000">
            <w:pPr>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se completează cu alineatele (2</w:t>
            </w:r>
            <w:r>
              <w:rPr>
                <w:rFonts w:ascii="Times New Roman" w:eastAsia="Times New Roman" w:hAnsi="Times New Roman" w:cs="Times New Roman"/>
                <w:sz w:val="22"/>
                <w:szCs w:val="22"/>
                <w:highlight w:val="white"/>
                <w:vertAlign w:val="superscript"/>
              </w:rPr>
              <w:t>5</w:t>
            </w:r>
            <w:r>
              <w:rPr>
                <w:rFonts w:ascii="Times New Roman" w:eastAsia="Times New Roman" w:hAnsi="Times New Roman" w:cs="Times New Roman"/>
                <w:sz w:val="22"/>
                <w:szCs w:val="22"/>
                <w:highlight w:val="white"/>
              </w:rPr>
              <w:t>)-(2</w:t>
            </w:r>
            <w:r>
              <w:rPr>
                <w:rFonts w:ascii="Times New Roman" w:eastAsia="Times New Roman" w:hAnsi="Times New Roman" w:cs="Times New Roman"/>
                <w:sz w:val="22"/>
                <w:szCs w:val="22"/>
                <w:highlight w:val="white"/>
                <w:vertAlign w:val="superscript"/>
              </w:rPr>
              <w:t>8</w:t>
            </w:r>
            <w:r>
              <w:rPr>
                <w:rFonts w:ascii="Times New Roman" w:eastAsia="Times New Roman" w:hAnsi="Times New Roman" w:cs="Times New Roman"/>
                <w:sz w:val="22"/>
                <w:szCs w:val="22"/>
                <w:highlight w:val="white"/>
              </w:rPr>
              <w:t>) cu următorul cuprins:</w:t>
            </w:r>
          </w:p>
          <w:p w14:paraId="50013AA6" w14:textId="77777777" w:rsidR="00895F78" w:rsidRDefault="00000000">
            <w:pPr>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w:t>
            </w:r>
            <w:r>
              <w:rPr>
                <w:rFonts w:ascii="Times New Roman" w:eastAsia="Times New Roman" w:hAnsi="Times New Roman" w:cs="Times New Roman"/>
                <w:sz w:val="22"/>
                <w:szCs w:val="22"/>
                <w:highlight w:val="white"/>
                <w:vertAlign w:val="superscript"/>
              </w:rPr>
              <w:t>5</w:t>
            </w:r>
            <w:r>
              <w:rPr>
                <w:rFonts w:ascii="Times New Roman" w:eastAsia="Times New Roman" w:hAnsi="Times New Roman" w:cs="Times New Roman"/>
                <w:sz w:val="22"/>
                <w:szCs w:val="22"/>
                <w:highlight w:val="white"/>
              </w:rPr>
              <w:t>) Sistemul de evaluare și clasificare a funcțiilor utilizat de angajator pentru stabilirea nivelurilor de remunerare în unitate se aprobă de către angajator, după consultarea cu organul sindical sau cu reprezentanții salariaților, în cazul în care aceștia au fost aleși, cu respectarea dispozițiilor prevăzute la alin. (2</w:t>
            </w:r>
            <w:r>
              <w:rPr>
                <w:rFonts w:ascii="Times New Roman" w:eastAsia="Times New Roman" w:hAnsi="Times New Roman" w:cs="Times New Roman"/>
                <w:sz w:val="22"/>
                <w:szCs w:val="22"/>
                <w:highlight w:val="white"/>
                <w:vertAlign w:val="superscript"/>
              </w:rPr>
              <w:t>6</w:t>
            </w:r>
            <w:r>
              <w:rPr>
                <w:rFonts w:ascii="Times New Roman" w:eastAsia="Times New Roman" w:hAnsi="Times New Roman" w:cs="Times New Roman"/>
                <w:sz w:val="22"/>
                <w:szCs w:val="22"/>
                <w:highlight w:val="white"/>
              </w:rPr>
              <w:t>), precum și a prevederilor prezentului Cod. Angajatorii stabilesc în mod individual sistemul de evaluare și clasificare a funcțiilor aplicabil în cadrul unității, ținând seama de specificul activității, structura organizatorică și necesitățile proprii. Ministerul Muncii și Protecției Sociale elaborează și pune la dispoziția angajatorilor Metodologia pentru evaluarea și compararea valorii muncii, care are caracter orientativ și constituie un instrument de referință și sprijin pentru elaborarea, aplicarea sau revizuirea sistemelor de evaluare și clasificare a funcțiilor.</w:t>
            </w:r>
          </w:p>
          <w:p w14:paraId="5A33E4A5" w14:textId="77777777" w:rsidR="00895F78" w:rsidRDefault="00000000">
            <w:pPr>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w:t>
            </w:r>
            <w:r>
              <w:rPr>
                <w:rFonts w:ascii="Times New Roman" w:eastAsia="Times New Roman" w:hAnsi="Times New Roman" w:cs="Times New Roman"/>
                <w:sz w:val="22"/>
                <w:szCs w:val="22"/>
                <w:highlight w:val="white"/>
                <w:vertAlign w:val="superscript"/>
              </w:rPr>
              <w:t>6</w:t>
            </w:r>
            <w:r>
              <w:rPr>
                <w:rFonts w:ascii="Times New Roman" w:eastAsia="Times New Roman" w:hAnsi="Times New Roman" w:cs="Times New Roman"/>
                <w:sz w:val="22"/>
                <w:szCs w:val="22"/>
                <w:highlight w:val="white"/>
              </w:rPr>
              <w:t>) Criteriile aplicabile sistemului de evaluare și clasificare a funcțiilor includ, fără a se limita la acestea, criteriile prevăzute la art. 128 alin. (2²) precum și alte criterii relevante, în funcție de specificul funcției sau al activității desfășurate, aplicate în mod obiectiv, neutru din punctul de vedere al sexului și fără nicio formă de discriminare.</w:t>
            </w:r>
          </w:p>
          <w:p w14:paraId="13D76ED4" w14:textId="77777777" w:rsidR="00895F78" w:rsidRDefault="00000000">
            <w:pPr>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w:t>
            </w:r>
            <w:r>
              <w:rPr>
                <w:rFonts w:ascii="Times New Roman" w:eastAsia="Times New Roman" w:hAnsi="Times New Roman" w:cs="Times New Roman"/>
                <w:sz w:val="22"/>
                <w:szCs w:val="22"/>
                <w:highlight w:val="white"/>
                <w:vertAlign w:val="superscript"/>
              </w:rPr>
              <w:t>7</w:t>
            </w:r>
            <w:r>
              <w:rPr>
                <w:rFonts w:ascii="Times New Roman" w:eastAsia="Times New Roman" w:hAnsi="Times New Roman" w:cs="Times New Roman"/>
                <w:sz w:val="22"/>
                <w:szCs w:val="22"/>
                <w:highlight w:val="white"/>
              </w:rPr>
              <w:t>) Sistemul de evaluare și clasificare a funcțiilor stabilește categoriile de salariați și, pentru fiecare dintre acestea, formele de salarizare, cuantumurile sau intervalele de salarizare (minim și maxim), temeiurile și procedura de acordare a plăților suplimentare (salariul suplimentar, precum și alte plăți de stimulare și compensare), și a altor componente complementare sau variabile ale remunerației, după caz, precum și procedura de majorare a salariilor. Angajatorii care au sub 50 de salariați sunt exonerați de obligația de a include procedura de majorare a salariilor în sistemul de evaluare și clasificare a funcțiilor .</w:t>
            </w:r>
          </w:p>
          <w:p w14:paraId="4AC3692C" w14:textId="77777777" w:rsidR="00895F78" w:rsidRDefault="00000000">
            <w:pPr>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Elementele constitutive ale remunerației prevăzute la prezentul alineat se iau în considerare la evaluarea respectării de către angajator a principiului egalității de remunerare între salariații de sex feminin și salariații de sex masculin pentru aceeași muncă sau pentru o muncă de valoare egală, la furnizarea informațiilor către salariați, la raportarea diferențelor de remunerare, precum și, după caz, la efectuarea evaluării comune a remunerațiilor, în condițiile prezentului Cod.</w:t>
            </w:r>
          </w:p>
          <w:p w14:paraId="45A692A1" w14:textId="77777777" w:rsidR="00895F78" w:rsidRDefault="00000000">
            <w:pPr>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w:t>
            </w:r>
            <w:r>
              <w:rPr>
                <w:rFonts w:ascii="Times New Roman" w:eastAsia="Times New Roman" w:hAnsi="Times New Roman" w:cs="Times New Roman"/>
                <w:sz w:val="22"/>
                <w:szCs w:val="22"/>
                <w:highlight w:val="white"/>
                <w:vertAlign w:val="superscript"/>
              </w:rPr>
              <w:t>8</w:t>
            </w:r>
            <w:r>
              <w:rPr>
                <w:rFonts w:ascii="Times New Roman" w:eastAsia="Times New Roman" w:hAnsi="Times New Roman" w:cs="Times New Roman"/>
                <w:sz w:val="22"/>
                <w:szCs w:val="22"/>
                <w:highlight w:val="white"/>
              </w:rPr>
              <w:t>) Sistemul de evaluare și clasificare a funcțiilor se fixează în contractul colectiv de muncă, regulamentul intern al unității, dacă este elaborat și aprobat de angajator, precum și prin alte acte normative interne cu caracter obligatoriu, aplicabile la nivel de unitate”.</w:t>
            </w:r>
          </w:p>
          <w:p w14:paraId="2253F592" w14:textId="77777777" w:rsidR="00895F78" w:rsidRDefault="00895F78">
            <w:pPr>
              <w:spacing w:after="0" w:line="276" w:lineRule="auto"/>
              <w:jc w:val="both"/>
              <w:rPr>
                <w:rFonts w:ascii="Times New Roman" w:eastAsia="Times New Roman" w:hAnsi="Times New Roman" w:cs="Times New Roman"/>
                <w:b/>
                <w:bCs/>
                <w:sz w:val="22"/>
                <w:szCs w:val="22"/>
                <w:highlight w:val="white"/>
              </w:rPr>
            </w:pPr>
          </w:p>
        </w:tc>
        <w:tc>
          <w:tcPr>
            <w:tcW w:w="4515" w:type="dxa"/>
            <w:tcBorders>
              <w:top w:val="single" w:sz="4" w:space="0" w:color="000000"/>
              <w:left w:val="nil"/>
              <w:bottom w:val="single" w:sz="8" w:space="0" w:color="000000"/>
              <w:right w:val="single" w:sz="8" w:space="0" w:color="000000"/>
            </w:tcBorders>
            <w:tcMar>
              <w:top w:w="0" w:type="dxa"/>
              <w:left w:w="100" w:type="dxa"/>
              <w:bottom w:w="0" w:type="dxa"/>
              <w:right w:w="100" w:type="dxa"/>
            </w:tcMar>
          </w:tcPr>
          <w:p w14:paraId="0A0095AB"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128.</w:t>
            </w:r>
            <w:r>
              <w:rPr>
                <w:rFonts w:ascii="Times New Roman" w:eastAsia="Times New Roman" w:hAnsi="Times New Roman" w:cs="Times New Roman"/>
                <w:sz w:val="22"/>
                <w:szCs w:val="22"/>
                <w:highlight w:val="white"/>
              </w:rPr>
              <w:t> Salariul</w:t>
            </w:r>
          </w:p>
          <w:p w14:paraId="537A7A5E"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1CB5394C" w14:textId="77777777" w:rsidR="00895F78" w:rsidRDefault="00000000">
            <w:pPr>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w:t>
            </w:r>
            <w:r>
              <w:rPr>
                <w:rFonts w:ascii="Times New Roman" w:eastAsia="Times New Roman" w:hAnsi="Times New Roman" w:cs="Times New Roman"/>
                <w:sz w:val="22"/>
                <w:szCs w:val="22"/>
                <w:highlight w:val="white"/>
                <w:vertAlign w:val="superscript"/>
              </w:rPr>
              <w:t>3</w:t>
            </w:r>
            <w:r>
              <w:rPr>
                <w:rFonts w:ascii="Times New Roman" w:eastAsia="Times New Roman" w:hAnsi="Times New Roman" w:cs="Times New Roman"/>
                <w:sz w:val="22"/>
                <w:szCs w:val="22"/>
                <w:highlight w:val="white"/>
              </w:rPr>
              <w:t xml:space="preserve">) Angajatorii întreprinderilor mijlocii și mari sunt obligați să informeze periodic, dar nu mai rar decât o dată pe an (cel târziu în primul semestru al anului următor celui de gestiune), salariații și/sau reprezentanții lor cu privire la </w:t>
            </w:r>
            <w:r>
              <w:rPr>
                <w:rFonts w:ascii="Times New Roman" w:eastAsia="Times New Roman" w:hAnsi="Times New Roman" w:cs="Times New Roman"/>
                <w:b/>
                <w:bCs/>
                <w:sz w:val="22"/>
                <w:szCs w:val="22"/>
                <w:highlight w:val="white"/>
              </w:rPr>
              <w:t>diferența de remunerare între femei și bărbați</w:t>
            </w:r>
            <w:r>
              <w:rPr>
                <w:rFonts w:ascii="Times New Roman" w:eastAsia="Times New Roman" w:hAnsi="Times New Roman" w:cs="Times New Roman"/>
                <w:sz w:val="22"/>
                <w:szCs w:val="22"/>
                <w:highlight w:val="white"/>
              </w:rPr>
              <w:t xml:space="preserve"> pe categorie de salariați și de funcții. </w:t>
            </w:r>
          </w:p>
          <w:p w14:paraId="6F63E795" w14:textId="77777777" w:rsidR="00895F78" w:rsidRDefault="00000000">
            <w:pPr>
              <w:spacing w:after="0" w:line="276" w:lineRule="auto"/>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sz w:val="22"/>
                <w:szCs w:val="22"/>
                <w:highlight w:val="white"/>
              </w:rPr>
              <w:t>(</w:t>
            </w:r>
            <w:r>
              <w:rPr>
                <w:rFonts w:ascii="Times New Roman" w:eastAsia="Times New Roman" w:hAnsi="Times New Roman" w:cs="Times New Roman"/>
                <w:b/>
                <w:bCs/>
                <w:sz w:val="22"/>
                <w:szCs w:val="22"/>
                <w:highlight w:val="white"/>
              </w:rPr>
              <w:t>2</w:t>
            </w:r>
            <w:r>
              <w:rPr>
                <w:rFonts w:ascii="Times New Roman" w:eastAsia="Times New Roman" w:hAnsi="Times New Roman" w:cs="Times New Roman"/>
                <w:b/>
                <w:bCs/>
                <w:sz w:val="22"/>
                <w:szCs w:val="22"/>
                <w:highlight w:val="white"/>
                <w:vertAlign w:val="superscript"/>
              </w:rPr>
              <w:t>4</w:t>
            </w:r>
            <w:r>
              <w:rPr>
                <w:rFonts w:ascii="Times New Roman" w:eastAsia="Times New Roman" w:hAnsi="Times New Roman" w:cs="Times New Roman"/>
                <w:b/>
                <w:bCs/>
                <w:sz w:val="22"/>
                <w:szCs w:val="22"/>
                <w:highlight w:val="white"/>
              </w:rPr>
              <w:t>) Angajatorul trebuie să pună la dispoziția salariaților, într-un mod ușor accesibil, informația privind criteriile utilizate pentru sistemul de evaluare și clasificare a funcțiilor pentru stabilirea nivelurilor de remunerare, inclusiv criteriile aplicabile pentru determinarea evoluției remunerației în unitate. Angajatorii care au sub 50 de salariați sunt exonerați de obligația informării salariaților cu privire la criteriile aplicate la determinarea evoluției remunerației.</w:t>
            </w:r>
          </w:p>
          <w:p w14:paraId="66B82A33" w14:textId="77777777" w:rsidR="00895F78" w:rsidRDefault="00895F78">
            <w:pPr>
              <w:spacing w:after="0" w:line="276" w:lineRule="auto"/>
              <w:jc w:val="both"/>
              <w:rPr>
                <w:rFonts w:ascii="Times New Roman" w:eastAsia="Times New Roman" w:hAnsi="Times New Roman" w:cs="Times New Roman"/>
                <w:sz w:val="22"/>
                <w:szCs w:val="22"/>
                <w:highlight w:val="white"/>
              </w:rPr>
            </w:pPr>
          </w:p>
          <w:p w14:paraId="4237D619" w14:textId="77777777" w:rsidR="00895F78" w:rsidRDefault="00000000">
            <w:pPr>
              <w:spacing w:after="0" w:line="276" w:lineRule="auto"/>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„(2</w:t>
            </w:r>
            <w:r>
              <w:rPr>
                <w:rFonts w:ascii="Times New Roman" w:eastAsia="Times New Roman" w:hAnsi="Times New Roman" w:cs="Times New Roman"/>
                <w:b/>
                <w:bCs/>
                <w:sz w:val="22"/>
                <w:szCs w:val="22"/>
                <w:highlight w:val="white"/>
                <w:vertAlign w:val="superscript"/>
              </w:rPr>
              <w:t>5</w:t>
            </w:r>
            <w:r>
              <w:rPr>
                <w:rFonts w:ascii="Times New Roman" w:eastAsia="Times New Roman" w:hAnsi="Times New Roman" w:cs="Times New Roman"/>
                <w:b/>
                <w:bCs/>
                <w:sz w:val="22"/>
                <w:szCs w:val="22"/>
                <w:highlight w:val="white"/>
              </w:rPr>
              <w:t>) Sistemul de evaluare și clasificare a funcțiilor utilizat de angajator pentru stabilirea nivelurilor de remunerare în unitate se aprobă de către angajator, după consultarea cu organul sindical sau cu reprezentanții salariaților, în cazul în care aceștia au fost aleși, cu respectarea dispozițiilor prevăzute la alin. (2</w:t>
            </w:r>
            <w:r>
              <w:rPr>
                <w:rFonts w:ascii="Times New Roman" w:eastAsia="Times New Roman" w:hAnsi="Times New Roman" w:cs="Times New Roman"/>
                <w:b/>
                <w:bCs/>
                <w:sz w:val="22"/>
                <w:szCs w:val="22"/>
                <w:highlight w:val="white"/>
                <w:vertAlign w:val="superscript"/>
              </w:rPr>
              <w:t>6</w:t>
            </w:r>
            <w:r>
              <w:rPr>
                <w:rFonts w:ascii="Times New Roman" w:eastAsia="Times New Roman" w:hAnsi="Times New Roman" w:cs="Times New Roman"/>
                <w:b/>
                <w:bCs/>
                <w:sz w:val="22"/>
                <w:szCs w:val="22"/>
                <w:highlight w:val="white"/>
              </w:rPr>
              <w:t>), precum și a prevederilor prezentului Cod. Angajatorii stabilesc în mod individual sistemul de evaluare și clasificare a funcțiilor aplicabil în cadrul unității, ținând seama de specificul activității, structura organizatorică și necesitățile proprii. Ministerul Muncii și Protecției Sociale elaborează și pune la dispoziția angajatorilor Metodologia pentru evaluarea și compararea valorii muncii, care are caracter orientativ și constituie un instrument de referință și sprijin pentru elaborarea, aplicarea sau revizuirea sistemelor de evaluare și clasificare a funcțiilor.</w:t>
            </w:r>
          </w:p>
          <w:p w14:paraId="731D4250" w14:textId="77777777" w:rsidR="00895F78" w:rsidRDefault="00895F78">
            <w:pPr>
              <w:spacing w:after="0" w:line="276" w:lineRule="auto"/>
              <w:jc w:val="both"/>
              <w:rPr>
                <w:rFonts w:ascii="Times New Roman" w:eastAsia="Times New Roman" w:hAnsi="Times New Roman" w:cs="Times New Roman"/>
                <w:b/>
                <w:bCs/>
                <w:sz w:val="22"/>
                <w:szCs w:val="22"/>
                <w:highlight w:val="white"/>
              </w:rPr>
            </w:pPr>
          </w:p>
          <w:p w14:paraId="4485F0F9" w14:textId="77777777" w:rsidR="00895F78" w:rsidRDefault="00000000">
            <w:pPr>
              <w:spacing w:after="0" w:line="276" w:lineRule="auto"/>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(2</w:t>
            </w:r>
            <w:r>
              <w:rPr>
                <w:rFonts w:ascii="Times New Roman" w:eastAsia="Times New Roman" w:hAnsi="Times New Roman" w:cs="Times New Roman"/>
                <w:b/>
                <w:bCs/>
                <w:sz w:val="22"/>
                <w:szCs w:val="22"/>
                <w:highlight w:val="white"/>
                <w:vertAlign w:val="superscript"/>
              </w:rPr>
              <w:t>6</w:t>
            </w:r>
            <w:r>
              <w:rPr>
                <w:rFonts w:ascii="Times New Roman" w:eastAsia="Times New Roman" w:hAnsi="Times New Roman" w:cs="Times New Roman"/>
                <w:b/>
                <w:bCs/>
                <w:sz w:val="22"/>
                <w:szCs w:val="22"/>
                <w:highlight w:val="white"/>
              </w:rPr>
              <w:t>) Criteriile aplicabile sistemului de evaluare și clasificare a funcțiilor includ, fără a se limita la acestea, criteriile prevăzute la art. 128 alin. (2²) precum și alte criterii relevante, în funcție de specificul funcției sau al activității desfășurate, aplicate în mod obiectiv, neutru din punctul de vedere al sexului și fără nicio formă de discriminare.</w:t>
            </w:r>
          </w:p>
          <w:p w14:paraId="617A4850" w14:textId="77777777" w:rsidR="00895F78" w:rsidRDefault="00895F78">
            <w:pPr>
              <w:spacing w:after="0" w:line="276" w:lineRule="auto"/>
              <w:jc w:val="both"/>
              <w:rPr>
                <w:rFonts w:ascii="Times New Roman" w:eastAsia="Times New Roman" w:hAnsi="Times New Roman" w:cs="Times New Roman"/>
                <w:b/>
                <w:bCs/>
                <w:sz w:val="22"/>
                <w:szCs w:val="22"/>
                <w:highlight w:val="white"/>
              </w:rPr>
            </w:pPr>
          </w:p>
          <w:p w14:paraId="2B350652" w14:textId="77777777" w:rsidR="00895F78" w:rsidRDefault="00000000">
            <w:pPr>
              <w:spacing w:after="0" w:line="276" w:lineRule="auto"/>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(2</w:t>
            </w:r>
            <w:r>
              <w:rPr>
                <w:rFonts w:ascii="Times New Roman" w:eastAsia="Times New Roman" w:hAnsi="Times New Roman" w:cs="Times New Roman"/>
                <w:b/>
                <w:bCs/>
                <w:sz w:val="22"/>
                <w:szCs w:val="22"/>
                <w:highlight w:val="white"/>
                <w:vertAlign w:val="superscript"/>
              </w:rPr>
              <w:t>7</w:t>
            </w:r>
            <w:r>
              <w:rPr>
                <w:rFonts w:ascii="Times New Roman" w:eastAsia="Times New Roman" w:hAnsi="Times New Roman" w:cs="Times New Roman"/>
                <w:b/>
                <w:bCs/>
                <w:sz w:val="22"/>
                <w:szCs w:val="22"/>
                <w:highlight w:val="white"/>
              </w:rPr>
              <w:t>) Sistemul de evaluare și clasificare a funcțiilor stabilește categoriile de salariați și, pentru fiecare dintre acestea, formele de salarizare, cuantumurile sau intervalele de salarizare (minim și maxim), temeiurile și procedura de acordare a plăților suplimentare (salariul suplimentar, precum și alte plăți de stimulare și compensare), și a altor componente complementare sau variabile ale remunerației, după caz, precum și procedura de majorare a salariilor. Angajatorii care au sub 50 de salariați sunt exonerați de obligația de a include procedura de majorare a salariilor în sistemul de evaluare și clasificare a funcțiilor .</w:t>
            </w:r>
          </w:p>
          <w:p w14:paraId="2C4048CA" w14:textId="77777777" w:rsidR="00895F78" w:rsidRDefault="00000000">
            <w:pPr>
              <w:spacing w:after="0" w:line="276" w:lineRule="auto"/>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Elementele constitutive ale remunerației prevăzute la prezentul alineat se iau în considerare la evaluarea respectării de către angajator a principiului egalității de remunerare între salariații de sex feminin și salariații de sex masculin pentru aceeași muncă sau pentru o muncă de valoare egală, la furnizarea informațiilor către salariați, la raportarea diferențelor de remunerare, precum și, după caz, la efectuarea evaluării comune a remunerațiilor, în condițiile prezentului Cod.</w:t>
            </w:r>
          </w:p>
          <w:p w14:paraId="39352E6C" w14:textId="77777777" w:rsidR="00895F78" w:rsidRDefault="00000000">
            <w:pPr>
              <w:spacing w:after="0" w:line="276" w:lineRule="auto"/>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(2</w:t>
            </w:r>
            <w:r>
              <w:rPr>
                <w:rFonts w:ascii="Times New Roman" w:eastAsia="Times New Roman" w:hAnsi="Times New Roman" w:cs="Times New Roman"/>
                <w:b/>
                <w:bCs/>
                <w:sz w:val="22"/>
                <w:szCs w:val="22"/>
                <w:highlight w:val="white"/>
                <w:vertAlign w:val="superscript"/>
              </w:rPr>
              <w:t>8</w:t>
            </w:r>
            <w:r>
              <w:rPr>
                <w:rFonts w:ascii="Times New Roman" w:eastAsia="Times New Roman" w:hAnsi="Times New Roman" w:cs="Times New Roman"/>
                <w:b/>
                <w:bCs/>
                <w:sz w:val="22"/>
                <w:szCs w:val="22"/>
                <w:highlight w:val="white"/>
              </w:rPr>
              <w:t>) Sistemul de evaluare și clasificare a funcțiilor se fixează în contractul colectiv de muncă, regulamentul intern al unității, dacă este elaborat și aprobat de angajator, precum și prin alte acte normative interne cu caracter obligatoriu, aplicabile la nivel de unitate.</w:t>
            </w:r>
          </w:p>
          <w:p w14:paraId="4842B230" w14:textId="77777777" w:rsidR="00895F78" w:rsidRDefault="00895F78">
            <w:pPr>
              <w:spacing w:after="0" w:line="276" w:lineRule="auto"/>
              <w:jc w:val="both"/>
              <w:rPr>
                <w:rFonts w:ascii="Times New Roman" w:eastAsia="Times New Roman" w:hAnsi="Times New Roman" w:cs="Times New Roman"/>
                <w:b/>
                <w:bCs/>
                <w:sz w:val="22"/>
                <w:szCs w:val="22"/>
                <w:highlight w:val="white"/>
              </w:rPr>
            </w:pPr>
          </w:p>
        </w:tc>
        <w:tc>
          <w:tcPr>
            <w:tcW w:w="240" w:type="dxa"/>
            <w:tcBorders>
              <w:top w:val="nil"/>
              <w:left w:val="nil"/>
              <w:bottom w:val="nil"/>
              <w:right w:val="nil"/>
            </w:tcBorders>
            <w:tcMar>
              <w:top w:w="0" w:type="dxa"/>
              <w:left w:w="100" w:type="dxa"/>
              <w:bottom w:w="0" w:type="dxa"/>
              <w:right w:w="100" w:type="dxa"/>
            </w:tcMar>
          </w:tcPr>
          <w:p w14:paraId="41BAA3D2"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2197EF51"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E24EC19" w14:textId="77777777" w:rsidR="00895F78" w:rsidRDefault="00895F78">
            <w:pPr>
              <w:shd w:val="clear" w:color="auto" w:fill="FFFFFF"/>
              <w:spacing w:after="0" w:line="240" w:lineRule="auto"/>
              <w:jc w:val="both"/>
              <w:rPr>
                <w:rFonts w:ascii="Times New Roman" w:eastAsia="Times New Roman" w:hAnsi="Times New Roman" w:cs="Times New Roman"/>
                <w:sz w:val="22"/>
                <w:szCs w:val="22"/>
                <w:highlight w:val="white"/>
              </w:rPr>
            </w:pPr>
          </w:p>
          <w:p w14:paraId="39823EBE" w14:textId="77777777" w:rsidR="00895F78" w:rsidRDefault="00895F78">
            <w:pPr>
              <w:shd w:val="clear" w:color="auto" w:fill="FFFFFF"/>
              <w:spacing w:after="0" w:line="276" w:lineRule="auto"/>
              <w:ind w:firstLine="700"/>
              <w:jc w:val="both"/>
              <w:rPr>
                <w:rFonts w:ascii="Times New Roman" w:eastAsia="Times New Roman" w:hAnsi="Times New Roman" w:cs="Times New Roman"/>
                <w:b/>
                <w:bCs/>
                <w:sz w:val="22"/>
                <w:szCs w:val="22"/>
                <w:highlight w:val="white"/>
              </w:rPr>
            </w:pPr>
          </w:p>
          <w:p w14:paraId="54ADD9B0" w14:textId="77777777" w:rsidR="00895F78" w:rsidRDefault="00895F78">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2C850689"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Codul muncii se completează cu articolele 128</w:t>
            </w:r>
            <w:r>
              <w:rPr>
                <w:rFonts w:ascii="Times New Roman" w:eastAsia="Times New Roman" w:hAnsi="Times New Roman" w:cs="Times New Roman"/>
                <w:sz w:val="22"/>
                <w:szCs w:val="22"/>
                <w:highlight w:val="white"/>
                <w:vertAlign w:val="superscript"/>
              </w:rPr>
              <w:t>1</w:t>
            </w:r>
            <w:r>
              <w:rPr>
                <w:rFonts w:ascii="Times New Roman" w:eastAsia="Times New Roman" w:hAnsi="Times New Roman" w:cs="Times New Roman"/>
                <w:sz w:val="22"/>
                <w:szCs w:val="22"/>
                <w:highlight w:val="white"/>
              </w:rPr>
              <w:t>, 128², 128</w:t>
            </w:r>
            <w:r>
              <w:rPr>
                <w:rFonts w:ascii="Times New Roman" w:eastAsia="Times New Roman" w:hAnsi="Times New Roman" w:cs="Times New Roman"/>
                <w:sz w:val="22"/>
                <w:szCs w:val="22"/>
                <w:highlight w:val="white"/>
                <w:vertAlign w:val="superscript"/>
              </w:rPr>
              <w:t>3</w:t>
            </w:r>
            <w:r>
              <w:rPr>
                <w:rFonts w:ascii="Times New Roman" w:eastAsia="Times New Roman" w:hAnsi="Times New Roman" w:cs="Times New Roman"/>
                <w:sz w:val="22"/>
                <w:szCs w:val="22"/>
                <w:highlight w:val="white"/>
              </w:rPr>
              <w:t xml:space="preserve"> și 129</w:t>
            </w:r>
            <w:r>
              <w:rPr>
                <w:rFonts w:ascii="Times New Roman" w:eastAsia="Times New Roman" w:hAnsi="Times New Roman" w:cs="Times New Roman"/>
                <w:sz w:val="22"/>
                <w:szCs w:val="22"/>
                <w:highlight w:val="white"/>
                <w:vertAlign w:val="superscript"/>
              </w:rPr>
              <w:t>1</w:t>
            </w:r>
            <w:r>
              <w:rPr>
                <w:rFonts w:ascii="Times New Roman" w:eastAsia="Times New Roman" w:hAnsi="Times New Roman" w:cs="Times New Roman"/>
                <w:sz w:val="22"/>
                <w:szCs w:val="22"/>
                <w:highlight w:val="white"/>
              </w:rPr>
              <w:t xml:space="preserve"> cu următorul cuprins:</w:t>
            </w:r>
          </w:p>
          <w:p w14:paraId="06588832"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„Articolul 128</w:t>
            </w:r>
            <w:r>
              <w:rPr>
                <w:rFonts w:ascii="Times New Roman" w:eastAsia="Times New Roman" w:hAnsi="Times New Roman" w:cs="Times New Roman"/>
                <w:sz w:val="22"/>
                <w:szCs w:val="22"/>
                <w:highlight w:val="white"/>
                <w:vertAlign w:val="superscript"/>
              </w:rPr>
              <w:t xml:space="preserve">1 </w:t>
            </w:r>
            <w:r>
              <w:rPr>
                <w:rFonts w:ascii="Times New Roman" w:eastAsia="Times New Roman" w:hAnsi="Times New Roman" w:cs="Times New Roman"/>
                <w:sz w:val="22"/>
                <w:szCs w:val="22"/>
                <w:highlight w:val="white"/>
              </w:rPr>
              <w:t>. Dreptul salariatului la informare cu privire la remunerarea egală</w:t>
            </w:r>
          </w:p>
          <w:p w14:paraId="0D6D9226"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La cererea scrisă a salariatului, angajatorul este obligat să furnizeze în scris informații privind cuantumul salariului acestuia, precum și date privind nivelurile medii de remunerare defalcate în funcție de sex pentru categoriile de salariați care prestează muncă egală sau muncă de valoare egală. Informația se prezintă salariatului în scris în termen rezonabil, care nu poate depăși 2 luni de la data recepționării cererii de către angajator.</w:t>
            </w:r>
          </w:p>
          <w:p w14:paraId="3F8C872F"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Salariatul are dreptul de a primi informațiile prevăzute la alin. (1) personal, sau prin intermediul reprezentanților salariaților. În cazul în care informațiile primite sunt inexacte sau incomplete, salariatul sau reprezentanții salariaților, după caz,  are dreptul de a solicita, într-un mod rezonabil, explicații suplimentare.</w:t>
            </w:r>
          </w:p>
          <w:p w14:paraId="0D2AE594"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(3) Angajatorul are obligația de a informa anual salariații cu privire la dreptul acestora de a primi informațiile prevăzute la alineatul (1), precum și cu privire la modalitatea de exercitare a acestui drept. </w:t>
            </w:r>
          </w:p>
          <w:p w14:paraId="41B60787"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(4) În cazul în care furnizarea către un salariat a informațiilor prevăzute la alineatul (1) ar conduce, direct sau indirect, la identificarea unui alt salariat, evaluarea respectării de către angajator a principiului egalității de remunerare se efectuează de către reprezentanții salariaților, sau după caz, de către Consiliul pentru Egalitate sau Inspectoratul de Stat al Muncii în temeiul cererii depuse de salariat, care informează salariatul solicitant cu privire la rezultatul acestei evaluări.</w:t>
            </w:r>
          </w:p>
          <w:p w14:paraId="7F4B98AF"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(5)  Angajatorul poate solicita salariatului să nu utilizeze informațiile prevăzute la alineatul (1) în alte scopuri decât exercitarea dreptului la remunerare egală pentru muncă egală sau muncă de valoare egală, cu excepția informațiilor referitoare la propria remunerație a salariatului. Această prevedere nu împiedică salariații să își divulge remunerația în scopul asigurării respectării principiului remunerării egale. Orice clauze contractuale de confidențialitate care împiedică divulgarea remunerației în scopul aplicării principiului remunerării egale sunt nule de drept.</w:t>
            </w:r>
          </w:p>
          <w:p w14:paraId="122D7F31"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(6) Informațiile furnizate salariaților cu dizabilități se vor asigura într-un format accesibil acestora, adaptat nevoilor specifice ale acestora.</w:t>
            </w:r>
          </w:p>
          <w:p w14:paraId="767539F6"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0A3D974B"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Articolul 128</w:t>
            </w:r>
            <w:r>
              <w:rPr>
                <w:rFonts w:ascii="Times New Roman" w:eastAsia="Times New Roman" w:hAnsi="Times New Roman" w:cs="Times New Roman"/>
                <w:b/>
                <w:bCs/>
                <w:sz w:val="22"/>
                <w:szCs w:val="22"/>
                <w:highlight w:val="white"/>
                <w:vertAlign w:val="superscript"/>
              </w:rPr>
              <w:t xml:space="preserve">1 </w:t>
            </w:r>
            <w:r>
              <w:rPr>
                <w:rFonts w:ascii="Times New Roman" w:eastAsia="Times New Roman" w:hAnsi="Times New Roman" w:cs="Times New Roman"/>
                <w:b/>
                <w:bCs/>
                <w:sz w:val="22"/>
                <w:szCs w:val="22"/>
                <w:highlight w:val="white"/>
              </w:rPr>
              <w:t>. Dreptul salariatului la informare cu privire la remunerarea egală</w:t>
            </w:r>
          </w:p>
          <w:p w14:paraId="77E1D4B6"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(1) La cererea scrisă a salariatului, angajatorul este obligat să furnizeze în scris informații privind cuantumul salariului acestuia, precum și date privind nivelurile medii de remunerare defalcate în funcție de sex pentru categoriile de salariați care prestează muncă egală sau muncă de valoare egală. Informația se prezintă salariatului în scris în termen rezonabil, care nu poate depăși 2 luni de la data recepționării cererii de către angajator.</w:t>
            </w:r>
          </w:p>
          <w:p w14:paraId="2DAA3A5C"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(2) Salariatul are dreptul de a primi informațiile prevăzute la alin. (1) personal, sau prin intermediul reprezentanților salariaților. În cazul în care informațiile primite sunt inexacte sau incomplete, salariatul sau reprezentanții salariaților, după caz,  are dreptul de a solicita, într-un mod rezonabil, explicații suplimentare.</w:t>
            </w:r>
          </w:p>
          <w:p w14:paraId="768DB927"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(3) Angajatorul are obligația de a informa anual salariații cu privire la dreptul acestora de a primi informațiile prevăzute la alineatul (1), precum și cu privire la modalitatea de exercitare a acestui drept. </w:t>
            </w:r>
          </w:p>
          <w:p w14:paraId="3605164A"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(4) În cazul în care furnizarea către un salariat a informațiilor prevăzute la alineatul (1) ar conduce, direct sau indirect, la identificarea unui alt salariat, evaluarea respectării de către angajator a principiului egalității de remunerare se efectuează de către reprezentanții salariaților, sau după caz, de către Consiliul pentru Egalitate sau Inspectoratul de Stat al Muncii în temeiul cererii depuse de salariat, care informează salariatul solicitant cu privire la rezultatul acestei evaluări.</w:t>
            </w:r>
          </w:p>
          <w:p w14:paraId="7C34D7F1"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(5)  Angajatorul poate solicita salariatului să nu utilizeze informațiile prevăzute la alineatul (1) în alte scopuri decât exercitarea dreptului la remunerare egală pentru muncă egală sau muncă de valoare egală, cu excepția informațiilor referitoare la propria remunerație a salariatului. Această prevedere nu împiedică salariații să își divulge remunerația în scopul asigurării respectării principiului remunerării egale. Orice clauze contractuale de confidențialitate care împiedică divulgarea remunerației în scopul aplicării principiului remunerării egale sunt nule de drept.</w:t>
            </w:r>
          </w:p>
          <w:p w14:paraId="124D2832"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(6) Informațiile furnizate salariaților cu dizabilități se vor asigura într-un format accesibil acestora, adaptat nevoilor specifice ale acestora.</w:t>
            </w:r>
          </w:p>
        </w:tc>
        <w:tc>
          <w:tcPr>
            <w:tcW w:w="240" w:type="dxa"/>
            <w:tcBorders>
              <w:top w:val="nil"/>
              <w:left w:val="nil"/>
              <w:bottom w:val="nil"/>
              <w:right w:val="nil"/>
            </w:tcBorders>
            <w:tcMar>
              <w:top w:w="0" w:type="dxa"/>
              <w:left w:w="100" w:type="dxa"/>
              <w:bottom w:w="0" w:type="dxa"/>
              <w:right w:w="100" w:type="dxa"/>
            </w:tcMar>
          </w:tcPr>
          <w:p w14:paraId="350BD284"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79E8E812"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CC4B657"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0193FF20"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r>
              <w:rPr>
                <w:rFonts w:ascii="Times New Roman" w:eastAsia="Times New Roman" w:hAnsi="Times New Roman" w:cs="Times New Roman"/>
                <w:b/>
                <w:bCs/>
                <w:sz w:val="22"/>
                <w:szCs w:val="22"/>
                <w:highlight w:val="white"/>
              </w:rPr>
              <w:t>Articolul 128²</w:t>
            </w:r>
            <w:r>
              <w:rPr>
                <w:rFonts w:ascii="Times New Roman" w:eastAsia="Times New Roman" w:hAnsi="Times New Roman" w:cs="Times New Roman"/>
                <w:sz w:val="22"/>
                <w:szCs w:val="22"/>
                <w:highlight w:val="white"/>
              </w:rPr>
              <w:t>. Raportarea privind diferențele de remunerare</w:t>
            </w:r>
          </w:p>
          <w:p w14:paraId="25AF2819" w14:textId="77777777" w:rsidR="00895F78" w:rsidRDefault="00000000">
            <w:pPr>
              <w:spacing w:after="120"/>
              <w:ind w:firstLine="567"/>
              <w:jc w:val="both"/>
              <w:rPr>
                <w:rFonts w:ascii="Times New Roman" w:eastAsia="Times New Roman" w:hAnsi="Times New Roman" w:cs="Times New Roman"/>
                <w:sz w:val="22"/>
                <w:szCs w:val="22"/>
                <w:highlight w:val="lightGray"/>
              </w:rPr>
            </w:pPr>
            <w:r>
              <w:rPr>
                <w:rFonts w:ascii="Times New Roman" w:eastAsia="Times New Roman" w:hAnsi="Times New Roman" w:cs="Times New Roman"/>
                <w:sz w:val="22"/>
                <w:szCs w:val="22"/>
              </w:rPr>
              <w:t>(1) La cererea scrisă a salariaților și/sau a reprezentanților salariaților, transmisă inclusiv prin mijloace electronice, angajatorul furnizează informații privind diferența de remunerare între salariații de sex feminin și cei de sex masculin, defalcată pe categorii de salariați și pe componente ale remunerației, inclusiv salariul de bază și orice componente suplimentare sau variabile. Informațiile se furnizează în formă scrisă, inclusiv prin mijloace electronice, în termen de cel mult 2 luni de la data recepționării cererii.</w:t>
            </w:r>
          </w:p>
          <w:p w14:paraId="4BA206C6" w14:textId="77777777" w:rsidR="00895F78" w:rsidRDefault="00000000">
            <w:pPr>
              <w:spacing w:after="120"/>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Angajatorii cu cel puțin 100 de salariați fac obiectul obligațiilor prevăzute de prezentul articol, cu respectarea termenelor stabilite la alineatul (5). </w:t>
            </w:r>
          </w:p>
          <w:p w14:paraId="21EAA80B"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Indicatorii prevăzuți la alineatul (4) literele a)–f) se calculează, </w:t>
            </w:r>
            <w:r>
              <w:rPr>
                <w:rFonts w:ascii="Times New Roman" w:eastAsia="Times New Roman" w:hAnsi="Times New Roman" w:cs="Times New Roman"/>
                <w:sz w:val="22"/>
                <w:szCs w:val="22"/>
                <w:highlight w:val="white"/>
              </w:rPr>
              <w:t>compilează</w:t>
            </w:r>
            <w:r>
              <w:rPr>
                <w:rFonts w:ascii="Times New Roman" w:eastAsia="Times New Roman" w:hAnsi="Times New Roman" w:cs="Times New Roman"/>
                <w:sz w:val="22"/>
                <w:szCs w:val="22"/>
              </w:rPr>
              <w:t xml:space="preserve"> și se publică de Inspectoratul de Stat al Muncii pe baza datelor administrative furnizate de angajatori autorităților fiscale și de asigurări sociale și, după caz, altor autorități competente. </w:t>
            </w:r>
          </w:p>
          <w:p w14:paraId="423D8284"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Indicatorii vizați de prezentul articol sunt:</w:t>
            </w:r>
          </w:p>
          <w:p w14:paraId="4CC4D799" w14:textId="77777777" w:rsidR="00895F78" w:rsidRDefault="00000000">
            <w:pPr>
              <w:numPr>
                <w:ilvl w:val="0"/>
                <w:numId w:val="8"/>
              </w:numPr>
              <w:spacing w:after="0"/>
              <w:ind w:left="924" w:hanging="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diferența de remunerare între salariații de sex feminin și cei de sex masculin;</w:t>
            </w:r>
          </w:p>
          <w:p w14:paraId="368FD3A9" w14:textId="77777777" w:rsidR="00895F78" w:rsidRDefault="00000000">
            <w:pPr>
              <w:numPr>
                <w:ilvl w:val="0"/>
                <w:numId w:val="8"/>
              </w:numPr>
              <w:spacing w:after="0"/>
              <w:ind w:left="924" w:hanging="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diferența de remunerare între salariații de sex feminin și cei de sex masculin la nivelul componentelor suplimentare sau variabile ale remunerației;</w:t>
            </w:r>
          </w:p>
          <w:p w14:paraId="46B7D462" w14:textId="77777777" w:rsidR="00895F78" w:rsidRDefault="00000000">
            <w:pPr>
              <w:numPr>
                <w:ilvl w:val="0"/>
                <w:numId w:val="8"/>
              </w:numPr>
              <w:spacing w:after="0"/>
              <w:ind w:left="924" w:hanging="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diferența mediană de remunerare între salariații de sex feminin și cei de sex masculin;</w:t>
            </w:r>
          </w:p>
          <w:p w14:paraId="155B9337" w14:textId="77777777" w:rsidR="00895F78" w:rsidRDefault="00000000">
            <w:pPr>
              <w:numPr>
                <w:ilvl w:val="0"/>
                <w:numId w:val="8"/>
              </w:numPr>
              <w:spacing w:after="0"/>
              <w:ind w:left="924" w:hanging="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diferența mediană de remunerare între salariații de sex feminin și cei de sex masculin la nivelul componentelor suplimentare sau variabile ale remunerației;</w:t>
            </w:r>
          </w:p>
          <w:p w14:paraId="752B4FC3" w14:textId="77777777" w:rsidR="00895F78" w:rsidRDefault="00000000">
            <w:pPr>
              <w:numPr>
                <w:ilvl w:val="0"/>
                <w:numId w:val="8"/>
              </w:numPr>
              <w:spacing w:after="0"/>
              <w:ind w:left="924" w:hanging="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proporția dintre salariații de sex feminin și cei de sex masculin care beneficiază de componente suplimentare sau variabile ale remunerației;</w:t>
            </w:r>
          </w:p>
          <w:p w14:paraId="199FE12E" w14:textId="77777777" w:rsidR="00895F78" w:rsidRDefault="00000000">
            <w:pPr>
              <w:numPr>
                <w:ilvl w:val="0"/>
                <w:numId w:val="8"/>
              </w:numPr>
              <w:spacing w:after="0"/>
              <w:ind w:left="924" w:hanging="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proporția dintre salariații de sex feminin și cei de sex masculin din fiecare interval de remunerare de tip cuartilă;</w:t>
            </w:r>
          </w:p>
          <w:p w14:paraId="258E6692" w14:textId="77777777" w:rsidR="00895F78" w:rsidRDefault="00000000">
            <w:pPr>
              <w:numPr>
                <w:ilvl w:val="0"/>
                <w:numId w:val="8"/>
              </w:numPr>
              <w:ind w:left="924" w:hanging="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diferența de remunerare între salariații de sex feminin și cei de sex masculin pe categorii de salariați, defalcată în funcție de salariul de bază și de componentele suplimentare sau variabile ale remunerației.</w:t>
            </w:r>
          </w:p>
          <w:p w14:paraId="6301C61B"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Indicatorii prevăzuți la alineatul (4) lit. a)-f) se calculează,</w:t>
            </w:r>
            <w:r>
              <w:rPr>
                <w:rFonts w:ascii="Times New Roman" w:eastAsia="Times New Roman" w:hAnsi="Times New Roman" w:cs="Times New Roman"/>
                <w:sz w:val="22"/>
                <w:szCs w:val="22"/>
                <w:highlight w:val="white"/>
              </w:rPr>
              <w:t xml:space="preserve"> compilează</w:t>
            </w:r>
            <w:r>
              <w:rPr>
                <w:rFonts w:ascii="Times New Roman" w:eastAsia="Times New Roman" w:hAnsi="Times New Roman" w:cs="Times New Roman"/>
                <w:sz w:val="22"/>
                <w:szCs w:val="22"/>
              </w:rPr>
              <w:t xml:space="preserve"> și se publică de Inspectoratul de Stat al Muncii cu respectarea următoarelor termene:</w:t>
            </w:r>
          </w:p>
          <w:p w14:paraId="5619D632" w14:textId="77777777" w:rsidR="00895F78" w:rsidRDefault="00000000">
            <w:pPr>
              <w:numPr>
                <w:ilvl w:val="0"/>
                <w:numId w:val="6"/>
              </w:numPr>
              <w:spacing w:after="0"/>
              <w:ind w:left="924" w:hanging="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angajatorii cu cel puțin 250 de salariați: anual, până la data de 7 iunie, începând cu anul 2028, pentru datele aferente anului calendaristic precedent;</w:t>
            </w:r>
          </w:p>
          <w:p w14:paraId="383B1495" w14:textId="77777777" w:rsidR="00895F78" w:rsidRDefault="00000000">
            <w:pPr>
              <w:numPr>
                <w:ilvl w:val="0"/>
                <w:numId w:val="6"/>
              </w:numPr>
              <w:spacing w:after="0"/>
              <w:ind w:left="924" w:hanging="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angajatorii cu 150–249 de salariați: o dată la trei ani, până la data de 7 iunie, începând cu anul 2028, pentru datele aferente anului calendaristic precedent;</w:t>
            </w:r>
          </w:p>
          <w:p w14:paraId="4D91587E" w14:textId="77777777" w:rsidR="00895F78" w:rsidRDefault="00000000">
            <w:pPr>
              <w:numPr>
                <w:ilvl w:val="0"/>
                <w:numId w:val="6"/>
              </w:numPr>
              <w:ind w:left="924" w:hanging="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angajatorii cu 100–149 de salariați: o dată la trei ani, până la data de 7 iunie, începând cu anul 2031, pentru datele aferente anului calendaristic precedent.</w:t>
            </w:r>
          </w:p>
          <w:p w14:paraId="5BFCB4BC"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În scopul calculării indicatorului prevăzut la alineatul (4) litera g), angajatorul este obligat:</w:t>
            </w:r>
          </w:p>
          <w:p w14:paraId="08AE7DC5" w14:textId="77777777" w:rsidR="00895F78" w:rsidRDefault="00000000">
            <w:pPr>
              <w:numPr>
                <w:ilvl w:val="0"/>
                <w:numId w:val="13"/>
              </w:numPr>
              <w:spacing w:after="0"/>
              <w:ind w:left="924" w:hanging="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să atribuie fiecărui salariat o categorie internă, stabilită de angajator pe baza unor criterii obiective, nediscriminatorii și neutre din punctul de vedere al sexului, care reflectă încadrarea salariatului în aceeași muncă sau în muncă de valoare egală în cadrul unității, în conformitate cu sistemul de evaluare și clasificare a funcțiilor prevăzut la articolul 128 alin. (2</w:t>
            </w:r>
            <w:r>
              <w:rPr>
                <w:rFonts w:ascii="Times New Roman" w:eastAsia="Times New Roman" w:hAnsi="Times New Roman" w:cs="Times New Roman"/>
                <w:sz w:val="22"/>
                <w:szCs w:val="22"/>
                <w:vertAlign w:val="superscript"/>
              </w:rPr>
              <w:t>7</w:t>
            </w:r>
            <w:r>
              <w:rPr>
                <w:rFonts w:ascii="Times New Roman" w:eastAsia="Times New Roman" w:hAnsi="Times New Roman" w:cs="Times New Roman"/>
                <w:sz w:val="22"/>
                <w:szCs w:val="22"/>
              </w:rPr>
              <w:t>);</w:t>
            </w:r>
          </w:p>
          <w:p w14:paraId="291BB081" w14:textId="77777777" w:rsidR="00895F78" w:rsidRDefault="00000000">
            <w:pPr>
              <w:numPr>
                <w:ilvl w:val="0"/>
                <w:numId w:val="13"/>
              </w:numPr>
              <w:spacing w:after="0"/>
              <w:ind w:left="924" w:hanging="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să actualizeze atribuirea categoriei ori de câte ori situația salariatului se modifică în mod relevant;</w:t>
            </w:r>
          </w:p>
          <w:p w14:paraId="264F18B6" w14:textId="77777777" w:rsidR="00895F78" w:rsidRDefault="00000000">
            <w:pPr>
              <w:numPr>
                <w:ilvl w:val="0"/>
                <w:numId w:val="13"/>
              </w:numPr>
              <w:ind w:left="924" w:hanging="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să pună la dispoziția autorității competente informațiile privind categoria atribuită fiecărui salariat, prin mecanismele stabilite în conformitate cu alineatul (7).</w:t>
            </w:r>
          </w:p>
          <w:p w14:paraId="4373BB69"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Modalitatea tehnică de colectare, transmitere și actualizare a datelor privind categoriile interne prevăzute la alineatul (6), inclusiv fluxurile de date și sistemele informaționale utilizate în acest scop, se stabilește prin actele normative ale autorităților competente, după consultarea autorității responsabile de guvernarea electronică și a administratorilor sistemelor informaționale relevante.</w:t>
            </w:r>
          </w:p>
          <w:p w14:paraId="49E974F3"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Pe baza informațiilor privind categoriile transmise de angajator potrivit alineatelor (6) și (7) și a datelor administrative disponibile, Inspectoratul de Stat al Muncii calculează indicatorul </w:t>
            </w:r>
            <w:r>
              <w:rPr>
                <w:rFonts w:ascii="Times New Roman" w:eastAsia="Times New Roman" w:hAnsi="Times New Roman" w:cs="Times New Roman"/>
                <w:sz w:val="22"/>
                <w:szCs w:val="22"/>
                <w:highlight w:val="white"/>
              </w:rPr>
              <w:t>compilat</w:t>
            </w:r>
            <w:r>
              <w:rPr>
                <w:rFonts w:ascii="Times New Roman" w:eastAsia="Times New Roman" w:hAnsi="Times New Roman" w:cs="Times New Roman"/>
                <w:sz w:val="22"/>
                <w:szCs w:val="22"/>
              </w:rPr>
              <w:t xml:space="preserve"> prevăzut la alineatul (4) litera g). Termenele de calcul corespund celor stabilite la alineatul (5).</w:t>
            </w:r>
          </w:p>
          <w:p w14:paraId="1C3864E6"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 Angajatorul confirmă corectitudinea datelor transmise în temeiul prezentului articol, inclusiv a atribuirilor de categorie prevăzute la alineatul (6), după consultarea reprezentanților salariaților. Reprezentanții salariaților au acces la metodologia aplicată de angajator la constituirea categoriilor.</w:t>
            </w:r>
          </w:p>
          <w:p w14:paraId="3A837E22"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 Inspectoratul de Stat al Muncii publică datele prevăzute la alineatul (4) literele a)–f) într-un mod accesibil, care permite compararea angajatorilor, a sectoarelor și a regiunilor, asigurând disponibilitatea datelor aferente celor patru ani precedenți, în măsura în care acestea există.</w:t>
            </w:r>
          </w:p>
          <w:p w14:paraId="618AA921"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 Angajatorii cu mai puțin de 100 de salariați pot furniza în mod voluntar informațiile prevăzute la alineatul (6), fără a face obiectul obligațiilor stabilite de prezentul articol.</w:t>
            </w:r>
          </w:p>
          <w:p w14:paraId="1F873B78" w14:textId="77777777" w:rsidR="00895F78" w:rsidRDefault="00000000">
            <w:pPr>
              <w:ind w:firstLine="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(12) Salariații, reprezentanții salariaților, Inspectoratul de Stat al Muncii și Consiliul pentru Egalitate au dreptul să solicite angajatorului clarificări și detalii suplimentare privind metodologia de constituire a categoriilor sau corectitudinea atribuirilor efectuate. Angajatorul răspunde acestor solicitări în termen rezonabil, care nu depășește 2 luni de la data recepționării solicitării. La solicitarea Inspectoratului de Stat al Muncii sau a Consiliului pentru Egalitate, angajatorul furnizează și datele aferente ultimilor patru ani, în măsura în care acestea sunt disponibile. În cazul în care se constată diferențe de remunerare care nu se justifică prin criterii obiective, neutre din punctul de vedere al sexului, angajatorul adoptă măsurile de remediere necesare, în cooperare cu reprezentanții salariaților, Inspectoratul de Stat al Muncii și/sau Consiliul pentru Egalitate, după caz.”</w:t>
            </w:r>
          </w:p>
          <w:p w14:paraId="22013453"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p w14:paraId="234123CE"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15074C89"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„Articolul 128². Raportarea privind diferențele de remunerare</w:t>
            </w:r>
          </w:p>
          <w:p w14:paraId="540FEE2C" w14:textId="77777777" w:rsidR="00895F78" w:rsidRDefault="00000000">
            <w:pPr>
              <w:spacing w:after="120"/>
              <w:ind w:firstLine="567"/>
              <w:jc w:val="both"/>
              <w:rPr>
                <w:rFonts w:ascii="Times New Roman" w:eastAsia="Times New Roman" w:hAnsi="Times New Roman" w:cs="Times New Roman"/>
                <w:b/>
                <w:bCs/>
                <w:sz w:val="22"/>
                <w:szCs w:val="22"/>
                <w:highlight w:val="lightGray"/>
              </w:rPr>
            </w:pPr>
            <w:r>
              <w:rPr>
                <w:rFonts w:ascii="Times New Roman" w:eastAsia="Times New Roman" w:hAnsi="Times New Roman" w:cs="Times New Roman"/>
                <w:b/>
                <w:bCs/>
                <w:sz w:val="22"/>
                <w:szCs w:val="22"/>
              </w:rPr>
              <w:t>(1) La cererea scrisă a salariaților și/sau a reprezentanților salariaților, transmisă inclusiv prin mijloace electronice, angajatorul furnizează informații privind diferența de remunerare între salariații de sex feminin și cei de sex masculin, defalcată pe categorii de salariați și pe componente ale remunerației, inclusiv salariul de bază și orice componente suplimentare sau variabile. Informațiile se furnizează în formă scrisă, inclusiv prin mijloace electronice, în termen de cel mult 2 luni de la data recepționării cererii.</w:t>
            </w:r>
          </w:p>
          <w:p w14:paraId="0230F5FD" w14:textId="77777777" w:rsidR="00895F78" w:rsidRDefault="00000000">
            <w:pPr>
              <w:spacing w:after="120"/>
              <w:ind w:firstLine="56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(2) Angajatorii cu cel puțin 100 de salariați fac obiectul obligațiilor prevăzute de prezentul articol, cu respectarea termenelor stabilite la alineatul (5). </w:t>
            </w:r>
          </w:p>
          <w:p w14:paraId="2B59A2E2" w14:textId="77777777" w:rsidR="00895F78" w:rsidRDefault="00000000">
            <w:pPr>
              <w:ind w:firstLine="56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(3) Indicatorii prevăzuți la alineatul (4) literele a)–f) se calculează, </w:t>
            </w:r>
            <w:r>
              <w:rPr>
                <w:rFonts w:ascii="Times New Roman" w:eastAsia="Times New Roman" w:hAnsi="Times New Roman" w:cs="Times New Roman"/>
                <w:b/>
                <w:bCs/>
                <w:sz w:val="22"/>
                <w:szCs w:val="22"/>
                <w:highlight w:val="white"/>
              </w:rPr>
              <w:t>compilează</w:t>
            </w:r>
            <w:r>
              <w:rPr>
                <w:rFonts w:ascii="Times New Roman" w:eastAsia="Times New Roman" w:hAnsi="Times New Roman" w:cs="Times New Roman"/>
                <w:b/>
                <w:bCs/>
                <w:sz w:val="22"/>
                <w:szCs w:val="22"/>
              </w:rPr>
              <w:t xml:space="preserve"> și se publică de Inspectoratul de Stat al Muncii pe baza datelor administrative furnizate de angajatori autorităților fiscale și de asigurări sociale și, după caz, altor autorități competente. </w:t>
            </w:r>
          </w:p>
          <w:p w14:paraId="28CA85E2" w14:textId="77777777" w:rsidR="00895F78" w:rsidRDefault="00000000">
            <w:pPr>
              <w:ind w:firstLine="56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(4) Indicatorii vizați de prezentul articol sunt:</w:t>
            </w:r>
          </w:p>
          <w:p w14:paraId="7C7EE80B" w14:textId="77777777" w:rsidR="00895F78" w:rsidRDefault="00000000">
            <w:pPr>
              <w:numPr>
                <w:ilvl w:val="0"/>
                <w:numId w:val="8"/>
              </w:numPr>
              <w:spacing w:after="0"/>
              <w:ind w:left="924" w:hanging="35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diferența de remunerare între salariații de sex feminin și cei de sex masculin;</w:t>
            </w:r>
          </w:p>
          <w:p w14:paraId="2B98F000" w14:textId="77777777" w:rsidR="00895F78" w:rsidRDefault="00000000">
            <w:pPr>
              <w:numPr>
                <w:ilvl w:val="0"/>
                <w:numId w:val="8"/>
              </w:numPr>
              <w:spacing w:after="0"/>
              <w:ind w:left="924" w:hanging="35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diferența de remunerare între salariații de sex feminin și cei de sex masculin la nivelul componentelor suplimentare sau variabile ale remunerației;</w:t>
            </w:r>
          </w:p>
          <w:p w14:paraId="253BE92C" w14:textId="77777777" w:rsidR="00895F78" w:rsidRDefault="00000000">
            <w:pPr>
              <w:numPr>
                <w:ilvl w:val="0"/>
                <w:numId w:val="8"/>
              </w:numPr>
              <w:spacing w:after="0"/>
              <w:ind w:left="924" w:hanging="35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diferența mediană de remunerare între salariații de sex feminin și cei de sex masculin;</w:t>
            </w:r>
          </w:p>
          <w:p w14:paraId="066D072B" w14:textId="77777777" w:rsidR="00895F78" w:rsidRDefault="00000000">
            <w:pPr>
              <w:numPr>
                <w:ilvl w:val="0"/>
                <w:numId w:val="8"/>
              </w:numPr>
              <w:spacing w:after="0"/>
              <w:ind w:left="924" w:hanging="35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diferența mediană de remunerare între salariații de sex feminin și cei de sex masculin la nivelul componentelor suplimentare sau variabile ale remunerației;</w:t>
            </w:r>
          </w:p>
          <w:p w14:paraId="1FB8A95B" w14:textId="77777777" w:rsidR="00895F78" w:rsidRDefault="00000000">
            <w:pPr>
              <w:numPr>
                <w:ilvl w:val="0"/>
                <w:numId w:val="8"/>
              </w:numPr>
              <w:spacing w:after="0"/>
              <w:ind w:left="924" w:hanging="35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proporția dintre salariații de sex feminin și cei de sex masculin care beneficiază de componente suplimentare sau variabile ale remunerației;</w:t>
            </w:r>
          </w:p>
          <w:p w14:paraId="0A45CC66" w14:textId="77777777" w:rsidR="00895F78" w:rsidRDefault="00000000">
            <w:pPr>
              <w:numPr>
                <w:ilvl w:val="0"/>
                <w:numId w:val="8"/>
              </w:numPr>
              <w:spacing w:after="0"/>
              <w:ind w:left="924" w:hanging="35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proporția dintre salariații de sex feminin și cei de sex masculin din fiecare interval de remunerare de tip cuartilă;</w:t>
            </w:r>
          </w:p>
          <w:p w14:paraId="32BF0B58" w14:textId="77777777" w:rsidR="00895F78" w:rsidRDefault="00000000">
            <w:pPr>
              <w:numPr>
                <w:ilvl w:val="0"/>
                <w:numId w:val="8"/>
              </w:numPr>
              <w:ind w:left="924" w:hanging="35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diferența de remunerare între salariații de sex feminin și cei de sex masculin pe categorii de salariați, defalcată în funcție de salariul de bază și de componentele suplimentare sau variabile ale remunerației.</w:t>
            </w:r>
          </w:p>
          <w:p w14:paraId="662301D6" w14:textId="77777777" w:rsidR="00895F78" w:rsidRDefault="00000000">
            <w:pPr>
              <w:ind w:firstLine="56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(5) Indicatorii prevăzuți la alineatul (4) lit. a)-f) se calculează,</w:t>
            </w:r>
            <w:r>
              <w:rPr>
                <w:rFonts w:ascii="Times New Roman" w:eastAsia="Times New Roman" w:hAnsi="Times New Roman" w:cs="Times New Roman"/>
                <w:b/>
                <w:bCs/>
                <w:sz w:val="22"/>
                <w:szCs w:val="22"/>
                <w:highlight w:val="white"/>
              </w:rPr>
              <w:t xml:space="preserve"> compilează</w:t>
            </w:r>
            <w:r>
              <w:rPr>
                <w:rFonts w:ascii="Times New Roman" w:eastAsia="Times New Roman" w:hAnsi="Times New Roman" w:cs="Times New Roman"/>
                <w:b/>
                <w:bCs/>
                <w:sz w:val="22"/>
                <w:szCs w:val="22"/>
              </w:rPr>
              <w:t xml:space="preserve"> și se publică de Inspectoratul de Stat al Muncii cu respectarea următoarelor termene:</w:t>
            </w:r>
          </w:p>
          <w:p w14:paraId="680A6AE5" w14:textId="77777777" w:rsidR="00895F78" w:rsidRDefault="00000000">
            <w:pPr>
              <w:numPr>
                <w:ilvl w:val="0"/>
                <w:numId w:val="6"/>
              </w:numPr>
              <w:spacing w:after="0"/>
              <w:ind w:left="924" w:hanging="35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angajatorii cu cel puțin 250 de salariați: anual, până la data de 7 iunie, începând cu anul 2028, pentru datele aferente anului calendaristic precedent;</w:t>
            </w:r>
          </w:p>
          <w:p w14:paraId="72B3D291" w14:textId="77777777" w:rsidR="00895F78" w:rsidRDefault="00000000">
            <w:pPr>
              <w:numPr>
                <w:ilvl w:val="0"/>
                <w:numId w:val="6"/>
              </w:numPr>
              <w:spacing w:after="0"/>
              <w:ind w:left="924" w:hanging="35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angajatorii cu 150–249 de salariați: o dată la trei ani, până la data de 7 iunie, începând cu anul 2028, pentru datele aferente anului calendaristic precedent;</w:t>
            </w:r>
          </w:p>
          <w:p w14:paraId="77A1FCC8" w14:textId="77777777" w:rsidR="00895F78" w:rsidRDefault="00000000">
            <w:pPr>
              <w:numPr>
                <w:ilvl w:val="0"/>
                <w:numId w:val="6"/>
              </w:numPr>
              <w:ind w:left="924" w:hanging="35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angajatorii cu 100–149 de salariați: o dată la trei ani, până la data de 7 iunie, începând cu anul 2031, pentru datele aferente anului calendaristic precedent.</w:t>
            </w:r>
          </w:p>
          <w:p w14:paraId="1C6B8B74" w14:textId="77777777" w:rsidR="00895F78" w:rsidRDefault="00000000">
            <w:pPr>
              <w:ind w:firstLine="56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(6) În scopul calculării indicatorului prevăzut la alineatul (4) litera g), angajatorul este obligat:</w:t>
            </w:r>
          </w:p>
          <w:p w14:paraId="64D1B249" w14:textId="77777777" w:rsidR="00895F78" w:rsidRDefault="00000000">
            <w:pPr>
              <w:numPr>
                <w:ilvl w:val="0"/>
                <w:numId w:val="13"/>
              </w:numPr>
              <w:spacing w:after="0"/>
              <w:ind w:left="924" w:hanging="35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să atribuie fiecărui salariat o categorie internă, stabilită de angajator pe baza unor criterii obiective, nediscriminatorii și neutre din punctul de vedere al sexului, care reflectă încadrarea salariatului în aceeași muncă sau în muncă de valoare egală în cadrul unității, în conformitate cu sistemul de evaluare și clasificare a funcțiilor prevăzut la articolul 128 alin. (2</w:t>
            </w:r>
            <w:r>
              <w:rPr>
                <w:rFonts w:ascii="Times New Roman" w:eastAsia="Times New Roman" w:hAnsi="Times New Roman" w:cs="Times New Roman"/>
                <w:b/>
                <w:bCs/>
                <w:sz w:val="22"/>
                <w:szCs w:val="22"/>
                <w:vertAlign w:val="superscript"/>
              </w:rPr>
              <w:t>7</w:t>
            </w:r>
            <w:r>
              <w:rPr>
                <w:rFonts w:ascii="Times New Roman" w:eastAsia="Times New Roman" w:hAnsi="Times New Roman" w:cs="Times New Roman"/>
                <w:b/>
                <w:bCs/>
                <w:sz w:val="22"/>
                <w:szCs w:val="22"/>
              </w:rPr>
              <w:t>);</w:t>
            </w:r>
          </w:p>
          <w:p w14:paraId="5BB18FDB" w14:textId="77777777" w:rsidR="00895F78" w:rsidRDefault="00000000">
            <w:pPr>
              <w:numPr>
                <w:ilvl w:val="0"/>
                <w:numId w:val="13"/>
              </w:numPr>
              <w:spacing w:after="0"/>
              <w:ind w:left="924" w:hanging="35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să actualizeze atribuirea categoriei ori de câte ori situația salariatului se modifică în mod relevant;</w:t>
            </w:r>
          </w:p>
          <w:p w14:paraId="45E8AFA2" w14:textId="77777777" w:rsidR="00895F78" w:rsidRDefault="00000000">
            <w:pPr>
              <w:numPr>
                <w:ilvl w:val="0"/>
                <w:numId w:val="13"/>
              </w:numPr>
              <w:ind w:left="924" w:hanging="35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să pună la dispoziția autorității competente informațiile privind categoria atribuită fiecărui salariat, prin mecanismele stabilite în conformitate cu alineatul (7).</w:t>
            </w:r>
          </w:p>
          <w:p w14:paraId="0AA6A2FC" w14:textId="77777777" w:rsidR="00895F78" w:rsidRDefault="00000000">
            <w:pPr>
              <w:ind w:firstLine="56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(7) Modalitatea tehnică de colectare, transmitere și actualizare a datelor privind categoriile interne prevăzute la alineatul (6), inclusiv fluxurile de date și sistemele informaționale utilizate în acest scop, se stabilește prin actele normative ale autorităților competente, după consultarea autorității responsabile de guvernarea electronică și a administratorilor sistemelor informaționale relevante.</w:t>
            </w:r>
          </w:p>
          <w:p w14:paraId="35C75BD0" w14:textId="77777777" w:rsidR="00895F78" w:rsidRDefault="00000000">
            <w:pPr>
              <w:ind w:firstLine="56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(8) Pe baza informațiilor privind categoriile transmise de angajator potrivit alineatelor (6) și (7) și a datelor administrative disponibile, Inspectoratul de Stat al Muncii calculează indicatorul </w:t>
            </w:r>
            <w:r>
              <w:rPr>
                <w:rFonts w:ascii="Times New Roman" w:eastAsia="Times New Roman" w:hAnsi="Times New Roman" w:cs="Times New Roman"/>
                <w:b/>
                <w:bCs/>
                <w:sz w:val="22"/>
                <w:szCs w:val="22"/>
                <w:highlight w:val="white"/>
              </w:rPr>
              <w:t>compilat</w:t>
            </w:r>
            <w:r>
              <w:rPr>
                <w:rFonts w:ascii="Times New Roman" w:eastAsia="Times New Roman" w:hAnsi="Times New Roman" w:cs="Times New Roman"/>
                <w:b/>
                <w:bCs/>
                <w:sz w:val="22"/>
                <w:szCs w:val="22"/>
              </w:rPr>
              <w:t xml:space="preserve"> prevăzut la alineatul (4) litera g). Termenele de calcul corespund celor stabilite la alineatul (5).</w:t>
            </w:r>
          </w:p>
          <w:p w14:paraId="3C1A123B" w14:textId="77777777" w:rsidR="00895F78" w:rsidRDefault="00000000">
            <w:pPr>
              <w:ind w:firstLine="56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(9) Angajatorul confirmă corectitudinea datelor transmise în temeiul prezentului articol, inclusiv a atribuirilor de categorie prevăzute la alineatul (6), după consultarea reprezentanților salariaților. Reprezentanții salariaților au acces la metodologia aplicată de angajator la constituirea categoriilor.</w:t>
            </w:r>
          </w:p>
          <w:p w14:paraId="4F3A28D7" w14:textId="77777777" w:rsidR="00895F78" w:rsidRDefault="00000000">
            <w:pPr>
              <w:ind w:firstLine="56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(10) Inspectoratul de Stat al Muncii publică datele prevăzute la alineatul (4) literele a)–f) într-un mod accesibil, care permite compararea angajatorilor, a sectoarelor și a regiunilor, asigurând disponibilitatea datelor aferente celor patru ani precedenți, în măsura în care acestea există.</w:t>
            </w:r>
          </w:p>
          <w:p w14:paraId="053D9DEB" w14:textId="77777777" w:rsidR="00895F78" w:rsidRDefault="00000000">
            <w:pPr>
              <w:ind w:firstLine="567"/>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(11) Angajatorii cu mai puțin de 100 de salariați pot furniza în mod voluntar informațiile prevăzute la alineatul (6), fără a face obiectul obligațiilor stabilite de prezentul articol.</w:t>
            </w:r>
          </w:p>
          <w:p w14:paraId="27E003BC" w14:textId="77777777" w:rsidR="00895F78" w:rsidRDefault="00000000">
            <w:pPr>
              <w:ind w:firstLine="567"/>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rPr>
              <w:t>(12) Salariații, reprezentanții salariaților, Inspectoratul de Stat al Muncii și Consiliul pentru Egalitate au dreptul să solicite angajatorului clarificări și detalii suplimentare privind metodologia de constituire a categoriilor sau corectitudinea atribuirilor efectuate. Angajatorul răspunde acestor solicitări în termen rezonabil, care nu depășește 2 luni de la data recepționării solicitării. La solicitarea Inspectoratului de Stat al Muncii sau a Consiliului pentru Egalitate, angajatorul furnizează și datele aferente ultimilor patru ani, în măsura în care acestea sunt disponibile. În cazul în care se constată diferențe de remunerare care nu se justifică prin criterii obiective, neutre din punctul de vedere al sexului, angajatorul adoptă măsurile de remediere necesare, în cooperare cu reprezentanții salariaților, Inspectoratul de Stat al Muncii și/sau Consiliul pentru Egalitate, după caz.”</w:t>
            </w:r>
          </w:p>
        </w:tc>
        <w:tc>
          <w:tcPr>
            <w:tcW w:w="240" w:type="dxa"/>
            <w:tcBorders>
              <w:top w:val="nil"/>
              <w:left w:val="nil"/>
              <w:bottom w:val="nil"/>
              <w:right w:val="nil"/>
            </w:tcBorders>
            <w:tcMar>
              <w:top w:w="0" w:type="dxa"/>
              <w:left w:w="100" w:type="dxa"/>
              <w:bottom w:w="0" w:type="dxa"/>
              <w:right w:w="100" w:type="dxa"/>
            </w:tcMar>
          </w:tcPr>
          <w:p w14:paraId="57FC0216"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485A16BB"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71BF1D2"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06190C17"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Articolul 128</w:t>
            </w:r>
            <w:r>
              <w:rPr>
                <w:rFonts w:ascii="Times New Roman" w:eastAsia="Times New Roman" w:hAnsi="Times New Roman" w:cs="Times New Roman"/>
                <w:b/>
                <w:bCs/>
                <w:sz w:val="22"/>
                <w:szCs w:val="22"/>
                <w:highlight w:val="white"/>
                <w:vertAlign w:val="superscript"/>
              </w:rPr>
              <w:t>3</w:t>
            </w:r>
            <w:r>
              <w:rPr>
                <w:rFonts w:ascii="Times New Roman" w:eastAsia="Times New Roman" w:hAnsi="Times New Roman" w:cs="Times New Roman"/>
                <w:b/>
                <w:bCs/>
                <w:sz w:val="22"/>
                <w:szCs w:val="22"/>
                <w:highlight w:val="white"/>
              </w:rPr>
              <w:t>. Evaluarea comună a remunerațiilor</w:t>
            </w:r>
          </w:p>
          <w:p w14:paraId="09F17925"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În cazul în care informațiile raportate în temeiul art. 128</w:t>
            </w:r>
            <w:r>
              <w:rPr>
                <w:rFonts w:ascii="Times New Roman" w:eastAsia="Times New Roman" w:hAnsi="Times New Roman" w:cs="Times New Roman"/>
                <w:sz w:val="22"/>
                <w:szCs w:val="22"/>
                <w:highlight w:val="white"/>
                <w:vertAlign w:val="superscript"/>
              </w:rPr>
              <w:t>2</w:t>
            </w:r>
            <w:r>
              <w:rPr>
                <w:rFonts w:ascii="Times New Roman" w:eastAsia="Times New Roman" w:hAnsi="Times New Roman" w:cs="Times New Roman"/>
                <w:sz w:val="22"/>
                <w:szCs w:val="22"/>
                <w:highlight w:val="white"/>
              </w:rPr>
              <w:t xml:space="preserve"> relevă, în cadrul oricărei categorii de salariați, o diferență de cel puțin 5% între nivelul mediu de salarizare al salariaților de sex masculin și cei de sex feminin care nu este justificată prin criterii obiective, neutre din punct de vedere al sexului, și asemenea diferență nu a fost remediată de angajator în termen de 6 luni de la data raportării informațiilor respective, angajatorul efectuează o evaluare comună a remunerațiilor, cu consultarea reprezentanților salariaților.</w:t>
            </w:r>
          </w:p>
          <w:p w14:paraId="0FC1290E"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Evaluarea comună a remunerațiilor se efectuează pentru a identifica, remedia și preveni diferențele dintre remunerațiile salariaților de sex masculin și cei de sex feminin care nu pot fi justificate prin factori obiectivi, neutri din punct de vedere al sexului. Evaluarea comună a remunerațiilor se finalizează prin întocmirea unui raport care include următoarele elemente:</w:t>
            </w:r>
          </w:p>
          <w:p w14:paraId="0050C2CD" w14:textId="77777777" w:rsidR="00895F78" w:rsidRDefault="00000000">
            <w:pPr>
              <w:numPr>
                <w:ilvl w:val="0"/>
                <w:numId w:val="3"/>
              </w:numPr>
              <w:shd w:val="clear" w:color="auto" w:fill="FFFFFF"/>
              <w:spacing w:after="0" w:line="240"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o analiză a proporției dintre salariații de sex feminin și cei de sex masculin din fiecare categorie de salariați;</w:t>
            </w:r>
          </w:p>
          <w:p w14:paraId="354DD53E" w14:textId="77777777" w:rsidR="00895F78" w:rsidRDefault="00000000">
            <w:pPr>
              <w:numPr>
                <w:ilvl w:val="0"/>
                <w:numId w:val="16"/>
              </w:numPr>
              <w:shd w:val="clear" w:color="auto" w:fill="FFFFFF"/>
              <w:spacing w:after="0" w:line="240"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informații privind nivelurile medii de remunerare a salariaților de sex feminin și a celor de sex masculin și componentele suplimentare sau variabile pentru fiecare categorie de salariați;</w:t>
            </w:r>
          </w:p>
          <w:p w14:paraId="05FA69CB" w14:textId="77777777" w:rsidR="00895F78" w:rsidRDefault="00000000">
            <w:pPr>
              <w:numPr>
                <w:ilvl w:val="0"/>
                <w:numId w:val="5"/>
              </w:numPr>
              <w:shd w:val="clear" w:color="auto" w:fill="FFFFFF"/>
              <w:spacing w:after="0" w:line="240"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orice diferențe între nivelurile medii de salarizare ale salariaților de sex feminin și ale celor de sex masculin pentru fiecare categorie de salariați;</w:t>
            </w:r>
          </w:p>
          <w:p w14:paraId="72B9506F" w14:textId="77777777" w:rsidR="00895F78" w:rsidRDefault="00000000">
            <w:pPr>
              <w:numPr>
                <w:ilvl w:val="0"/>
                <w:numId w:val="7"/>
              </w:numPr>
              <w:shd w:val="clear" w:color="auto" w:fill="FFFFFF"/>
              <w:spacing w:after="0" w:line="240"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motivele diferențelor care justifică diferențele dintre nivelurile medii de salarizare, întemeiate pe criterii obiective și neutre din punct de vedere al sexului, dacă există, astfel cum au fost stabilite în comun de angajator și reprezentanții salariaților;</w:t>
            </w:r>
          </w:p>
          <w:p w14:paraId="4A4F9B4C" w14:textId="77777777" w:rsidR="00895F78" w:rsidRDefault="00000000">
            <w:pPr>
              <w:numPr>
                <w:ilvl w:val="0"/>
                <w:numId w:val="17"/>
              </w:numPr>
              <w:shd w:val="clear" w:color="auto" w:fill="FFFFFF"/>
              <w:spacing w:after="0" w:line="240"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proporția dintre salariații de sex feminin și cei de sex masculin care au beneficiat de orice majorare a remunerației după întoarcerea lor din concediul de maternitate, concediu paternal, concediul pentru îngrijirea copilului sau concediul neplătit pentru îngrijirea unei persoane care locuiește în aceeași locuință cu salariatul, dacă o astfel de majorare a avut loc în categoria relevantă a salariaților în perioada în care a fost acordat concediul;</w:t>
            </w:r>
          </w:p>
          <w:p w14:paraId="6B059EE1" w14:textId="77777777" w:rsidR="00895F78" w:rsidRDefault="00000000">
            <w:pPr>
              <w:numPr>
                <w:ilvl w:val="0"/>
                <w:numId w:val="11"/>
              </w:numPr>
              <w:shd w:val="clear" w:color="auto" w:fill="FFFFFF"/>
              <w:spacing w:after="0" w:line="240"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măsuri de eliminare a diferențelor de remunerare în cazul în care acestea nu se justifică pe baza unor criterii obiective, neutre din punctul de vedere al sexului; </w:t>
            </w:r>
          </w:p>
          <w:p w14:paraId="51AD09A2" w14:textId="77777777" w:rsidR="00895F78" w:rsidRDefault="00000000">
            <w:pPr>
              <w:numPr>
                <w:ilvl w:val="0"/>
                <w:numId w:val="14"/>
              </w:numPr>
              <w:shd w:val="clear" w:color="auto" w:fill="FFFFFF"/>
              <w:spacing w:after="0" w:line="240"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o evaluare a eficacității măsurilor luate în urma evaluărilor comune anterioare ale remunerațiilor, după caz.</w:t>
            </w:r>
          </w:p>
          <w:p w14:paraId="76577B44"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(3) Angajatorul are obligația de a pune raportul privind evaluarea comună a remunerațiilor la dispoziția salariaților și a reprezentanților salariaților, după caz, și de a o comunica Inspectoratului de Stat al Muncii, în termen de 10 zile de la data finalizării evaluării. Raportul privind evaluarea comună a remunerațiilor se prezintă de către angajator Consiliului pentru Egalitate, la cererea acestuia.</w:t>
            </w:r>
          </w:p>
          <w:p w14:paraId="1520E3BB"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(4) La punerea în aplicare a măsurilor rezultate din evaluarea comună a remunerațiilor, angajatorul remediază diferențele de remunerare nejustificate, într-un interval de cel mult 6 luni, cu consultarea reprezentanților salariaților. Punerea în aplicare a măsurilor include o analiză a sistemelor existente de evaluare si clasificare a funcțiilor neutre din punctul de vedere al sexului sau instituirea unor astfel de sisteme, pentru a se asigura excluderea oricărei discriminări directe sau indirecte pe criteriul de sex în privința remunerării. Angajatorul poate solicita sprijinul Inspectoratului de Stat al Muncii și/sau al Consiliului pentru Egalitate în procesul de punere în aplicare a măsurilor respective.</w:t>
            </w:r>
          </w:p>
          <w:p w14:paraId="29CD3282"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40177A32"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Articolul 128</w:t>
            </w:r>
            <w:r>
              <w:rPr>
                <w:rFonts w:ascii="Times New Roman" w:eastAsia="Times New Roman" w:hAnsi="Times New Roman" w:cs="Times New Roman"/>
                <w:b/>
                <w:bCs/>
                <w:sz w:val="22"/>
                <w:szCs w:val="22"/>
                <w:highlight w:val="white"/>
                <w:vertAlign w:val="superscript"/>
              </w:rPr>
              <w:t>3</w:t>
            </w:r>
            <w:r>
              <w:rPr>
                <w:rFonts w:ascii="Times New Roman" w:eastAsia="Times New Roman" w:hAnsi="Times New Roman" w:cs="Times New Roman"/>
                <w:b/>
                <w:bCs/>
                <w:sz w:val="22"/>
                <w:szCs w:val="22"/>
                <w:highlight w:val="white"/>
              </w:rPr>
              <w:t>. Evaluarea comună a remunerațiilor</w:t>
            </w:r>
          </w:p>
          <w:p w14:paraId="5FB7A941"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(1) În cazul în care informațiile raportate în temeiul art. 128</w:t>
            </w:r>
            <w:r>
              <w:rPr>
                <w:rFonts w:ascii="Times New Roman" w:eastAsia="Times New Roman" w:hAnsi="Times New Roman" w:cs="Times New Roman"/>
                <w:b/>
                <w:bCs/>
                <w:sz w:val="22"/>
                <w:szCs w:val="22"/>
                <w:highlight w:val="white"/>
                <w:vertAlign w:val="superscript"/>
              </w:rPr>
              <w:t>2</w:t>
            </w:r>
            <w:r>
              <w:rPr>
                <w:rFonts w:ascii="Times New Roman" w:eastAsia="Times New Roman" w:hAnsi="Times New Roman" w:cs="Times New Roman"/>
                <w:b/>
                <w:bCs/>
                <w:sz w:val="22"/>
                <w:szCs w:val="22"/>
                <w:highlight w:val="white"/>
              </w:rPr>
              <w:t xml:space="preserve"> relevă, în cadrul oricărei categorii de salariați, o diferență de cel puțin 5% între nivelul mediu de salarizare al salariaților de sex masculin și cei de sex feminin care nu este justificată prin criterii obiective, neutre din punct de vedere al sexului, și asemenea diferență nu a fost remediată de angajator în termen de 6 luni de la data raportării informațiilor respective, angajatorul efectuează o evaluare comună a remunerațiilor, cu consultarea reprezentanților salariaților.</w:t>
            </w:r>
          </w:p>
          <w:p w14:paraId="23E4FB55"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(2) Evaluarea comună a remunerațiilor se efectuează pentru a identifica, remedia și preveni diferențele dintre remunerațiile salariaților de sex masculin și cei de sex feminin care nu pot fi justificate prin factori obiectivi, neutri din punct de vedere al sexului. Evaluarea comună a remunerațiilor se finalizează prin întocmirea unui raport care include următoarele elemente:</w:t>
            </w:r>
          </w:p>
          <w:p w14:paraId="228AA1C1" w14:textId="77777777" w:rsidR="00895F78" w:rsidRDefault="00000000">
            <w:pPr>
              <w:numPr>
                <w:ilvl w:val="0"/>
                <w:numId w:val="15"/>
              </w:numPr>
              <w:shd w:val="clear" w:color="auto" w:fill="FFFFFF"/>
              <w:spacing w:after="0" w:line="240" w:lineRule="auto"/>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o analiză a proporției dintre salariații de sex feminin și cei de sex masculin din fiecare categorie de salariați;</w:t>
            </w:r>
          </w:p>
          <w:p w14:paraId="3B6C3398" w14:textId="77777777" w:rsidR="00895F78" w:rsidRDefault="00000000">
            <w:pPr>
              <w:numPr>
                <w:ilvl w:val="0"/>
                <w:numId w:val="2"/>
              </w:numPr>
              <w:shd w:val="clear" w:color="auto" w:fill="FFFFFF"/>
              <w:spacing w:after="0" w:line="240" w:lineRule="auto"/>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informații privind nivelurile medii de remunerare a salariaților de sex feminin și a celor de sex masculin și componentele suplimentare sau variabile pentru fiecare categorie de salariați;</w:t>
            </w:r>
          </w:p>
          <w:p w14:paraId="410416D3" w14:textId="77777777" w:rsidR="00895F78" w:rsidRDefault="00000000">
            <w:pPr>
              <w:numPr>
                <w:ilvl w:val="0"/>
                <w:numId w:val="10"/>
              </w:numPr>
              <w:shd w:val="clear" w:color="auto" w:fill="FFFFFF"/>
              <w:spacing w:after="0" w:line="240" w:lineRule="auto"/>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orice diferențe între nivelurile medii de salarizare ale salariaților de sex feminin și ale celor de sex masculin pentru fiecare categorie de salariați;</w:t>
            </w:r>
          </w:p>
          <w:p w14:paraId="54EC76DD" w14:textId="77777777" w:rsidR="00895F78" w:rsidRDefault="00000000">
            <w:pPr>
              <w:numPr>
                <w:ilvl w:val="0"/>
                <w:numId w:val="9"/>
              </w:numPr>
              <w:shd w:val="clear" w:color="auto" w:fill="FFFFFF"/>
              <w:spacing w:after="0" w:line="240" w:lineRule="auto"/>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motivele diferențelor care justifică diferențele dintre nivelurile medii de salarizare, întemeiate pe criterii obiective și neutre din punct de vedere al sexului, dacă există, astfel cum au fost stabilite în comun de angajator și reprezentanții salariaților;</w:t>
            </w:r>
          </w:p>
          <w:p w14:paraId="0E98F0CD" w14:textId="77777777" w:rsidR="00895F78" w:rsidRDefault="00000000">
            <w:pPr>
              <w:numPr>
                <w:ilvl w:val="0"/>
                <w:numId w:val="4"/>
              </w:numPr>
              <w:shd w:val="clear" w:color="auto" w:fill="FFFFFF"/>
              <w:spacing w:after="0" w:line="240" w:lineRule="auto"/>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proporția dintre salariații de sex feminin și cei de sex masculin care au beneficiat de orice majorare a remunerației după întoarcerea lor din concediul de maternitate, concediu paternal, concediul pentru îngrijirea copilului sau concediul neplătit pentru îngrijirea unei persoane care locuiește în aceeași locuință cu salariatul, dacă o astfel de majorare a avut loc în categoria relevantă a salariaților în perioada în care a fost acordat concediul;</w:t>
            </w:r>
          </w:p>
          <w:p w14:paraId="1C5AAD42" w14:textId="77777777" w:rsidR="00895F78" w:rsidRDefault="00000000">
            <w:pPr>
              <w:numPr>
                <w:ilvl w:val="0"/>
                <w:numId w:val="1"/>
              </w:numPr>
              <w:shd w:val="clear" w:color="auto" w:fill="FFFFFF"/>
              <w:spacing w:after="0" w:line="240" w:lineRule="auto"/>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măsuri de eliminare a diferențelor de remunerare în cazul în care acestea nu se justifică pe baza unor criterii obiective, neutre din punctul de vedere al sexului; </w:t>
            </w:r>
          </w:p>
          <w:p w14:paraId="5DB58D13" w14:textId="77777777" w:rsidR="00895F78" w:rsidRDefault="00000000">
            <w:pPr>
              <w:numPr>
                <w:ilvl w:val="0"/>
                <w:numId w:val="12"/>
              </w:numPr>
              <w:shd w:val="clear" w:color="auto" w:fill="FFFFFF"/>
              <w:spacing w:after="0" w:line="240" w:lineRule="auto"/>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o evaluare a eficacității măsurilor luate în urma evaluărilor comune anterioare ale remunerațiilor, după caz.</w:t>
            </w:r>
          </w:p>
          <w:p w14:paraId="18F1F26A"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(3) Angajatorul are obligația de a pune raportul privind evaluarea comună a remunerațiilor la dispoziția salariaților și a reprezentanților salariaților, după caz, și de a o comunica Inspectoratului de Stat al Muncii, în termen de 10 zile de la data finalizării evaluării. Raportul privind evaluarea comună a remunerațiilor se prezintă de către angajator Consiliului pentru Egalitate, la cererea acestuia.</w:t>
            </w:r>
          </w:p>
          <w:p w14:paraId="14ED7E30"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(4) La punerea în aplicare a măsurilor rezultate din evaluarea comună a remunerațiilor, angajatorul remediază diferențele de remunerare nejustificate, într-un interval de cel mult 6 luni, cu consultarea reprezentanților salariaților. Punerea în aplicare a măsurilor include o analiză a sistemelor existente de evaluare si clasificare a funcțiilor neutre din punctul de vedere al sexului sau instituirea unor astfel de sisteme, pentru a se asigura excluderea oricărei discriminări directe sau indirecte pe criteriul de sex în privința remunerării. Angajatorul poate solicita sprijinul Inspectoratului de Stat al Muncii și/sau al Consiliului pentru Egalitate în procesul de punere în aplicare a măsurilor respective.</w:t>
            </w:r>
          </w:p>
          <w:p w14:paraId="760EBB52" w14:textId="77777777" w:rsidR="00895F78" w:rsidRDefault="00895F78">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p>
        </w:tc>
        <w:tc>
          <w:tcPr>
            <w:tcW w:w="240" w:type="dxa"/>
            <w:tcBorders>
              <w:top w:val="nil"/>
              <w:left w:val="nil"/>
              <w:bottom w:val="nil"/>
              <w:right w:val="nil"/>
            </w:tcBorders>
            <w:tcMar>
              <w:top w:w="0" w:type="dxa"/>
              <w:left w:w="100" w:type="dxa"/>
              <w:bottom w:w="0" w:type="dxa"/>
              <w:right w:w="100" w:type="dxa"/>
            </w:tcMar>
          </w:tcPr>
          <w:p w14:paraId="2E35285C"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31C1AB13" w14:textId="77777777">
        <w:trPr>
          <w:trHeight w:val="315"/>
        </w:trPr>
        <w:tc>
          <w:tcPr>
            <w:tcW w:w="4545" w:type="dxa"/>
            <w:tcBorders>
              <w:top w:val="nil"/>
              <w:left w:val="single" w:sz="8" w:space="0" w:color="000000"/>
              <w:bottom w:val="single" w:sz="4" w:space="0" w:color="000000"/>
              <w:right w:val="single" w:sz="8" w:space="0" w:color="000000"/>
            </w:tcBorders>
            <w:tcMar>
              <w:top w:w="0" w:type="dxa"/>
              <w:left w:w="100" w:type="dxa"/>
              <w:bottom w:w="0" w:type="dxa"/>
              <w:right w:w="100" w:type="dxa"/>
            </w:tcMar>
          </w:tcPr>
          <w:p w14:paraId="4326DE72"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tc>
        <w:tc>
          <w:tcPr>
            <w:tcW w:w="4665" w:type="dxa"/>
            <w:tcBorders>
              <w:top w:val="nil"/>
              <w:left w:val="nil"/>
              <w:bottom w:val="single" w:sz="4" w:space="0" w:color="000000"/>
              <w:right w:val="single" w:sz="8" w:space="0" w:color="000000"/>
            </w:tcBorders>
            <w:tcMar>
              <w:top w:w="0" w:type="dxa"/>
              <w:left w:w="100" w:type="dxa"/>
              <w:bottom w:w="0" w:type="dxa"/>
              <w:right w:w="100" w:type="dxa"/>
            </w:tcMar>
          </w:tcPr>
          <w:p w14:paraId="4530A570" w14:textId="77777777" w:rsidR="00895F78" w:rsidRDefault="00000000">
            <w:pPr>
              <w:shd w:val="clear" w:color="auto" w:fill="FFFFFF"/>
              <w:spacing w:before="240" w:after="240" w:line="240" w:lineRule="auto"/>
              <w:ind w:firstLine="72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Articolul 128⁴. Raportarea către Comisia Europeană</w:t>
            </w:r>
          </w:p>
          <w:p w14:paraId="76479459" w14:textId="77777777" w:rsidR="00895F78" w:rsidRDefault="00000000">
            <w:pPr>
              <w:shd w:val="clear" w:color="auto" w:fill="FFFFFF"/>
              <w:spacing w:before="240" w:after="240" w:line="240" w:lineRule="auto"/>
              <w:ind w:firstLine="72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Autoritatea publică centrală responsabilă de domeniul egalității de remunerare și transparenței salariale în baza rapoartelor anuale ale Inspectoratului de Stat al Muncii asigură transmiterea o dată la doi ani către Comisia Europeană, a următoarelor date:</w:t>
            </w:r>
          </w:p>
          <w:p w14:paraId="3313124B" w14:textId="77777777" w:rsidR="00895F78" w:rsidRDefault="00000000">
            <w:pPr>
              <w:shd w:val="clear" w:color="auto" w:fill="FFFFFF"/>
              <w:spacing w:before="240" w:after="240" w:line="240" w:lineRule="auto"/>
              <w:ind w:firstLine="72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a) datele privind diferența de remunerare între salariații de sex masculin și cei de sex feminin în temeiul prevederilor art. 128² al Codului Muncii, într-un mod accesibil, care permite compararea angajatorilor, compararea regională;</w:t>
            </w:r>
          </w:p>
          <w:p w14:paraId="7DB199BD" w14:textId="77777777" w:rsidR="00895F78" w:rsidRDefault="00000000">
            <w:pPr>
              <w:shd w:val="clear" w:color="auto" w:fill="FFFFFF"/>
              <w:spacing w:before="240" w:after="240" w:line="240" w:lineRule="auto"/>
              <w:ind w:firstLine="72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b) rapoartele evaluării comune a remunerației transmise de angajatori în conformitate cu prevederile Codului Muncii;</w:t>
            </w:r>
          </w:p>
          <w:p w14:paraId="2163E757"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highlight w:val="white"/>
              </w:rPr>
              <w:t>c) datele agregate privind numărul și tipurile de plângeri sau acțiuni referitoare la cazuri de discriminare în materie de remunerare, formulate de salariați în fața Inspectoratului de Stat al Muncii, a Consiliului pentru Egalitate, precum și în fața instanțelor de judecată.</w:t>
            </w:r>
            <w:r>
              <w:rPr>
                <w:rFonts w:ascii="Times New Roman" w:eastAsia="Times New Roman" w:hAnsi="Times New Roman" w:cs="Times New Roman"/>
                <w:sz w:val="22"/>
                <w:szCs w:val="22"/>
                <w:highlight w:val="white"/>
              </w:rPr>
              <w:t xml:space="preserve"> </w:t>
            </w:r>
          </w:p>
        </w:tc>
        <w:tc>
          <w:tcPr>
            <w:tcW w:w="4515" w:type="dxa"/>
            <w:tcBorders>
              <w:top w:val="nil"/>
              <w:left w:val="nil"/>
              <w:bottom w:val="single" w:sz="4" w:space="0" w:color="000000"/>
              <w:right w:val="single" w:sz="8" w:space="0" w:color="000000"/>
            </w:tcBorders>
            <w:tcMar>
              <w:top w:w="0" w:type="dxa"/>
              <w:left w:w="100" w:type="dxa"/>
              <w:bottom w:w="0" w:type="dxa"/>
              <w:right w:w="100" w:type="dxa"/>
            </w:tcMar>
          </w:tcPr>
          <w:p w14:paraId="10AEBBDE" w14:textId="77777777" w:rsidR="00895F78" w:rsidRDefault="00000000">
            <w:pPr>
              <w:shd w:val="clear" w:color="auto" w:fill="FFFFFF"/>
              <w:spacing w:before="240" w:after="240" w:line="240" w:lineRule="auto"/>
              <w:ind w:firstLine="72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Articolul 128⁴. Raportarea către Comisia Europeană</w:t>
            </w:r>
          </w:p>
          <w:p w14:paraId="1A69DD29" w14:textId="77777777" w:rsidR="00895F78" w:rsidRDefault="00000000">
            <w:pPr>
              <w:shd w:val="clear" w:color="auto" w:fill="FFFFFF"/>
              <w:spacing w:before="240" w:after="240" w:line="240" w:lineRule="auto"/>
              <w:ind w:firstLine="72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(1) Autoritatea publică centrală responsabilă de domeniul egalității de remunerare și transparenței salariale în baza rapoartelor anuale ale Inspectoratului de Stat al Muncii asigură transmiterea o dată la doi ani către Comisia Europeană, a următoarelor date:</w:t>
            </w:r>
          </w:p>
          <w:p w14:paraId="6A56397F" w14:textId="77777777" w:rsidR="00895F78" w:rsidRDefault="00000000">
            <w:pPr>
              <w:shd w:val="clear" w:color="auto" w:fill="FFFFFF"/>
              <w:spacing w:before="240" w:after="240" w:line="240" w:lineRule="auto"/>
              <w:ind w:firstLine="72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a) datele privind diferența de remunerare între salariații de sex masculin și cei de sex feminin în temeiul prevederilor art. 128² al Codului Muncii, într-un mod accesibil, care permite compararea angajatorilor, compararea regională;</w:t>
            </w:r>
          </w:p>
          <w:p w14:paraId="08E8A18B" w14:textId="77777777" w:rsidR="00895F78" w:rsidRDefault="00000000">
            <w:pPr>
              <w:shd w:val="clear" w:color="auto" w:fill="FFFFFF"/>
              <w:spacing w:before="240" w:after="240" w:line="240" w:lineRule="auto"/>
              <w:ind w:firstLine="72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b) rapoartele evaluării comune a remunerației transmise de angajatori în conformitate cu prevederile Codului Muncii;</w:t>
            </w:r>
          </w:p>
          <w:p w14:paraId="5F8A1441"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highlight w:val="white"/>
              </w:rPr>
              <w:t>c) datele agregate privind numărul și tipurile de plângeri sau acțiuni referitoare la cazuri de discriminare în materie de remunerare, formulate de salariați în fața Inspectoratului de Stat al Muncii, a Consiliului pentru Egalitate, precum și în fața instanțelor de judecată.</w:t>
            </w:r>
            <w:r>
              <w:rPr>
                <w:rFonts w:ascii="Times New Roman" w:eastAsia="Times New Roman" w:hAnsi="Times New Roman" w:cs="Times New Roman"/>
                <w:b/>
                <w:bCs/>
                <w:sz w:val="22"/>
                <w:szCs w:val="22"/>
                <w:highlight w:val="white"/>
              </w:rPr>
              <w:t xml:space="preserve"> </w:t>
            </w:r>
          </w:p>
        </w:tc>
        <w:tc>
          <w:tcPr>
            <w:tcW w:w="240" w:type="dxa"/>
            <w:tcBorders>
              <w:top w:val="nil"/>
              <w:left w:val="nil"/>
              <w:bottom w:val="nil"/>
              <w:right w:val="nil"/>
            </w:tcBorders>
            <w:tcMar>
              <w:top w:w="0" w:type="dxa"/>
              <w:left w:w="100" w:type="dxa"/>
              <w:bottom w:w="0" w:type="dxa"/>
              <w:right w:w="100" w:type="dxa"/>
            </w:tcMar>
          </w:tcPr>
          <w:p w14:paraId="4F37FBBF"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0E9A6E40" w14:textId="77777777">
        <w:trPr>
          <w:trHeight w:val="315"/>
        </w:trPr>
        <w:tc>
          <w:tcPr>
            <w:tcW w:w="4545" w:type="dxa"/>
            <w:tcBorders>
              <w:top w:val="nil"/>
              <w:left w:val="single" w:sz="8" w:space="0" w:color="000000"/>
              <w:bottom w:val="single" w:sz="4" w:space="0" w:color="000000"/>
              <w:right w:val="single" w:sz="8" w:space="0" w:color="000000"/>
            </w:tcBorders>
            <w:tcMar>
              <w:top w:w="0" w:type="dxa"/>
              <w:left w:w="100" w:type="dxa"/>
              <w:bottom w:w="0" w:type="dxa"/>
              <w:right w:w="100" w:type="dxa"/>
            </w:tcMar>
          </w:tcPr>
          <w:p w14:paraId="6DCCC5D3"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tc>
        <w:tc>
          <w:tcPr>
            <w:tcW w:w="4665" w:type="dxa"/>
            <w:tcBorders>
              <w:top w:val="nil"/>
              <w:left w:val="nil"/>
              <w:bottom w:val="single" w:sz="4" w:space="0" w:color="000000"/>
              <w:right w:val="single" w:sz="8" w:space="0" w:color="000000"/>
            </w:tcBorders>
            <w:tcMar>
              <w:top w:w="0" w:type="dxa"/>
              <w:left w:w="100" w:type="dxa"/>
              <w:bottom w:w="0" w:type="dxa"/>
              <w:right w:w="100" w:type="dxa"/>
            </w:tcMar>
          </w:tcPr>
          <w:p w14:paraId="63CE2C42"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Articolul 129</w:t>
            </w:r>
            <w:r>
              <w:rPr>
                <w:rFonts w:ascii="Times New Roman" w:eastAsia="Times New Roman" w:hAnsi="Times New Roman" w:cs="Times New Roman"/>
                <w:b/>
                <w:bCs/>
                <w:sz w:val="22"/>
                <w:szCs w:val="22"/>
                <w:highlight w:val="white"/>
                <w:vertAlign w:val="superscript"/>
              </w:rPr>
              <w:t>1</w:t>
            </w:r>
            <w:r>
              <w:rPr>
                <w:rFonts w:ascii="Times New Roman" w:eastAsia="Times New Roman" w:hAnsi="Times New Roman" w:cs="Times New Roman"/>
                <w:b/>
                <w:bCs/>
                <w:sz w:val="22"/>
                <w:szCs w:val="22"/>
                <w:highlight w:val="white"/>
              </w:rPr>
              <w:t>. Aplicarea principiului remunerării egale pentru muncă egală și muncă de valoare egală</w:t>
            </w:r>
          </w:p>
          <w:p w14:paraId="7784BC83"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La examinarea cauzelor de discriminare în materie de remunerație, prin remunerație se înțelege salariul, precum și orice altă formă de recompensă, pe care salariatul o primește, direct sau indirect, de la angajator pentru munca prestată.</w:t>
            </w:r>
          </w:p>
          <w:p w14:paraId="3A40D3F1"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La aprecierea dacă salariații de sex feminin și salariații de sex masculin prestează aceeași muncă sau o muncă de aceeași valoare, comparabilitatea situației acestora se stabilește independent de identitatea angajatorului, atunci când condițiile de remunerare sunt determinate de o singură sursă. Prin sursă unică se înțelege entitatea sau actele juridice care stabilesc elementele de remunerare relevante pentru compararea salariaților, cum ar fi contractul colectiv de muncă sau convenția colectivă.</w:t>
            </w:r>
          </w:p>
          <w:p w14:paraId="640FA32F"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În cazul în care nu poate fi identificat un element de comparație direct pentru a dovedi o pretinsă discriminare în materie de remunerație, dovada poate fi realizată prin orice alte mijloace de probă admise de lege, inclusiv prin date statistice sau printr-o analiză comparativă privind tratamentul aplicat unui salariat aflat într-o situație comparabilă.</w:t>
            </w:r>
          </w:p>
          <w:p w14:paraId="46F42BB9"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La evaluarea caracterului comparabil al situației salariaților în materie de remunerare, analiza nu se limitează la salariații angajați în aceeași perioadă cu salariatul în cauză.”</w:t>
            </w:r>
          </w:p>
          <w:p w14:paraId="203E3665" w14:textId="77777777" w:rsidR="00895F78" w:rsidRDefault="00895F78">
            <w:pPr>
              <w:ind w:firstLine="720"/>
              <w:rPr>
                <w:rFonts w:ascii="Times New Roman" w:eastAsia="Times New Roman" w:hAnsi="Times New Roman" w:cs="Times New Roman"/>
                <w:sz w:val="22"/>
                <w:szCs w:val="22"/>
                <w:highlight w:val="white"/>
              </w:rPr>
            </w:pPr>
          </w:p>
        </w:tc>
        <w:tc>
          <w:tcPr>
            <w:tcW w:w="4515" w:type="dxa"/>
            <w:tcBorders>
              <w:top w:val="nil"/>
              <w:left w:val="nil"/>
              <w:bottom w:val="single" w:sz="4" w:space="0" w:color="000000"/>
              <w:right w:val="single" w:sz="8" w:space="0" w:color="000000"/>
            </w:tcBorders>
            <w:tcMar>
              <w:top w:w="0" w:type="dxa"/>
              <w:left w:w="100" w:type="dxa"/>
              <w:bottom w:w="0" w:type="dxa"/>
              <w:right w:w="100" w:type="dxa"/>
            </w:tcMar>
          </w:tcPr>
          <w:p w14:paraId="0DB98089"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Articolul 129</w:t>
            </w:r>
            <w:r>
              <w:rPr>
                <w:rFonts w:ascii="Times New Roman" w:eastAsia="Times New Roman" w:hAnsi="Times New Roman" w:cs="Times New Roman"/>
                <w:b/>
                <w:bCs/>
                <w:sz w:val="22"/>
                <w:szCs w:val="22"/>
                <w:highlight w:val="white"/>
                <w:vertAlign w:val="superscript"/>
              </w:rPr>
              <w:t>1</w:t>
            </w:r>
            <w:r>
              <w:rPr>
                <w:rFonts w:ascii="Times New Roman" w:eastAsia="Times New Roman" w:hAnsi="Times New Roman" w:cs="Times New Roman"/>
                <w:b/>
                <w:bCs/>
                <w:sz w:val="22"/>
                <w:szCs w:val="22"/>
                <w:highlight w:val="white"/>
              </w:rPr>
              <w:t>. Aplicarea principiului remunerării egale pentru muncă egală și muncă de valoare egală</w:t>
            </w:r>
          </w:p>
          <w:p w14:paraId="2084B1F5"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(1) La examinarea cauzelor de discriminare în materie de remunerație, prin remunerație se înțelege salariul, precum și orice altă formă de recompensă, pe care salariatul o primește, direct sau indirect, de la angajator pentru munca prestată.</w:t>
            </w:r>
          </w:p>
          <w:p w14:paraId="1DABC199"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La aprecierea dacă salariații de sex feminin și salariații de sex masculin prestează aceeași muncă sau o muncă de aceeași valoare, comparabilitatea situației acestora se stabilește independent de identitatea angajatorului, atunci când condițiile de remunerare sunt determinate de o singură sursă. Prin sursă unică se înțelege entitatea sau actele juridice care stabilesc elementele de remunerare relevante pentru compararea salariaților, cum ar fi contractul colectiv de muncă sau convenția colectivă.</w:t>
            </w:r>
          </w:p>
          <w:p w14:paraId="612EC9E5"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(2) În cazul în care nu poate fi identificat un element de comparație direct pentru a dovedi o pretinsă discriminare în materie de remunerație, dovada poate fi realizată prin orice alte mijloace de probă admise de lege, inclusiv prin date statistice sau printr-o analiză comparativă privind tratamentul aplicat unui salariat aflat într-o situație comparabilă.</w:t>
            </w:r>
          </w:p>
          <w:p w14:paraId="5B0442B0"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La evaluarea caracterului comparabil al situației salariaților în materie de remunerare, analiza nu se limitează la salariații angajați în aceeași perioadă cu salariatul în cauză.</w:t>
            </w:r>
          </w:p>
          <w:p w14:paraId="4D7F3460"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tc>
        <w:tc>
          <w:tcPr>
            <w:tcW w:w="240" w:type="dxa"/>
            <w:tcBorders>
              <w:top w:val="nil"/>
              <w:left w:val="nil"/>
              <w:bottom w:val="nil"/>
              <w:right w:val="nil"/>
            </w:tcBorders>
            <w:tcMar>
              <w:top w:w="0" w:type="dxa"/>
              <w:left w:w="100" w:type="dxa"/>
              <w:bottom w:w="0" w:type="dxa"/>
              <w:right w:w="100" w:type="dxa"/>
            </w:tcMar>
          </w:tcPr>
          <w:p w14:paraId="240929EF"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7B3FB5D9" w14:textId="77777777">
        <w:trPr>
          <w:trHeight w:val="315"/>
        </w:trPr>
        <w:tc>
          <w:tcPr>
            <w:tcW w:w="4545" w:type="dxa"/>
            <w:vMerge w:val="restart"/>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84381C"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329. </w:t>
            </w:r>
            <w:r>
              <w:rPr>
                <w:rFonts w:ascii="Times New Roman" w:eastAsia="Times New Roman" w:hAnsi="Times New Roman" w:cs="Times New Roman"/>
                <w:sz w:val="22"/>
                <w:szCs w:val="22"/>
                <w:highlight w:val="white"/>
              </w:rPr>
              <w:t>Repararea prejudiciului material şi a celui moral cauzat salariatului</w:t>
            </w:r>
          </w:p>
          <w:p w14:paraId="4C69601D"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Angajatorul este obligat să repare integral prejudiciul material şi cel moral cauzat salariatului în legătură cu îndeplinirea de către acesta a obligaţiilor de muncă, în cazul discriminării salariatului la locul de muncă sau ca rezultat al privării ilegale de posibilitatea de a munci, dacă prezentul cod sau alte acte normative nu prevăd altfel.</w:t>
            </w:r>
          </w:p>
          <w:p w14:paraId="01991F7E"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Prejudiciul moral se repară în formă bănească sau într-o altă formă materială determinată de părţi. Litigiile şi conflictele apărute în legătură cu repararea prejudiciului moral se soluţionează de instanţa de judecată, indiferent de mărimea prejudiciului material ce urmează a fi reparat.</w:t>
            </w:r>
          </w:p>
          <w:p w14:paraId="6A59C7EA"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tc>
        <w:tc>
          <w:tcPr>
            <w:tcW w:w="4665" w:type="dxa"/>
            <w:vMerge w:val="restart"/>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1573D1F"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9. Articolul 329 se completează cu alineatele (3)-(6) cu următorul cuprins:</w:t>
            </w:r>
          </w:p>
          <w:p w14:paraId="5AD0766C"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„(3) Angajatorul poartă răspundere materială deplină pentru prejudiciul cauzat salariaților ca urmare a încălcării obligației de a asigura remunerarea egală pentru muncă egală sau muncă de valoare egală, astfel cum este reglementată de prezentul Cod. În acest caz, angajatorul este obligat să repare integral prejudiciul suferit de salariat prin acordarea unei despăgubiri echivalente cu suma pe care salariatul ar fi primit-o în absența încălcării dreptului la remunerare egală pentru muncă egală sau muncă de valoare egală, inclusiv în situațiile în care încălcarea a constat în admiterea unor diferențe de salarizare bazate pe criteriul sexului. O asemenea despăgubire include:</w:t>
            </w:r>
          </w:p>
          <w:p w14:paraId="0A5BF4DD"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a) recuperarea integrală a drepturilor salariale restante, precum și a plăților de stimulare și compensare, pentru perioada încălcării; precum și</w:t>
            </w:r>
          </w:p>
          <w:p w14:paraId="04CD7DC8"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b) despăgubire reală și efectivă pentru prejudiciul moral, inclusiv compensarea pentru oportunități pierdute și orice prejudiciu cauzat de alți factori relevanți, care pot include discriminarea intersecțională, precum și penalități de întîrziere, în mărime determinată de instanța de judecată;</w:t>
            </w:r>
          </w:p>
          <w:p w14:paraId="5A5F1DAC"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(4) Salariatul care consideră că a suferit un prejudiciu ca urmare a încălcării de către angajator a obligațiilor legate de principiul egalității de remunerare, are dreptul de a sesiza instanța de judecată și de a solicita constatarea existenței discriminării și obligarea angajatorului la repararea prejudiciului cauzat, potrivit alin. (3).</w:t>
            </w:r>
          </w:p>
          <w:p w14:paraId="0E023C49"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(5) În cazul în care salariatul se consideră lezat prin nerespectarea principiului remunerării egale pentru muncă egală sau pentru muncă de valoare egală și sesizează autoritatea competentă sau instanța de judecată, prezentând fapte din care se poate prezuma existența unei discriminări directe sau indirecte în materie de remunerare, sarcina de a demonstra că nu a avut loc o astfel de discriminare revine angajatorului.</w:t>
            </w:r>
          </w:p>
          <w:p w14:paraId="06CF661C"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(6) Regula prevăzută la alin. (5) privind sarcina probei nu se aplică în cazul în care autoritatea competentă sau instanța de judecată constată că pretinsa încălcare este în mod vădit neintenționată și are un caracter minor, ținând seama de circumstanțele cauzei și de principiul proporționalității.”</w:t>
            </w:r>
          </w:p>
          <w:p w14:paraId="5D8CEC61" w14:textId="77777777" w:rsidR="00895F78" w:rsidRDefault="00895F78">
            <w:pPr>
              <w:shd w:val="clear" w:color="auto" w:fill="FFFFFF"/>
              <w:spacing w:after="0" w:line="240" w:lineRule="auto"/>
              <w:ind w:firstLine="705"/>
              <w:jc w:val="both"/>
              <w:rPr>
                <w:rFonts w:ascii="Times New Roman" w:eastAsia="Times New Roman" w:hAnsi="Times New Roman" w:cs="Times New Roman"/>
                <w:sz w:val="22"/>
                <w:szCs w:val="22"/>
                <w:highlight w:val="white"/>
              </w:rPr>
            </w:pPr>
          </w:p>
        </w:tc>
        <w:tc>
          <w:tcPr>
            <w:tcW w:w="4515" w:type="dxa"/>
            <w:vMerge w:val="restart"/>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2552586"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329. </w:t>
            </w:r>
            <w:r>
              <w:rPr>
                <w:rFonts w:ascii="Times New Roman" w:eastAsia="Times New Roman" w:hAnsi="Times New Roman" w:cs="Times New Roman"/>
                <w:sz w:val="22"/>
                <w:szCs w:val="22"/>
                <w:highlight w:val="white"/>
              </w:rPr>
              <w:t>Repararea prejudiciului material şi a celui moral cauzat salariatului</w:t>
            </w:r>
          </w:p>
          <w:p w14:paraId="178D48D1"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Angajatorul este obligat să repare integral prejudiciul material şi cel moral cauzat salariatului în legătură cu îndeplinirea de către acesta a obligaţiilor de muncă, în cazul discriminării salariatului la locul de muncă sau ca rezultat al privării ilegale de posibilitatea de a munci, dacă prezentul cod sau alte acte normative nu prevăd altfel.</w:t>
            </w:r>
          </w:p>
          <w:p w14:paraId="222F4A2E"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Prejudiciul moral se repară în formă bănească sau într-o altă formă materială determinată de părţi. Litigiile şi conflictele apărute în legătură cu repararea prejudiciului moral se soluţionează de instanţa de judecată, indiferent de mărimea prejudiciului material ce urmează a fi reparat.</w:t>
            </w:r>
          </w:p>
          <w:p w14:paraId="0B3D7F6F"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(3) Angajatorul poartă răspundere materială deplină pentru prejudiciul cauzat salariaților ca urmare a încălcării obligației de a asigura remunerarea egală pentru muncă egală sau muncă de valoare egală, astfel cum este reglementată de prezentul Cod. În acest caz, angajatorul este obligat să repare integral prejudiciul suferit de salariat prin acordarea unei despăgubiri echivalente cu suma pe care salariatul ar fi primit-o în absența încălcării dreptului la remunerare egală pentru muncă egală sau muncă de valoare egală, inclusiv în situațiile în care încălcarea a constat în admiterea unor diferențe de salarizare bazate pe criteriul sexului. O asemenea despăgubire include:</w:t>
            </w:r>
          </w:p>
          <w:p w14:paraId="514E8C0E"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a) recuperarea integrală a drepturilor salariale restante, precum și a plăților de stimulare și compensare, pentru perioada încălcării; precum și</w:t>
            </w:r>
          </w:p>
          <w:p w14:paraId="4D5FE0E8"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b) despăgubire reală și efectivă pentru prejudiciul moral, inclusiv compensarea pentru oportunități pierdute și orice prejudiciu cauzat de alți factori relevanți, care pot include discriminarea intersecțională, precum și penalități de întîrziere, în mărime determinată de instanța de judecată;</w:t>
            </w:r>
          </w:p>
          <w:p w14:paraId="72440CBB"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(4) Salariatul care consideră că a suferit un prejudiciu ca urmare a încălcării de către angajator a obligațiilor legate de principiul egalității de remunerare, are dreptul de a sesiza instanța de judecată și de a solicita constatarea existenței discriminării și obligarea angajatorului la repararea prejudiciului cauzat, potrivit alin. (3).</w:t>
            </w:r>
          </w:p>
          <w:p w14:paraId="37A943B7"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(5) În cazul în care salariatul se consideră lezat prin nerespectarea principiului remunerării egale pentru muncă egală sau pentru muncă de valoare egală și sesizează autoritatea competentă sau instanța de judecată, prezentând fapte din care se poate prezuma existența unei discriminări directe sau indirecte în materie de remunerare, sarcina de a demonstra că nu a avut loc o astfel de discriminare revine angajatorului.</w:t>
            </w:r>
          </w:p>
          <w:p w14:paraId="73979EF7" w14:textId="77777777" w:rsidR="00895F78" w:rsidRDefault="00000000">
            <w:pPr>
              <w:shd w:val="clear" w:color="auto" w:fill="FFFFFF"/>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(6) Regula prevăzută la alin. (5) privind sarcina probei nu se aplică în cazul în care autoritatea competentă sau instanța de judecată constată că pretinsa încălcare este în mod vădit neintenționată și are un caracter minor, ținând seama de circumstanțele cauzei și de principiul proporționalității.</w:t>
            </w:r>
          </w:p>
        </w:tc>
        <w:tc>
          <w:tcPr>
            <w:tcW w:w="240" w:type="dxa"/>
            <w:tcBorders>
              <w:top w:val="nil"/>
              <w:left w:val="single" w:sz="4" w:space="0" w:color="000000"/>
              <w:bottom w:val="nil"/>
              <w:right w:val="nil"/>
            </w:tcBorders>
            <w:tcMar>
              <w:top w:w="0" w:type="dxa"/>
              <w:left w:w="100" w:type="dxa"/>
              <w:bottom w:w="0" w:type="dxa"/>
              <w:right w:w="100" w:type="dxa"/>
            </w:tcMar>
          </w:tcPr>
          <w:p w14:paraId="1ABA619E"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63DDDFD8" w14:textId="77777777">
        <w:trPr>
          <w:trHeight w:val="315"/>
        </w:trPr>
        <w:tc>
          <w:tcPr>
            <w:tcW w:w="454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63042A9"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6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47A3EEA"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51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0CC519A"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240" w:type="dxa"/>
            <w:tcBorders>
              <w:top w:val="nil"/>
              <w:left w:val="single" w:sz="4" w:space="0" w:color="000000"/>
              <w:bottom w:val="nil"/>
              <w:right w:val="nil"/>
            </w:tcBorders>
            <w:tcMar>
              <w:top w:w="0" w:type="dxa"/>
              <w:left w:w="100" w:type="dxa"/>
              <w:bottom w:w="0" w:type="dxa"/>
              <w:right w:w="100" w:type="dxa"/>
            </w:tcMar>
          </w:tcPr>
          <w:p w14:paraId="29635C6F"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5A7FB945" w14:textId="77777777">
        <w:trPr>
          <w:trHeight w:val="315"/>
        </w:trPr>
        <w:tc>
          <w:tcPr>
            <w:tcW w:w="454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1E15349"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6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C44EDFD"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51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B6ACDEB"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240" w:type="dxa"/>
            <w:tcBorders>
              <w:top w:val="nil"/>
              <w:left w:val="single" w:sz="4" w:space="0" w:color="000000"/>
              <w:bottom w:val="nil"/>
              <w:right w:val="nil"/>
            </w:tcBorders>
            <w:tcMar>
              <w:top w:w="0" w:type="dxa"/>
              <w:left w:w="100" w:type="dxa"/>
              <w:bottom w:w="0" w:type="dxa"/>
              <w:right w:w="100" w:type="dxa"/>
            </w:tcMar>
          </w:tcPr>
          <w:p w14:paraId="1B6A5D08"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43FA3446" w14:textId="77777777">
        <w:trPr>
          <w:trHeight w:val="315"/>
        </w:trPr>
        <w:tc>
          <w:tcPr>
            <w:tcW w:w="454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0F38333"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6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FD3463"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51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4CF935B"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240" w:type="dxa"/>
            <w:tcBorders>
              <w:top w:val="nil"/>
              <w:left w:val="single" w:sz="4" w:space="0" w:color="000000"/>
              <w:bottom w:val="nil"/>
              <w:right w:val="nil"/>
            </w:tcBorders>
            <w:tcMar>
              <w:top w:w="0" w:type="dxa"/>
              <w:left w:w="100" w:type="dxa"/>
              <w:bottom w:w="0" w:type="dxa"/>
              <w:right w:w="100" w:type="dxa"/>
            </w:tcMar>
          </w:tcPr>
          <w:p w14:paraId="1A54D849"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4E7C3BA8" w14:textId="77777777">
        <w:trPr>
          <w:trHeight w:val="315"/>
        </w:trPr>
        <w:tc>
          <w:tcPr>
            <w:tcW w:w="454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0B42D68"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6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B3ECFAA"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51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3B1815A"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240" w:type="dxa"/>
            <w:tcBorders>
              <w:top w:val="nil"/>
              <w:left w:val="single" w:sz="4" w:space="0" w:color="000000"/>
              <w:bottom w:val="nil"/>
              <w:right w:val="nil"/>
            </w:tcBorders>
            <w:tcMar>
              <w:top w:w="0" w:type="dxa"/>
              <w:left w:w="100" w:type="dxa"/>
              <w:bottom w:w="0" w:type="dxa"/>
              <w:right w:w="100" w:type="dxa"/>
            </w:tcMar>
          </w:tcPr>
          <w:p w14:paraId="0BBC364F"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77402669" w14:textId="77777777">
        <w:trPr>
          <w:trHeight w:val="315"/>
        </w:trPr>
        <w:tc>
          <w:tcPr>
            <w:tcW w:w="454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F097666"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6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90FDCC6"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51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095A132"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240" w:type="dxa"/>
            <w:tcBorders>
              <w:top w:val="nil"/>
              <w:left w:val="single" w:sz="4" w:space="0" w:color="000000"/>
              <w:bottom w:val="nil"/>
              <w:right w:val="nil"/>
            </w:tcBorders>
            <w:tcMar>
              <w:top w:w="0" w:type="dxa"/>
              <w:left w:w="100" w:type="dxa"/>
              <w:bottom w:w="0" w:type="dxa"/>
              <w:right w:w="100" w:type="dxa"/>
            </w:tcMar>
          </w:tcPr>
          <w:p w14:paraId="3755F260"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7AD62F17" w14:textId="77777777">
        <w:trPr>
          <w:trHeight w:val="315"/>
        </w:trPr>
        <w:tc>
          <w:tcPr>
            <w:tcW w:w="454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0E8CAB"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6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0376626"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51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856742E"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240" w:type="dxa"/>
            <w:tcBorders>
              <w:top w:val="nil"/>
              <w:left w:val="single" w:sz="4" w:space="0" w:color="000000"/>
              <w:bottom w:val="nil"/>
              <w:right w:val="nil"/>
            </w:tcBorders>
            <w:tcMar>
              <w:top w:w="0" w:type="dxa"/>
              <w:left w:w="100" w:type="dxa"/>
              <w:bottom w:w="0" w:type="dxa"/>
              <w:right w:w="100" w:type="dxa"/>
            </w:tcMar>
          </w:tcPr>
          <w:p w14:paraId="67B3E146"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5756F563" w14:textId="77777777">
        <w:trPr>
          <w:trHeight w:val="315"/>
        </w:trPr>
        <w:tc>
          <w:tcPr>
            <w:tcW w:w="454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5D97E72"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6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3D47CE9"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51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9C8B18B"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240" w:type="dxa"/>
            <w:tcBorders>
              <w:top w:val="nil"/>
              <w:left w:val="single" w:sz="4" w:space="0" w:color="000000"/>
              <w:bottom w:val="nil"/>
              <w:right w:val="nil"/>
            </w:tcBorders>
            <w:tcMar>
              <w:top w:w="0" w:type="dxa"/>
              <w:left w:w="100" w:type="dxa"/>
              <w:bottom w:w="0" w:type="dxa"/>
              <w:right w:w="100" w:type="dxa"/>
            </w:tcMar>
          </w:tcPr>
          <w:p w14:paraId="734FCC21"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21759257" w14:textId="77777777">
        <w:trPr>
          <w:trHeight w:val="315"/>
        </w:trPr>
        <w:tc>
          <w:tcPr>
            <w:tcW w:w="454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E10CA48"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6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52CF48A"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51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AE1771"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240" w:type="dxa"/>
            <w:tcBorders>
              <w:top w:val="nil"/>
              <w:left w:val="single" w:sz="4" w:space="0" w:color="000000"/>
              <w:bottom w:val="nil"/>
              <w:right w:val="nil"/>
            </w:tcBorders>
            <w:tcMar>
              <w:top w:w="0" w:type="dxa"/>
              <w:left w:w="100" w:type="dxa"/>
              <w:bottom w:w="0" w:type="dxa"/>
              <w:right w:w="100" w:type="dxa"/>
            </w:tcMar>
          </w:tcPr>
          <w:p w14:paraId="59C62490"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16848AE7" w14:textId="77777777">
        <w:trPr>
          <w:trHeight w:val="315"/>
        </w:trPr>
        <w:tc>
          <w:tcPr>
            <w:tcW w:w="454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67BC7E8"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6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5B0E0E1"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451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DAFEA29" w14:textId="77777777" w:rsidR="00895F78" w:rsidRDefault="00895F78">
            <w:pPr>
              <w:widowControl w:val="0"/>
              <w:spacing w:after="0" w:line="276" w:lineRule="auto"/>
              <w:rPr>
                <w:rFonts w:ascii="Times New Roman" w:eastAsia="Times New Roman" w:hAnsi="Times New Roman" w:cs="Times New Roman"/>
                <w:sz w:val="22"/>
                <w:szCs w:val="22"/>
                <w:highlight w:val="white"/>
              </w:rPr>
            </w:pPr>
          </w:p>
        </w:tc>
        <w:tc>
          <w:tcPr>
            <w:tcW w:w="240" w:type="dxa"/>
            <w:tcBorders>
              <w:top w:val="nil"/>
              <w:left w:val="single" w:sz="4" w:space="0" w:color="000000"/>
              <w:bottom w:val="nil"/>
              <w:right w:val="nil"/>
            </w:tcBorders>
            <w:tcMar>
              <w:top w:w="0" w:type="dxa"/>
              <w:left w:w="100" w:type="dxa"/>
              <w:bottom w:w="0" w:type="dxa"/>
              <w:right w:w="100" w:type="dxa"/>
            </w:tcMar>
          </w:tcPr>
          <w:p w14:paraId="50B6F93D"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25B36B49" w14:textId="77777777">
        <w:trPr>
          <w:trHeight w:val="315"/>
        </w:trPr>
        <w:tc>
          <w:tcPr>
            <w:tcW w:w="13725" w:type="dxa"/>
            <w:gridSpan w:val="3"/>
            <w:tcBorders>
              <w:top w:val="single" w:sz="4"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5D18F6A" w14:textId="77777777" w:rsidR="00895F78" w:rsidRDefault="00000000">
            <w:pPr>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 II. Legea nr. 5/2006 cu privire la asigurarea egalității de șanse între femei și bărbați (Monitorul Oficial al Republicii Moldova, 2006, nr. 47-50, art. 200), cu modificările ulterioare, se modifică după cum urmează:</w:t>
            </w:r>
          </w:p>
        </w:tc>
        <w:tc>
          <w:tcPr>
            <w:tcW w:w="240" w:type="dxa"/>
            <w:tcBorders>
              <w:top w:val="nil"/>
              <w:left w:val="nil"/>
              <w:bottom w:val="nil"/>
              <w:right w:val="nil"/>
            </w:tcBorders>
            <w:tcMar>
              <w:top w:w="0" w:type="dxa"/>
              <w:left w:w="100" w:type="dxa"/>
              <w:bottom w:w="0" w:type="dxa"/>
              <w:right w:w="100" w:type="dxa"/>
            </w:tcMar>
          </w:tcPr>
          <w:p w14:paraId="0377CB00"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06DC3454"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F279068"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Parlamentul adoptă prezenta lege organică.</w:t>
            </w:r>
          </w:p>
          <w:p w14:paraId="5BDBCB28" w14:textId="77777777" w:rsidR="00895F78" w:rsidRDefault="00000000">
            <w:pPr>
              <w:spacing w:after="0" w:line="240" w:lineRule="auto"/>
              <w:ind w:firstLine="70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sz w:val="22"/>
                <w:szCs w:val="22"/>
                <w:highlight w:val="white"/>
              </w:rPr>
              <w:t>Prezenta lege transpune în legislația națională Directiva 2004/113/CE a Consiliului din 13 decembrie 2004 de aplicare a principiului egalităţii de tratament între femei şi bărbaţi privind accesul la bunuri şi servicii şi furnizarea de bunuri şi servicii, CELEX: 32004L0113, publicată în Jurnalul Oficial al Uniunii Europene L 373 din 21 decembrie 2004, de asemenea transpune parțial Directiva 2006/54/CE a Parlamentului European şi a Consiliului din 5 iulie 2006 privind punerea în aplicare a principiului egalităţii de şanse şi al egalităţii de tratament între bărbaţi şi femei în materie de încadrare în muncă şi de muncă (revizuire), CELEX: 32006L0054, publicată în Jurnalul Oficial al Uniunii Europene L 204 din 26 iulie 2007.</w:t>
            </w: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1A0DB498" w14:textId="77777777" w:rsidR="00895F78" w:rsidRDefault="00000000">
            <w:pPr>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1. Clauza de armonizare se completează cu textul:</w:t>
            </w:r>
          </w:p>
          <w:p w14:paraId="1AD5F6C0" w14:textId="77777777" w:rsidR="00895F78" w:rsidRDefault="00000000">
            <w:pPr>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Prezenta lege: </w:t>
            </w:r>
          </w:p>
          <w:p w14:paraId="1D67DAD3" w14:textId="77777777" w:rsidR="00895F78" w:rsidRDefault="00000000">
            <w:pPr>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 transpune parțial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(Text cu relevanță pentru SEE), CELEX: 32023L0970, publicată în Jurnalul Oficial al Uniunii Europene L 132 din 17 mai 2023 și se aliniază la Recomandarea Comisiei din 7 martie 2014 privind consolidarea principiului egalității de remunerare între bărbați și femei prin transparență (Text cu relevanță pentru SEE).</w:t>
            </w:r>
          </w:p>
          <w:p w14:paraId="34429789" w14:textId="77777777" w:rsidR="00895F78" w:rsidRDefault="00895F78">
            <w:pPr>
              <w:spacing w:after="0" w:line="240" w:lineRule="auto"/>
              <w:jc w:val="both"/>
              <w:rPr>
                <w:rFonts w:ascii="Times New Roman" w:eastAsia="Times New Roman" w:hAnsi="Times New Roman" w:cs="Times New Roman"/>
                <w:sz w:val="22"/>
                <w:szCs w:val="22"/>
                <w:highlight w:val="white"/>
              </w:rPr>
            </w:pPr>
          </w:p>
          <w:p w14:paraId="79BC3629" w14:textId="77777777" w:rsidR="00895F78" w:rsidRDefault="00895F78">
            <w:pPr>
              <w:spacing w:after="0" w:line="240" w:lineRule="auto"/>
              <w:ind w:firstLine="700"/>
              <w:jc w:val="both"/>
              <w:rPr>
                <w:rFonts w:ascii="Times New Roman" w:eastAsia="Times New Roman" w:hAnsi="Times New Roman" w:cs="Times New Roman"/>
                <w:sz w:val="22"/>
                <w:szCs w:val="22"/>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4476C977"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Parlamentul adoptă prezenta lege organică.</w:t>
            </w:r>
          </w:p>
          <w:p w14:paraId="1C1BBCC4" w14:textId="77777777" w:rsidR="00895F78" w:rsidRDefault="00000000">
            <w:pPr>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xml:space="preserve">Prezenta lege transpune în legislația națională Directiva 2004/113/CE a Consiliului din 13 decembrie 2004 de aplicare a principiului egalităţii de tratament între femei şi bărbaţi privind accesul la bunuri şi servicii şi furnizarea de bunuri şi servicii, CELEX: 32004L0113, publicată în Jurnalul Oficial al Uniunii Europene L 373 din 21 decembrie 2004, de asemenea transpune parțial Directiva 2006/54/CE a Parlamentului European şi a Consiliului din 5 iulie 2006 privind punerea în aplicare a principiului egalităţii de şanse şi al egalităţii de tratament între bărbaţi şi femei în materie de încadrare în muncă şi de muncă (revizuire), CELEX: 32006L0054, publicată în Jurnalul Oficial al Uniunii Europene L 204 din 26 iulie 2007, </w:t>
            </w:r>
            <w:r>
              <w:rPr>
                <w:rFonts w:ascii="Times New Roman" w:eastAsia="Times New Roman" w:hAnsi="Times New Roman" w:cs="Times New Roman"/>
                <w:b/>
                <w:bCs/>
                <w:sz w:val="22"/>
                <w:szCs w:val="22"/>
                <w:highlight w:val="white"/>
              </w:rPr>
              <w:t>precum și transpune parțial</w:t>
            </w:r>
            <w:r>
              <w:rPr>
                <w:rFonts w:ascii="Times New Roman" w:eastAsia="Times New Roman" w:hAnsi="Times New Roman" w:cs="Times New Roman"/>
                <w:sz w:val="22"/>
                <w:szCs w:val="22"/>
                <w:highlight w:val="white"/>
              </w:rPr>
              <w:t xml:space="preserve"> </w:t>
            </w:r>
            <w:r>
              <w:rPr>
                <w:rFonts w:ascii="Times New Roman" w:eastAsia="Times New Roman" w:hAnsi="Times New Roman" w:cs="Times New Roman"/>
                <w:b/>
                <w:bCs/>
                <w:sz w:val="22"/>
                <w:szCs w:val="22"/>
                <w:highlight w:val="white"/>
              </w:rPr>
              <w:t>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(Text cu relevanță pentru SEE), CELEX: 32023L0970, publicată în Jurnalul Oficial al Uniunii Europene L 132 din 17 mai 2023 și se aliniază la Recomandarea Comisiei din 7 martie 2014 privind consolidarea principiului egalității de remunerare între bărbați și femei prin transparență.</w:t>
            </w:r>
          </w:p>
        </w:tc>
        <w:tc>
          <w:tcPr>
            <w:tcW w:w="240" w:type="dxa"/>
            <w:tcBorders>
              <w:top w:val="nil"/>
              <w:left w:val="nil"/>
              <w:bottom w:val="nil"/>
              <w:right w:val="nil"/>
            </w:tcBorders>
            <w:tcMar>
              <w:top w:w="0" w:type="dxa"/>
              <w:left w:w="100" w:type="dxa"/>
              <w:bottom w:w="0" w:type="dxa"/>
              <w:right w:w="100" w:type="dxa"/>
            </w:tcMar>
          </w:tcPr>
          <w:p w14:paraId="6F255935"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685A3F9C"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8D0278C"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2.</w:t>
            </w:r>
            <w:r>
              <w:rPr>
                <w:rFonts w:ascii="Times New Roman" w:eastAsia="Times New Roman" w:hAnsi="Times New Roman" w:cs="Times New Roman"/>
                <w:sz w:val="22"/>
                <w:szCs w:val="22"/>
                <w:highlight w:val="white"/>
              </w:rPr>
              <w:t> Noţiuni principale</w:t>
            </w:r>
          </w:p>
          <w:p w14:paraId="748A0610"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În sensul prezentei legi, următoarele noţiuni principale semnifică:</w:t>
            </w:r>
          </w:p>
          <w:p w14:paraId="6E179CB4"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1AE3A033"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i/>
                <w:iCs/>
                <w:sz w:val="22"/>
                <w:szCs w:val="22"/>
                <w:highlight w:val="white"/>
              </w:rPr>
              <w:t>discriminare directă după criteriul de sex</w:t>
            </w:r>
            <w:r>
              <w:rPr>
                <w:rFonts w:ascii="Times New Roman" w:eastAsia="Times New Roman" w:hAnsi="Times New Roman" w:cs="Times New Roman"/>
                <w:sz w:val="22"/>
                <w:szCs w:val="22"/>
                <w:highlight w:val="white"/>
              </w:rPr>
              <w:t> – orice acţiune care, în situaţii similare, discriminează o persoană în comparaţie cu o altă persoană de alt sex, inclusiv din cauza sarcinii, maternităţii sau paternităţii;</w:t>
            </w:r>
          </w:p>
          <w:p w14:paraId="29859347"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i/>
                <w:iCs/>
                <w:sz w:val="22"/>
                <w:szCs w:val="22"/>
                <w:highlight w:val="white"/>
              </w:rPr>
              <w:t>discriminare indirectă după criteriul de sex</w:t>
            </w:r>
            <w:r>
              <w:rPr>
                <w:rFonts w:ascii="Times New Roman" w:eastAsia="Times New Roman" w:hAnsi="Times New Roman" w:cs="Times New Roman"/>
                <w:sz w:val="22"/>
                <w:szCs w:val="22"/>
                <w:highlight w:val="white"/>
              </w:rPr>
              <w:t> – orice acţiune, regulă, criteriu sau practică identică pentru femei şi bărbaţi, dar cu efect ori rezultat inegal pentru unul dintre sexe, cu excepţia măsurilor pozitive;</w:t>
            </w:r>
          </w:p>
          <w:p w14:paraId="046FE0F7"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531612DC"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i/>
                <w:iCs/>
                <w:sz w:val="22"/>
                <w:szCs w:val="22"/>
                <w:highlight w:val="white"/>
              </w:rPr>
              <w:t>hărțuire sexuală – </w:t>
            </w:r>
            <w:r>
              <w:rPr>
                <w:rFonts w:ascii="Times New Roman" w:eastAsia="Times New Roman" w:hAnsi="Times New Roman" w:cs="Times New Roman"/>
                <w:sz w:val="22"/>
                <w:szCs w:val="22"/>
                <w:highlight w:val="white"/>
              </w:rPr>
              <w:t>manifestare a unui comportament fizic, verbal, nonverbal sau a altor acțiuni de natură sexuală care conduc la crearea unui mediu intimidant, ostil, degradant, umilitor sau ofensator, având drept scop sau efect lezarea demnității unei persoane;</w:t>
            </w:r>
          </w:p>
          <w:p w14:paraId="10DE656E"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3EE5E8D4" w14:textId="77777777" w:rsidR="00895F78" w:rsidRDefault="00000000">
            <w:pPr>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La Articolul 2:</w:t>
            </w:r>
          </w:p>
          <w:p w14:paraId="1521EBE1" w14:textId="77777777" w:rsidR="00895F78" w:rsidRDefault="00000000">
            <w:pPr>
              <w:spacing w:after="0" w:line="240" w:lineRule="auto"/>
              <w:ind w:firstLine="705"/>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w:t>
            </w:r>
            <w:r>
              <w:rPr>
                <w:sz w:val="22"/>
                <w:szCs w:val="22"/>
                <w:highlight w:val="white"/>
              </w:rPr>
              <w:t> </w:t>
            </w:r>
            <w:r>
              <w:rPr>
                <w:rFonts w:ascii="Times New Roman" w:eastAsia="Times New Roman" w:hAnsi="Times New Roman" w:cs="Times New Roman"/>
                <w:sz w:val="22"/>
                <w:szCs w:val="22"/>
                <w:highlight w:val="white"/>
              </w:rPr>
              <w:t>noțiunile „</w:t>
            </w:r>
            <w:r>
              <w:rPr>
                <w:rFonts w:ascii="Times New Roman" w:eastAsia="Times New Roman" w:hAnsi="Times New Roman" w:cs="Times New Roman"/>
                <w:i/>
                <w:iCs/>
                <w:sz w:val="22"/>
                <w:szCs w:val="22"/>
                <w:highlight w:val="white"/>
              </w:rPr>
              <w:t>discriminare directă după criteriul de sex</w:t>
            </w:r>
            <w:r>
              <w:rPr>
                <w:rFonts w:ascii="Times New Roman" w:eastAsia="Times New Roman" w:hAnsi="Times New Roman" w:cs="Times New Roman"/>
                <w:sz w:val="22"/>
                <w:szCs w:val="22"/>
                <w:highlight w:val="white"/>
              </w:rPr>
              <w:t>” și „</w:t>
            </w:r>
            <w:r>
              <w:rPr>
                <w:rFonts w:ascii="Times New Roman" w:eastAsia="Times New Roman" w:hAnsi="Times New Roman" w:cs="Times New Roman"/>
                <w:i/>
                <w:iCs/>
                <w:sz w:val="22"/>
                <w:szCs w:val="22"/>
                <w:highlight w:val="white"/>
              </w:rPr>
              <w:t>discriminare indirectă după criteriul de sex</w:t>
            </w:r>
            <w:r>
              <w:rPr>
                <w:rFonts w:ascii="Times New Roman" w:eastAsia="Times New Roman" w:hAnsi="Times New Roman" w:cs="Times New Roman"/>
                <w:sz w:val="22"/>
                <w:szCs w:val="22"/>
                <w:highlight w:val="white"/>
              </w:rPr>
              <w:t>”  vor avea următorul cuprins:</w:t>
            </w:r>
          </w:p>
          <w:p w14:paraId="5162C891" w14:textId="77777777" w:rsidR="00895F78" w:rsidRDefault="00000000">
            <w:pPr>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r>
              <w:rPr>
                <w:rFonts w:ascii="Times New Roman" w:eastAsia="Times New Roman" w:hAnsi="Times New Roman" w:cs="Times New Roman"/>
                <w:i/>
                <w:iCs/>
                <w:sz w:val="22"/>
                <w:szCs w:val="22"/>
                <w:highlight w:val="white"/>
              </w:rPr>
              <w:t>discriminare directă după criteriul de sex</w:t>
            </w:r>
            <w:r>
              <w:rPr>
                <w:rFonts w:ascii="Times New Roman" w:eastAsia="Times New Roman" w:hAnsi="Times New Roman" w:cs="Times New Roman"/>
                <w:sz w:val="22"/>
                <w:szCs w:val="22"/>
                <w:highlight w:val="white"/>
              </w:rPr>
              <w:t xml:space="preserve"> - situația în care o persoană este tratată mai puțin favorabil după criteriul de sex decât o altă persoană este, a fost, sau ar fi tratată într-o situație comparabilă.”</w:t>
            </w:r>
          </w:p>
          <w:p w14:paraId="55B5347F" w14:textId="77777777" w:rsidR="00895F78" w:rsidRDefault="00000000">
            <w:pPr>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i/>
                <w:iCs/>
                <w:sz w:val="22"/>
                <w:szCs w:val="22"/>
                <w:highlight w:val="white"/>
              </w:rPr>
              <w:t>„discriminare indirectă după criteriul de sex</w:t>
            </w:r>
            <w:r>
              <w:rPr>
                <w:rFonts w:ascii="Times New Roman" w:eastAsia="Times New Roman" w:hAnsi="Times New Roman" w:cs="Times New Roman"/>
                <w:sz w:val="22"/>
                <w:szCs w:val="22"/>
                <w:highlight w:val="white"/>
              </w:rPr>
              <w:t xml:space="preserve"> – situația în care o acțiune, regulă, criteriu sau practică aparent neutră ar pune persoane de un anumit sex într-un dezavantaj particular în comparație cu persoane de celălalt sex, cu excepția cazului în care respectiva prevedere, criteriu sau practică este justificată în mod obiectiv printr-un scop legitim, iar mijloacele de atingere a acestui scop sunt adecvate și necesare.”</w:t>
            </w:r>
          </w:p>
          <w:p w14:paraId="23ABD377" w14:textId="77777777" w:rsidR="00895F78" w:rsidRDefault="00000000">
            <w:pPr>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xml:space="preserve">noțiunea </w:t>
            </w:r>
            <w:r>
              <w:rPr>
                <w:rFonts w:ascii="Times New Roman" w:eastAsia="Times New Roman" w:hAnsi="Times New Roman" w:cs="Times New Roman"/>
                <w:i/>
                <w:iCs/>
                <w:sz w:val="22"/>
                <w:szCs w:val="22"/>
                <w:highlight w:val="white"/>
              </w:rPr>
              <w:t>„hărțuire sexuală”</w:t>
            </w:r>
            <w:r>
              <w:rPr>
                <w:rFonts w:ascii="Times New Roman" w:eastAsia="Times New Roman" w:hAnsi="Times New Roman" w:cs="Times New Roman"/>
                <w:sz w:val="22"/>
                <w:szCs w:val="22"/>
                <w:highlight w:val="white"/>
              </w:rPr>
              <w:t>, se completează  cu textul: </w:t>
            </w:r>
          </w:p>
          <w:p w14:paraId="11DC4237" w14:textId="77777777" w:rsidR="00895F78" w:rsidRDefault="00000000">
            <w:pPr>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 precum și orice tratament mai puțin favorabil bazat pe refuzul unei persoane de a accepta sau pe acceptarea de către aceasta a unui astfel de comportament, atunci când un asemenea comportament sau acțiuni rezultă din exercitarea dreptului de a primi remunerație fără nici o discriminare.”</w:t>
            </w:r>
          </w:p>
          <w:p w14:paraId="49E5047B" w14:textId="77777777" w:rsidR="00895F78" w:rsidRDefault="00895F78">
            <w:pPr>
              <w:spacing w:after="0" w:line="240" w:lineRule="auto"/>
              <w:ind w:firstLine="705"/>
              <w:jc w:val="both"/>
              <w:rPr>
                <w:rFonts w:ascii="Times New Roman" w:eastAsia="Times New Roman" w:hAnsi="Times New Roman" w:cs="Times New Roman"/>
                <w:b/>
                <w:bCs/>
                <w:sz w:val="22"/>
                <w:szCs w:val="22"/>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71E9CDFA"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2.</w:t>
            </w:r>
            <w:r>
              <w:rPr>
                <w:rFonts w:ascii="Times New Roman" w:eastAsia="Times New Roman" w:hAnsi="Times New Roman" w:cs="Times New Roman"/>
                <w:sz w:val="22"/>
                <w:szCs w:val="22"/>
                <w:highlight w:val="white"/>
              </w:rPr>
              <w:t> Noţiuni principale</w:t>
            </w:r>
          </w:p>
          <w:p w14:paraId="318FF438"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În sensul prezentei legi, următoarele noţiuni principale semnifică:</w:t>
            </w:r>
          </w:p>
          <w:p w14:paraId="7A98E0AE"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55F07955" w14:textId="77777777" w:rsidR="00895F78" w:rsidRDefault="00000000">
            <w:pPr>
              <w:shd w:val="clear" w:color="auto" w:fill="FFFFFF"/>
              <w:spacing w:after="0" w:line="276" w:lineRule="auto"/>
              <w:ind w:firstLine="68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i/>
                <w:iCs/>
                <w:sz w:val="22"/>
                <w:szCs w:val="22"/>
                <w:highlight w:val="white"/>
              </w:rPr>
              <w:t>discriminare directă după criteriul de sex</w:t>
            </w:r>
            <w:r>
              <w:rPr>
                <w:rFonts w:ascii="Times New Roman" w:eastAsia="Times New Roman" w:hAnsi="Times New Roman" w:cs="Times New Roman"/>
                <w:b/>
                <w:bCs/>
                <w:sz w:val="22"/>
                <w:szCs w:val="22"/>
                <w:highlight w:val="white"/>
              </w:rPr>
              <w:t xml:space="preserve"> - situația în care o persoană este tratată mai puțin favorabil după criteriul de sex decât o altă persoană este, a fost, sau ar fi tratată într-o situație comparabilă;</w:t>
            </w:r>
          </w:p>
          <w:p w14:paraId="056B911E" w14:textId="77777777" w:rsidR="00895F78" w:rsidRDefault="00000000">
            <w:pPr>
              <w:shd w:val="clear" w:color="auto" w:fill="FFFFFF"/>
              <w:spacing w:after="0" w:line="276" w:lineRule="auto"/>
              <w:ind w:firstLine="68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i/>
                <w:iCs/>
                <w:sz w:val="22"/>
                <w:szCs w:val="22"/>
                <w:highlight w:val="white"/>
              </w:rPr>
              <w:t>discriminare indirectă după criteriul de sex</w:t>
            </w:r>
            <w:r>
              <w:rPr>
                <w:rFonts w:ascii="Times New Roman" w:eastAsia="Times New Roman" w:hAnsi="Times New Roman" w:cs="Times New Roman"/>
                <w:b/>
                <w:bCs/>
                <w:sz w:val="22"/>
                <w:szCs w:val="22"/>
                <w:highlight w:val="white"/>
              </w:rPr>
              <w:t xml:space="preserve"> – situația în care o acțiune, regulă, criteriu sau practică aparent neutră ar pune persoane de un anumit sex într-un dezavantaj particular în comparație cu persoane de celălalt sex, cu excepția cazului în care respectiva prevedere, criteriu sau practică este justificată în mod obiectiv printr-un scop legitim, iar mijloacele de atingere a acestui scop sunt adecvate și necesare;</w:t>
            </w:r>
          </w:p>
          <w:p w14:paraId="0AAADA35"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5781E078"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i/>
                <w:iCs/>
                <w:sz w:val="22"/>
                <w:szCs w:val="22"/>
                <w:highlight w:val="white"/>
              </w:rPr>
              <w:t>hărțuire sexuală – </w:t>
            </w:r>
            <w:r>
              <w:rPr>
                <w:rFonts w:ascii="Times New Roman" w:eastAsia="Times New Roman" w:hAnsi="Times New Roman" w:cs="Times New Roman"/>
                <w:sz w:val="22"/>
                <w:szCs w:val="22"/>
                <w:highlight w:val="white"/>
              </w:rPr>
              <w:t xml:space="preserve">manifestare a unui comportament fizic, verbal, nonverbal sau a altor acțiuni de natură sexuală care conduc la crearea unui mediu intimidant, ostil, degradant, umilitor sau ofensator, având drept scop sau efect lezarea demnității unei persoane, </w:t>
            </w:r>
            <w:r>
              <w:rPr>
                <w:rFonts w:ascii="Times New Roman" w:eastAsia="Times New Roman" w:hAnsi="Times New Roman" w:cs="Times New Roman"/>
                <w:b/>
                <w:bCs/>
                <w:sz w:val="22"/>
                <w:szCs w:val="22"/>
                <w:highlight w:val="white"/>
              </w:rPr>
              <w:t>precum și orice tratament mai puțin favorabil bazat pe refuzul unei persoane de a accepta sau pe acceptarea de către aceasta a unui astfel de comportament, atunci când un asemenea comportament sau acțiuni rezultă din exercitarea dreptului de a primi remunerație fără nici o discriminare;</w:t>
            </w:r>
          </w:p>
          <w:p w14:paraId="2C8D44CB" w14:textId="77777777" w:rsidR="00895F78" w:rsidRDefault="00000000">
            <w:pPr>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sz w:val="22"/>
                <w:szCs w:val="22"/>
                <w:highlight w:val="white"/>
              </w:rPr>
              <w:t>[...]</w:t>
            </w:r>
          </w:p>
        </w:tc>
        <w:tc>
          <w:tcPr>
            <w:tcW w:w="240" w:type="dxa"/>
            <w:tcBorders>
              <w:top w:val="nil"/>
              <w:left w:val="nil"/>
              <w:bottom w:val="nil"/>
              <w:right w:val="nil"/>
            </w:tcBorders>
            <w:tcMar>
              <w:top w:w="0" w:type="dxa"/>
              <w:left w:w="100" w:type="dxa"/>
              <w:bottom w:w="0" w:type="dxa"/>
              <w:right w:w="100" w:type="dxa"/>
            </w:tcMar>
          </w:tcPr>
          <w:p w14:paraId="4294FA7C"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1D2D9E33"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9473855"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Articolul 11. Acţiunile discriminatorii ale angajatorului</w:t>
            </w:r>
          </w:p>
          <w:p w14:paraId="6C490DF6"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Se consideră discriminatorii următoarele acţiuni ale angajatorului:</w:t>
            </w:r>
          </w:p>
          <w:p w14:paraId="49A98496"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07504FD4"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h) solicitarea neîntemeiată a informaţiei despre starea civilă a candidaţilor;</w:t>
            </w:r>
          </w:p>
          <w:p w14:paraId="2F13299F"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0D3075AF" w14:textId="77777777" w:rsidR="00895F78" w:rsidRDefault="00895F78">
            <w:pPr>
              <w:shd w:val="clear" w:color="auto" w:fill="FFFFFF"/>
              <w:spacing w:after="0" w:line="276" w:lineRule="auto"/>
              <w:ind w:firstLine="680"/>
              <w:jc w:val="both"/>
              <w:rPr>
                <w:rFonts w:ascii="Times New Roman" w:eastAsia="Times New Roman" w:hAnsi="Times New Roman" w:cs="Times New Roman"/>
                <w:sz w:val="22"/>
                <w:szCs w:val="22"/>
                <w:highlight w:val="white"/>
              </w:rPr>
            </w:pPr>
          </w:p>
          <w:p w14:paraId="171F618A" w14:textId="77777777" w:rsidR="00895F78" w:rsidRDefault="00895F78">
            <w:pPr>
              <w:shd w:val="clear" w:color="auto" w:fill="FFFFFF"/>
              <w:spacing w:after="0" w:line="276" w:lineRule="auto"/>
              <w:ind w:firstLine="680"/>
              <w:jc w:val="both"/>
              <w:rPr>
                <w:rFonts w:ascii="Times New Roman" w:eastAsia="Times New Roman" w:hAnsi="Times New Roman" w:cs="Times New Roman"/>
                <w:b/>
                <w:bCs/>
                <w:sz w:val="22"/>
                <w:szCs w:val="22"/>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29EDAFFE" w14:textId="77777777" w:rsidR="00895F78" w:rsidRDefault="00000000">
            <w:pPr>
              <w:shd w:val="clear" w:color="auto" w:fill="FFFFFF"/>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3.</w:t>
            </w:r>
            <w:r>
              <w:rPr>
                <w:rFonts w:ascii="Times New Roman" w:eastAsia="Times New Roman" w:hAnsi="Times New Roman" w:cs="Times New Roman"/>
                <w:sz w:val="22"/>
                <w:szCs w:val="22"/>
                <w:highlight w:val="white"/>
              </w:rPr>
              <w:t xml:space="preserve"> La Articolul 11, alineatul (1) se completează cu litera h¹) cu următorul cuprins:</w:t>
            </w:r>
          </w:p>
          <w:p w14:paraId="1E857A58" w14:textId="77777777" w:rsidR="00895F78" w:rsidRDefault="00000000">
            <w:pPr>
              <w:shd w:val="clear" w:color="auto" w:fill="FFFFFF"/>
              <w:spacing w:after="0"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„h¹) orice tratament mai puțin favorabil legat de sarcină, concediul de maternitate, concediul paternal, concediul pentru îngrijirea copilului sau concediul neplătit pentru îngrijirea unei persoane care locuiește în aceeași locuință cu salariatul.”</w:t>
            </w:r>
          </w:p>
          <w:p w14:paraId="01B337FF" w14:textId="77777777" w:rsidR="00895F78" w:rsidRDefault="00895F78">
            <w:pPr>
              <w:shd w:val="clear" w:color="auto" w:fill="FFFFFF"/>
              <w:spacing w:after="0" w:line="276" w:lineRule="auto"/>
              <w:ind w:firstLine="680"/>
              <w:jc w:val="both"/>
              <w:rPr>
                <w:rFonts w:ascii="Times New Roman" w:eastAsia="Times New Roman" w:hAnsi="Times New Roman" w:cs="Times New Roman"/>
                <w:sz w:val="22"/>
                <w:szCs w:val="22"/>
                <w:highlight w:val="white"/>
              </w:rPr>
            </w:pPr>
          </w:p>
          <w:p w14:paraId="5377E3B0" w14:textId="77777777" w:rsidR="00895F78" w:rsidRDefault="00895F78">
            <w:pPr>
              <w:shd w:val="clear" w:color="auto" w:fill="FFFFFF"/>
              <w:spacing w:after="0" w:line="276" w:lineRule="auto"/>
              <w:ind w:firstLine="680"/>
              <w:jc w:val="both"/>
              <w:rPr>
                <w:rFonts w:ascii="Times New Roman" w:eastAsia="Times New Roman" w:hAnsi="Times New Roman" w:cs="Times New Roman"/>
                <w:sz w:val="22"/>
                <w:szCs w:val="22"/>
                <w:highlight w:val="white"/>
              </w:rPr>
            </w:pPr>
          </w:p>
          <w:p w14:paraId="3966BDAB" w14:textId="77777777" w:rsidR="00895F78" w:rsidRDefault="00895F78">
            <w:pPr>
              <w:spacing w:after="0" w:line="240" w:lineRule="auto"/>
              <w:ind w:firstLine="705"/>
              <w:jc w:val="both"/>
              <w:rPr>
                <w:rFonts w:ascii="Times New Roman" w:eastAsia="Times New Roman" w:hAnsi="Times New Roman" w:cs="Times New Roman"/>
                <w:sz w:val="22"/>
                <w:szCs w:val="22"/>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358714BA"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Articolul 11. Acţiunile discriminatorii ale angajatorului</w:t>
            </w:r>
          </w:p>
          <w:p w14:paraId="1A32E19D"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Se consideră discriminatorii următoarele acţiuni ale angajatorului:</w:t>
            </w:r>
          </w:p>
          <w:p w14:paraId="2D0606CC"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5B3F93E1"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h) solicitarea neîntemeiată a informaţiei despre starea civilă a candidaţilor;</w:t>
            </w:r>
          </w:p>
          <w:p w14:paraId="3118FB6D" w14:textId="77777777" w:rsidR="00895F78" w:rsidRDefault="00000000">
            <w:pPr>
              <w:shd w:val="clear" w:color="auto" w:fill="FFFFFF"/>
              <w:spacing w:after="0" w:line="276" w:lineRule="auto"/>
              <w:ind w:firstLine="68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h¹) orice tratament mai puțin favorabil legat de sarcină, concediul de maternitate, concediul paternal, concediul pentru îngrijirea copilului sau concediul neplătit pentru îngrijirea unei persoane care locuiește în aceeași locuință cu salariatul;</w:t>
            </w:r>
          </w:p>
          <w:p w14:paraId="26725286"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w:t>
            </w:r>
            <w:r>
              <w:rPr>
                <w:rFonts w:ascii="Times New Roman" w:eastAsia="Times New Roman" w:hAnsi="Times New Roman" w:cs="Times New Roman"/>
                <w:sz w:val="22"/>
                <w:szCs w:val="22"/>
                <w:highlight w:val="white"/>
              </w:rPr>
              <w:t>..]</w:t>
            </w:r>
          </w:p>
        </w:tc>
        <w:tc>
          <w:tcPr>
            <w:tcW w:w="240" w:type="dxa"/>
            <w:tcBorders>
              <w:top w:val="nil"/>
              <w:left w:val="nil"/>
              <w:bottom w:val="nil"/>
              <w:right w:val="nil"/>
            </w:tcBorders>
            <w:tcMar>
              <w:top w:w="0" w:type="dxa"/>
              <w:left w:w="100" w:type="dxa"/>
              <w:bottom w:w="0" w:type="dxa"/>
              <w:right w:w="100" w:type="dxa"/>
            </w:tcMar>
          </w:tcPr>
          <w:p w14:paraId="0AD4B4ED"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3805E8B3" w14:textId="77777777">
        <w:trPr>
          <w:trHeight w:val="315"/>
        </w:trPr>
        <w:tc>
          <w:tcPr>
            <w:tcW w:w="13725" w:type="dxa"/>
            <w:gridSpan w:val="3"/>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A1AC38B" w14:textId="77777777" w:rsidR="00895F78" w:rsidRDefault="00000000">
            <w:pPr>
              <w:spacing w:after="0" w:line="240" w:lineRule="auto"/>
              <w:ind w:firstLine="70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Art. III. Legea nr. 121/2012  cu privire la asigurarea egalității  (Monitorul Oficial al Republicii Moldova, 2012, nr. 103, art. 355), cu modificările ulterioare, se modifică după cum urmează:</w:t>
            </w:r>
          </w:p>
          <w:p w14:paraId="6FCCB476" w14:textId="77777777" w:rsidR="00895F78" w:rsidRDefault="00895F78">
            <w:pPr>
              <w:spacing w:after="0" w:line="240" w:lineRule="auto"/>
              <w:ind w:firstLine="700"/>
              <w:jc w:val="both"/>
              <w:rPr>
                <w:rFonts w:ascii="Times New Roman" w:eastAsia="Times New Roman" w:hAnsi="Times New Roman" w:cs="Times New Roman"/>
                <w:sz w:val="22"/>
                <w:szCs w:val="22"/>
                <w:highlight w:val="white"/>
              </w:rPr>
            </w:pPr>
          </w:p>
        </w:tc>
        <w:tc>
          <w:tcPr>
            <w:tcW w:w="240" w:type="dxa"/>
            <w:tcBorders>
              <w:top w:val="nil"/>
              <w:left w:val="nil"/>
              <w:bottom w:val="nil"/>
              <w:right w:val="nil"/>
            </w:tcBorders>
            <w:tcMar>
              <w:top w:w="0" w:type="dxa"/>
              <w:left w:w="100" w:type="dxa"/>
              <w:bottom w:w="0" w:type="dxa"/>
              <w:right w:w="100" w:type="dxa"/>
            </w:tcMar>
          </w:tcPr>
          <w:p w14:paraId="1B341492"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7E00DB60"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5BCF5B1" w14:textId="77777777" w:rsidR="00895F78" w:rsidRDefault="00895F78">
            <w:pPr>
              <w:spacing w:after="0" w:line="240" w:lineRule="auto"/>
              <w:jc w:val="both"/>
              <w:rPr>
                <w:rFonts w:ascii="Times New Roman" w:eastAsia="Times New Roman" w:hAnsi="Times New Roman" w:cs="Times New Roman"/>
                <w:b/>
                <w:bCs/>
                <w:sz w:val="22"/>
                <w:szCs w:val="22"/>
                <w:highlight w:val="white"/>
              </w:rPr>
            </w:pPr>
          </w:p>
          <w:p w14:paraId="4D2A58E6"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Parlamentul adoptă prezenta lege organică.</w:t>
            </w:r>
          </w:p>
          <w:p w14:paraId="6CA141F9"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vertAlign w:val="superscript"/>
              </w:rPr>
            </w:pPr>
            <w:r>
              <w:rPr>
                <w:rFonts w:ascii="Times New Roman" w:eastAsia="Times New Roman" w:hAnsi="Times New Roman" w:cs="Times New Roman"/>
                <w:sz w:val="22"/>
                <w:szCs w:val="22"/>
                <w:highlight w:val="white"/>
              </w:rPr>
              <w:t>Prezenta lege creează cadrul necesar aplicării Directivei 2000/43/CE a Consiliului din 29 iunie 2000 de punere în aplicare a principiului egalităţii de tratament între persoane, fără deosebire de rasă sau origine etnică, publicată în Jurnalul Oficial al Uniunii Europene nr. L180 din 19 iulie 2000, şi Directivei 2000/78/CE a Consiliului din 27 noiembrie 2000 de creare a unui cadru general în favoarea egalităţii de tratament în ceea ce priveşte încadrarea în muncă şi ocuparea forţei de muncă, publicată în Jurnalul Oficial al Uniunii Europene nr. L303 din 2decembrie 2000, precum și a Directivei 2004/113/CE a Consiliului din 13 decembrie 2004 de aplicare a principiului egalității de tratament între femei și bărbați privind accesul la bunuri și servicii și furnizarea de bunuri și servicii, publicată în Jurnalul Oficial al Uniunii Europene nr. L 373 din 21 decembrie 2004.</w:t>
            </w:r>
          </w:p>
          <w:p w14:paraId="016CE62C" w14:textId="77777777" w:rsidR="00895F78" w:rsidRDefault="00895F78">
            <w:pPr>
              <w:shd w:val="clear" w:color="auto" w:fill="FFFFFF"/>
              <w:spacing w:after="0" w:line="276" w:lineRule="auto"/>
              <w:ind w:firstLine="680"/>
              <w:jc w:val="both"/>
              <w:rPr>
                <w:rFonts w:ascii="Times New Roman" w:eastAsia="Times New Roman" w:hAnsi="Times New Roman" w:cs="Times New Roman"/>
                <w:sz w:val="22"/>
                <w:szCs w:val="22"/>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49C6CB13"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Clauza de armonizare se completează cu textul:</w:t>
            </w:r>
          </w:p>
          <w:p w14:paraId="6A696E5E"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Prezenta lege: </w:t>
            </w:r>
          </w:p>
          <w:p w14:paraId="69BC08FA"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transpune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(Text cu relevanță pentru SEE), CELEX: 32023L0970, publicată în Jurnalul Oficial al Uniunii Europene L 132 din 17 mai 2023 și se aliniază la Recomandarea Comisiei din 7 martie 2014 privind consolidarea principiului egalității de remunerare între bărbați și femei prin transparență (Text cu relevanță pentru SEE) și se aliniază la Recomandarea Comisiei din 7 martie 2014 privind consolidarea principiului egalității de remunerare între bărbați și femei prin transparență.</w:t>
            </w:r>
          </w:p>
          <w:p w14:paraId="6DB1502F" w14:textId="77777777" w:rsidR="00895F78" w:rsidRDefault="00895F78">
            <w:pPr>
              <w:spacing w:after="0" w:line="276" w:lineRule="auto"/>
              <w:jc w:val="both"/>
              <w:rPr>
                <w:rFonts w:ascii="Times New Roman" w:eastAsia="Times New Roman" w:hAnsi="Times New Roman" w:cs="Times New Roman"/>
                <w:b/>
                <w:bCs/>
                <w:sz w:val="22"/>
                <w:szCs w:val="22"/>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465E1475"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Parlamentul adoptă prezenta lege organică.</w:t>
            </w:r>
          </w:p>
          <w:p w14:paraId="2243B03C"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Prezenta lege:</w:t>
            </w:r>
          </w:p>
          <w:p w14:paraId="19CCBE92"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creează cadrul necesar aplicării Directivei 2000/43/CE a Consiliului din 29 iunie 2000 de punere în aplicare a principiului egalităţii de tratament între persoane, fără deosebire de rasă sau origine etnică, publicată în Jurnalul Oficial al Uniunii Europene nr. L180 din 19 iulie 2000;</w:t>
            </w:r>
          </w:p>
          <w:p w14:paraId="5EB7B989"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creează cadrul necesar aplicării Directivei 2000/78/CE a Consiliului din 27 noiembrie 2000 de creare a unui cadru general în favoarea egalităţii de tratament în ceea ce priveşte încadrarea în muncă şi ocuparea forţei de muncă, publicată în Jurnalul Oficial al Uniunii Europene nr. L303 din 2 decembrie 2000;</w:t>
            </w:r>
          </w:p>
          <w:p w14:paraId="49559615"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creează cadrul necesar aplicării Directivei 2004/113/CE a Consiliului din 13 decembrie 2004 de aplicare a principiului egalității de tratament între femei și bărbați privind accesul la bunuri și servicii și furnizarea de bunuri și servicii, publicată în Jurnalul Oficial al Uniunii Europene nr. L373 din 21 decembrie 2004;</w:t>
            </w:r>
          </w:p>
          <w:p w14:paraId="736B913F" w14:textId="77777777" w:rsidR="00895F78" w:rsidRDefault="00000000">
            <w:pPr>
              <w:shd w:val="clear" w:color="auto" w:fill="FFFFFF"/>
              <w:spacing w:after="0" w:line="276" w:lineRule="auto"/>
              <w:ind w:firstLine="68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sz w:val="22"/>
                <w:szCs w:val="22"/>
                <w:highlight w:val="white"/>
              </w:rPr>
              <w:t xml:space="preserve">– </w:t>
            </w:r>
            <w:r>
              <w:rPr>
                <w:rFonts w:ascii="Times New Roman" w:eastAsia="Times New Roman" w:hAnsi="Times New Roman" w:cs="Times New Roman"/>
                <w:b/>
                <w:bCs/>
                <w:sz w:val="22"/>
                <w:szCs w:val="22"/>
                <w:highlight w:val="white"/>
              </w:rPr>
              <w:t>transpune parțial</w:t>
            </w:r>
            <w:r>
              <w:rPr>
                <w:rFonts w:ascii="Times New Roman" w:eastAsia="Times New Roman" w:hAnsi="Times New Roman" w:cs="Times New Roman"/>
                <w:sz w:val="22"/>
                <w:szCs w:val="22"/>
                <w:highlight w:val="white"/>
              </w:rPr>
              <w:t xml:space="preserve"> </w:t>
            </w:r>
            <w:r>
              <w:rPr>
                <w:rFonts w:ascii="Times New Roman" w:eastAsia="Times New Roman" w:hAnsi="Times New Roman" w:cs="Times New Roman"/>
                <w:b/>
                <w:bCs/>
                <w:sz w:val="22"/>
                <w:szCs w:val="22"/>
                <w:highlight w:val="white"/>
              </w:rPr>
              <w:t>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(Text cu relevanță pentru SEE), CELEX: 32023L0970, publicată în Jurnalul Oficial al Uniunii Europene L 132 din 17 mai 2023 și se aliniază la Recomandarea Comisiei din 7 martie 2014 privind consolidarea principiului egalității de remunerare între bărbați și femei prin transparență.</w:t>
            </w:r>
          </w:p>
        </w:tc>
        <w:tc>
          <w:tcPr>
            <w:tcW w:w="240" w:type="dxa"/>
            <w:tcBorders>
              <w:top w:val="nil"/>
              <w:left w:val="nil"/>
              <w:bottom w:val="nil"/>
              <w:right w:val="nil"/>
            </w:tcBorders>
            <w:tcMar>
              <w:top w:w="0" w:type="dxa"/>
              <w:left w:w="100" w:type="dxa"/>
              <w:bottom w:w="0" w:type="dxa"/>
              <w:right w:w="100" w:type="dxa"/>
            </w:tcMar>
          </w:tcPr>
          <w:p w14:paraId="00B01421"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09C227D1"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1ECE439" w14:textId="77777777" w:rsidR="00895F78" w:rsidRDefault="00000000">
            <w:pPr>
              <w:shd w:val="clear" w:color="auto" w:fill="FFFFFF"/>
              <w:spacing w:after="0" w:line="276" w:lineRule="auto"/>
              <w:ind w:firstLine="68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Articolul 2. Noţiuni generale</w:t>
            </w:r>
          </w:p>
          <w:p w14:paraId="77FBFE66" w14:textId="77777777" w:rsidR="00895F78" w:rsidRDefault="00000000">
            <w:pPr>
              <w:shd w:val="clear" w:color="auto" w:fill="FFFFFF"/>
              <w:spacing w:after="0" w:line="276" w:lineRule="auto"/>
              <w:ind w:firstLine="68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În sensul prezentei legi, termenii de mai jos au următoarele semnificaţii:</w:t>
            </w:r>
          </w:p>
          <w:p w14:paraId="195B88E5" w14:textId="77777777" w:rsidR="00895F78" w:rsidRDefault="00000000">
            <w:pPr>
              <w:shd w:val="clear" w:color="auto" w:fill="FFFFFF"/>
              <w:spacing w:after="0" w:line="276" w:lineRule="auto"/>
              <w:ind w:firstLine="68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w:t>
            </w: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679F6AB8"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 </w:t>
            </w:r>
            <w:r>
              <w:rPr>
                <w:rFonts w:ascii="Times New Roman" w:eastAsia="Times New Roman" w:hAnsi="Times New Roman" w:cs="Times New Roman"/>
                <w:sz w:val="22"/>
                <w:szCs w:val="22"/>
                <w:highlight w:val="white"/>
              </w:rPr>
              <w:t>2. Articolul 2 se completează cu  noțiunea de „discriminare intersectorială” cu următorul cuprins:</w:t>
            </w:r>
          </w:p>
          <w:p w14:paraId="69CDF127"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i/>
                <w:iCs/>
                <w:sz w:val="22"/>
                <w:szCs w:val="22"/>
                <w:highlight w:val="white"/>
              </w:rPr>
              <w:t xml:space="preserve">„discriminare intersecțională – </w:t>
            </w:r>
            <w:r>
              <w:rPr>
                <w:rFonts w:ascii="Times New Roman" w:eastAsia="Times New Roman" w:hAnsi="Times New Roman" w:cs="Times New Roman"/>
                <w:sz w:val="22"/>
                <w:szCs w:val="22"/>
                <w:highlight w:val="white"/>
              </w:rPr>
              <w:t> orice act de discriminare bazat simultan pe criteriul de sex și pe unul sau mai multe dintre următoarele criterii: rasă, origine etnică, vârstă, religie sau convingeri, dizabilitate, orientare sexuală.”</w:t>
            </w:r>
          </w:p>
          <w:p w14:paraId="1CA95CFB" w14:textId="77777777" w:rsidR="00895F78" w:rsidRDefault="00895F78">
            <w:pPr>
              <w:spacing w:after="0" w:line="240" w:lineRule="auto"/>
              <w:ind w:firstLine="700"/>
              <w:jc w:val="both"/>
              <w:rPr>
                <w:rFonts w:ascii="Times New Roman" w:eastAsia="Times New Roman" w:hAnsi="Times New Roman" w:cs="Times New Roman"/>
                <w:b/>
                <w:bCs/>
                <w:sz w:val="22"/>
                <w:szCs w:val="22"/>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2860CDAB"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Articolul 2. Noţiuni generale</w:t>
            </w:r>
          </w:p>
          <w:p w14:paraId="24BEF3B6"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În sensul prezentei legi, termenii de mai jos au următoarele semnificaţii:</w:t>
            </w:r>
          </w:p>
          <w:p w14:paraId="4C9857BF"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0B6B10EF" w14:textId="77777777" w:rsidR="00895F78" w:rsidRDefault="00000000">
            <w:pPr>
              <w:shd w:val="clear" w:color="auto" w:fill="FFFFFF"/>
              <w:spacing w:after="0" w:line="276" w:lineRule="auto"/>
              <w:ind w:firstLine="68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i/>
                <w:iCs/>
                <w:sz w:val="22"/>
                <w:szCs w:val="22"/>
                <w:highlight w:val="white"/>
              </w:rPr>
              <w:t>discriminare intersecțională –</w:t>
            </w:r>
            <w:r>
              <w:rPr>
                <w:rFonts w:ascii="Times New Roman" w:eastAsia="Times New Roman" w:hAnsi="Times New Roman" w:cs="Times New Roman"/>
                <w:b/>
                <w:bCs/>
                <w:sz w:val="22"/>
                <w:szCs w:val="22"/>
                <w:highlight w:val="white"/>
              </w:rPr>
              <w:t xml:space="preserve"> orice act de discriminare bazat simultan pe criteriul de sex și pe unul sau mai multe dintre următoarele criterii: rasă, origine etnică, vârstă, religie sau convingeri, dizabilitate, orientare sexuală;</w:t>
            </w:r>
          </w:p>
          <w:p w14:paraId="25754C6F"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tc>
        <w:tc>
          <w:tcPr>
            <w:tcW w:w="240" w:type="dxa"/>
            <w:tcBorders>
              <w:top w:val="nil"/>
              <w:left w:val="nil"/>
              <w:bottom w:val="nil"/>
              <w:right w:val="nil"/>
            </w:tcBorders>
            <w:tcMar>
              <w:top w:w="0" w:type="dxa"/>
              <w:left w:w="100" w:type="dxa"/>
              <w:bottom w:w="0" w:type="dxa"/>
              <w:right w:w="100" w:type="dxa"/>
            </w:tcMar>
          </w:tcPr>
          <w:p w14:paraId="20020D3A"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7F35C72B"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87E23CF"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Articolul 7. Interzicerea discriminării în cîmpul muncii și în exercitarea unei profesii</w:t>
            </w:r>
          </w:p>
          <w:p w14:paraId="1A30C6D2"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5C481B43"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Se consideră discriminatorii acțiunile săvârșite pe baza criteriilor protejate, precum:</w:t>
            </w:r>
          </w:p>
          <w:p w14:paraId="554AC34A"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3032C194" w14:textId="77777777" w:rsidR="00895F78" w:rsidRDefault="00895F78">
            <w:pPr>
              <w:shd w:val="clear" w:color="auto" w:fill="FFFFFF"/>
              <w:spacing w:after="0" w:line="276" w:lineRule="auto"/>
              <w:ind w:firstLine="680"/>
              <w:jc w:val="both"/>
              <w:rPr>
                <w:rFonts w:ascii="Times New Roman" w:eastAsia="Times New Roman" w:hAnsi="Times New Roman" w:cs="Times New Roman"/>
                <w:b/>
                <w:bCs/>
                <w:sz w:val="22"/>
                <w:szCs w:val="22"/>
                <w:highlight w:val="white"/>
              </w:rPr>
            </w:pPr>
          </w:p>
          <w:p w14:paraId="2639207C" w14:textId="77777777" w:rsidR="00895F78" w:rsidRDefault="00895F78">
            <w:pPr>
              <w:shd w:val="clear" w:color="auto" w:fill="FFFFFF"/>
              <w:spacing w:after="0" w:line="276" w:lineRule="auto"/>
              <w:ind w:firstLine="680"/>
              <w:jc w:val="both"/>
              <w:rPr>
                <w:rFonts w:ascii="Times New Roman" w:eastAsia="Times New Roman" w:hAnsi="Times New Roman" w:cs="Times New Roman"/>
                <w:b/>
                <w:bCs/>
                <w:sz w:val="22"/>
                <w:szCs w:val="22"/>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78A00717" w14:textId="77777777" w:rsidR="00895F78" w:rsidRDefault="00895F78">
            <w:pPr>
              <w:spacing w:after="0" w:line="240" w:lineRule="auto"/>
              <w:ind w:firstLine="700"/>
              <w:jc w:val="both"/>
              <w:rPr>
                <w:rFonts w:ascii="Times New Roman" w:eastAsia="Times New Roman" w:hAnsi="Times New Roman" w:cs="Times New Roman"/>
                <w:sz w:val="22"/>
                <w:szCs w:val="22"/>
                <w:highlight w:val="white"/>
              </w:rPr>
            </w:pPr>
          </w:p>
          <w:p w14:paraId="2E3CF997" w14:textId="77777777" w:rsidR="00895F78" w:rsidRDefault="00000000">
            <w:pPr>
              <w:spacing w:after="0" w:line="240"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3. Articolul 7, alineatul (2) se completează cu litera f¹) cu următorul cuprins:</w:t>
            </w:r>
          </w:p>
          <w:p w14:paraId="743FCF9F" w14:textId="77777777" w:rsidR="00895F78" w:rsidRDefault="00000000">
            <w:pPr>
              <w:spacing w:after="0" w:line="240"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„f¹) orice tratament mai puțin favorabil legat de sarcină, concediul de maternitate, concediul paternal, concediul pentru îngrijirea copilului sau concediul neplătit pentru îngrijirea unei persoane care locuiește în aceeași locuință cu salariatul.”</w:t>
            </w:r>
          </w:p>
          <w:p w14:paraId="4F0D08B0" w14:textId="77777777" w:rsidR="00895F78" w:rsidRDefault="00895F78">
            <w:pPr>
              <w:spacing w:after="0" w:line="240" w:lineRule="auto"/>
              <w:jc w:val="both"/>
              <w:rPr>
                <w:rFonts w:ascii="Times New Roman" w:eastAsia="Times New Roman" w:hAnsi="Times New Roman" w:cs="Times New Roman"/>
                <w:b/>
                <w:bCs/>
                <w:sz w:val="22"/>
                <w:szCs w:val="22"/>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42132094"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Articolul 7. Interzicerea discriminării în cîmpul muncii și în exercitarea unei profesii</w:t>
            </w:r>
          </w:p>
          <w:p w14:paraId="72D5A308"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08DC5EDF"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Se consideră discriminatorii acțiunile săvârșite pe baza criteriilor protejate, precum:</w:t>
            </w:r>
          </w:p>
          <w:p w14:paraId="09305952"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1EDF5D22" w14:textId="77777777" w:rsidR="00895F78" w:rsidRDefault="00000000">
            <w:pPr>
              <w:shd w:val="clear" w:color="auto" w:fill="FFFFFF"/>
              <w:spacing w:after="0" w:line="276" w:lineRule="auto"/>
              <w:ind w:firstLine="68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f¹) orice tratament mai puțin favorabil legat de sarcină, concediul de maternitate, concediul paternal, concediul pentru îngrijirea copilului sau concediul neplătit pentru îngrijirea unei persoane care locuiește în aceeași locuință cu salariatul.</w:t>
            </w:r>
          </w:p>
          <w:p w14:paraId="7A04999F"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tc>
        <w:tc>
          <w:tcPr>
            <w:tcW w:w="240" w:type="dxa"/>
            <w:tcBorders>
              <w:top w:val="nil"/>
              <w:left w:val="nil"/>
              <w:bottom w:val="nil"/>
              <w:right w:val="nil"/>
            </w:tcBorders>
            <w:tcMar>
              <w:top w:w="0" w:type="dxa"/>
              <w:left w:w="100" w:type="dxa"/>
              <w:bottom w:w="0" w:type="dxa"/>
              <w:right w:w="100" w:type="dxa"/>
            </w:tcMar>
          </w:tcPr>
          <w:p w14:paraId="1D86526A" w14:textId="77777777" w:rsidR="00895F78" w:rsidRDefault="00895F78">
            <w:pPr>
              <w:spacing w:before="240" w:after="240" w:line="276" w:lineRule="auto"/>
              <w:rPr>
                <w:rFonts w:ascii="Times New Roman" w:eastAsia="Times New Roman" w:hAnsi="Times New Roman" w:cs="Times New Roman"/>
                <w:sz w:val="22"/>
                <w:szCs w:val="22"/>
                <w:highlight w:val="white"/>
              </w:rPr>
            </w:pPr>
          </w:p>
          <w:p w14:paraId="4514647B" w14:textId="77777777" w:rsidR="00895F78" w:rsidRDefault="00895F78">
            <w:pPr>
              <w:spacing w:before="240" w:after="240" w:line="276" w:lineRule="auto"/>
              <w:rPr>
                <w:rFonts w:ascii="Times New Roman" w:eastAsia="Times New Roman" w:hAnsi="Times New Roman" w:cs="Times New Roman"/>
                <w:sz w:val="22"/>
                <w:szCs w:val="22"/>
                <w:highlight w:val="white"/>
              </w:rPr>
            </w:pPr>
          </w:p>
          <w:p w14:paraId="3A5F9076"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7F96311E" w14:textId="77777777">
        <w:trPr>
          <w:trHeight w:val="315"/>
        </w:trPr>
        <w:tc>
          <w:tcPr>
            <w:tcW w:w="13725" w:type="dxa"/>
            <w:gridSpan w:val="3"/>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D26C7B0"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 IV.</w:t>
            </w:r>
            <w:r>
              <w:rPr>
                <w:rFonts w:ascii="Times New Roman" w:eastAsia="Times New Roman" w:hAnsi="Times New Roman" w:cs="Times New Roman"/>
                <w:sz w:val="22"/>
                <w:szCs w:val="22"/>
                <w:highlight w:val="white"/>
              </w:rPr>
              <w:t xml:space="preserve"> </w:t>
            </w:r>
            <w:r>
              <w:rPr>
                <w:rFonts w:ascii="Times New Roman" w:eastAsia="Times New Roman" w:hAnsi="Times New Roman" w:cs="Times New Roman"/>
                <w:b/>
                <w:bCs/>
                <w:sz w:val="22"/>
                <w:szCs w:val="22"/>
                <w:highlight w:val="white"/>
              </w:rPr>
              <w:t xml:space="preserve">Legea salarizării nr. 847/2002 </w:t>
            </w:r>
            <w:r>
              <w:rPr>
                <w:rFonts w:ascii="Times New Roman" w:eastAsia="Times New Roman" w:hAnsi="Times New Roman" w:cs="Times New Roman"/>
                <w:sz w:val="22"/>
                <w:szCs w:val="22"/>
                <w:highlight w:val="white"/>
              </w:rPr>
              <w:t>(Monitorul Oficial al Republicii Moldova, 2002, nr. 50-52, art. 336), cu modificările ulterioare, se modifică după cum urmează:</w:t>
            </w:r>
          </w:p>
          <w:p w14:paraId="63C78992" w14:textId="77777777" w:rsidR="00895F78" w:rsidRDefault="00895F78">
            <w:pPr>
              <w:shd w:val="clear" w:color="auto" w:fill="FFFFFF"/>
              <w:spacing w:after="0" w:line="276" w:lineRule="auto"/>
              <w:ind w:firstLine="680"/>
              <w:jc w:val="both"/>
              <w:rPr>
                <w:rFonts w:ascii="Times New Roman" w:eastAsia="Times New Roman" w:hAnsi="Times New Roman" w:cs="Times New Roman"/>
                <w:sz w:val="22"/>
                <w:szCs w:val="22"/>
                <w:highlight w:val="white"/>
              </w:rPr>
            </w:pPr>
          </w:p>
        </w:tc>
        <w:tc>
          <w:tcPr>
            <w:tcW w:w="240" w:type="dxa"/>
            <w:tcBorders>
              <w:top w:val="nil"/>
              <w:left w:val="nil"/>
              <w:bottom w:val="nil"/>
              <w:right w:val="nil"/>
            </w:tcBorders>
            <w:tcMar>
              <w:top w:w="0" w:type="dxa"/>
              <w:left w:w="100" w:type="dxa"/>
              <w:bottom w:w="0" w:type="dxa"/>
              <w:right w:w="100" w:type="dxa"/>
            </w:tcMar>
          </w:tcPr>
          <w:p w14:paraId="78F58FAF"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32BF6A17"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FE7588A"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Parlamentul adoptă prezenta lege organică.</w:t>
            </w:r>
          </w:p>
          <w:p w14:paraId="293C7DBA"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Prezenta lege transpune parțial (art. 1 alin. (1)–(3), art. 3 pct. 3 și 5, art. 4 alin. (1) lit. (a) și (d), art. 5 alin. (1), art. 7, 9 și art. 10 alin. (1)) Directiva (UE) 2022/2041 a Parlamentului European și a Consiliului din 19 octombrie 2022 privind salariile minime adecvate în Uniunea Europeană, publicată în Jurnalul Oficial al Uniunii Europene L 275 din 25 octombrie 2022, CELEX: 32022L2041.</w:t>
            </w:r>
          </w:p>
          <w:p w14:paraId="10B00903" w14:textId="77777777" w:rsidR="00895F78" w:rsidRDefault="00895F78">
            <w:pPr>
              <w:shd w:val="clear" w:color="auto" w:fill="FFFFFF"/>
              <w:spacing w:after="0" w:line="276" w:lineRule="auto"/>
              <w:ind w:firstLine="680"/>
              <w:jc w:val="both"/>
              <w:rPr>
                <w:rFonts w:ascii="Times New Roman" w:eastAsia="Times New Roman" w:hAnsi="Times New Roman" w:cs="Times New Roman"/>
                <w:sz w:val="22"/>
                <w:szCs w:val="22"/>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4C5673A8"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 xml:space="preserve">1. </w:t>
            </w:r>
            <w:r>
              <w:rPr>
                <w:rFonts w:ascii="Times New Roman" w:eastAsia="Times New Roman" w:hAnsi="Times New Roman" w:cs="Times New Roman"/>
                <w:sz w:val="22"/>
                <w:szCs w:val="22"/>
                <w:highlight w:val="white"/>
              </w:rPr>
              <w:t>Se completează cu clauza de armonizare cu următorul cuprins:</w:t>
            </w:r>
          </w:p>
          <w:p w14:paraId="2B9FDD62"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„Prezenta lege transpune parțial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(Text cu relevanță pentru SEE), CELEX: 32023L0970, publicată în Jurnalul Oficial al Uniunii Europene L 132 din 17 mai 2023 și se aliniază la Recomandarea Comisiei din 7 martie 2014 referitoare la consolidarea principiului egalității de remunerare între bărbați și femei prin transparență.</w:t>
            </w:r>
          </w:p>
          <w:p w14:paraId="2EFCBAEA" w14:textId="77777777" w:rsidR="00895F78" w:rsidRDefault="00895F78">
            <w:pPr>
              <w:spacing w:after="0" w:line="240" w:lineRule="auto"/>
              <w:ind w:firstLine="700"/>
              <w:jc w:val="both"/>
              <w:rPr>
                <w:rFonts w:ascii="Times New Roman" w:eastAsia="Times New Roman" w:hAnsi="Times New Roman" w:cs="Times New Roman"/>
                <w:sz w:val="22"/>
                <w:szCs w:val="22"/>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309B7355"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Parlamentul adoptă prezenta lege organică.</w:t>
            </w:r>
          </w:p>
          <w:p w14:paraId="56A452ED"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xml:space="preserve">Prezenta lege transpune parțial (art. 1 alin. (1)–(3), art. 3 pct. 3 și 5, art. 4 alin. (1) lit. (a) și (d), art. 5 alin. (1), art. 7, 9 și art. 10 alin. (1)) Directiva (UE) 2022/2041 a Parlamentului European și a Consiliului din 19 octombrie 2022 privind salariile minime adecvate în Uniunea Europeană, publicată în Jurnalul Oficial al Uniunii Europene L 275 din 25 octombrie 2022, CELEX: 32022L2041, </w:t>
            </w:r>
            <w:r>
              <w:rPr>
                <w:rFonts w:ascii="Times New Roman" w:eastAsia="Times New Roman" w:hAnsi="Times New Roman" w:cs="Times New Roman"/>
                <w:b/>
                <w:bCs/>
                <w:sz w:val="22"/>
                <w:szCs w:val="22"/>
                <w:highlight w:val="white"/>
              </w:rPr>
              <w:t>de asemenea transpune parțial</w:t>
            </w:r>
            <w:r>
              <w:rPr>
                <w:rFonts w:ascii="Times New Roman" w:eastAsia="Times New Roman" w:hAnsi="Times New Roman" w:cs="Times New Roman"/>
                <w:sz w:val="22"/>
                <w:szCs w:val="22"/>
                <w:highlight w:val="white"/>
              </w:rPr>
              <w:t xml:space="preserve"> </w:t>
            </w:r>
            <w:r>
              <w:rPr>
                <w:rFonts w:ascii="Times New Roman" w:eastAsia="Times New Roman" w:hAnsi="Times New Roman" w:cs="Times New Roman"/>
                <w:b/>
                <w:bCs/>
                <w:sz w:val="22"/>
                <w:szCs w:val="22"/>
                <w:highlight w:val="white"/>
              </w:rPr>
              <w:t>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CELEX: 32023L0970, publicată în Jurnalul Oficial al Uniunii Europene L 132 din 17 mai 2023</w:t>
            </w:r>
            <w:r>
              <w:rPr>
                <w:rFonts w:ascii="Times New Roman" w:eastAsia="Times New Roman" w:hAnsi="Times New Roman" w:cs="Times New Roman"/>
                <w:sz w:val="22"/>
                <w:szCs w:val="22"/>
                <w:highlight w:val="white"/>
              </w:rPr>
              <w:t xml:space="preserve">  </w:t>
            </w:r>
            <w:r>
              <w:rPr>
                <w:rFonts w:ascii="Times New Roman" w:eastAsia="Times New Roman" w:hAnsi="Times New Roman" w:cs="Times New Roman"/>
                <w:b/>
                <w:bCs/>
                <w:sz w:val="22"/>
                <w:szCs w:val="22"/>
                <w:highlight w:val="white"/>
              </w:rPr>
              <w:t>și se aliniază la Recomandarea Comisiei din 7 martie 2014 referitoare la consolidarea principiului egalității de remunerare între bărbați și femei prin transparență.</w:t>
            </w:r>
          </w:p>
        </w:tc>
        <w:tc>
          <w:tcPr>
            <w:tcW w:w="240" w:type="dxa"/>
            <w:tcBorders>
              <w:top w:val="nil"/>
              <w:left w:val="nil"/>
              <w:bottom w:val="nil"/>
              <w:right w:val="nil"/>
            </w:tcBorders>
            <w:tcMar>
              <w:top w:w="0" w:type="dxa"/>
              <w:left w:w="100" w:type="dxa"/>
              <w:bottom w:w="0" w:type="dxa"/>
              <w:right w:w="100" w:type="dxa"/>
            </w:tcMar>
          </w:tcPr>
          <w:p w14:paraId="790E4023"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0FF49404"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455B311"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3</w:t>
            </w:r>
            <w:r>
              <w:rPr>
                <w:rFonts w:ascii="Times New Roman" w:eastAsia="Times New Roman" w:hAnsi="Times New Roman" w:cs="Times New Roman"/>
                <w:b/>
                <w:bCs/>
                <w:sz w:val="22"/>
                <w:szCs w:val="22"/>
                <w:highlight w:val="white"/>
                <w:vertAlign w:val="superscript"/>
              </w:rPr>
              <w:t>4</w:t>
            </w:r>
            <w:r>
              <w:rPr>
                <w:rFonts w:ascii="Times New Roman" w:eastAsia="Times New Roman" w:hAnsi="Times New Roman" w:cs="Times New Roman"/>
                <w:b/>
                <w:bCs/>
                <w:sz w:val="22"/>
                <w:szCs w:val="22"/>
                <w:highlight w:val="white"/>
              </w:rPr>
              <w:t>.</w:t>
            </w:r>
            <w:r>
              <w:rPr>
                <w:rFonts w:ascii="Times New Roman" w:eastAsia="Times New Roman" w:hAnsi="Times New Roman" w:cs="Times New Roman"/>
                <w:sz w:val="22"/>
                <w:szCs w:val="22"/>
                <w:highlight w:val="white"/>
              </w:rPr>
              <w:t> Sistemul de evaluare și clasificare a funcțiilor pentru stabilirea nivelurilor de salarizare</w:t>
            </w:r>
          </w:p>
          <w:p w14:paraId="16C394A8"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Angajatorul, indiferent de ce sistem de salarizare aplică, trebuie să utilizeze în cadrul unității un sistem de evaluare și clasificare a funcțiilor pentru stabilirea nivelurilor de salarizare.</w:t>
            </w:r>
          </w:p>
          <w:p w14:paraId="682A9FB6"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Sistemul de evaluare și clasificare a funcțiilor pentru stabilirea nivelurilor de salarizare reprezintă totalitatea normativelor care determină, la nivel de unitate, stabilirea salariului pentru muncă egală sau muncă de valoare egală.</w:t>
            </w:r>
          </w:p>
          <w:p w14:paraId="463DE92D"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502737F1"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 xml:space="preserve">2. </w:t>
            </w:r>
            <w:r>
              <w:rPr>
                <w:rFonts w:ascii="Times New Roman" w:eastAsia="Times New Roman" w:hAnsi="Times New Roman" w:cs="Times New Roman"/>
                <w:sz w:val="22"/>
                <w:szCs w:val="22"/>
                <w:highlight w:val="white"/>
              </w:rPr>
              <w:t>La articolul 3</w:t>
            </w:r>
            <w:r>
              <w:rPr>
                <w:rFonts w:ascii="Times New Roman" w:eastAsia="Times New Roman" w:hAnsi="Times New Roman" w:cs="Times New Roman"/>
                <w:sz w:val="22"/>
                <w:szCs w:val="22"/>
                <w:highlight w:val="white"/>
                <w:vertAlign w:val="superscript"/>
              </w:rPr>
              <w:t>4</w:t>
            </w:r>
            <w:r>
              <w:rPr>
                <w:rFonts w:ascii="Times New Roman" w:eastAsia="Times New Roman" w:hAnsi="Times New Roman" w:cs="Times New Roman"/>
                <w:sz w:val="22"/>
                <w:szCs w:val="22"/>
                <w:highlight w:val="white"/>
              </w:rPr>
              <w:t>: </w:t>
            </w:r>
          </w:p>
          <w:p w14:paraId="0B99F52A"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alineat (1) se completează cu următorul text:</w:t>
            </w:r>
          </w:p>
          <w:p w14:paraId="2C5F1337"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”Sistemul de salarizare aplicat de angajator trebuie să permită evaluarea faptului dacă salariații se află într-o situație comparabilă în ceea ce privește valoarea muncii prestate.”</w:t>
            </w:r>
          </w:p>
          <w:p w14:paraId="5670FF58"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vertAlign w:val="superscript"/>
              </w:rPr>
              <w:t> </w:t>
            </w:r>
            <w:r>
              <w:rPr>
                <w:rFonts w:ascii="Times New Roman" w:eastAsia="Times New Roman" w:hAnsi="Times New Roman" w:cs="Times New Roman"/>
                <w:sz w:val="22"/>
                <w:szCs w:val="22"/>
                <w:highlight w:val="white"/>
              </w:rPr>
              <w:t>alineatul (2) se completează cu următorul text:</w:t>
            </w:r>
          </w:p>
          <w:p w14:paraId="4800AF0E"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”Salariații care prestează aceeași muncă sau o muncă de valoare egală sunt încadrați în aceeași categorie.”</w:t>
            </w:r>
          </w:p>
          <w:p w14:paraId="5D488EFD"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la alineatul (6) textul „diferența de gen de salarizare” se substituie cu textul „diferența de remunerare între femei și bărbați;</w:t>
            </w:r>
          </w:p>
          <w:p w14:paraId="43A2771F" w14:textId="77777777" w:rsidR="00895F78" w:rsidRDefault="00895F78">
            <w:pPr>
              <w:spacing w:after="0" w:line="240" w:lineRule="auto"/>
              <w:ind w:firstLine="700"/>
              <w:jc w:val="both"/>
              <w:rPr>
                <w:rFonts w:ascii="Times New Roman" w:eastAsia="Times New Roman" w:hAnsi="Times New Roman" w:cs="Times New Roman"/>
                <w:sz w:val="22"/>
                <w:szCs w:val="22"/>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4AC0B9BA"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3</w:t>
            </w:r>
            <w:r>
              <w:rPr>
                <w:rFonts w:ascii="Times New Roman" w:eastAsia="Times New Roman" w:hAnsi="Times New Roman" w:cs="Times New Roman"/>
                <w:b/>
                <w:bCs/>
                <w:sz w:val="22"/>
                <w:szCs w:val="22"/>
                <w:highlight w:val="white"/>
                <w:vertAlign w:val="superscript"/>
              </w:rPr>
              <w:t>4</w:t>
            </w:r>
            <w:r>
              <w:rPr>
                <w:rFonts w:ascii="Times New Roman" w:eastAsia="Times New Roman" w:hAnsi="Times New Roman" w:cs="Times New Roman"/>
                <w:b/>
                <w:bCs/>
                <w:sz w:val="22"/>
                <w:szCs w:val="22"/>
                <w:highlight w:val="white"/>
              </w:rPr>
              <w:t>.</w:t>
            </w:r>
            <w:r>
              <w:rPr>
                <w:rFonts w:ascii="Times New Roman" w:eastAsia="Times New Roman" w:hAnsi="Times New Roman" w:cs="Times New Roman"/>
                <w:sz w:val="22"/>
                <w:szCs w:val="22"/>
                <w:highlight w:val="white"/>
              </w:rPr>
              <w:t> Sistemul de evaluare și clasificare a funcțiilor pentru stabilirea nivelurilor de salarizare</w:t>
            </w:r>
          </w:p>
          <w:p w14:paraId="5EA1E9C3"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xml:space="preserve">(1) Angajatorul, indiferent de ce sistem de salarizare aplică, trebuie să utilizeze în cadrul unității un sistem de evaluare și clasificare a funcțiilor pentru stabilirea nivelurilor de salarizare. </w:t>
            </w:r>
            <w:r>
              <w:rPr>
                <w:rFonts w:ascii="Times New Roman" w:eastAsia="Times New Roman" w:hAnsi="Times New Roman" w:cs="Times New Roman"/>
                <w:b/>
                <w:bCs/>
                <w:sz w:val="22"/>
                <w:szCs w:val="22"/>
                <w:highlight w:val="white"/>
              </w:rPr>
              <w:t>Sistemul de salarizare aplicat de angajator trebuie să permită evaluarea faptului dacă salariații se află într-o situație comparabilă în ceea ce privește valoarea muncii prestate.</w:t>
            </w:r>
          </w:p>
          <w:p w14:paraId="0491CBD7"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xml:space="preserve">(2) Sistemul de evaluare și clasificare a funcțiilor pentru stabilirea nivelurilor de salarizare reprezintă totalitatea normativelor care determină, la nivel de unitate, stabilirea salariului pentru muncă egală sau muncă de valoare egală. </w:t>
            </w:r>
            <w:r>
              <w:rPr>
                <w:rFonts w:ascii="Times New Roman" w:eastAsia="Times New Roman" w:hAnsi="Times New Roman" w:cs="Times New Roman"/>
                <w:b/>
                <w:bCs/>
                <w:sz w:val="22"/>
                <w:szCs w:val="22"/>
                <w:highlight w:val="white"/>
              </w:rPr>
              <w:t>Salariații care prestează aceeași muncă sau o muncă de valoare egală sunt încadrați în aceeași categorie.</w:t>
            </w:r>
          </w:p>
          <w:p w14:paraId="68459D18"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51A87F14"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xml:space="preserve">(6) Inspectoratul de Stat al Muncii și Consiliul pentru egalitate au dreptul de a solicita angajatorului clarificări și detalii suplimentare cu privire la </w:t>
            </w:r>
            <w:r>
              <w:rPr>
                <w:rFonts w:ascii="Times New Roman" w:eastAsia="Times New Roman" w:hAnsi="Times New Roman" w:cs="Times New Roman"/>
                <w:b/>
                <w:bCs/>
                <w:sz w:val="22"/>
                <w:szCs w:val="22"/>
                <w:highlight w:val="white"/>
              </w:rPr>
              <w:t>diferența de remunerare între femei și bărbați,</w:t>
            </w:r>
            <w:r>
              <w:rPr>
                <w:rFonts w:ascii="Times New Roman" w:eastAsia="Times New Roman" w:hAnsi="Times New Roman" w:cs="Times New Roman"/>
                <w:sz w:val="22"/>
                <w:szCs w:val="22"/>
                <w:highlight w:val="white"/>
              </w:rPr>
              <w:t xml:space="preserve"> inclusiv explicații privind orice diferențe de salarizare între femei și bărbați care nu sunt justificate de factori obiectivi.</w:t>
            </w:r>
          </w:p>
        </w:tc>
        <w:tc>
          <w:tcPr>
            <w:tcW w:w="240" w:type="dxa"/>
            <w:tcBorders>
              <w:top w:val="nil"/>
              <w:left w:val="nil"/>
              <w:bottom w:val="nil"/>
              <w:right w:val="nil"/>
            </w:tcBorders>
            <w:tcMar>
              <w:top w:w="0" w:type="dxa"/>
              <w:left w:w="100" w:type="dxa"/>
              <w:bottom w:w="0" w:type="dxa"/>
              <w:right w:w="100" w:type="dxa"/>
            </w:tcMar>
          </w:tcPr>
          <w:p w14:paraId="4820088B"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460BA4FE" w14:textId="77777777">
        <w:trPr>
          <w:trHeight w:val="315"/>
        </w:trPr>
        <w:tc>
          <w:tcPr>
            <w:tcW w:w="13725" w:type="dxa"/>
            <w:gridSpan w:val="3"/>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4DF16ED" w14:textId="77777777" w:rsidR="00895F78" w:rsidRDefault="00000000">
            <w:pPr>
              <w:spacing w:after="0" w:line="240" w:lineRule="auto"/>
              <w:ind w:firstLine="70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Art. V. – Codul contravențional al Republicii Moldova nr. 218/2008</w:t>
            </w:r>
            <w:r>
              <w:rPr>
                <w:rFonts w:ascii="Times New Roman" w:eastAsia="Times New Roman" w:hAnsi="Times New Roman" w:cs="Times New Roman"/>
                <w:sz w:val="22"/>
                <w:szCs w:val="22"/>
                <w:highlight w:val="white"/>
              </w:rPr>
              <w:t xml:space="preserve"> (republicat în Monitorul Oficial al Republicii Moldova, 2017, nr. 78–84, art. 100), cu modificările ulterioare, se modifică după cum urmează:</w:t>
            </w:r>
          </w:p>
        </w:tc>
        <w:tc>
          <w:tcPr>
            <w:tcW w:w="240" w:type="dxa"/>
            <w:tcBorders>
              <w:top w:val="nil"/>
              <w:left w:val="nil"/>
              <w:bottom w:val="nil"/>
              <w:right w:val="nil"/>
            </w:tcBorders>
            <w:tcMar>
              <w:top w:w="0" w:type="dxa"/>
              <w:left w:w="100" w:type="dxa"/>
              <w:bottom w:w="0" w:type="dxa"/>
              <w:right w:w="100" w:type="dxa"/>
            </w:tcMar>
          </w:tcPr>
          <w:p w14:paraId="6D7F41C9"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04266CC5" w14:textId="77777777">
        <w:trPr>
          <w:trHeight w:val="2145"/>
        </w:trPr>
        <w:tc>
          <w:tcPr>
            <w:tcW w:w="4545" w:type="dxa"/>
            <w:tcBorders>
              <w:top w:val="nil"/>
              <w:left w:val="single" w:sz="8" w:space="0" w:color="000000"/>
              <w:bottom w:val="single" w:sz="4" w:space="0" w:color="000000"/>
              <w:right w:val="single" w:sz="8" w:space="0" w:color="000000"/>
            </w:tcBorders>
            <w:tcMar>
              <w:top w:w="0" w:type="dxa"/>
              <w:left w:w="100" w:type="dxa"/>
              <w:bottom w:w="0" w:type="dxa"/>
              <w:right w:w="100" w:type="dxa"/>
            </w:tcMar>
          </w:tcPr>
          <w:p w14:paraId="47C5908B"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54</w:t>
            </w:r>
            <w:r>
              <w:rPr>
                <w:rFonts w:ascii="Times New Roman" w:eastAsia="Times New Roman" w:hAnsi="Times New Roman" w:cs="Times New Roman"/>
                <w:b/>
                <w:bCs/>
                <w:sz w:val="22"/>
                <w:szCs w:val="22"/>
                <w:highlight w:val="white"/>
                <w:vertAlign w:val="superscript"/>
              </w:rPr>
              <w:t>2</w:t>
            </w:r>
            <w:r>
              <w:rPr>
                <w:rFonts w:ascii="Times New Roman" w:eastAsia="Times New Roman" w:hAnsi="Times New Roman" w:cs="Times New Roman"/>
                <w:b/>
                <w:bCs/>
                <w:sz w:val="22"/>
                <w:szCs w:val="22"/>
                <w:highlight w:val="white"/>
              </w:rPr>
              <w:t>.</w:t>
            </w:r>
            <w:r>
              <w:rPr>
                <w:rFonts w:ascii="Times New Roman" w:eastAsia="Times New Roman" w:hAnsi="Times New Roman" w:cs="Times New Roman"/>
                <w:sz w:val="22"/>
                <w:szCs w:val="22"/>
                <w:highlight w:val="white"/>
              </w:rPr>
              <w:t> Încălcarea egalităţii în domeniul muncii</w:t>
            </w:r>
          </w:p>
          <w:p w14:paraId="01471066"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Orice deosebire, excludere, restricţie sau preferinţă, bazată pe criteriu de rasă, naţionalitate, origine etnică, limbă, religie sau convingeri, sex, vârstă, orientare sexuală, dizabilitate, opinie, apartenenţă politică sau pe orice alt criteriu, care are ca efect limitarea sau subminarea egalităţii de şanse sau de tratament la angajare sau la concediere, în activitatea nemijlocită şi în formarea profesională, săvârșită prin:</w:t>
            </w:r>
          </w:p>
          <w:p w14:paraId="1E4CBBC0"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00CB6C0D"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d) remunerarea diferenţiată pentru acelaşi tip şi/sau volum de muncă;</w:t>
            </w:r>
          </w:p>
          <w:p w14:paraId="16FCEFA7" w14:textId="77777777" w:rsidR="00895F78" w:rsidRDefault="00895F78">
            <w:pPr>
              <w:spacing w:after="0" w:line="240" w:lineRule="auto"/>
              <w:ind w:firstLine="700"/>
              <w:jc w:val="both"/>
              <w:rPr>
                <w:rFonts w:ascii="Times New Roman" w:eastAsia="Times New Roman" w:hAnsi="Times New Roman" w:cs="Times New Roman"/>
                <w:sz w:val="22"/>
                <w:szCs w:val="22"/>
                <w:highlight w:val="white"/>
              </w:rPr>
            </w:pPr>
          </w:p>
        </w:tc>
        <w:tc>
          <w:tcPr>
            <w:tcW w:w="4665" w:type="dxa"/>
            <w:tcBorders>
              <w:top w:val="nil"/>
              <w:left w:val="nil"/>
              <w:bottom w:val="single" w:sz="4" w:space="0" w:color="000000"/>
              <w:right w:val="single" w:sz="8" w:space="0" w:color="000000"/>
            </w:tcBorders>
            <w:tcMar>
              <w:top w:w="0" w:type="dxa"/>
              <w:left w:w="100" w:type="dxa"/>
              <w:bottom w:w="0" w:type="dxa"/>
              <w:right w:w="100" w:type="dxa"/>
            </w:tcMar>
          </w:tcPr>
          <w:p w14:paraId="008288FE"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Articolul 54</w:t>
            </w:r>
            <w:r>
              <w:rPr>
                <w:rFonts w:ascii="Times New Roman" w:eastAsia="Times New Roman" w:hAnsi="Times New Roman" w:cs="Times New Roman"/>
                <w:sz w:val="22"/>
                <w:szCs w:val="22"/>
                <w:highlight w:val="white"/>
                <w:vertAlign w:val="superscript"/>
              </w:rPr>
              <w:t>2</w:t>
            </w:r>
            <w:r>
              <w:rPr>
                <w:rFonts w:ascii="Times New Roman" w:eastAsia="Times New Roman" w:hAnsi="Times New Roman" w:cs="Times New Roman"/>
                <w:sz w:val="22"/>
                <w:szCs w:val="22"/>
                <w:highlight w:val="white"/>
              </w:rPr>
              <w:t xml:space="preserve"> alineat (1), lit. d) va avea următorul cuprins::</w:t>
            </w:r>
          </w:p>
          <w:p w14:paraId="2ACE18CB" w14:textId="77777777" w:rsidR="00895F78" w:rsidRDefault="00000000">
            <w:pPr>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”d) remunerarea inegală pentru muncă egală sau muncă de valoare egală;”</w:t>
            </w:r>
          </w:p>
          <w:p w14:paraId="3F99F725" w14:textId="77777777" w:rsidR="00895F78" w:rsidRDefault="00895F78">
            <w:pPr>
              <w:shd w:val="clear" w:color="auto" w:fill="FFFFFF"/>
              <w:spacing w:after="0" w:line="276" w:lineRule="auto"/>
              <w:ind w:firstLine="700"/>
              <w:jc w:val="both"/>
              <w:rPr>
                <w:rFonts w:ascii="Times New Roman" w:eastAsia="Times New Roman" w:hAnsi="Times New Roman" w:cs="Times New Roman"/>
                <w:sz w:val="22"/>
                <w:szCs w:val="22"/>
                <w:highlight w:val="white"/>
              </w:rPr>
            </w:pPr>
          </w:p>
        </w:tc>
        <w:tc>
          <w:tcPr>
            <w:tcW w:w="4515" w:type="dxa"/>
            <w:tcBorders>
              <w:top w:val="nil"/>
              <w:left w:val="nil"/>
              <w:bottom w:val="single" w:sz="4" w:space="0" w:color="000000"/>
              <w:right w:val="single" w:sz="8" w:space="0" w:color="000000"/>
            </w:tcBorders>
            <w:tcMar>
              <w:top w:w="0" w:type="dxa"/>
              <w:left w:w="100" w:type="dxa"/>
              <w:bottom w:w="0" w:type="dxa"/>
              <w:right w:w="100" w:type="dxa"/>
            </w:tcMar>
          </w:tcPr>
          <w:p w14:paraId="10AB0BCA"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54</w:t>
            </w:r>
            <w:r>
              <w:rPr>
                <w:rFonts w:ascii="Times New Roman" w:eastAsia="Times New Roman" w:hAnsi="Times New Roman" w:cs="Times New Roman"/>
                <w:b/>
                <w:bCs/>
                <w:sz w:val="22"/>
                <w:szCs w:val="22"/>
                <w:highlight w:val="white"/>
                <w:vertAlign w:val="superscript"/>
              </w:rPr>
              <w:t>2</w:t>
            </w:r>
            <w:r>
              <w:rPr>
                <w:rFonts w:ascii="Times New Roman" w:eastAsia="Times New Roman" w:hAnsi="Times New Roman" w:cs="Times New Roman"/>
                <w:b/>
                <w:bCs/>
                <w:sz w:val="22"/>
                <w:szCs w:val="22"/>
                <w:highlight w:val="white"/>
              </w:rPr>
              <w:t>.</w:t>
            </w:r>
            <w:r>
              <w:rPr>
                <w:rFonts w:ascii="Times New Roman" w:eastAsia="Times New Roman" w:hAnsi="Times New Roman" w:cs="Times New Roman"/>
                <w:sz w:val="22"/>
                <w:szCs w:val="22"/>
                <w:highlight w:val="white"/>
              </w:rPr>
              <w:t> Încălcarea egalităţii în domeniul muncii</w:t>
            </w:r>
          </w:p>
          <w:p w14:paraId="0CF00F2A"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Orice deosebire, excludere, restricţie sau preferinţă, bazată pe criteriu de rasă, naţionalitate, origine etnică, limbă, religie sau convingeri, sex, vârstă, orientare sexuală, dizabilitate, opinie, apartenenţă politică sau pe orice alt criteriu, care are ca efect limitarea sau subminarea egalităţii de şanse sau de tratament la angajare sau la concediere, în activitatea nemijlocită şi în formarea profesională, săvârșită prin:</w:t>
            </w:r>
          </w:p>
          <w:p w14:paraId="70827C5F"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58EA389A" w14:textId="77777777" w:rsidR="00895F78" w:rsidRDefault="00000000">
            <w:pPr>
              <w:shd w:val="clear" w:color="auto" w:fill="FFFFFF"/>
              <w:spacing w:after="0" w:line="276" w:lineRule="auto"/>
              <w:ind w:firstLine="70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d) remunerarea inegală pentru muncă egală sau muncă de valoare egală;</w:t>
            </w:r>
          </w:p>
          <w:p w14:paraId="2C8A61F5"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53DCD110" w14:textId="77777777" w:rsidR="00895F78" w:rsidRDefault="00895F78">
            <w:pPr>
              <w:shd w:val="clear" w:color="auto" w:fill="FFFFFF"/>
              <w:spacing w:after="0" w:line="276" w:lineRule="auto"/>
              <w:ind w:firstLine="700"/>
              <w:jc w:val="both"/>
              <w:rPr>
                <w:rFonts w:ascii="Times New Roman" w:eastAsia="Times New Roman" w:hAnsi="Times New Roman" w:cs="Times New Roman"/>
                <w:sz w:val="22"/>
                <w:szCs w:val="22"/>
                <w:highlight w:val="white"/>
              </w:rPr>
            </w:pPr>
          </w:p>
        </w:tc>
        <w:tc>
          <w:tcPr>
            <w:tcW w:w="240" w:type="dxa"/>
            <w:tcBorders>
              <w:top w:val="nil"/>
              <w:left w:val="nil"/>
              <w:bottom w:val="single" w:sz="4" w:space="0" w:color="000000"/>
              <w:right w:val="nil"/>
            </w:tcBorders>
            <w:tcMar>
              <w:top w:w="0" w:type="dxa"/>
              <w:left w:w="100" w:type="dxa"/>
              <w:bottom w:w="0" w:type="dxa"/>
              <w:right w:w="100" w:type="dxa"/>
            </w:tcMar>
          </w:tcPr>
          <w:p w14:paraId="594D4394"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321F8EAD" w14:textId="77777777">
        <w:trPr>
          <w:trHeight w:val="5155"/>
        </w:trPr>
        <w:tc>
          <w:tcPr>
            <w:tcW w:w="4545" w:type="dxa"/>
            <w:tcBorders>
              <w:top w:val="single" w:sz="4" w:space="0" w:color="000000"/>
              <w:left w:val="single" w:sz="8" w:space="0" w:color="000000"/>
              <w:bottom w:val="single" w:sz="4" w:space="0" w:color="000000"/>
              <w:right w:val="single" w:sz="8" w:space="0" w:color="000000"/>
            </w:tcBorders>
            <w:tcMar>
              <w:top w:w="0" w:type="dxa"/>
              <w:left w:w="100" w:type="dxa"/>
              <w:bottom w:w="0" w:type="dxa"/>
              <w:right w:w="100" w:type="dxa"/>
            </w:tcMar>
          </w:tcPr>
          <w:p w14:paraId="5127798A"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Articolul 55. Încălcarea legislaţiei muncii</w:t>
            </w:r>
          </w:p>
          <w:p w14:paraId="726E70E8"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Încălcarea legislaţiei muncii, manifestată prin:</w:t>
            </w:r>
          </w:p>
          <w:p w14:paraId="11EE62F4"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0156E90F" w14:textId="77777777" w:rsidR="00895F78" w:rsidRDefault="00895F78">
            <w:pPr>
              <w:shd w:val="clear" w:color="auto" w:fill="FFFFFF"/>
              <w:spacing w:after="0" w:line="276" w:lineRule="auto"/>
              <w:ind w:firstLine="700"/>
              <w:jc w:val="both"/>
              <w:rPr>
                <w:rFonts w:ascii="Times New Roman" w:eastAsia="Times New Roman" w:hAnsi="Times New Roman" w:cs="Times New Roman"/>
                <w:b/>
                <w:bCs/>
                <w:sz w:val="22"/>
                <w:szCs w:val="22"/>
                <w:highlight w:val="white"/>
              </w:rPr>
            </w:pPr>
          </w:p>
        </w:tc>
        <w:tc>
          <w:tcPr>
            <w:tcW w:w="4665" w:type="dxa"/>
            <w:tcBorders>
              <w:top w:val="single" w:sz="4" w:space="0" w:color="000000"/>
              <w:left w:val="nil"/>
              <w:bottom w:val="single" w:sz="4" w:space="0" w:color="000000"/>
              <w:right w:val="single" w:sz="8" w:space="0" w:color="000000"/>
            </w:tcBorders>
            <w:tcMar>
              <w:top w:w="0" w:type="dxa"/>
              <w:left w:w="100" w:type="dxa"/>
              <w:bottom w:w="0" w:type="dxa"/>
              <w:right w:w="100" w:type="dxa"/>
            </w:tcMar>
          </w:tcPr>
          <w:p w14:paraId="7E37A3AF" w14:textId="77777777" w:rsidR="00895F78" w:rsidRDefault="00000000">
            <w:pPr>
              <w:spacing w:after="0" w:line="240" w:lineRule="auto"/>
              <w:ind w:firstLine="566"/>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3. Articolul 55 alineatul (1) se completează cu litera k), cu următorul cuprins:</w:t>
            </w:r>
          </w:p>
          <w:p w14:paraId="378F7C78" w14:textId="77777777" w:rsidR="00895F78" w:rsidRDefault="00000000">
            <w:pPr>
              <w:spacing w:after="0" w:line="240" w:lineRule="auto"/>
              <w:ind w:firstLine="566"/>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”k) nerespectarea de către angajator a obligației de a furniza salariaților, reprezentanților salariaților și Inspectoratului de Stat al Muncii informațiile privind remunerația salariaților, prevăzute de Codul Muncii Republicii Moldova nr. 154/2003, necesare pentru asigurarea respectării principiului egalității de remunerare pentru aceeași muncă sau pentru o muncă de aceeași valoare.”</w:t>
            </w:r>
          </w:p>
          <w:p w14:paraId="16A6CB68" w14:textId="77777777" w:rsidR="00895F78" w:rsidRDefault="00895F78">
            <w:pPr>
              <w:spacing w:after="0" w:line="240" w:lineRule="auto"/>
              <w:ind w:firstLine="700"/>
              <w:jc w:val="both"/>
              <w:rPr>
                <w:rFonts w:ascii="Times New Roman" w:eastAsia="Times New Roman" w:hAnsi="Times New Roman" w:cs="Times New Roman"/>
                <w:sz w:val="22"/>
                <w:szCs w:val="22"/>
                <w:highlight w:val="white"/>
              </w:rPr>
            </w:pPr>
          </w:p>
        </w:tc>
        <w:tc>
          <w:tcPr>
            <w:tcW w:w="4515" w:type="dxa"/>
            <w:tcBorders>
              <w:top w:val="single" w:sz="4" w:space="0" w:color="000000"/>
              <w:left w:val="nil"/>
              <w:bottom w:val="single" w:sz="4" w:space="0" w:color="000000"/>
              <w:right w:val="single" w:sz="8" w:space="0" w:color="000000"/>
            </w:tcBorders>
            <w:tcMar>
              <w:top w:w="0" w:type="dxa"/>
              <w:left w:w="100" w:type="dxa"/>
              <w:bottom w:w="0" w:type="dxa"/>
              <w:right w:w="100" w:type="dxa"/>
            </w:tcMar>
          </w:tcPr>
          <w:p w14:paraId="17D61705"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Articolul 55. Încălcarea legislaţiei muncii</w:t>
            </w:r>
          </w:p>
          <w:p w14:paraId="0B3DE42D"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Încălcarea legislaţiei muncii, manifestată prin:</w:t>
            </w:r>
          </w:p>
          <w:p w14:paraId="60673F27" w14:textId="77777777" w:rsidR="00895F78" w:rsidRDefault="00000000">
            <w:pPr>
              <w:shd w:val="clear" w:color="auto" w:fill="FFFFFF"/>
              <w:spacing w:after="0" w:line="276"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73EEACD5" w14:textId="77777777" w:rsidR="00895F78" w:rsidRDefault="00000000">
            <w:pPr>
              <w:shd w:val="clear" w:color="auto" w:fill="FFFFFF"/>
              <w:spacing w:after="0" w:line="276" w:lineRule="auto"/>
              <w:ind w:firstLine="70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k) nerespectarea de către angajator a obligației de a furniza salariaților, reprezentanților salariaților și Inspectoratului de Stat al Muncii informațiile privind remunerația salariaților, prevăzute de Codul Muncii Republicii Moldova nr. 154/2003, necesare pentru asigurarea respectării principiului egalității de remunerare pentru aceeași muncă sau pentru o muncă de aceeași valoare.</w:t>
            </w:r>
          </w:p>
        </w:tc>
        <w:tc>
          <w:tcPr>
            <w:tcW w:w="240" w:type="dxa"/>
            <w:tcBorders>
              <w:top w:val="single" w:sz="4" w:space="0" w:color="000000"/>
              <w:left w:val="nil"/>
              <w:bottom w:val="nil"/>
              <w:right w:val="nil"/>
            </w:tcBorders>
            <w:tcMar>
              <w:top w:w="0" w:type="dxa"/>
              <w:left w:w="100" w:type="dxa"/>
              <w:bottom w:w="0" w:type="dxa"/>
              <w:right w:w="100" w:type="dxa"/>
            </w:tcMar>
          </w:tcPr>
          <w:p w14:paraId="26695646"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1F0C7C2E" w14:textId="77777777">
        <w:trPr>
          <w:trHeight w:val="315"/>
        </w:trPr>
        <w:tc>
          <w:tcPr>
            <w:tcW w:w="13725" w:type="dxa"/>
            <w:gridSpan w:val="3"/>
            <w:tcBorders>
              <w:top w:val="single" w:sz="4"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FB1551E" w14:textId="77777777" w:rsidR="00895F78" w:rsidRDefault="00000000">
            <w:pPr>
              <w:spacing w:after="0" w:line="240" w:lineRule="auto"/>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 xml:space="preserve">Articolul VI. Legea nr. 140/2001 privind Inspectoratul de Stat al Muncii </w:t>
            </w:r>
            <w:r>
              <w:rPr>
                <w:rFonts w:ascii="Times New Roman" w:eastAsia="Times New Roman" w:hAnsi="Times New Roman" w:cs="Times New Roman"/>
                <w:sz w:val="22"/>
                <w:szCs w:val="22"/>
                <w:highlight w:val="white"/>
              </w:rPr>
              <w:t>(Monitorul Oficial al Republicii Moldova, 2001, nr. 68-71, art. 505), cu modificările ulterioare, se modifică după cum urmează:</w:t>
            </w:r>
          </w:p>
        </w:tc>
        <w:tc>
          <w:tcPr>
            <w:tcW w:w="240" w:type="dxa"/>
            <w:tcBorders>
              <w:top w:val="nil"/>
              <w:left w:val="nil"/>
              <w:bottom w:val="nil"/>
              <w:right w:val="nil"/>
            </w:tcBorders>
            <w:tcMar>
              <w:top w:w="0" w:type="dxa"/>
              <w:left w:w="100" w:type="dxa"/>
              <w:bottom w:w="0" w:type="dxa"/>
              <w:right w:w="100" w:type="dxa"/>
            </w:tcMar>
          </w:tcPr>
          <w:p w14:paraId="511B4AAC"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5EDEC897"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D04C66E" w14:textId="77777777" w:rsidR="00895F78" w:rsidRDefault="00000000">
            <w:pPr>
              <w:spacing w:after="0" w:line="240" w:lineRule="auto"/>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Parlamentul adoptă prezentul cod.</w:t>
            </w:r>
          </w:p>
          <w:p w14:paraId="7B3D3C01" w14:textId="77777777" w:rsidR="00895F78" w:rsidRDefault="00895F78">
            <w:pPr>
              <w:spacing w:after="0" w:line="240" w:lineRule="auto"/>
              <w:rPr>
                <w:rFonts w:ascii="Times New Roman" w:eastAsia="Times New Roman" w:hAnsi="Times New Roman" w:cs="Times New Roman"/>
                <w:sz w:val="22"/>
                <w:szCs w:val="22"/>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7733EE97"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Se completează cu clauza de armonizare cu următorul cuprins:</w:t>
            </w:r>
          </w:p>
          <w:p w14:paraId="1E551D5B" w14:textId="77777777" w:rsidR="00895F78" w:rsidRDefault="00000000">
            <w:pPr>
              <w:shd w:val="clear" w:color="auto" w:fill="FFFFFF"/>
              <w:spacing w:after="0" w:line="240" w:lineRule="auto"/>
              <w:ind w:firstLine="705"/>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„Prezenta lege creează cadrul necesar aplicării Directivei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(Text cu relevanță pentru SEE), CELEX: 32023L0970, publicată în Jurnalul Oficial al Uniunii Europene L 132 din 17 mai 2023 și se aliniază la Recomandarea Comisiei din 7 martie 2014 referitoare la consolidarea principiului egalității de remunerare între bărbați și femei prin transparență.’’</w:t>
            </w:r>
          </w:p>
          <w:p w14:paraId="4253E155" w14:textId="77777777" w:rsidR="00895F78" w:rsidRDefault="00895F78">
            <w:pPr>
              <w:shd w:val="clear" w:color="auto" w:fill="FFFFFF"/>
              <w:spacing w:after="0" w:line="240" w:lineRule="auto"/>
              <w:jc w:val="both"/>
              <w:rPr>
                <w:rFonts w:ascii="Times New Roman" w:eastAsia="Times New Roman" w:hAnsi="Times New Roman" w:cs="Times New Roman"/>
                <w:sz w:val="22"/>
                <w:szCs w:val="22"/>
                <w:highlight w:val="white"/>
              </w:rPr>
            </w:pPr>
          </w:p>
          <w:p w14:paraId="26F85957" w14:textId="77777777" w:rsidR="00895F78" w:rsidRDefault="00895F78">
            <w:pPr>
              <w:shd w:val="clear" w:color="auto" w:fill="FFFFFF"/>
              <w:spacing w:after="0" w:line="240" w:lineRule="auto"/>
              <w:jc w:val="both"/>
              <w:rPr>
                <w:rFonts w:ascii="Times New Roman" w:eastAsia="Times New Roman" w:hAnsi="Times New Roman" w:cs="Times New Roman"/>
                <w:b/>
                <w:bCs/>
                <w:sz w:val="22"/>
                <w:szCs w:val="22"/>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208821D2" w14:textId="77777777" w:rsidR="00895F78" w:rsidRDefault="00000000">
            <w:pPr>
              <w:spacing w:after="0" w:line="240" w:lineRule="auto"/>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Parlamentul adoptă prezentul cod.</w:t>
            </w:r>
          </w:p>
          <w:p w14:paraId="21862625" w14:textId="77777777" w:rsidR="00895F78" w:rsidRDefault="00000000">
            <w:pPr>
              <w:shd w:val="clear" w:color="auto" w:fill="FFFFFF"/>
              <w:spacing w:after="0" w:line="240" w:lineRule="auto"/>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Prezenta lege creează cadrul necesar aplicării Directivei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(Text cu relevanță pentru SEE), CELEX: 32023L0970, publicată în Jurnalul Oficial al Uniunii Europene L 132 din 17 mai 2023 și se aliniază la Recomandarea Comisiei din 7 martie 2014 referitoare la consolidarea principiului egalității de remunerare între bărbați și femei prin transparență.</w:t>
            </w:r>
          </w:p>
        </w:tc>
        <w:tc>
          <w:tcPr>
            <w:tcW w:w="240" w:type="dxa"/>
            <w:tcBorders>
              <w:top w:val="nil"/>
              <w:left w:val="nil"/>
              <w:bottom w:val="nil"/>
              <w:right w:val="nil"/>
            </w:tcBorders>
            <w:tcMar>
              <w:top w:w="0" w:type="dxa"/>
              <w:left w:w="100" w:type="dxa"/>
              <w:bottom w:w="0" w:type="dxa"/>
              <w:right w:w="100" w:type="dxa"/>
            </w:tcMar>
          </w:tcPr>
          <w:p w14:paraId="32721D67"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0A6EB2E2" w14:textId="77777777">
        <w:trPr>
          <w:trHeight w:val="315"/>
        </w:trPr>
        <w:tc>
          <w:tcPr>
            <w:tcW w:w="45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3C23055"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4</w:t>
            </w:r>
            <w:r>
              <w:rPr>
                <w:rFonts w:ascii="Times New Roman" w:eastAsia="Times New Roman" w:hAnsi="Times New Roman" w:cs="Times New Roman"/>
                <w:sz w:val="22"/>
                <w:szCs w:val="22"/>
                <w:highlight w:val="white"/>
              </w:rPr>
              <w:t>. Atribuțiile Inspectoratului de Stat al Muncii</w:t>
            </w:r>
          </w:p>
          <w:p w14:paraId="6BC500CC"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7FBC7CBB"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În exercitarea atribuțiilor, Inspectoratul de Stat al Muncii îndeplinește următoarele funcții principale:</w:t>
            </w:r>
          </w:p>
          <w:p w14:paraId="7D09FE0D"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funcția de control și monitorizare, care constă în:</w:t>
            </w:r>
          </w:p>
          <w:p w14:paraId="03643D20"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3789A69A" w14:textId="77777777" w:rsidR="00895F78" w:rsidRDefault="00895F78">
            <w:pPr>
              <w:shd w:val="clear" w:color="auto" w:fill="FFFFFF"/>
              <w:spacing w:after="0" w:line="276" w:lineRule="auto"/>
              <w:ind w:firstLine="680"/>
              <w:jc w:val="both"/>
              <w:rPr>
                <w:rFonts w:ascii="Times New Roman" w:eastAsia="Times New Roman" w:hAnsi="Times New Roman" w:cs="Times New Roman"/>
                <w:sz w:val="22"/>
                <w:szCs w:val="22"/>
                <w:highlight w:val="white"/>
              </w:rPr>
            </w:pPr>
          </w:p>
        </w:tc>
        <w:tc>
          <w:tcPr>
            <w:tcW w:w="4665" w:type="dxa"/>
            <w:tcBorders>
              <w:top w:val="nil"/>
              <w:left w:val="nil"/>
              <w:bottom w:val="single" w:sz="8" w:space="0" w:color="000000"/>
              <w:right w:val="single" w:sz="8" w:space="0" w:color="000000"/>
            </w:tcBorders>
            <w:tcMar>
              <w:top w:w="0" w:type="dxa"/>
              <w:left w:w="100" w:type="dxa"/>
              <w:bottom w:w="0" w:type="dxa"/>
              <w:right w:w="100" w:type="dxa"/>
            </w:tcMar>
          </w:tcPr>
          <w:p w14:paraId="36C941B4" w14:textId="77777777" w:rsidR="00895F78" w:rsidRDefault="00000000">
            <w:pPr>
              <w:shd w:val="clear" w:color="auto" w:fill="FFFFFF"/>
              <w:spacing w:after="0" w:line="240" w:lineRule="auto"/>
              <w:ind w:firstLine="700"/>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Articolul 4 alineatul (2) punctul 1) se completează cu litera e</w:t>
            </w:r>
            <w:r>
              <w:rPr>
                <w:rFonts w:ascii="Times New Roman" w:eastAsia="Times New Roman" w:hAnsi="Times New Roman" w:cs="Times New Roman"/>
                <w:sz w:val="22"/>
                <w:szCs w:val="22"/>
                <w:highlight w:val="white"/>
                <w:vertAlign w:val="superscript"/>
              </w:rPr>
              <w:t xml:space="preserve">1 </w:t>
            </w:r>
            <w:r>
              <w:rPr>
                <w:rFonts w:ascii="Times New Roman" w:eastAsia="Times New Roman" w:hAnsi="Times New Roman" w:cs="Times New Roman"/>
                <w:sz w:val="22"/>
                <w:szCs w:val="22"/>
                <w:highlight w:val="white"/>
              </w:rPr>
              <w:t>cu următorul cuprins:</w:t>
            </w:r>
          </w:p>
          <w:p w14:paraId="61EA7579" w14:textId="77777777" w:rsidR="00895F78" w:rsidRDefault="00000000">
            <w:pPr>
              <w:shd w:val="clear" w:color="auto" w:fill="FFFFFF"/>
              <w:spacing w:after="0" w:line="240" w:lineRule="auto"/>
              <w:ind w:firstLine="70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„e</w:t>
            </w:r>
            <w:r>
              <w:rPr>
                <w:rFonts w:ascii="Times New Roman" w:eastAsia="Times New Roman" w:hAnsi="Times New Roman" w:cs="Times New Roman"/>
                <w:sz w:val="22"/>
                <w:szCs w:val="22"/>
                <w:highlight w:val="white"/>
                <w:vertAlign w:val="superscript"/>
              </w:rPr>
              <w:t>1</w:t>
            </w:r>
            <w:r>
              <w:rPr>
                <w:rFonts w:ascii="Times New Roman" w:eastAsia="Times New Roman" w:hAnsi="Times New Roman" w:cs="Times New Roman"/>
                <w:sz w:val="22"/>
                <w:szCs w:val="22"/>
                <w:highlight w:val="white"/>
              </w:rPr>
              <w:t>) controlul respectării obligațiilor de remunerare egală pentru o muncă egală sau pentru o muncă de valoare egală, prin:</w:t>
            </w:r>
          </w:p>
          <w:p w14:paraId="7AA9900D" w14:textId="77777777" w:rsidR="00895F78" w:rsidRDefault="00000000">
            <w:pPr>
              <w:shd w:val="clear" w:color="auto" w:fill="FFFFFF"/>
              <w:spacing w:after="0" w:line="240" w:lineRule="auto"/>
              <w:ind w:left="720"/>
              <w:jc w:val="both"/>
              <w:rPr>
                <w:rFonts w:ascii="Times New Roman" w:eastAsia="Times New Roman" w:hAnsi="Times New Roman" w:cs="Times New Roman"/>
                <w:i/>
                <w:iCs/>
                <w:sz w:val="22"/>
                <w:szCs w:val="22"/>
                <w:highlight w:val="white"/>
              </w:rPr>
            </w:pPr>
            <w:r>
              <w:rPr>
                <w:rFonts w:ascii="Times New Roman" w:eastAsia="Times New Roman" w:hAnsi="Times New Roman" w:cs="Times New Roman"/>
                <w:sz w:val="22"/>
                <w:szCs w:val="22"/>
                <w:highlight w:val="white"/>
              </w:rPr>
              <w:t>- analizarea cauzelor diferenței de remunerare între salariații de sex feminin și cei de sex masculin și elaborarea unor instrumente care să ajute la evaluarea diferențelor de remunerare;</w:t>
            </w:r>
          </w:p>
          <w:p w14:paraId="56082E8B" w14:textId="77777777" w:rsidR="00895F78" w:rsidRDefault="00000000">
            <w:pPr>
              <w:shd w:val="clear" w:color="auto" w:fill="FFFFFF"/>
              <w:spacing w:after="0" w:line="240" w:lineRule="auto"/>
              <w:ind w:left="720"/>
              <w:jc w:val="both"/>
              <w:rPr>
                <w:rFonts w:ascii="Times New Roman" w:eastAsia="Times New Roman" w:hAnsi="Times New Roman" w:cs="Times New Roman"/>
                <w:i/>
                <w:iCs/>
                <w:sz w:val="22"/>
                <w:szCs w:val="22"/>
                <w:highlight w:val="white"/>
              </w:rPr>
            </w:pPr>
            <w:r>
              <w:rPr>
                <w:rFonts w:ascii="Times New Roman" w:eastAsia="Times New Roman" w:hAnsi="Times New Roman" w:cs="Times New Roman"/>
                <w:i/>
                <w:iCs/>
                <w:sz w:val="22"/>
                <w:szCs w:val="22"/>
                <w:highlight w:val="white"/>
              </w:rPr>
              <w:t xml:space="preserve">- </w:t>
            </w:r>
            <w:r>
              <w:rPr>
                <w:rFonts w:ascii="Times New Roman" w:eastAsia="Times New Roman" w:hAnsi="Times New Roman" w:cs="Times New Roman"/>
                <w:sz w:val="22"/>
                <w:szCs w:val="22"/>
                <w:highlight w:val="white"/>
              </w:rPr>
              <w:t>culegerea datelor privind diferența de remunerare între salariații de sex masculin și cei de sex feminin în temeiul prevederilor Codului Muncii, și publicarea datelor menționate la art. 128², într-un mod accesibil, care permite compararea angajatorilor, compararea după regiuni teritoriale, precum și asigurarea faptului că datele din cei patru ani precedenți sunt puse la dispoziție, după caz;</w:t>
            </w:r>
          </w:p>
          <w:p w14:paraId="12EE7306" w14:textId="77777777" w:rsidR="00895F78" w:rsidRDefault="00000000">
            <w:pPr>
              <w:shd w:val="clear" w:color="auto" w:fill="FFFFFF"/>
              <w:spacing w:after="0" w:line="240" w:lineRule="auto"/>
              <w:ind w:left="720"/>
              <w:jc w:val="both"/>
              <w:rPr>
                <w:rFonts w:ascii="Times New Roman" w:eastAsia="Times New Roman" w:hAnsi="Times New Roman" w:cs="Times New Roman"/>
                <w:i/>
                <w:iCs/>
                <w:sz w:val="22"/>
                <w:szCs w:val="22"/>
                <w:highlight w:val="white"/>
              </w:rPr>
            </w:pPr>
            <w:r>
              <w:rPr>
                <w:rFonts w:ascii="Times New Roman" w:eastAsia="Times New Roman" w:hAnsi="Times New Roman" w:cs="Times New Roman"/>
                <w:sz w:val="22"/>
                <w:szCs w:val="22"/>
                <w:highlight w:val="white"/>
              </w:rPr>
              <w:t>- colectarea rapoartelor evaluării comune a remunerației transmise de angajatori în conformitate cu prevederile Codului Muncii;</w:t>
            </w:r>
          </w:p>
          <w:p w14:paraId="60BF6F91" w14:textId="77777777" w:rsidR="00895F78" w:rsidRDefault="00000000">
            <w:pPr>
              <w:shd w:val="clear" w:color="auto" w:fill="FFFFFF"/>
              <w:spacing w:after="0" w:line="240" w:lineRule="auto"/>
              <w:ind w:left="720"/>
              <w:jc w:val="both"/>
              <w:rPr>
                <w:rFonts w:ascii="Times New Roman" w:eastAsia="Times New Roman" w:hAnsi="Times New Roman" w:cs="Times New Roman"/>
                <w:i/>
                <w:iCs/>
                <w:sz w:val="22"/>
                <w:szCs w:val="22"/>
                <w:highlight w:val="white"/>
              </w:rPr>
            </w:pPr>
            <w:r>
              <w:rPr>
                <w:rFonts w:ascii="Times New Roman" w:eastAsia="Times New Roman" w:hAnsi="Times New Roman" w:cs="Times New Roman"/>
                <w:sz w:val="22"/>
                <w:szCs w:val="22"/>
                <w:highlight w:val="white"/>
              </w:rPr>
              <w:t>- agregarea datelor privind numărul și tipurile de plângeri sau acțiuni referitoare la cazuri de discriminare în materie de remunerare, formulate de salariați în fața Inspectoratului de Stat al Muncii, a Consiliului pentru Egalitate, precum și în fața instanțelor de judecată.”</w:t>
            </w:r>
          </w:p>
          <w:p w14:paraId="2B27E4F8" w14:textId="77777777" w:rsidR="00895F78" w:rsidRDefault="00895F78">
            <w:pPr>
              <w:shd w:val="clear" w:color="auto" w:fill="FFFFFF"/>
              <w:spacing w:after="0" w:line="240" w:lineRule="auto"/>
              <w:ind w:firstLine="700"/>
              <w:jc w:val="both"/>
              <w:rPr>
                <w:rFonts w:ascii="Times New Roman" w:eastAsia="Times New Roman" w:hAnsi="Times New Roman" w:cs="Times New Roman"/>
                <w:b/>
                <w:bCs/>
                <w:sz w:val="22"/>
                <w:szCs w:val="22"/>
                <w:highlight w:val="white"/>
              </w:rPr>
            </w:pPr>
          </w:p>
        </w:tc>
        <w:tc>
          <w:tcPr>
            <w:tcW w:w="4515" w:type="dxa"/>
            <w:tcBorders>
              <w:top w:val="nil"/>
              <w:left w:val="nil"/>
              <w:bottom w:val="single" w:sz="8" w:space="0" w:color="000000"/>
              <w:right w:val="single" w:sz="8" w:space="0" w:color="000000"/>
            </w:tcBorders>
            <w:tcMar>
              <w:top w:w="0" w:type="dxa"/>
              <w:left w:w="100" w:type="dxa"/>
              <w:bottom w:w="0" w:type="dxa"/>
              <w:right w:w="100" w:type="dxa"/>
            </w:tcMar>
          </w:tcPr>
          <w:p w14:paraId="3487C906"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Articolul 4</w:t>
            </w:r>
            <w:r>
              <w:rPr>
                <w:rFonts w:ascii="Times New Roman" w:eastAsia="Times New Roman" w:hAnsi="Times New Roman" w:cs="Times New Roman"/>
                <w:sz w:val="22"/>
                <w:szCs w:val="22"/>
                <w:highlight w:val="white"/>
              </w:rPr>
              <w:t>. Atribuțiile Inspectoratului de Stat al Muncii</w:t>
            </w:r>
          </w:p>
          <w:p w14:paraId="5837B73B"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6C7D3A48"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În exercitarea atribuțiilor, Inspectoratul de Stat al Muncii îndeplinește următoarele funcții principale:</w:t>
            </w:r>
          </w:p>
          <w:p w14:paraId="1B31D2EC"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1) funcția de control și monitorizare, care constă în:</w:t>
            </w:r>
          </w:p>
          <w:p w14:paraId="61755776"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6DA93EC1" w14:textId="77777777" w:rsidR="00895F78" w:rsidRDefault="00000000">
            <w:pPr>
              <w:shd w:val="clear" w:color="auto" w:fill="FFFFFF"/>
              <w:spacing w:after="0" w:line="240" w:lineRule="auto"/>
              <w:ind w:firstLine="700"/>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e</w:t>
            </w:r>
            <w:r>
              <w:rPr>
                <w:rFonts w:ascii="Times New Roman" w:eastAsia="Times New Roman" w:hAnsi="Times New Roman" w:cs="Times New Roman"/>
                <w:b/>
                <w:bCs/>
                <w:sz w:val="22"/>
                <w:szCs w:val="22"/>
                <w:highlight w:val="white"/>
                <w:vertAlign w:val="superscript"/>
              </w:rPr>
              <w:t>1</w:t>
            </w:r>
            <w:r>
              <w:rPr>
                <w:rFonts w:ascii="Times New Roman" w:eastAsia="Times New Roman" w:hAnsi="Times New Roman" w:cs="Times New Roman"/>
                <w:b/>
                <w:bCs/>
                <w:sz w:val="22"/>
                <w:szCs w:val="22"/>
                <w:highlight w:val="white"/>
              </w:rPr>
              <w:t>) controlul respectării obligațiilor de remunerare egală pentru o muncă egală sau pentru o muncă de valoare egală, prin:</w:t>
            </w:r>
          </w:p>
          <w:p w14:paraId="10D959BE" w14:textId="77777777" w:rsidR="00895F78" w:rsidRDefault="00000000">
            <w:pPr>
              <w:shd w:val="clear" w:color="auto" w:fill="FFFFFF"/>
              <w:spacing w:after="0" w:line="240" w:lineRule="auto"/>
              <w:ind w:left="720"/>
              <w:jc w:val="both"/>
              <w:rPr>
                <w:rFonts w:ascii="Times New Roman" w:eastAsia="Times New Roman" w:hAnsi="Times New Roman" w:cs="Times New Roman"/>
                <w:b/>
                <w:bCs/>
                <w:i/>
                <w:iCs/>
                <w:sz w:val="22"/>
                <w:szCs w:val="22"/>
                <w:highlight w:val="white"/>
              </w:rPr>
            </w:pPr>
            <w:r>
              <w:rPr>
                <w:rFonts w:ascii="Times New Roman" w:eastAsia="Times New Roman" w:hAnsi="Times New Roman" w:cs="Times New Roman"/>
                <w:b/>
                <w:bCs/>
                <w:sz w:val="22"/>
                <w:szCs w:val="22"/>
                <w:highlight w:val="white"/>
              </w:rPr>
              <w:t>- analizarea cauzelor diferenței de remunerare între salariații de sex feminin și cei de sex masculin și elaborarea unor instrumente care să ajute la evaluarea diferențelor de remunerare;</w:t>
            </w:r>
          </w:p>
          <w:p w14:paraId="7D548997" w14:textId="77777777" w:rsidR="00895F78" w:rsidRDefault="00000000">
            <w:pPr>
              <w:shd w:val="clear" w:color="auto" w:fill="FFFFFF"/>
              <w:spacing w:after="0" w:line="240" w:lineRule="auto"/>
              <w:ind w:left="720"/>
              <w:jc w:val="both"/>
              <w:rPr>
                <w:rFonts w:ascii="Times New Roman" w:eastAsia="Times New Roman" w:hAnsi="Times New Roman" w:cs="Times New Roman"/>
                <w:b/>
                <w:bCs/>
                <w:i/>
                <w:iCs/>
                <w:sz w:val="22"/>
                <w:szCs w:val="22"/>
                <w:highlight w:val="white"/>
              </w:rPr>
            </w:pPr>
            <w:r>
              <w:rPr>
                <w:rFonts w:ascii="Times New Roman" w:eastAsia="Times New Roman" w:hAnsi="Times New Roman" w:cs="Times New Roman"/>
                <w:b/>
                <w:bCs/>
                <w:sz w:val="22"/>
                <w:szCs w:val="22"/>
                <w:highlight w:val="white"/>
              </w:rPr>
              <w:t>- culegerea datelor privind diferența de remunerare între salariații de sex masculin și cei de sex feminin în temeiul prevederilor Codului Muncii, și publicarea datelor menționate la art. 128², într-un mod accesibil, care permite compararea angajatorilor, compararea după regiuni teritoriale, precum și asigurarea faptului că datele din cei patru ani precedenți sunt puse la dispoziție, după caz;</w:t>
            </w:r>
          </w:p>
          <w:p w14:paraId="2F2F4F35" w14:textId="77777777" w:rsidR="00895F78" w:rsidRDefault="00000000">
            <w:pPr>
              <w:shd w:val="clear" w:color="auto" w:fill="FFFFFF"/>
              <w:spacing w:after="0" w:line="240" w:lineRule="auto"/>
              <w:ind w:left="720"/>
              <w:jc w:val="both"/>
              <w:rPr>
                <w:rFonts w:ascii="Times New Roman" w:eastAsia="Times New Roman" w:hAnsi="Times New Roman" w:cs="Times New Roman"/>
                <w:b/>
                <w:bCs/>
                <w:i/>
                <w:iCs/>
                <w:sz w:val="22"/>
                <w:szCs w:val="22"/>
                <w:highlight w:val="white"/>
              </w:rPr>
            </w:pPr>
            <w:r>
              <w:rPr>
                <w:rFonts w:ascii="Times New Roman" w:eastAsia="Times New Roman" w:hAnsi="Times New Roman" w:cs="Times New Roman"/>
                <w:b/>
                <w:bCs/>
                <w:sz w:val="22"/>
                <w:szCs w:val="22"/>
                <w:highlight w:val="white"/>
              </w:rPr>
              <w:t>- colectarea rapoartelor evaluării comune a remunerației transmise de angajatori în conformitate cu prevederile Codului Muncii;</w:t>
            </w:r>
          </w:p>
          <w:p w14:paraId="44FE66B7" w14:textId="77777777" w:rsidR="00895F78" w:rsidRDefault="00000000">
            <w:pPr>
              <w:shd w:val="clear" w:color="auto" w:fill="FFFFFF"/>
              <w:spacing w:after="0" w:line="240" w:lineRule="auto"/>
              <w:ind w:left="720"/>
              <w:jc w:val="both"/>
              <w:rPr>
                <w:rFonts w:ascii="Times New Roman" w:eastAsia="Times New Roman" w:hAnsi="Times New Roman" w:cs="Times New Roman"/>
                <w:b/>
                <w:bCs/>
                <w:i/>
                <w:iCs/>
                <w:sz w:val="22"/>
                <w:szCs w:val="22"/>
                <w:highlight w:val="white"/>
              </w:rPr>
            </w:pPr>
            <w:r>
              <w:rPr>
                <w:rFonts w:ascii="Times New Roman" w:eastAsia="Times New Roman" w:hAnsi="Times New Roman" w:cs="Times New Roman"/>
                <w:b/>
                <w:bCs/>
                <w:i/>
                <w:iCs/>
                <w:sz w:val="22"/>
                <w:szCs w:val="22"/>
                <w:highlight w:val="white"/>
              </w:rPr>
              <w:t>-</w:t>
            </w:r>
            <w:r>
              <w:rPr>
                <w:rFonts w:ascii="Times New Roman" w:eastAsia="Times New Roman" w:hAnsi="Times New Roman" w:cs="Times New Roman"/>
                <w:b/>
                <w:bCs/>
                <w:sz w:val="22"/>
                <w:szCs w:val="22"/>
                <w:highlight w:val="white"/>
              </w:rPr>
              <w:t>agregarea datelor privind numărul și tipurile de plângeri sau acțiuni referitoare la cazuri de discriminare în materie de remunerare, formulate de salariați în fața Inspectoratului de Stat al Muncii, a Consiliului pentru Egalitate, precum și în fața instanțelor de judecată.</w:t>
            </w:r>
          </w:p>
          <w:p w14:paraId="6EB758BD" w14:textId="77777777" w:rsidR="00895F78" w:rsidRDefault="00895F78">
            <w:pPr>
              <w:shd w:val="clear" w:color="auto" w:fill="FFFFFF"/>
              <w:spacing w:after="0" w:line="240" w:lineRule="auto"/>
              <w:ind w:firstLine="700"/>
              <w:jc w:val="both"/>
              <w:rPr>
                <w:rFonts w:ascii="Times New Roman" w:eastAsia="Times New Roman" w:hAnsi="Times New Roman" w:cs="Times New Roman"/>
                <w:sz w:val="22"/>
                <w:szCs w:val="22"/>
                <w:highlight w:val="white"/>
              </w:rPr>
            </w:pPr>
          </w:p>
        </w:tc>
        <w:tc>
          <w:tcPr>
            <w:tcW w:w="240" w:type="dxa"/>
            <w:tcBorders>
              <w:top w:val="nil"/>
              <w:left w:val="nil"/>
              <w:bottom w:val="nil"/>
              <w:right w:val="nil"/>
            </w:tcBorders>
            <w:tcMar>
              <w:top w:w="0" w:type="dxa"/>
              <w:left w:w="100" w:type="dxa"/>
              <w:bottom w:w="0" w:type="dxa"/>
              <w:right w:w="100" w:type="dxa"/>
            </w:tcMar>
          </w:tcPr>
          <w:p w14:paraId="0AD437D6"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r w:rsidR="00895F78" w14:paraId="051233D3" w14:textId="77777777">
        <w:trPr>
          <w:trHeight w:val="315"/>
        </w:trPr>
        <w:tc>
          <w:tcPr>
            <w:tcW w:w="4545" w:type="dxa"/>
            <w:tcBorders>
              <w:top w:val="nil"/>
              <w:left w:val="single" w:sz="8" w:space="0" w:color="000000"/>
              <w:bottom w:val="single" w:sz="4" w:space="0" w:color="000000"/>
              <w:right w:val="single" w:sz="8" w:space="0" w:color="000000"/>
            </w:tcBorders>
            <w:tcMar>
              <w:top w:w="0" w:type="dxa"/>
              <w:left w:w="100" w:type="dxa"/>
              <w:bottom w:w="0" w:type="dxa"/>
              <w:right w:w="100" w:type="dxa"/>
            </w:tcMar>
          </w:tcPr>
          <w:p w14:paraId="53D14D09"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Articolul 4. Atribuțiile Inspectoratului de Stat al Muncii</w:t>
            </w:r>
          </w:p>
          <w:p w14:paraId="1F85304F"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539AF89A"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În exercitarea atribuțiilor, Inspectoratul de Stat al Muncii îndeplinește următoarele funcții principale:</w:t>
            </w:r>
          </w:p>
          <w:p w14:paraId="7B4004BB"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62028380"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funcția de asistență și consiliere, care constă în:</w:t>
            </w:r>
          </w:p>
          <w:p w14:paraId="157BB239"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4570FDB0" w14:textId="77777777" w:rsidR="00895F78" w:rsidRDefault="00895F78">
            <w:pPr>
              <w:shd w:val="clear" w:color="auto" w:fill="FFFFFF"/>
              <w:spacing w:after="0" w:line="276" w:lineRule="auto"/>
              <w:ind w:firstLine="680"/>
              <w:jc w:val="both"/>
              <w:rPr>
                <w:rFonts w:ascii="Times New Roman" w:eastAsia="Times New Roman" w:hAnsi="Times New Roman" w:cs="Times New Roman"/>
                <w:b/>
                <w:bCs/>
                <w:sz w:val="22"/>
                <w:szCs w:val="22"/>
                <w:highlight w:val="white"/>
              </w:rPr>
            </w:pPr>
          </w:p>
        </w:tc>
        <w:tc>
          <w:tcPr>
            <w:tcW w:w="4665" w:type="dxa"/>
            <w:tcBorders>
              <w:top w:val="nil"/>
              <w:left w:val="nil"/>
              <w:bottom w:val="single" w:sz="4" w:space="0" w:color="000000"/>
              <w:right w:val="single" w:sz="8" w:space="0" w:color="000000"/>
            </w:tcBorders>
            <w:tcMar>
              <w:top w:w="0" w:type="dxa"/>
              <w:left w:w="100" w:type="dxa"/>
              <w:bottom w:w="0" w:type="dxa"/>
              <w:right w:w="100" w:type="dxa"/>
            </w:tcMar>
          </w:tcPr>
          <w:p w14:paraId="1AC11FA2" w14:textId="77777777" w:rsidR="00895F78" w:rsidRDefault="00000000">
            <w:pPr>
              <w:spacing w:after="0" w:line="240" w:lineRule="auto"/>
              <w:rPr>
                <w:rFonts w:ascii="Times New Roman" w:eastAsia="Times New Roman" w:hAnsi="Times New Roman" w:cs="Times New Roman"/>
                <w:sz w:val="22"/>
                <w:szCs w:val="22"/>
                <w:highlight w:val="white"/>
              </w:rPr>
            </w:pPr>
            <w:r>
              <w:rPr>
                <w:rFonts w:ascii="Times New Roman" w:eastAsia="Times New Roman" w:hAnsi="Times New Roman" w:cs="Times New Roman"/>
                <w:b/>
                <w:bCs/>
                <w:sz w:val="22"/>
                <w:szCs w:val="22"/>
                <w:highlight w:val="white"/>
              </w:rPr>
              <w:t xml:space="preserve"> </w:t>
            </w:r>
            <w:r>
              <w:rPr>
                <w:rFonts w:ascii="Times New Roman" w:eastAsia="Times New Roman" w:hAnsi="Times New Roman" w:cs="Times New Roman"/>
                <w:sz w:val="22"/>
                <w:szCs w:val="22"/>
                <w:highlight w:val="white"/>
              </w:rPr>
              <w:t>3. Articolul 4, alineatul (2) punctul 2) se completează cu litera d)</w:t>
            </w:r>
            <w:r>
              <w:rPr>
                <w:rFonts w:ascii="Times New Roman" w:eastAsia="Times New Roman" w:hAnsi="Times New Roman" w:cs="Times New Roman"/>
                <w:sz w:val="22"/>
                <w:szCs w:val="22"/>
                <w:highlight w:val="white"/>
                <w:vertAlign w:val="superscript"/>
              </w:rPr>
              <w:t xml:space="preserve"> </w:t>
            </w:r>
            <w:r>
              <w:rPr>
                <w:rFonts w:ascii="Times New Roman" w:eastAsia="Times New Roman" w:hAnsi="Times New Roman" w:cs="Times New Roman"/>
                <w:sz w:val="22"/>
                <w:szCs w:val="22"/>
                <w:highlight w:val="white"/>
              </w:rPr>
              <w:t>cu următorul cuprins:</w:t>
            </w:r>
          </w:p>
          <w:p w14:paraId="7DE74365" w14:textId="77777777" w:rsidR="00895F78" w:rsidRDefault="00000000">
            <w:pPr>
              <w:spacing w:after="0" w:line="240"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„d) acordarea de consiliere și sprijin angajatorilor în procesul de identificare și remediere a diferențelor de remunerare între salariații de sex masculin și cei de sex feminin care nu sunt justificate prin criterii obiective, neutre din punct de vedere al sexului.”</w:t>
            </w:r>
          </w:p>
          <w:p w14:paraId="2C1166B7" w14:textId="77777777" w:rsidR="00895F78" w:rsidRDefault="00895F78">
            <w:pPr>
              <w:spacing w:after="0" w:line="240" w:lineRule="auto"/>
              <w:ind w:firstLine="705"/>
              <w:jc w:val="both"/>
              <w:rPr>
                <w:rFonts w:ascii="Times New Roman" w:eastAsia="Times New Roman" w:hAnsi="Times New Roman" w:cs="Times New Roman"/>
                <w:b/>
                <w:bCs/>
                <w:sz w:val="22"/>
                <w:szCs w:val="22"/>
                <w:highlight w:val="white"/>
              </w:rPr>
            </w:pPr>
          </w:p>
          <w:p w14:paraId="329E390C" w14:textId="77777777" w:rsidR="00895F78" w:rsidRDefault="00895F78">
            <w:pPr>
              <w:shd w:val="clear" w:color="auto" w:fill="FFFFFF"/>
              <w:spacing w:after="0" w:line="240" w:lineRule="auto"/>
              <w:ind w:firstLine="700"/>
              <w:jc w:val="both"/>
              <w:rPr>
                <w:rFonts w:ascii="Times New Roman" w:eastAsia="Times New Roman" w:hAnsi="Times New Roman" w:cs="Times New Roman"/>
                <w:b/>
                <w:bCs/>
                <w:sz w:val="22"/>
                <w:szCs w:val="22"/>
                <w:highlight w:val="white"/>
              </w:rPr>
            </w:pPr>
          </w:p>
        </w:tc>
        <w:tc>
          <w:tcPr>
            <w:tcW w:w="4515" w:type="dxa"/>
            <w:tcBorders>
              <w:top w:val="nil"/>
              <w:left w:val="nil"/>
              <w:bottom w:val="single" w:sz="4" w:space="0" w:color="000000"/>
              <w:right w:val="single" w:sz="8" w:space="0" w:color="000000"/>
            </w:tcBorders>
            <w:tcMar>
              <w:top w:w="0" w:type="dxa"/>
              <w:left w:w="100" w:type="dxa"/>
              <w:bottom w:w="0" w:type="dxa"/>
              <w:right w:w="100" w:type="dxa"/>
            </w:tcMar>
          </w:tcPr>
          <w:p w14:paraId="7AFF4E88"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Articolul 4. Atribuțiile Inspectoratului de Stat al Muncii</w:t>
            </w:r>
          </w:p>
          <w:p w14:paraId="2F74BB0E"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2C38E779"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În exercitarea atribuțiilor, Inspectoratul de Stat al Muncii îndeplinește următoarele funcții principale:</w:t>
            </w:r>
          </w:p>
          <w:p w14:paraId="1E14C934"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1E7784DE"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2) funcția de asistență și consiliere, care constă în:</w:t>
            </w:r>
          </w:p>
          <w:p w14:paraId="6A30FC3B" w14:textId="77777777" w:rsidR="00895F78" w:rsidRDefault="00000000">
            <w:pPr>
              <w:shd w:val="clear" w:color="auto" w:fill="FFFFFF"/>
              <w:spacing w:after="0" w:line="276" w:lineRule="auto"/>
              <w:ind w:firstLine="680"/>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w:t>
            </w:r>
          </w:p>
          <w:p w14:paraId="74495D7D" w14:textId="77777777" w:rsidR="00895F78" w:rsidRDefault="00000000">
            <w:pPr>
              <w:spacing w:after="0" w:line="240" w:lineRule="auto"/>
              <w:ind w:firstLine="705"/>
              <w:jc w:val="both"/>
              <w:rPr>
                <w:rFonts w:ascii="Times New Roman" w:eastAsia="Times New Roman" w:hAnsi="Times New Roman" w:cs="Times New Roman"/>
                <w:b/>
                <w:bCs/>
                <w:sz w:val="22"/>
                <w:szCs w:val="22"/>
                <w:highlight w:val="white"/>
              </w:rPr>
            </w:pPr>
            <w:r>
              <w:rPr>
                <w:rFonts w:ascii="Times New Roman" w:eastAsia="Times New Roman" w:hAnsi="Times New Roman" w:cs="Times New Roman"/>
                <w:b/>
                <w:bCs/>
                <w:sz w:val="22"/>
                <w:szCs w:val="22"/>
                <w:highlight w:val="white"/>
              </w:rPr>
              <w:t>d) acordarea de consiliere și sprijin angajatorilor în procesul de identificare și remediere a diferențelor de remunerare între salariații de sex masculin și cei de sex feminin care nu sunt justificate prin criterii obiective, neutre din punct de vedere al sexului.</w:t>
            </w:r>
          </w:p>
        </w:tc>
        <w:tc>
          <w:tcPr>
            <w:tcW w:w="240" w:type="dxa"/>
            <w:tcBorders>
              <w:top w:val="nil"/>
              <w:left w:val="nil"/>
              <w:bottom w:val="nil"/>
              <w:right w:val="nil"/>
            </w:tcBorders>
            <w:tcMar>
              <w:top w:w="0" w:type="dxa"/>
              <w:left w:w="100" w:type="dxa"/>
              <w:bottom w:w="0" w:type="dxa"/>
              <w:right w:w="100" w:type="dxa"/>
            </w:tcMar>
          </w:tcPr>
          <w:p w14:paraId="3D94807E" w14:textId="77777777" w:rsidR="00895F78" w:rsidRDefault="00895F78">
            <w:pPr>
              <w:spacing w:before="240" w:after="240" w:line="276" w:lineRule="auto"/>
              <w:rPr>
                <w:rFonts w:ascii="Times New Roman" w:eastAsia="Times New Roman" w:hAnsi="Times New Roman" w:cs="Times New Roman"/>
                <w:sz w:val="22"/>
                <w:szCs w:val="22"/>
                <w:highlight w:val="white"/>
              </w:rPr>
            </w:pPr>
          </w:p>
        </w:tc>
      </w:tr>
    </w:tbl>
    <w:p w14:paraId="265AD529" w14:textId="77777777" w:rsidR="00895F78" w:rsidRDefault="00895F78">
      <w:pPr>
        <w:spacing w:after="0" w:line="276" w:lineRule="auto"/>
        <w:ind w:left="425"/>
        <w:rPr>
          <w:rFonts w:ascii="Times New Roman" w:eastAsia="Times New Roman" w:hAnsi="Times New Roman" w:cs="Times New Roman"/>
          <w:sz w:val="22"/>
          <w:szCs w:val="22"/>
          <w:highlight w:val="white"/>
        </w:rPr>
      </w:pPr>
    </w:p>
    <w:p w14:paraId="05B03F85" w14:textId="77777777" w:rsidR="00895F78" w:rsidRDefault="00895F78">
      <w:pPr>
        <w:rPr>
          <w:rFonts w:ascii="Times New Roman" w:eastAsia="Times New Roman" w:hAnsi="Times New Roman" w:cs="Times New Roman"/>
          <w:b/>
          <w:bCs/>
          <w:highlight w:val="white"/>
        </w:rPr>
      </w:pPr>
    </w:p>
    <w:sectPr w:rsidR="00895F78">
      <w:pgSz w:w="16838" w:h="11906" w:orient="landscape"/>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9BFC2DDE-D258-4566-8F2D-0F6A861573A4}"/>
    <w:embedItalic r:id="rId2" w:fontKey="{F4DE2F26-E830-4800-8850-63BAAB7FC161}"/>
  </w:font>
  <w:font w:name="Play">
    <w:charset w:val="00"/>
    <w:family w:val="auto"/>
    <w:pitch w:val="default"/>
    <w:embedRegular r:id="rId3" w:fontKey="{1A105F03-A467-4E3C-8601-F1241D5FE7BE}"/>
  </w:font>
  <w:font w:name="Calibri">
    <w:panose1 w:val="020F0502020204030204"/>
    <w:charset w:val="00"/>
    <w:family w:val="swiss"/>
    <w:pitch w:val="variable"/>
    <w:sig w:usb0="E4002EFF" w:usb1="C200247B" w:usb2="00000009" w:usb3="00000000" w:csb0="000001FF" w:csb1="00000000"/>
    <w:embedRegular r:id="rId4" w:fontKey="{8FED8A57-14FB-4FBA-9F80-1C247F4BE671}"/>
  </w:font>
  <w:font w:name="Cambria">
    <w:panose1 w:val="02040503050406030204"/>
    <w:charset w:val="00"/>
    <w:family w:val="roman"/>
    <w:pitch w:val="variable"/>
    <w:sig w:usb0="E00006FF" w:usb1="420024FF" w:usb2="02000000" w:usb3="00000000" w:csb0="0000019F" w:csb1="00000000"/>
    <w:embedRegular r:id="rId5" w:fontKey="{C5316D6F-BFC2-42C9-8DEC-F841C15F874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15947"/>
    <w:multiLevelType w:val="multilevel"/>
    <w:tmpl w:val="91E80B24"/>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8334340"/>
    <w:multiLevelType w:val="multilevel"/>
    <w:tmpl w:val="4BB85E68"/>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E2D0B26"/>
    <w:multiLevelType w:val="multilevel"/>
    <w:tmpl w:val="B0D802EC"/>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1A834008"/>
    <w:multiLevelType w:val="multilevel"/>
    <w:tmpl w:val="7E948AB0"/>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74C40B8"/>
    <w:multiLevelType w:val="multilevel"/>
    <w:tmpl w:val="4462D9B8"/>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2899203C"/>
    <w:multiLevelType w:val="multilevel"/>
    <w:tmpl w:val="B5BA3CDE"/>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307D780D"/>
    <w:multiLevelType w:val="multilevel"/>
    <w:tmpl w:val="D7162A1E"/>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38C5283A"/>
    <w:multiLevelType w:val="multilevel"/>
    <w:tmpl w:val="C818B74A"/>
    <w:lvl w:ilvl="0">
      <w:start w:val="1"/>
      <w:numFmt w:val="lowerLetter"/>
      <w:lvlText w:val="%1)"/>
      <w:lvlJc w:val="left"/>
      <w:pPr>
        <w:ind w:left="1287" w:hanging="360"/>
      </w:pPr>
      <w:rPr>
        <w:u w:val="none"/>
      </w:rPr>
    </w:lvl>
    <w:lvl w:ilvl="1">
      <w:start w:val="1"/>
      <w:numFmt w:val="lowerLetter"/>
      <w:lvlText w:val="%2."/>
      <w:lvlJc w:val="left"/>
      <w:pPr>
        <w:ind w:left="2007" w:hanging="360"/>
      </w:pPr>
      <w:rPr>
        <w:u w:val="none"/>
      </w:rPr>
    </w:lvl>
    <w:lvl w:ilvl="2">
      <w:start w:val="1"/>
      <w:numFmt w:val="lowerRoman"/>
      <w:lvlText w:val="%3."/>
      <w:lvlJc w:val="right"/>
      <w:pPr>
        <w:ind w:left="2727" w:hanging="180"/>
      </w:pPr>
      <w:rPr>
        <w:u w:val="none"/>
      </w:rPr>
    </w:lvl>
    <w:lvl w:ilvl="3">
      <w:start w:val="1"/>
      <w:numFmt w:val="decimal"/>
      <w:lvlText w:val="%4."/>
      <w:lvlJc w:val="left"/>
      <w:pPr>
        <w:ind w:left="3447" w:hanging="360"/>
      </w:pPr>
      <w:rPr>
        <w:u w:val="none"/>
      </w:rPr>
    </w:lvl>
    <w:lvl w:ilvl="4">
      <w:start w:val="1"/>
      <w:numFmt w:val="lowerLetter"/>
      <w:lvlText w:val="%5."/>
      <w:lvlJc w:val="left"/>
      <w:pPr>
        <w:ind w:left="4167" w:hanging="360"/>
      </w:pPr>
      <w:rPr>
        <w:u w:val="none"/>
      </w:rPr>
    </w:lvl>
    <w:lvl w:ilvl="5">
      <w:start w:val="1"/>
      <w:numFmt w:val="lowerRoman"/>
      <w:lvlText w:val="%6."/>
      <w:lvlJc w:val="right"/>
      <w:pPr>
        <w:ind w:left="4887" w:hanging="180"/>
      </w:pPr>
      <w:rPr>
        <w:u w:val="none"/>
      </w:rPr>
    </w:lvl>
    <w:lvl w:ilvl="6">
      <w:start w:val="1"/>
      <w:numFmt w:val="decimal"/>
      <w:lvlText w:val="%7."/>
      <w:lvlJc w:val="left"/>
      <w:pPr>
        <w:ind w:left="5607" w:hanging="360"/>
      </w:pPr>
      <w:rPr>
        <w:u w:val="none"/>
      </w:rPr>
    </w:lvl>
    <w:lvl w:ilvl="7">
      <w:start w:val="1"/>
      <w:numFmt w:val="lowerLetter"/>
      <w:lvlText w:val="%8."/>
      <w:lvlJc w:val="left"/>
      <w:pPr>
        <w:ind w:left="6327" w:hanging="360"/>
      </w:pPr>
      <w:rPr>
        <w:u w:val="none"/>
      </w:rPr>
    </w:lvl>
    <w:lvl w:ilvl="8">
      <w:start w:val="1"/>
      <w:numFmt w:val="lowerRoman"/>
      <w:lvlText w:val="%9."/>
      <w:lvlJc w:val="right"/>
      <w:pPr>
        <w:ind w:left="7047" w:hanging="180"/>
      </w:pPr>
      <w:rPr>
        <w:u w:val="none"/>
      </w:rPr>
    </w:lvl>
  </w:abstractNum>
  <w:abstractNum w:abstractNumId="8" w15:restartNumberingAfterBreak="0">
    <w:nsid w:val="3D842A1A"/>
    <w:multiLevelType w:val="multilevel"/>
    <w:tmpl w:val="A03E19E8"/>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4ECD6352"/>
    <w:multiLevelType w:val="multilevel"/>
    <w:tmpl w:val="0914BA0A"/>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51F02AEC"/>
    <w:multiLevelType w:val="multilevel"/>
    <w:tmpl w:val="AB1A7264"/>
    <w:lvl w:ilvl="0">
      <w:start w:val="1"/>
      <w:numFmt w:val="lowerLetter"/>
      <w:lvlText w:val="%1)"/>
      <w:lvlJc w:val="left"/>
      <w:pPr>
        <w:ind w:left="1287" w:hanging="360"/>
      </w:pPr>
      <w:rPr>
        <w:u w:val="none"/>
      </w:rPr>
    </w:lvl>
    <w:lvl w:ilvl="1">
      <w:start w:val="1"/>
      <w:numFmt w:val="lowerLetter"/>
      <w:lvlText w:val="%2."/>
      <w:lvlJc w:val="left"/>
      <w:pPr>
        <w:ind w:left="2007" w:hanging="360"/>
      </w:pPr>
      <w:rPr>
        <w:u w:val="none"/>
      </w:rPr>
    </w:lvl>
    <w:lvl w:ilvl="2">
      <w:start w:val="1"/>
      <w:numFmt w:val="lowerRoman"/>
      <w:lvlText w:val="%3."/>
      <w:lvlJc w:val="right"/>
      <w:pPr>
        <w:ind w:left="2727" w:hanging="180"/>
      </w:pPr>
      <w:rPr>
        <w:u w:val="none"/>
      </w:rPr>
    </w:lvl>
    <w:lvl w:ilvl="3">
      <w:start w:val="1"/>
      <w:numFmt w:val="decimal"/>
      <w:lvlText w:val="%4."/>
      <w:lvlJc w:val="left"/>
      <w:pPr>
        <w:ind w:left="3447" w:hanging="360"/>
      </w:pPr>
      <w:rPr>
        <w:u w:val="none"/>
      </w:rPr>
    </w:lvl>
    <w:lvl w:ilvl="4">
      <w:start w:val="1"/>
      <w:numFmt w:val="lowerLetter"/>
      <w:lvlText w:val="%5."/>
      <w:lvlJc w:val="left"/>
      <w:pPr>
        <w:ind w:left="4167" w:hanging="360"/>
      </w:pPr>
      <w:rPr>
        <w:u w:val="none"/>
      </w:rPr>
    </w:lvl>
    <w:lvl w:ilvl="5">
      <w:start w:val="1"/>
      <w:numFmt w:val="lowerRoman"/>
      <w:lvlText w:val="%6."/>
      <w:lvlJc w:val="right"/>
      <w:pPr>
        <w:ind w:left="4887" w:hanging="180"/>
      </w:pPr>
      <w:rPr>
        <w:u w:val="none"/>
      </w:rPr>
    </w:lvl>
    <w:lvl w:ilvl="6">
      <w:start w:val="1"/>
      <w:numFmt w:val="decimal"/>
      <w:lvlText w:val="%7."/>
      <w:lvlJc w:val="left"/>
      <w:pPr>
        <w:ind w:left="5607" w:hanging="360"/>
      </w:pPr>
      <w:rPr>
        <w:u w:val="none"/>
      </w:rPr>
    </w:lvl>
    <w:lvl w:ilvl="7">
      <w:start w:val="1"/>
      <w:numFmt w:val="lowerLetter"/>
      <w:lvlText w:val="%8."/>
      <w:lvlJc w:val="left"/>
      <w:pPr>
        <w:ind w:left="6327" w:hanging="360"/>
      </w:pPr>
      <w:rPr>
        <w:u w:val="none"/>
      </w:rPr>
    </w:lvl>
    <w:lvl w:ilvl="8">
      <w:start w:val="1"/>
      <w:numFmt w:val="lowerRoman"/>
      <w:lvlText w:val="%9."/>
      <w:lvlJc w:val="right"/>
      <w:pPr>
        <w:ind w:left="7047" w:hanging="180"/>
      </w:pPr>
      <w:rPr>
        <w:u w:val="none"/>
      </w:rPr>
    </w:lvl>
  </w:abstractNum>
  <w:abstractNum w:abstractNumId="11" w15:restartNumberingAfterBreak="0">
    <w:nsid w:val="52A55755"/>
    <w:multiLevelType w:val="multilevel"/>
    <w:tmpl w:val="28082826"/>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573554A1"/>
    <w:multiLevelType w:val="multilevel"/>
    <w:tmpl w:val="EFC63016"/>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59846AD4"/>
    <w:multiLevelType w:val="multilevel"/>
    <w:tmpl w:val="4252C5CE"/>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6E5177AA"/>
    <w:multiLevelType w:val="multilevel"/>
    <w:tmpl w:val="F482CED6"/>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78C037BA"/>
    <w:multiLevelType w:val="multilevel"/>
    <w:tmpl w:val="4EFC7AAC"/>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7FBB6B22"/>
    <w:multiLevelType w:val="multilevel"/>
    <w:tmpl w:val="81DC4BD4"/>
    <w:lvl w:ilvl="0">
      <w:start w:val="1"/>
      <w:numFmt w:val="lowerLetter"/>
      <w:lvlText w:val="%1)"/>
      <w:lvlJc w:val="left"/>
      <w:pPr>
        <w:ind w:left="1287" w:hanging="360"/>
      </w:pPr>
      <w:rPr>
        <w:u w:val="none"/>
      </w:rPr>
    </w:lvl>
    <w:lvl w:ilvl="1">
      <w:start w:val="1"/>
      <w:numFmt w:val="lowerLetter"/>
      <w:lvlText w:val="%2."/>
      <w:lvlJc w:val="left"/>
      <w:pPr>
        <w:ind w:left="2007" w:hanging="360"/>
      </w:pPr>
      <w:rPr>
        <w:u w:val="none"/>
      </w:rPr>
    </w:lvl>
    <w:lvl w:ilvl="2">
      <w:start w:val="1"/>
      <w:numFmt w:val="lowerRoman"/>
      <w:lvlText w:val="%3."/>
      <w:lvlJc w:val="right"/>
      <w:pPr>
        <w:ind w:left="2727" w:hanging="180"/>
      </w:pPr>
      <w:rPr>
        <w:u w:val="none"/>
      </w:rPr>
    </w:lvl>
    <w:lvl w:ilvl="3">
      <w:start w:val="1"/>
      <w:numFmt w:val="decimal"/>
      <w:lvlText w:val="%4."/>
      <w:lvlJc w:val="left"/>
      <w:pPr>
        <w:ind w:left="3447" w:hanging="360"/>
      </w:pPr>
      <w:rPr>
        <w:u w:val="none"/>
      </w:rPr>
    </w:lvl>
    <w:lvl w:ilvl="4">
      <w:start w:val="1"/>
      <w:numFmt w:val="lowerLetter"/>
      <w:lvlText w:val="%5."/>
      <w:lvlJc w:val="left"/>
      <w:pPr>
        <w:ind w:left="4167" w:hanging="360"/>
      </w:pPr>
      <w:rPr>
        <w:u w:val="none"/>
      </w:rPr>
    </w:lvl>
    <w:lvl w:ilvl="5">
      <w:start w:val="1"/>
      <w:numFmt w:val="lowerRoman"/>
      <w:lvlText w:val="%6."/>
      <w:lvlJc w:val="right"/>
      <w:pPr>
        <w:ind w:left="4887" w:hanging="180"/>
      </w:pPr>
      <w:rPr>
        <w:u w:val="none"/>
      </w:rPr>
    </w:lvl>
    <w:lvl w:ilvl="6">
      <w:start w:val="1"/>
      <w:numFmt w:val="decimal"/>
      <w:lvlText w:val="%7."/>
      <w:lvlJc w:val="left"/>
      <w:pPr>
        <w:ind w:left="5607" w:hanging="360"/>
      </w:pPr>
      <w:rPr>
        <w:u w:val="none"/>
      </w:rPr>
    </w:lvl>
    <w:lvl w:ilvl="7">
      <w:start w:val="1"/>
      <w:numFmt w:val="lowerLetter"/>
      <w:lvlText w:val="%8."/>
      <w:lvlJc w:val="left"/>
      <w:pPr>
        <w:ind w:left="6327" w:hanging="360"/>
      </w:pPr>
      <w:rPr>
        <w:u w:val="none"/>
      </w:rPr>
    </w:lvl>
    <w:lvl w:ilvl="8">
      <w:start w:val="1"/>
      <w:numFmt w:val="lowerRoman"/>
      <w:lvlText w:val="%9."/>
      <w:lvlJc w:val="right"/>
      <w:pPr>
        <w:ind w:left="7047" w:hanging="180"/>
      </w:pPr>
      <w:rPr>
        <w:u w:val="none"/>
      </w:rPr>
    </w:lvl>
  </w:abstractNum>
  <w:num w:numId="1" w16cid:durableId="2101023406">
    <w:abstractNumId w:val="8"/>
  </w:num>
  <w:num w:numId="2" w16cid:durableId="1583415558">
    <w:abstractNumId w:val="11"/>
  </w:num>
  <w:num w:numId="3" w16cid:durableId="2130933745">
    <w:abstractNumId w:val="5"/>
  </w:num>
  <w:num w:numId="4" w16cid:durableId="884605111">
    <w:abstractNumId w:val="14"/>
  </w:num>
  <w:num w:numId="5" w16cid:durableId="1472332015">
    <w:abstractNumId w:val="9"/>
  </w:num>
  <w:num w:numId="6" w16cid:durableId="292180738">
    <w:abstractNumId w:val="10"/>
  </w:num>
  <w:num w:numId="7" w16cid:durableId="284121645">
    <w:abstractNumId w:val="4"/>
  </w:num>
  <w:num w:numId="8" w16cid:durableId="906306843">
    <w:abstractNumId w:val="16"/>
  </w:num>
  <w:num w:numId="9" w16cid:durableId="1829591870">
    <w:abstractNumId w:val="1"/>
  </w:num>
  <w:num w:numId="10" w16cid:durableId="1035353808">
    <w:abstractNumId w:val="3"/>
  </w:num>
  <w:num w:numId="11" w16cid:durableId="81265955">
    <w:abstractNumId w:val="15"/>
  </w:num>
  <w:num w:numId="12" w16cid:durableId="1664504284">
    <w:abstractNumId w:val="6"/>
  </w:num>
  <w:num w:numId="13" w16cid:durableId="2124229309">
    <w:abstractNumId w:val="7"/>
  </w:num>
  <w:num w:numId="14" w16cid:durableId="568728072">
    <w:abstractNumId w:val="2"/>
  </w:num>
  <w:num w:numId="15" w16cid:durableId="136649347">
    <w:abstractNumId w:val="12"/>
  </w:num>
  <w:num w:numId="16" w16cid:durableId="1341202160">
    <w:abstractNumId w:val="13"/>
  </w:num>
  <w:num w:numId="17" w16cid:durableId="1950626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F78"/>
    <w:rsid w:val="00127CDE"/>
    <w:rsid w:val="006B7CE4"/>
    <w:rsid w:val="00895F78"/>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D5A84"/>
  <w15:docId w15:val="{3C2D12BF-6E1D-4C51-9EA7-8CBF5CEF6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ro" w:eastAsia="ro-MD"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
    <w:next w:val="a"/>
    <w:uiPriority w:val="9"/>
    <w:semiHidden/>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
    <w:next w:val="a"/>
    <w:uiPriority w:val="9"/>
    <w:semiHidden/>
    <w:unhideWhenUsed/>
    <w:qFormat/>
    <w:pPr>
      <w:keepNext/>
      <w:keepLines/>
      <w:spacing w:before="160" w:after="80"/>
      <w:outlineLvl w:val="2"/>
    </w:pPr>
    <w:rPr>
      <w:color w:val="0F4761"/>
      <w:sz w:val="28"/>
      <w:szCs w:val="28"/>
    </w:rPr>
  </w:style>
  <w:style w:type="paragraph" w:styleId="4">
    <w:name w:val="heading 4"/>
    <w:basedOn w:val="a"/>
    <w:next w:val="a"/>
    <w:uiPriority w:val="9"/>
    <w:semiHidden/>
    <w:unhideWhenUsed/>
    <w:qFormat/>
    <w:pPr>
      <w:keepNext/>
      <w:keepLines/>
      <w:spacing w:before="80" w:after="40"/>
      <w:outlineLvl w:val="3"/>
    </w:pPr>
    <w:rPr>
      <w:i/>
      <w:iCs/>
      <w:color w:val="0F4761"/>
    </w:rPr>
  </w:style>
  <w:style w:type="paragraph" w:styleId="5">
    <w:name w:val="heading 5"/>
    <w:basedOn w:val="a"/>
    <w:next w:val="a"/>
    <w:uiPriority w:val="9"/>
    <w:semiHidden/>
    <w:unhideWhenUsed/>
    <w:qFormat/>
    <w:pPr>
      <w:keepNext/>
      <w:keepLines/>
      <w:spacing w:before="80" w:after="40"/>
      <w:outlineLvl w:val="4"/>
    </w:pPr>
    <w:rPr>
      <w:color w:val="0F4761"/>
    </w:rPr>
  </w:style>
  <w:style w:type="paragraph" w:styleId="6">
    <w:name w:val="heading 6"/>
    <w:basedOn w:val="a"/>
    <w:next w:val="a"/>
    <w:uiPriority w:val="9"/>
    <w:semiHidden/>
    <w:unhideWhenUsed/>
    <w:qFormat/>
    <w:pPr>
      <w:keepNext/>
      <w:keepLines/>
      <w:spacing w:before="40" w:after="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rFonts w:ascii="Play" w:eastAsia="Play" w:hAnsi="Play" w:cs="Play"/>
      <w:sz w:val="56"/>
      <w:szCs w:val="56"/>
    </w:rPr>
  </w:style>
  <w:style w:type="paragraph" w:styleId="a4">
    <w:name w:val="Subtitle"/>
    <w:basedOn w:val="a"/>
    <w:next w:val="a"/>
    <w:uiPriority w:val="11"/>
    <w:qFormat/>
    <w:rPr>
      <w:color w:val="595959"/>
      <w:sz w:val="28"/>
      <w:szCs w:val="28"/>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12545</Words>
  <Characters>72767</Characters>
  <Application>Microsoft Office Word</Application>
  <DocSecurity>0</DocSecurity>
  <Lines>606</Lines>
  <Paragraphs>170</Paragraphs>
  <ScaleCrop>false</ScaleCrop>
  <Company/>
  <LinksUpToDate>false</LinksUpToDate>
  <CharactersWithSpaces>85142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Scurtu</dc:creator>
  <cp:lastModifiedBy>Direcția Politici în Domeniul Raporturi de Muncă</cp:lastModifiedBy>
  <cp:revision>2</cp:revision>
  <dcterms:created xsi:type="dcterms:W3CDTF">2026-07-15T12:06:00Z</dcterms:created>
  <dcterms:modified xsi:type="dcterms:W3CDTF">2026-07-15T12:06:00Z</dcterms:modified>
</cp:coreProperties>
</file>