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90219" w:rsidRDefault="00000000">
      <w:pPr>
        <w:jc w:val="right"/>
        <w:rPr>
          <w:rFonts w:ascii="Times New Roman" w:eastAsia="Times New Roman" w:hAnsi="Times New Roman" w:cs="Times New Roman"/>
        </w:rPr>
      </w:pPr>
      <w:r>
        <w:rPr>
          <w:rFonts w:ascii="Times New Roman" w:eastAsia="Times New Roman" w:hAnsi="Times New Roman" w:cs="Times New Roman"/>
          <w:i/>
          <w:iCs/>
        </w:rPr>
        <w:t>Proiect</w:t>
      </w:r>
    </w:p>
    <w:p w14:paraId="00000002" w14:textId="77777777" w:rsidR="00290219" w:rsidRDefault="00000000">
      <w:pPr>
        <w:jc w:val="right"/>
        <w:rPr>
          <w:rFonts w:ascii="Times New Roman" w:eastAsia="Times New Roman" w:hAnsi="Times New Roman" w:cs="Times New Roman"/>
        </w:rPr>
      </w:pPr>
      <w:r>
        <w:rPr>
          <w:rFonts w:ascii="Times New Roman" w:eastAsia="Times New Roman" w:hAnsi="Times New Roman" w:cs="Times New Roman"/>
          <w:b/>
          <w:bCs/>
          <w:i/>
          <w:iCs/>
        </w:rPr>
        <w:t>UE</w:t>
      </w:r>
    </w:p>
    <w:p w14:paraId="00000003" w14:textId="77777777" w:rsidR="00290219" w:rsidRDefault="00000000">
      <w:pPr>
        <w:jc w:val="center"/>
        <w:rPr>
          <w:rFonts w:ascii="Times New Roman" w:eastAsia="Times New Roman" w:hAnsi="Times New Roman" w:cs="Times New Roman"/>
        </w:rPr>
      </w:pPr>
      <w:r>
        <w:rPr>
          <w:rFonts w:ascii="Times New Roman" w:eastAsia="Times New Roman" w:hAnsi="Times New Roman" w:cs="Times New Roman"/>
          <w:b/>
          <w:bCs/>
        </w:rPr>
        <w:t>LEGE</w:t>
      </w:r>
    </w:p>
    <w:p w14:paraId="00000004" w14:textId="77777777" w:rsidR="00290219" w:rsidRDefault="00000000">
      <w:pPr>
        <w:jc w:val="center"/>
        <w:rPr>
          <w:rFonts w:ascii="Times New Roman" w:eastAsia="Times New Roman" w:hAnsi="Times New Roman" w:cs="Times New Roman"/>
          <w:i/>
          <w:iCs/>
        </w:rPr>
      </w:pPr>
      <w:r>
        <w:rPr>
          <w:rFonts w:ascii="Times New Roman" w:eastAsia="Times New Roman" w:hAnsi="Times New Roman" w:cs="Times New Roman"/>
        </w:rPr>
        <w:t>pentru modificarea unor acte normative (</w:t>
      </w:r>
      <w:r>
        <w:rPr>
          <w:rFonts w:ascii="Times New Roman" w:eastAsia="Times New Roman" w:hAnsi="Times New Roman" w:cs="Times New Roman"/>
          <w:i/>
          <w:iCs/>
        </w:rPr>
        <w:t>pentru asigurarea egalității de remunerare prin transparență salarială)</w:t>
      </w:r>
    </w:p>
    <w:p w14:paraId="00000005" w14:textId="77777777" w:rsidR="00290219" w:rsidRDefault="00290219">
      <w:pPr>
        <w:jc w:val="both"/>
        <w:rPr>
          <w:rFonts w:ascii="Times New Roman" w:eastAsia="Times New Roman" w:hAnsi="Times New Roman" w:cs="Times New Roman"/>
        </w:rPr>
      </w:pPr>
    </w:p>
    <w:p w14:paraId="00000006" w14:textId="77777777" w:rsidR="00290219" w:rsidRDefault="00000000">
      <w:pPr>
        <w:jc w:val="both"/>
        <w:rPr>
          <w:rFonts w:ascii="Times New Roman" w:eastAsia="Times New Roman" w:hAnsi="Times New Roman" w:cs="Times New Roman"/>
        </w:rPr>
      </w:pPr>
      <w:r>
        <w:rPr>
          <w:rFonts w:ascii="Times New Roman" w:eastAsia="Times New Roman" w:hAnsi="Times New Roman" w:cs="Times New Roman"/>
        </w:rPr>
        <w:t>Parlamentul adoptă prezenta lege organică.</w:t>
      </w:r>
    </w:p>
    <w:p w14:paraId="00000007"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Prezenta lege transpune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(Text cu relevanță pentru SEE), CELEX: 32023L0970, publicată în Jurnalul Oficial al Uniunii Europene L 132 din 17 mai 2023 și se aliniază la Recomandarea Comisiei din 7 martie 2014 referitoare la consolidarea principiului egalității de remunerare între bărbați și femei prin transparență.</w:t>
      </w:r>
    </w:p>
    <w:p w14:paraId="00000008" w14:textId="77777777" w:rsidR="00290219" w:rsidRDefault="00290219">
      <w:pPr>
        <w:ind w:firstLine="567"/>
        <w:jc w:val="both"/>
        <w:rPr>
          <w:rFonts w:ascii="Times New Roman" w:eastAsia="Times New Roman" w:hAnsi="Times New Roman" w:cs="Times New Roman"/>
        </w:rPr>
      </w:pPr>
    </w:p>
    <w:p w14:paraId="00000009" w14:textId="77777777" w:rsidR="00290219" w:rsidRDefault="00000000">
      <w:pPr>
        <w:ind w:firstLine="567"/>
        <w:jc w:val="both"/>
        <w:rPr>
          <w:rFonts w:ascii="Times New Roman" w:eastAsia="Times New Roman" w:hAnsi="Times New Roman" w:cs="Times New Roman"/>
        </w:rPr>
      </w:pPr>
      <w:bookmarkStart w:id="0" w:name="yvt5ztloah4d" w:colFirst="0" w:colLast="0"/>
      <w:bookmarkEnd w:id="0"/>
      <w:r>
        <w:rPr>
          <w:rFonts w:ascii="Times New Roman" w:eastAsia="Times New Roman" w:hAnsi="Times New Roman" w:cs="Times New Roman"/>
          <w:b/>
          <w:bCs/>
        </w:rPr>
        <w:t>Articolul I.</w:t>
      </w:r>
      <w:r>
        <w:rPr>
          <w:rFonts w:ascii="Times New Roman" w:eastAsia="Times New Roman" w:hAnsi="Times New Roman" w:cs="Times New Roman"/>
        </w:rPr>
        <w:t> </w:t>
      </w:r>
      <w:r>
        <w:rPr>
          <w:rFonts w:ascii="Times New Roman" w:eastAsia="Times New Roman" w:hAnsi="Times New Roman" w:cs="Times New Roman"/>
          <w:b/>
          <w:bCs/>
        </w:rPr>
        <w:t>Codul Muncii al Republicii Moldova nr. 154/2003</w:t>
      </w:r>
      <w:r>
        <w:rPr>
          <w:rFonts w:ascii="Times New Roman" w:eastAsia="Times New Roman" w:hAnsi="Times New Roman" w:cs="Times New Roman"/>
        </w:rPr>
        <w:t xml:space="preserve"> (Monitorul Oficial al Republicii Moldova, 2003, nr. 159–162, art. 648), cu modificările ulterioare, se modifică după cum urmează:</w:t>
      </w:r>
    </w:p>
    <w:p w14:paraId="0000000A"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b/>
          <w:bCs/>
        </w:rPr>
        <w:t xml:space="preserve">1. </w:t>
      </w:r>
      <w:r>
        <w:rPr>
          <w:rFonts w:ascii="Times New Roman" w:eastAsia="Times New Roman" w:hAnsi="Times New Roman" w:cs="Times New Roman"/>
        </w:rPr>
        <w:t xml:space="preserve">Clauza de armonizare se completează, </w:t>
      </w:r>
      <w:r>
        <w:rPr>
          <w:rFonts w:ascii="Times New Roman" w:eastAsia="Times New Roman" w:hAnsi="Times New Roman" w:cs="Times New Roman"/>
          <w:highlight w:val="white"/>
        </w:rPr>
        <w:t xml:space="preserve">după cum urmează: </w:t>
      </w:r>
    </w:p>
    <w:p w14:paraId="0000000B"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 transpune parțial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(Text cu relevanță pentru SEE), CELEX: 32023L0970, publicată în Jurnalul Oficial al Uniunii Europene L 132 din 17 mai 2023 și se aliniază la Recomandarea Comisiei din 7 martie 2014 referitoare la consolidarea principiului egalității de remunerare între bărbați și femei prin transparență.</w:t>
      </w:r>
    </w:p>
    <w:p w14:paraId="0000000C"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b/>
          <w:bCs/>
        </w:rPr>
        <w:t>2.</w:t>
      </w:r>
      <w:r>
        <w:rPr>
          <w:rFonts w:ascii="Times New Roman" w:eastAsia="Times New Roman" w:hAnsi="Times New Roman" w:cs="Times New Roman"/>
        </w:rPr>
        <w:t xml:space="preserve"> Articolul 1:</w:t>
      </w:r>
    </w:p>
    <w:p w14:paraId="0000000D" w14:textId="77777777" w:rsidR="00290219" w:rsidRDefault="00000000">
      <w:pPr>
        <w:spacing w:after="0"/>
        <w:ind w:firstLine="567"/>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noțiunea </w:t>
      </w:r>
      <w:r>
        <w:rPr>
          <w:rFonts w:ascii="Times New Roman" w:eastAsia="Times New Roman" w:hAnsi="Times New Roman" w:cs="Times New Roman"/>
          <w:i/>
          <w:iCs/>
          <w:highlight w:val="white"/>
        </w:rPr>
        <w:t>„diferență de gen de salarizare”</w:t>
      </w:r>
      <w:r>
        <w:rPr>
          <w:rFonts w:ascii="Times New Roman" w:eastAsia="Times New Roman" w:hAnsi="Times New Roman" w:cs="Times New Roman"/>
          <w:highlight w:val="white"/>
        </w:rPr>
        <w:t xml:space="preserve"> se redenumește în „</w:t>
      </w:r>
      <w:r>
        <w:rPr>
          <w:rFonts w:ascii="Times New Roman" w:eastAsia="Times New Roman" w:hAnsi="Times New Roman" w:cs="Times New Roman"/>
          <w:i/>
          <w:iCs/>
          <w:highlight w:val="white"/>
        </w:rPr>
        <w:t>diferența de remunerare între femei și bărbați</w:t>
      </w:r>
      <w:r>
        <w:rPr>
          <w:rFonts w:ascii="Times New Roman" w:eastAsia="Times New Roman" w:hAnsi="Times New Roman" w:cs="Times New Roman"/>
          <w:highlight w:val="white"/>
        </w:rPr>
        <w:t xml:space="preserve">”, iar în cuprinsul definiției, cuvântul </w:t>
      </w:r>
      <w:r>
        <w:rPr>
          <w:rFonts w:ascii="Times New Roman" w:eastAsia="Times New Roman" w:hAnsi="Times New Roman" w:cs="Times New Roman"/>
          <w:i/>
          <w:iCs/>
          <w:highlight w:val="white"/>
        </w:rPr>
        <w:t>„salarizare”</w:t>
      </w:r>
      <w:r>
        <w:rPr>
          <w:rFonts w:ascii="Times New Roman" w:eastAsia="Times New Roman" w:hAnsi="Times New Roman" w:cs="Times New Roman"/>
          <w:highlight w:val="white"/>
        </w:rPr>
        <w:t xml:space="preserve"> se substituie cu cuvântul „</w:t>
      </w:r>
      <w:r>
        <w:rPr>
          <w:rFonts w:ascii="Times New Roman" w:eastAsia="Times New Roman" w:hAnsi="Times New Roman" w:cs="Times New Roman"/>
          <w:i/>
          <w:iCs/>
          <w:highlight w:val="white"/>
        </w:rPr>
        <w:t>remunerare”</w:t>
      </w:r>
      <w:r>
        <w:rPr>
          <w:rFonts w:ascii="Times New Roman" w:eastAsia="Times New Roman" w:hAnsi="Times New Roman" w:cs="Times New Roman"/>
          <w:highlight w:val="white"/>
        </w:rPr>
        <w:t xml:space="preserve">. </w:t>
      </w:r>
    </w:p>
    <w:p w14:paraId="0000000E" w14:textId="77777777" w:rsidR="00290219" w:rsidRDefault="00290219">
      <w:pPr>
        <w:spacing w:after="0"/>
        <w:ind w:firstLine="567"/>
        <w:jc w:val="both"/>
        <w:rPr>
          <w:rFonts w:ascii="Times New Roman" w:eastAsia="Times New Roman" w:hAnsi="Times New Roman" w:cs="Times New Roman"/>
        </w:rPr>
      </w:pPr>
    </w:p>
    <w:p w14:paraId="0000000F"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 xml:space="preserve">noțiunea „hărțuire sexuală” se completează  cu următorul cuprins: </w:t>
      </w:r>
    </w:p>
    <w:p w14:paraId="00000010"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 , precum și orice tratament mai puțin favorabil bazat pe refuzul unei persoane de a accepta sau pe acceptarea de către aceasta a unui astfel de comportament, atunci când un asemenea comportament sau acțiuni rezultă din exercitarea dreptului de a primi remunerație fără nici o discriminare.”</w:t>
      </w:r>
    </w:p>
    <w:p w14:paraId="00000011" w14:textId="77777777" w:rsidR="00290219" w:rsidRDefault="00000000">
      <w:pPr>
        <w:spacing w:after="0"/>
        <w:ind w:firstLine="567"/>
        <w:jc w:val="both"/>
        <w:rPr>
          <w:rFonts w:ascii="Times New Roman" w:eastAsia="Times New Roman" w:hAnsi="Times New Roman" w:cs="Times New Roman"/>
        </w:rPr>
      </w:pPr>
      <w:r>
        <w:rPr>
          <w:rFonts w:ascii="Times New Roman" w:eastAsia="Times New Roman" w:hAnsi="Times New Roman" w:cs="Times New Roman"/>
        </w:rPr>
        <w:lastRenderedPageBreak/>
        <w:t>la noțiunea ”nivel de salarizare” cuvântul ”salarizare” se substituie cu cuvântul ”remunerare”.</w:t>
      </w:r>
    </w:p>
    <w:p w14:paraId="00000012" w14:textId="77777777" w:rsidR="00290219" w:rsidRDefault="00000000">
      <w:pPr>
        <w:spacing w:after="0"/>
        <w:ind w:firstLine="567"/>
        <w:jc w:val="both"/>
        <w:rPr>
          <w:rFonts w:ascii="Times New Roman" w:eastAsia="Times New Roman" w:hAnsi="Times New Roman" w:cs="Times New Roman"/>
        </w:rPr>
      </w:pPr>
      <w:r>
        <w:rPr>
          <w:rFonts w:ascii="Times New Roman" w:eastAsia="Times New Roman" w:hAnsi="Times New Roman" w:cs="Times New Roman"/>
        </w:rPr>
        <w:t xml:space="preserve">noțiunea </w:t>
      </w:r>
      <w:r>
        <w:rPr>
          <w:rFonts w:ascii="Times New Roman" w:eastAsia="Times New Roman" w:hAnsi="Times New Roman" w:cs="Times New Roman"/>
          <w:i/>
          <w:iCs/>
        </w:rPr>
        <w:t>”remunerație”</w:t>
      </w:r>
      <w:r>
        <w:rPr>
          <w:rFonts w:ascii="Times New Roman" w:eastAsia="Times New Roman" w:hAnsi="Times New Roman" w:cs="Times New Roman"/>
        </w:rPr>
        <w:t xml:space="preserve"> va avea următorul cuprins:</w:t>
      </w:r>
    </w:p>
    <w:p w14:paraId="00000013" w14:textId="77777777" w:rsidR="00290219" w:rsidRDefault="00000000">
      <w:pPr>
        <w:spacing w:after="0"/>
        <w:ind w:firstLine="567"/>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i/>
          <w:iCs/>
        </w:rPr>
        <w:t>remunerație</w:t>
      </w:r>
      <w:r>
        <w:rPr>
          <w:rFonts w:ascii="Times New Roman" w:eastAsia="Times New Roman" w:hAnsi="Times New Roman" w:cs="Times New Roman"/>
        </w:rPr>
        <w:t xml:space="preserve"> – retribuție bănească care include salariul de bază (salariul tarifar, salariul funcției), toate adaosurile, sporurile, premiile și alte plăți de stimulare sau compensare, precum și orice alte elemente constitutive suplimentare sau variabile ale veniturilor salariale acordate salariatului de către angajator în temeiul contractului individual de muncă pentru munca prestată;”</w:t>
      </w:r>
    </w:p>
    <w:p w14:paraId="00000014" w14:textId="77777777" w:rsidR="00290219" w:rsidRDefault="00290219">
      <w:pPr>
        <w:spacing w:after="0"/>
        <w:ind w:firstLine="567"/>
        <w:jc w:val="both"/>
        <w:rPr>
          <w:rFonts w:ascii="Times New Roman" w:eastAsia="Times New Roman" w:hAnsi="Times New Roman" w:cs="Times New Roman"/>
        </w:rPr>
      </w:pPr>
    </w:p>
    <w:p w14:paraId="00000015" w14:textId="77777777" w:rsidR="00290219" w:rsidRDefault="00000000">
      <w:pPr>
        <w:spacing w:after="0"/>
        <w:ind w:firstLine="567"/>
        <w:jc w:val="both"/>
        <w:rPr>
          <w:rFonts w:ascii="Times New Roman" w:eastAsia="Times New Roman" w:hAnsi="Times New Roman" w:cs="Times New Roman"/>
        </w:rPr>
      </w:pPr>
      <w:r>
        <w:rPr>
          <w:rFonts w:ascii="Times New Roman" w:eastAsia="Times New Roman" w:hAnsi="Times New Roman" w:cs="Times New Roman"/>
        </w:rPr>
        <w:t>articolul se completează cu 4  noțiuni noi cu următorul cuprins:</w:t>
      </w:r>
    </w:p>
    <w:p w14:paraId="00000016" w14:textId="77777777" w:rsidR="00290219" w:rsidRDefault="00000000">
      <w:pPr>
        <w:spacing w:after="0"/>
        <w:ind w:firstLine="567"/>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i/>
          <w:iCs/>
        </w:rPr>
        <w:t>nivel median de remunerare</w:t>
      </w:r>
      <w:r>
        <w:rPr>
          <w:rFonts w:ascii="Times New Roman" w:eastAsia="Times New Roman" w:hAnsi="Times New Roman" w:cs="Times New Roman"/>
        </w:rPr>
        <w:t xml:space="preserve"> – nivelul de remunerare la care jumătate dintre salariații unui angajator câștigă mai mult și jumătate câștigă mai puțin;</w:t>
      </w:r>
    </w:p>
    <w:p w14:paraId="00000017"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i/>
          <w:iCs/>
        </w:rPr>
        <w:t>diferență mediană de remunerare între femei și bărbați</w:t>
      </w:r>
      <w:r>
        <w:rPr>
          <w:rFonts w:ascii="Times New Roman" w:eastAsia="Times New Roman" w:hAnsi="Times New Roman" w:cs="Times New Roman"/>
        </w:rPr>
        <w:t xml:space="preserve"> - diferența dintre nivelul median de remunerare a salariaților de sex feminin și nivelul median de remunerare a salariaților de sex masculin ai unui angajator, exprimată ca procent din nivelul median de remunerare a salariaților de sex masculin;</w:t>
      </w:r>
    </w:p>
    <w:p w14:paraId="00000018"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i/>
          <w:iCs/>
        </w:rPr>
        <w:t xml:space="preserve">interval de remunerare de tip </w:t>
      </w:r>
      <w:proofErr w:type="spellStart"/>
      <w:r>
        <w:rPr>
          <w:rFonts w:ascii="Times New Roman" w:eastAsia="Times New Roman" w:hAnsi="Times New Roman" w:cs="Times New Roman"/>
          <w:i/>
          <w:iCs/>
        </w:rPr>
        <w:t>cuartilă</w:t>
      </w:r>
      <w:proofErr w:type="spellEnd"/>
      <w:r>
        <w:rPr>
          <w:rFonts w:ascii="Times New Roman" w:eastAsia="Times New Roman" w:hAnsi="Times New Roman" w:cs="Times New Roman"/>
        </w:rPr>
        <w:t xml:space="preserve"> - fiecare dintre cele patru grupuri egale de salariați în care sunt împărțiți aceștia în funcție de nivelurile lor de remunerare, de la cel mai mic la cel mai mare;</w:t>
      </w:r>
    </w:p>
    <w:p w14:paraId="00000019"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i/>
          <w:iCs/>
        </w:rPr>
        <w:t>categorie de salariați</w:t>
      </w:r>
      <w:r>
        <w:rPr>
          <w:rFonts w:ascii="Times New Roman" w:eastAsia="Times New Roman" w:hAnsi="Times New Roman" w:cs="Times New Roman"/>
        </w:rPr>
        <w:t xml:space="preserve"> – salariați care prestează aceeași muncă sau muncă de valoare egală, grupați într-un mod nearbitrar, pe baza unor criterii obiective, neutre din punctul de vedere al sexului și nediscriminatorii, stabilite de angajator după consultarea reprezentanților salariaților, după caz.”</w:t>
      </w:r>
    </w:p>
    <w:p w14:paraId="0000001A"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b/>
          <w:bCs/>
        </w:rPr>
        <w:t xml:space="preserve">3. </w:t>
      </w:r>
      <w:r>
        <w:rPr>
          <w:rFonts w:ascii="Times New Roman" w:eastAsia="Times New Roman" w:hAnsi="Times New Roman" w:cs="Times New Roman"/>
        </w:rPr>
        <w:t>Articolul 3 se completează cu litera g) cu următorul cuprins:</w:t>
      </w:r>
    </w:p>
    <w:p w14:paraId="0000001B"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„g) candidaților pentru angajare, în măsura în care este relevant pentru dreptul acestora la angajare în condițiile stabilite de lege, la încheierea unui contract individual de muncă sau la stabilirea salariului fără nici o discriminare, precum și la contestarea încălcărilor drepturilor lor.”</w:t>
      </w:r>
    </w:p>
    <w:p w14:paraId="0000001C"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b/>
          <w:bCs/>
        </w:rPr>
        <w:t>4</w:t>
      </w:r>
      <w:r>
        <w:rPr>
          <w:rFonts w:ascii="Times New Roman" w:eastAsia="Times New Roman" w:hAnsi="Times New Roman" w:cs="Times New Roman"/>
        </w:rPr>
        <w:t>. Articolul 9 alin. (1) lit. f) se modifică și va avea următorul cuprins:</w:t>
      </w:r>
    </w:p>
    <w:p w14:paraId="0000001D"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”f) la informarea deplină și veridică, anterior angajării sau transferării într-o altă funcție, privind condițiile de activitate, în special privind condițiile de retribuire a muncii, inclusiv salariul funcției sau cel tarifar, suplimentele, premiile, ajutoarele materiale, precum și orice alte elemente constitutive suplimentare sau variabile ale veniturilor salariale (în cazul în care acestea fac parte din sistemul de salarizare al unității), periodicitatea achitării plăților și criteriile utilizate pentru stabilirea nivelurilor de remunerare;”</w:t>
      </w:r>
    </w:p>
    <w:p w14:paraId="0000001E"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b/>
          <w:bCs/>
        </w:rPr>
        <w:t>5.</w:t>
      </w:r>
      <w:r>
        <w:rPr>
          <w:rFonts w:ascii="Times New Roman" w:eastAsia="Times New Roman" w:hAnsi="Times New Roman" w:cs="Times New Roman"/>
        </w:rPr>
        <w:t xml:space="preserve"> Articolul 10 alin. (2) se completează cu litera s) cu următorul cuprins:</w:t>
      </w:r>
    </w:p>
    <w:p w14:paraId="0000001F"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 xml:space="preserve">„s) să prelucreze datele cu caracter personal ale salariaților, colectate și furnizate în cadrul implementării principiului remunerării egale pentru muncă egală sau pentru muncă de valoare egală, cu respectarea prevederilor legislației în vigoare privind protecția datelor cu caracter </w:t>
      </w:r>
      <w:r>
        <w:rPr>
          <w:rFonts w:ascii="Times New Roman" w:eastAsia="Times New Roman" w:hAnsi="Times New Roman" w:cs="Times New Roman"/>
        </w:rPr>
        <w:lastRenderedPageBreak/>
        <w:t>personal, asigurând că aceste date sunt prelucrate în mod legal, exclusiv în scopul aplicării, monitorizării și asigurării respectării principiului menționat, fără a fi utilizate în alte scopuri incompatibile cu aceste obiective.”</w:t>
      </w:r>
    </w:p>
    <w:p w14:paraId="00000020"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b/>
          <w:bCs/>
        </w:rPr>
        <w:t xml:space="preserve">6. </w:t>
      </w:r>
      <w:r>
        <w:rPr>
          <w:rFonts w:ascii="Times New Roman" w:eastAsia="Times New Roman" w:hAnsi="Times New Roman" w:cs="Times New Roman"/>
        </w:rPr>
        <w:t>Codul muncii se completează cu articolele 47</w:t>
      </w:r>
      <w:r>
        <w:rPr>
          <w:rFonts w:ascii="Times New Roman" w:eastAsia="Times New Roman" w:hAnsi="Times New Roman" w:cs="Times New Roman"/>
          <w:vertAlign w:val="superscript"/>
        </w:rPr>
        <w:t>1 </w:t>
      </w:r>
      <w:r>
        <w:rPr>
          <w:rFonts w:ascii="Times New Roman" w:eastAsia="Times New Roman" w:hAnsi="Times New Roman" w:cs="Times New Roman"/>
        </w:rPr>
        <w:t>cu următorul cuprins:</w:t>
      </w:r>
    </w:p>
    <w:p w14:paraId="00000021"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b/>
          <w:bCs/>
        </w:rPr>
        <w:t xml:space="preserve">Articolul 47¹. </w:t>
      </w:r>
      <w:r>
        <w:rPr>
          <w:rFonts w:ascii="Times New Roman" w:eastAsia="Times New Roman" w:hAnsi="Times New Roman" w:cs="Times New Roman"/>
        </w:rPr>
        <w:t>Transparența salarială înainte de angajare</w:t>
      </w:r>
    </w:p>
    <w:p w14:paraId="00000022"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(1) Anunțurile privind ofertele de angajare, precum și denumirile funcțiilor sau ale locurilor de muncă, sunt formulate în mod neutru din punct de vedere al sexului.</w:t>
      </w:r>
    </w:p>
    <w:p w14:paraId="00000023"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(2) Angajatorul are obligația de a informa candidatul la ocuparea unui loc de muncă despre nivelul inițial al remunerației sau intervalul acesteia,  stabilit pe baza unor criterii obiective și neutre din punct de vedere al sexului, aferent funcției oferite, precum și, după caz, despre clauzele relevante ale convenției colective de muncă aplicate de angajator în legătură cu funcția respectivă.  Aceste informații se furnizează prin anunțul de angajare, sau se comunică în scris candidatului înainte de desfășurarea interviului de angajare, pentru a asigura negocieri informate și transparente privind remunerația.</w:t>
      </w:r>
    </w:p>
    <w:p w14:paraId="00000024"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(3) Angajatorul asigură desfășurarea proceselor de angajare într-o manieră nediscriminatorie, astfel încât acestea să nu aducă atingere dreptului la egalitatea de remunerare pentru muncă egală sau muncă de valoare egală, precum și drepturilor la informare ale persoanelor cu dizabilități.</w:t>
      </w:r>
    </w:p>
    <w:p w14:paraId="00000025"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(4) Angajatorului îi este interzis să solicite sau să pretindă candidaților care aplică pentru o ofertă de angajare orice informații privind istoricul salarial aferent raporturilor de muncă curente sau anterioare.”</w:t>
      </w:r>
    </w:p>
    <w:p w14:paraId="00000026"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b/>
          <w:bCs/>
        </w:rPr>
        <w:t>7.</w:t>
      </w:r>
      <w:r>
        <w:rPr>
          <w:rFonts w:ascii="Times New Roman" w:eastAsia="Times New Roman" w:hAnsi="Times New Roman" w:cs="Times New Roman"/>
        </w:rPr>
        <w:t xml:space="preserve"> Articolul 91 se completează cu litera k) cu următorul cuprins:</w:t>
      </w:r>
    </w:p>
    <w:p w14:paraId="00000027"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„k) angajatorul prelucrează datele cu caracter personal ale salariaților în procesul implementării principiului remunerării egale pentru muncă egală sau muncă de valoare egală, cu respectarea Legii privind protecția datelor cu caracter personal nr. 195/2024.”</w:t>
      </w:r>
    </w:p>
    <w:p w14:paraId="00000028" w14:textId="77777777" w:rsidR="00290219" w:rsidRDefault="00000000">
      <w:pPr>
        <w:ind w:firstLine="567"/>
        <w:jc w:val="both"/>
        <w:rPr>
          <w:rFonts w:ascii="Times New Roman" w:eastAsia="Times New Roman" w:hAnsi="Times New Roman" w:cs="Times New Roman"/>
          <w:highlight w:val="white"/>
        </w:rPr>
      </w:pPr>
      <w:r>
        <w:rPr>
          <w:rFonts w:ascii="Times New Roman" w:eastAsia="Times New Roman" w:hAnsi="Times New Roman" w:cs="Times New Roman"/>
          <w:b/>
          <w:bCs/>
        </w:rPr>
        <w:t>8.</w:t>
      </w:r>
      <w:r>
        <w:rPr>
          <w:rFonts w:ascii="Times New Roman" w:eastAsia="Times New Roman" w:hAnsi="Times New Roman" w:cs="Times New Roman"/>
        </w:rPr>
        <w:t xml:space="preserve"> Articolul 128 la alineatul (2³) </w:t>
      </w:r>
      <w:r>
        <w:rPr>
          <w:rFonts w:ascii="Times New Roman" w:eastAsia="Times New Roman" w:hAnsi="Times New Roman" w:cs="Times New Roman"/>
          <w:highlight w:val="white"/>
        </w:rPr>
        <w:t>textul „diferența de gen de salarizare” se substituie cu  textul „diferența de remunerare între femei și bărbați”;</w:t>
      </w:r>
    </w:p>
    <w:p w14:paraId="00000029"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alineatul (2</w:t>
      </w:r>
      <w:r>
        <w:rPr>
          <w:rFonts w:ascii="Times New Roman" w:eastAsia="Times New Roman" w:hAnsi="Times New Roman" w:cs="Times New Roman"/>
          <w:vertAlign w:val="superscript"/>
        </w:rPr>
        <w:t>4</w:t>
      </w:r>
      <w:r>
        <w:rPr>
          <w:rFonts w:ascii="Times New Roman" w:eastAsia="Times New Roman" w:hAnsi="Times New Roman" w:cs="Times New Roman"/>
        </w:rPr>
        <w:t>) va avea următorul cuprins:</w:t>
      </w:r>
    </w:p>
    <w:p w14:paraId="0000002A"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vertAlign w:val="superscript"/>
        </w:rPr>
        <w:t>4</w:t>
      </w:r>
      <w:r>
        <w:rPr>
          <w:rFonts w:ascii="Times New Roman" w:eastAsia="Times New Roman" w:hAnsi="Times New Roman" w:cs="Times New Roman"/>
        </w:rPr>
        <w:t>) Angajatorul trebuie să pună la dispoziția salariaților, într-un mod ușor accesibil, informația privind criteriile utilizate pentru sistemul de evaluare și clasificare a funcțiilor pentru stabilirea nivelurilor de remunerare, inclusiv criteriile aplicabile pentru determinarea evoluției remunerației în unitate. Angajatorii care au sub 50 de salariați sunt exonerați de obligația informării salariaților cu privire la criteriile aplicate la determinarea evoluției remunerației.”</w:t>
      </w:r>
    </w:p>
    <w:p w14:paraId="0000002B"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se completează cu alineatele (2</w:t>
      </w:r>
      <w:r>
        <w:rPr>
          <w:rFonts w:ascii="Times New Roman" w:eastAsia="Times New Roman" w:hAnsi="Times New Roman" w:cs="Times New Roman"/>
          <w:vertAlign w:val="superscript"/>
        </w:rPr>
        <w:t>5</w:t>
      </w:r>
      <w:r>
        <w:rPr>
          <w:rFonts w:ascii="Times New Roman" w:eastAsia="Times New Roman" w:hAnsi="Times New Roman" w:cs="Times New Roman"/>
        </w:rPr>
        <w:t>)-(2</w:t>
      </w:r>
      <w:r>
        <w:rPr>
          <w:rFonts w:ascii="Times New Roman" w:eastAsia="Times New Roman" w:hAnsi="Times New Roman" w:cs="Times New Roman"/>
          <w:vertAlign w:val="superscript"/>
        </w:rPr>
        <w:t>8</w:t>
      </w:r>
      <w:r>
        <w:rPr>
          <w:rFonts w:ascii="Times New Roman" w:eastAsia="Times New Roman" w:hAnsi="Times New Roman" w:cs="Times New Roman"/>
        </w:rPr>
        <w:t>) cu următorul cuprins:</w:t>
      </w:r>
    </w:p>
    <w:p w14:paraId="0000002C"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lastRenderedPageBreak/>
        <w:t>„(2</w:t>
      </w:r>
      <w:r>
        <w:rPr>
          <w:rFonts w:ascii="Times New Roman" w:eastAsia="Times New Roman" w:hAnsi="Times New Roman" w:cs="Times New Roman"/>
          <w:vertAlign w:val="superscript"/>
        </w:rPr>
        <w:t>5</w:t>
      </w:r>
      <w:r>
        <w:rPr>
          <w:rFonts w:ascii="Times New Roman" w:eastAsia="Times New Roman" w:hAnsi="Times New Roman" w:cs="Times New Roman"/>
        </w:rPr>
        <w:t>) Sistemul de evaluare și clasificare a funcțiilor utilizat de angajator pentru stabilirea nivelurilor de remunerare în unitate se aprobă de către angajator, după consultarea cu organul sindical sau cu reprezentanții salariaților, în cazul în care aceștia au fost aleși, cu respectarea dispozițiilor prevăzute la alin. (2</w:t>
      </w:r>
      <w:r>
        <w:rPr>
          <w:rFonts w:ascii="Times New Roman" w:eastAsia="Times New Roman" w:hAnsi="Times New Roman" w:cs="Times New Roman"/>
          <w:vertAlign w:val="superscript"/>
        </w:rPr>
        <w:t>6</w:t>
      </w:r>
      <w:r>
        <w:rPr>
          <w:rFonts w:ascii="Times New Roman" w:eastAsia="Times New Roman" w:hAnsi="Times New Roman" w:cs="Times New Roman"/>
        </w:rPr>
        <w:t>), precum și a prevederilor prezentului Cod. Angajatorii stabilesc în mod individual sistemul de evaluare și clasificare a funcțiilor aplicabil în cadrul unității, ținând seama de specificul activității, structura organizatorică și necesitățile proprii. Ministerul Muncii și Protecției Sociale elaborează și pune la dispoziția angajatorilor Metodologia pentru evaluarea și compararea valorii muncii, care are caracter orientativ și constituie un instrument de referință și sprijin pentru elaborarea, aplicarea sau revizuirea sistemelor de evaluare și clasificare a funcțiilor.</w:t>
      </w:r>
    </w:p>
    <w:p w14:paraId="0000002D"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vertAlign w:val="superscript"/>
        </w:rPr>
        <w:t>6</w:t>
      </w:r>
      <w:r>
        <w:rPr>
          <w:rFonts w:ascii="Times New Roman" w:eastAsia="Times New Roman" w:hAnsi="Times New Roman" w:cs="Times New Roman"/>
        </w:rPr>
        <w:t>) Criteriile aplicabile sistemului de evaluare și clasificare a funcțiilor includ, fără a se limita la acestea, criteriile prevăzute la art. 128 alin. (2²) precum și alte criterii relevante, în funcție de specificul funcției sau al activității desfășurate, aplicate în mod obiectiv, neutru din punctul de vedere al sexului și fără nicio formă de discriminare.</w:t>
      </w:r>
    </w:p>
    <w:p w14:paraId="0000002E"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vertAlign w:val="superscript"/>
        </w:rPr>
        <w:t>7</w:t>
      </w:r>
      <w:r>
        <w:rPr>
          <w:rFonts w:ascii="Times New Roman" w:eastAsia="Times New Roman" w:hAnsi="Times New Roman" w:cs="Times New Roman"/>
        </w:rPr>
        <w:t>) Sistemul de evaluare și clasificare a funcțiilor stabilește categoriile de salariați și, pentru fiecare dintre acestea, formele de salarizare, cuantumurile sau intervalele de salarizare (minim și maxim), temeiurile și procedura de acordare a plăților suplimentare (salariul suplimentar, precum și alte plăți de stimulare și compensare), și a altor componente complementare sau variabile ale remunerației, după caz, precum și procedura de majorare a salariilor. Angajatorii care au sub 50 de salariați sunt exonerați de obligația de a include procedura de majorare a salariilor în sistemul de evaluare și clasificare a funcțiilor .</w:t>
      </w:r>
    </w:p>
    <w:p w14:paraId="0000002F"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Elementele constitutive ale remunerației prevăzute la prezentul alineat se iau în considerare la evaluarea respectării de către angajator a principiului egalității de remunerare</w:t>
      </w:r>
      <w:r>
        <w:t xml:space="preserve"> </w:t>
      </w:r>
      <w:r>
        <w:rPr>
          <w:rFonts w:ascii="Times New Roman" w:eastAsia="Times New Roman" w:hAnsi="Times New Roman" w:cs="Times New Roman"/>
        </w:rPr>
        <w:t>între salariații de sex feminin și salariații de sex masculin pentru aceeași muncă sau pentru o muncă de valoare egală, la furnizarea informațiilor către salariați, la raportarea diferențelor de remunerare, precum și, după caz, la efectuarea evaluării comune a remunerațiilor, în condițiile prezentului Cod.</w:t>
      </w:r>
    </w:p>
    <w:p w14:paraId="00000030"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vertAlign w:val="superscript"/>
        </w:rPr>
        <w:t>8</w:t>
      </w:r>
      <w:r>
        <w:rPr>
          <w:rFonts w:ascii="Times New Roman" w:eastAsia="Times New Roman" w:hAnsi="Times New Roman" w:cs="Times New Roman"/>
        </w:rPr>
        <w:t>) Sistemul de evaluare și clasificare a funcțiilor se fixează în contractul colectiv de muncă, regulamentul intern</w:t>
      </w:r>
      <w:r>
        <w:rPr>
          <w:rFonts w:ascii="Times New Roman" w:eastAsia="Times New Roman" w:hAnsi="Times New Roman" w:cs="Times New Roman"/>
          <w:highlight w:val="white"/>
        </w:rPr>
        <w:t xml:space="preserve"> </w:t>
      </w:r>
      <w:r>
        <w:rPr>
          <w:rFonts w:ascii="Times New Roman" w:eastAsia="Times New Roman" w:hAnsi="Times New Roman" w:cs="Times New Roman"/>
        </w:rPr>
        <w:t>al unității, dacă este elaborat și aprobat de angajator, precum și prin alte acte normative interne cu caracter obligatoriu, aplicabile la nivel de unitate”.</w:t>
      </w:r>
    </w:p>
    <w:p w14:paraId="00000031" w14:textId="77777777" w:rsidR="00290219" w:rsidRDefault="00000000">
      <w:pPr>
        <w:ind w:firstLine="567"/>
        <w:jc w:val="both"/>
        <w:rPr>
          <w:rFonts w:ascii="Times New Roman" w:eastAsia="Times New Roman" w:hAnsi="Times New Roman" w:cs="Times New Roman"/>
          <w:b/>
          <w:bCs/>
        </w:rPr>
      </w:pPr>
      <w:r>
        <w:rPr>
          <w:rFonts w:ascii="Times New Roman" w:eastAsia="Times New Roman" w:hAnsi="Times New Roman" w:cs="Times New Roman"/>
          <w:b/>
          <w:bCs/>
        </w:rPr>
        <w:t xml:space="preserve">9. </w:t>
      </w:r>
      <w:r>
        <w:rPr>
          <w:rFonts w:ascii="Times New Roman" w:eastAsia="Times New Roman" w:hAnsi="Times New Roman" w:cs="Times New Roman"/>
        </w:rPr>
        <w:t>Codul muncii</w:t>
      </w:r>
      <w:r>
        <w:rPr>
          <w:rFonts w:ascii="Times New Roman" w:eastAsia="Times New Roman" w:hAnsi="Times New Roman" w:cs="Times New Roman"/>
          <w:b/>
          <w:bCs/>
        </w:rPr>
        <w:t xml:space="preserve"> </w:t>
      </w:r>
      <w:r>
        <w:rPr>
          <w:rFonts w:ascii="Times New Roman" w:eastAsia="Times New Roman" w:hAnsi="Times New Roman" w:cs="Times New Roman"/>
        </w:rPr>
        <w:t>se completează cu articolele 128</w:t>
      </w:r>
      <w:r>
        <w:rPr>
          <w:rFonts w:ascii="Times New Roman" w:eastAsia="Times New Roman" w:hAnsi="Times New Roman" w:cs="Times New Roman"/>
          <w:vertAlign w:val="superscript"/>
        </w:rPr>
        <w:t>1</w:t>
      </w:r>
      <w:r>
        <w:rPr>
          <w:rFonts w:ascii="Times New Roman" w:eastAsia="Times New Roman" w:hAnsi="Times New Roman" w:cs="Times New Roman"/>
        </w:rPr>
        <w:t>, 128², 128</w:t>
      </w:r>
      <w:r>
        <w:rPr>
          <w:rFonts w:ascii="Times New Roman" w:eastAsia="Times New Roman" w:hAnsi="Times New Roman" w:cs="Times New Roman"/>
          <w:vertAlign w:val="superscript"/>
        </w:rPr>
        <w:t>3</w:t>
      </w:r>
      <w:r>
        <w:rPr>
          <w:rFonts w:ascii="Times New Roman" w:eastAsia="Times New Roman" w:hAnsi="Times New Roman" w:cs="Times New Roman"/>
        </w:rPr>
        <w:t xml:space="preserve">, </w:t>
      </w:r>
      <w:r>
        <w:rPr>
          <w:rFonts w:ascii="Times New Roman" w:eastAsia="Times New Roman" w:hAnsi="Times New Roman" w:cs="Times New Roman"/>
          <w:highlight w:val="white"/>
        </w:rPr>
        <w:t>128⁴</w:t>
      </w:r>
      <w:r>
        <w:rPr>
          <w:rFonts w:ascii="Times New Roman" w:eastAsia="Times New Roman" w:hAnsi="Times New Roman" w:cs="Times New Roman"/>
          <w:b/>
          <w:bCs/>
          <w:highlight w:val="white"/>
        </w:rPr>
        <w:t xml:space="preserve"> </w:t>
      </w:r>
      <w:r>
        <w:rPr>
          <w:rFonts w:ascii="Times New Roman" w:eastAsia="Times New Roman" w:hAnsi="Times New Roman" w:cs="Times New Roman"/>
        </w:rPr>
        <w:t>și</w:t>
      </w:r>
      <w:r>
        <w:rPr>
          <w:rFonts w:ascii="Times New Roman" w:eastAsia="Times New Roman" w:hAnsi="Times New Roman" w:cs="Times New Roman"/>
          <w:b/>
          <w:bCs/>
        </w:rPr>
        <w:t xml:space="preserve"> </w:t>
      </w:r>
      <w:r>
        <w:rPr>
          <w:rFonts w:ascii="Times New Roman" w:eastAsia="Times New Roman" w:hAnsi="Times New Roman" w:cs="Times New Roman"/>
        </w:rPr>
        <w:t>129</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cu următorul cuprins:</w:t>
      </w:r>
    </w:p>
    <w:p w14:paraId="00000032" w14:textId="77777777" w:rsidR="00290219" w:rsidRDefault="00000000">
      <w:pPr>
        <w:spacing w:after="120"/>
        <w:ind w:firstLine="567"/>
        <w:jc w:val="both"/>
        <w:rPr>
          <w:rFonts w:ascii="Times New Roman" w:eastAsia="Times New Roman" w:hAnsi="Times New Roman" w:cs="Times New Roman"/>
          <w:vertAlign w:val="superscript"/>
        </w:rPr>
      </w:pPr>
      <w:r>
        <w:rPr>
          <w:rFonts w:ascii="Times New Roman" w:eastAsia="Times New Roman" w:hAnsi="Times New Roman" w:cs="Times New Roman"/>
        </w:rPr>
        <w:t>„</w:t>
      </w:r>
      <w:r>
        <w:rPr>
          <w:rFonts w:ascii="Times New Roman" w:eastAsia="Times New Roman" w:hAnsi="Times New Roman" w:cs="Times New Roman"/>
          <w:b/>
          <w:bCs/>
        </w:rPr>
        <w:t>Articolul 128</w:t>
      </w:r>
      <w:r>
        <w:rPr>
          <w:rFonts w:ascii="Times New Roman" w:eastAsia="Times New Roman" w:hAnsi="Times New Roman" w:cs="Times New Roman"/>
          <w:b/>
          <w:bCs/>
          <w:vertAlign w:val="superscript"/>
        </w:rPr>
        <w:t xml:space="preserve">1 </w:t>
      </w:r>
      <w:r>
        <w:rPr>
          <w:rFonts w:ascii="Times New Roman" w:eastAsia="Times New Roman" w:hAnsi="Times New Roman" w:cs="Times New Roman"/>
        </w:rPr>
        <w:t>. Dreptul salariatului la informare cu privire la remunerarea egală</w:t>
      </w:r>
    </w:p>
    <w:p w14:paraId="00000033"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(1) La cererea scrisă a salariatului, angajatorul este obligat să furnizeze în scris informații privind cuantumul salariului acestuia, precum și date privind nivelurile medii de remunerare defalcate în funcție de sex pentru categoriile de salariați care prestează muncă egală sau muncă de valoare egală. Informația se prezintă salariatului în scris în termen rezonabil, care nu poate depăși 2 luni de la data recepționării cererii de către angajator.</w:t>
      </w:r>
    </w:p>
    <w:p w14:paraId="00000034"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lastRenderedPageBreak/>
        <w:t>(2) Salariatul are dreptul de a primi informațiile prevăzute la alin. (1) personal, sau prin intermediul reprezentanților salariaților. În cazul în care informațiile primite sunt inexacte sau incomplete, salariatul sau reprezentanții salariaților, după caz,  are dreptul de a solicita, într-un mod rezonabil, explicații suplimentare.</w:t>
      </w:r>
    </w:p>
    <w:p w14:paraId="00000035"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 xml:space="preserve">(3) Angajatorul are obligația de a informa anual salariații cu privire la dreptul acestora de a primi informațiile prevăzute la alineatul (1), precum și cu privire la modalitatea de exercitare a acestui drept. </w:t>
      </w:r>
    </w:p>
    <w:p w14:paraId="00000036"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(4) În cazul în care furnizarea către un salariat a informațiilor prevăzute la alineatul (1) ar conduce, direct sau indirect, la identificarea unui alt salariat, evaluarea respectării de către angajator a principiului egalității de remunerare se efectuează de către reprezentanții salariaților, sau după caz, de către Consiliul pentru Egalitate sau Inspectoratul de Stat al Muncii în temeiul cererii depuse de salariat, care informează salariatul solicitant cu privire la rezultatul acestei evaluări.</w:t>
      </w:r>
    </w:p>
    <w:p w14:paraId="00000037"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(5)  Angajatorul poate solicita salariatului să nu utilizeze informațiile prevăzute la alineatul (1) în alte scopuri decât exercitarea dreptului la remunerare egală pentru muncă egală sau muncă de valoare egală, cu excepția informațiilor referitoare la propria remunerație a salariatului. Această prevedere nu împiedică salariații să își divulge remunerația în scopul asigurării respectării principiului remunerării egale. Orice clauze contractuale de confidențialitate care împiedică divulgarea remunerației în scopul aplicării principiului remunerării egale sunt nule de drept.</w:t>
      </w:r>
    </w:p>
    <w:p w14:paraId="00000038"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(6) Informațiile furnizate salariaților cu dizabilități se vor asigura într-un format accesibil acestora, adaptat nevoilor specifice ale acestora.</w:t>
      </w:r>
    </w:p>
    <w:p w14:paraId="00000039"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b/>
          <w:bCs/>
        </w:rPr>
        <w:t>Articolul 128²</w:t>
      </w:r>
      <w:r>
        <w:rPr>
          <w:rFonts w:ascii="Times New Roman" w:eastAsia="Times New Roman" w:hAnsi="Times New Roman" w:cs="Times New Roman"/>
        </w:rPr>
        <w:t>. Raportarea privind diferențele de remunerare</w:t>
      </w:r>
    </w:p>
    <w:p w14:paraId="0000003A" w14:textId="77777777" w:rsidR="00290219" w:rsidRDefault="00000000">
      <w:pPr>
        <w:spacing w:after="120"/>
        <w:ind w:firstLine="567"/>
        <w:jc w:val="both"/>
        <w:rPr>
          <w:rFonts w:ascii="Times New Roman" w:eastAsia="Times New Roman" w:hAnsi="Times New Roman" w:cs="Times New Roman"/>
          <w:highlight w:val="lightGray"/>
        </w:rPr>
      </w:pPr>
      <w:r>
        <w:rPr>
          <w:rFonts w:ascii="Times New Roman" w:eastAsia="Times New Roman" w:hAnsi="Times New Roman" w:cs="Times New Roman"/>
        </w:rPr>
        <w:t>(1) La cererea scrisă a salariaților și/sau a reprezentanților salariaților, transmisă inclusiv prin mijloace electronice, angajatorul furnizează informații privind diferența de remunerare între salariații de sex feminin și cei de sex masculin, defalcată pe categorii de salariați și pe componente ale remunerației, inclusiv salariul de bază și orice componente suplimentare sau variabile. Informațiile se furnizează în formă scrisă, inclusiv prin mijloace electronice, în termen de cel mult 2 luni de la data recepționării cererii.</w:t>
      </w:r>
    </w:p>
    <w:p w14:paraId="0000003B"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 xml:space="preserve">(2) Angajatorii cu cel puțin 100 de salariați fac obiectul obligațiilor prevăzute de prezentul articol, cu respectarea termenelor stabilite la alineatul (5). </w:t>
      </w:r>
    </w:p>
    <w:p w14:paraId="0000003C"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 xml:space="preserve">(3) Indicatorii prevăzuți la alineatul (4) literele a)–f) se calculează, </w:t>
      </w:r>
      <w:r>
        <w:rPr>
          <w:rFonts w:ascii="Times New Roman" w:eastAsia="Times New Roman" w:hAnsi="Times New Roman" w:cs="Times New Roman"/>
          <w:highlight w:val="white"/>
        </w:rPr>
        <w:t>compilează</w:t>
      </w:r>
      <w:r>
        <w:rPr>
          <w:rFonts w:ascii="Times New Roman" w:eastAsia="Times New Roman" w:hAnsi="Times New Roman" w:cs="Times New Roman"/>
        </w:rPr>
        <w:t xml:space="preserve"> și se publică de Inspectoratul de Stat al Muncii pe baza datelor administrative furnizate de angajatori autorităților fiscale și de asigurări sociale și, după caz, altor autorități competente. </w:t>
      </w:r>
    </w:p>
    <w:p w14:paraId="0000003D"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(4) Indicatorii vizați de prezentul articol sunt:</w:t>
      </w:r>
    </w:p>
    <w:p w14:paraId="0000003E" w14:textId="77777777" w:rsidR="00290219" w:rsidRDefault="00000000">
      <w:pPr>
        <w:numPr>
          <w:ilvl w:val="0"/>
          <w:numId w:val="3"/>
        </w:numPr>
        <w:pBdr>
          <w:top w:val="nil"/>
          <w:left w:val="nil"/>
          <w:bottom w:val="nil"/>
          <w:right w:val="nil"/>
          <w:between w:val="nil"/>
        </w:pBdr>
        <w:spacing w:after="0"/>
        <w:ind w:left="924" w:hanging="357"/>
        <w:jc w:val="both"/>
        <w:rPr>
          <w:rFonts w:ascii="Times New Roman" w:eastAsia="Times New Roman" w:hAnsi="Times New Roman" w:cs="Times New Roman"/>
          <w:color w:val="000000"/>
        </w:rPr>
      </w:pPr>
      <w:r>
        <w:rPr>
          <w:rFonts w:ascii="Times New Roman" w:eastAsia="Times New Roman" w:hAnsi="Times New Roman" w:cs="Times New Roman"/>
        </w:rPr>
        <w:t>diferența de remunerare între salariații de sex feminin și cei de sex masculin;</w:t>
      </w:r>
    </w:p>
    <w:p w14:paraId="0000003F" w14:textId="77777777" w:rsidR="00290219" w:rsidRDefault="00000000">
      <w:pPr>
        <w:numPr>
          <w:ilvl w:val="0"/>
          <w:numId w:val="3"/>
        </w:numPr>
        <w:pBdr>
          <w:top w:val="nil"/>
          <w:left w:val="nil"/>
          <w:bottom w:val="nil"/>
          <w:right w:val="nil"/>
          <w:between w:val="nil"/>
        </w:pBdr>
        <w:spacing w:after="0"/>
        <w:ind w:left="924" w:hanging="357"/>
        <w:jc w:val="both"/>
        <w:rPr>
          <w:rFonts w:ascii="Times New Roman" w:eastAsia="Times New Roman" w:hAnsi="Times New Roman" w:cs="Times New Roman"/>
          <w:color w:val="000000"/>
        </w:rPr>
      </w:pPr>
      <w:r>
        <w:rPr>
          <w:rFonts w:ascii="Times New Roman" w:eastAsia="Times New Roman" w:hAnsi="Times New Roman" w:cs="Times New Roman"/>
        </w:rPr>
        <w:t>diferența de remunerare între salariații de sex feminin și cei de sex masculin la nivelul componentelor suplimentare sau variabile ale remunerației;</w:t>
      </w:r>
    </w:p>
    <w:p w14:paraId="00000040" w14:textId="77777777" w:rsidR="00290219" w:rsidRDefault="00000000">
      <w:pPr>
        <w:numPr>
          <w:ilvl w:val="0"/>
          <w:numId w:val="3"/>
        </w:numPr>
        <w:pBdr>
          <w:top w:val="nil"/>
          <w:left w:val="nil"/>
          <w:bottom w:val="nil"/>
          <w:right w:val="nil"/>
          <w:between w:val="nil"/>
        </w:pBdr>
        <w:spacing w:after="0"/>
        <w:ind w:left="924" w:hanging="357"/>
        <w:jc w:val="both"/>
        <w:rPr>
          <w:rFonts w:ascii="Times New Roman" w:eastAsia="Times New Roman" w:hAnsi="Times New Roman" w:cs="Times New Roman"/>
          <w:color w:val="000000"/>
        </w:rPr>
      </w:pPr>
      <w:r>
        <w:rPr>
          <w:rFonts w:ascii="Times New Roman" w:eastAsia="Times New Roman" w:hAnsi="Times New Roman" w:cs="Times New Roman"/>
        </w:rPr>
        <w:lastRenderedPageBreak/>
        <w:t>diferența mediană de remunerare între salariații de sex feminin și cei de sex masculin;</w:t>
      </w:r>
    </w:p>
    <w:p w14:paraId="00000041" w14:textId="77777777" w:rsidR="00290219" w:rsidRDefault="00000000">
      <w:pPr>
        <w:numPr>
          <w:ilvl w:val="0"/>
          <w:numId w:val="3"/>
        </w:numPr>
        <w:pBdr>
          <w:top w:val="nil"/>
          <w:left w:val="nil"/>
          <w:bottom w:val="nil"/>
          <w:right w:val="nil"/>
          <w:between w:val="nil"/>
        </w:pBdr>
        <w:spacing w:after="0"/>
        <w:ind w:left="924" w:hanging="357"/>
        <w:jc w:val="both"/>
        <w:rPr>
          <w:rFonts w:ascii="Times New Roman" w:eastAsia="Times New Roman" w:hAnsi="Times New Roman" w:cs="Times New Roman"/>
          <w:color w:val="000000"/>
        </w:rPr>
      </w:pPr>
      <w:r>
        <w:rPr>
          <w:rFonts w:ascii="Times New Roman" w:eastAsia="Times New Roman" w:hAnsi="Times New Roman" w:cs="Times New Roman"/>
        </w:rPr>
        <w:t>diferența mediană de remunerare între salariații de sex feminin și cei de sex masculin la nivelul componentelor suplimentare sau variabile ale remunerației;</w:t>
      </w:r>
    </w:p>
    <w:p w14:paraId="00000042" w14:textId="77777777" w:rsidR="00290219" w:rsidRDefault="00000000">
      <w:pPr>
        <w:numPr>
          <w:ilvl w:val="0"/>
          <w:numId w:val="3"/>
        </w:numPr>
        <w:pBdr>
          <w:top w:val="nil"/>
          <w:left w:val="nil"/>
          <w:bottom w:val="nil"/>
          <w:right w:val="nil"/>
          <w:between w:val="nil"/>
        </w:pBdr>
        <w:spacing w:after="0"/>
        <w:ind w:left="924" w:hanging="357"/>
        <w:jc w:val="both"/>
        <w:rPr>
          <w:rFonts w:ascii="Times New Roman" w:eastAsia="Times New Roman" w:hAnsi="Times New Roman" w:cs="Times New Roman"/>
          <w:color w:val="000000"/>
        </w:rPr>
      </w:pPr>
      <w:r>
        <w:rPr>
          <w:rFonts w:ascii="Times New Roman" w:eastAsia="Times New Roman" w:hAnsi="Times New Roman" w:cs="Times New Roman"/>
        </w:rPr>
        <w:t>proporția dintre salariații de sex feminin și cei de sex masculin care beneficiază de componente suplimentare sau variabile ale remunerației;</w:t>
      </w:r>
    </w:p>
    <w:p w14:paraId="00000043" w14:textId="77777777" w:rsidR="00290219" w:rsidRDefault="00000000">
      <w:pPr>
        <w:numPr>
          <w:ilvl w:val="0"/>
          <w:numId w:val="3"/>
        </w:numPr>
        <w:pBdr>
          <w:top w:val="nil"/>
          <w:left w:val="nil"/>
          <w:bottom w:val="nil"/>
          <w:right w:val="nil"/>
          <w:between w:val="nil"/>
        </w:pBdr>
        <w:spacing w:after="0"/>
        <w:ind w:left="924" w:hanging="357"/>
        <w:jc w:val="both"/>
        <w:rPr>
          <w:rFonts w:ascii="Times New Roman" w:eastAsia="Times New Roman" w:hAnsi="Times New Roman" w:cs="Times New Roman"/>
          <w:color w:val="000000"/>
        </w:rPr>
      </w:pPr>
      <w:r>
        <w:rPr>
          <w:rFonts w:ascii="Times New Roman" w:eastAsia="Times New Roman" w:hAnsi="Times New Roman" w:cs="Times New Roman"/>
        </w:rPr>
        <w:t xml:space="preserve">proporția dintre salariații de sex feminin și cei de sex masculin din fiecare interval de remunerare de tip </w:t>
      </w:r>
      <w:proofErr w:type="spellStart"/>
      <w:r>
        <w:rPr>
          <w:rFonts w:ascii="Times New Roman" w:eastAsia="Times New Roman" w:hAnsi="Times New Roman" w:cs="Times New Roman"/>
        </w:rPr>
        <w:t>cuartilă</w:t>
      </w:r>
      <w:proofErr w:type="spellEnd"/>
      <w:r>
        <w:rPr>
          <w:rFonts w:ascii="Times New Roman" w:eastAsia="Times New Roman" w:hAnsi="Times New Roman" w:cs="Times New Roman"/>
        </w:rPr>
        <w:t>;</w:t>
      </w:r>
    </w:p>
    <w:p w14:paraId="00000044" w14:textId="77777777" w:rsidR="00290219" w:rsidRDefault="00000000">
      <w:pPr>
        <w:numPr>
          <w:ilvl w:val="0"/>
          <w:numId w:val="3"/>
        </w:numPr>
        <w:pBdr>
          <w:top w:val="nil"/>
          <w:left w:val="nil"/>
          <w:bottom w:val="nil"/>
          <w:right w:val="nil"/>
          <w:between w:val="nil"/>
        </w:pBdr>
        <w:ind w:left="924" w:hanging="357"/>
        <w:jc w:val="both"/>
        <w:rPr>
          <w:rFonts w:ascii="Times New Roman" w:eastAsia="Times New Roman" w:hAnsi="Times New Roman" w:cs="Times New Roman"/>
          <w:color w:val="000000"/>
        </w:rPr>
      </w:pPr>
      <w:r>
        <w:rPr>
          <w:rFonts w:ascii="Times New Roman" w:eastAsia="Times New Roman" w:hAnsi="Times New Roman" w:cs="Times New Roman"/>
        </w:rPr>
        <w:t>diferența de remunerare între salariații de sex feminin și cei de sex masculin pe categorii de salariați, defalcată în funcție de salariul de bază și de componentele suplimentare sau variabile ale remunerației.</w:t>
      </w:r>
    </w:p>
    <w:p w14:paraId="00000045"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 xml:space="preserve">(5) Indicatorii prevăzuți la alineatul (4) lit. a)-f) se calculează, </w:t>
      </w:r>
      <w:r>
        <w:rPr>
          <w:rFonts w:ascii="Times New Roman" w:eastAsia="Times New Roman" w:hAnsi="Times New Roman" w:cs="Times New Roman"/>
          <w:highlight w:val="white"/>
        </w:rPr>
        <w:t xml:space="preserve">compilează </w:t>
      </w:r>
      <w:r>
        <w:rPr>
          <w:rFonts w:ascii="Times New Roman" w:eastAsia="Times New Roman" w:hAnsi="Times New Roman" w:cs="Times New Roman"/>
        </w:rPr>
        <w:t>și se publică de Inspectoratul de Stat al Muncii cu respectarea următoarelor termene:</w:t>
      </w:r>
    </w:p>
    <w:p w14:paraId="00000046" w14:textId="77777777" w:rsidR="00290219" w:rsidRDefault="00000000">
      <w:pPr>
        <w:numPr>
          <w:ilvl w:val="0"/>
          <w:numId w:val="4"/>
        </w:numPr>
        <w:pBdr>
          <w:top w:val="nil"/>
          <w:left w:val="nil"/>
          <w:bottom w:val="nil"/>
          <w:right w:val="nil"/>
          <w:between w:val="nil"/>
        </w:pBdr>
        <w:spacing w:after="0"/>
        <w:ind w:left="924" w:hanging="357"/>
        <w:jc w:val="both"/>
        <w:rPr>
          <w:rFonts w:ascii="Times New Roman" w:eastAsia="Times New Roman" w:hAnsi="Times New Roman" w:cs="Times New Roman"/>
          <w:color w:val="000000"/>
        </w:rPr>
      </w:pPr>
      <w:r>
        <w:rPr>
          <w:rFonts w:ascii="Times New Roman" w:eastAsia="Times New Roman" w:hAnsi="Times New Roman" w:cs="Times New Roman"/>
        </w:rPr>
        <w:t>angajatorii cu cel puțin 250 de salariați: anual, până la data de 7 iunie, începând cu anul 2028, pentru datele aferente anului calendaristic precedent;</w:t>
      </w:r>
    </w:p>
    <w:p w14:paraId="00000047" w14:textId="77777777" w:rsidR="00290219" w:rsidRDefault="00000000">
      <w:pPr>
        <w:numPr>
          <w:ilvl w:val="0"/>
          <w:numId w:val="4"/>
        </w:numPr>
        <w:pBdr>
          <w:top w:val="nil"/>
          <w:left w:val="nil"/>
          <w:bottom w:val="nil"/>
          <w:right w:val="nil"/>
          <w:between w:val="nil"/>
        </w:pBdr>
        <w:spacing w:after="0"/>
        <w:ind w:left="924" w:hanging="357"/>
        <w:jc w:val="both"/>
        <w:rPr>
          <w:rFonts w:ascii="Times New Roman" w:eastAsia="Times New Roman" w:hAnsi="Times New Roman" w:cs="Times New Roman"/>
          <w:color w:val="000000"/>
        </w:rPr>
      </w:pPr>
      <w:r>
        <w:rPr>
          <w:rFonts w:ascii="Times New Roman" w:eastAsia="Times New Roman" w:hAnsi="Times New Roman" w:cs="Times New Roman"/>
        </w:rPr>
        <w:t>angajatorii cu 150–249 de salariați: o dată la trei ani, până la data de 7 iunie, începând cu anul 2028, pentru datele aferente anului calendaristic precedent;</w:t>
      </w:r>
    </w:p>
    <w:p w14:paraId="00000048" w14:textId="77777777" w:rsidR="00290219" w:rsidRDefault="00000000">
      <w:pPr>
        <w:numPr>
          <w:ilvl w:val="0"/>
          <w:numId w:val="4"/>
        </w:numPr>
        <w:pBdr>
          <w:top w:val="nil"/>
          <w:left w:val="nil"/>
          <w:bottom w:val="nil"/>
          <w:right w:val="nil"/>
          <w:between w:val="nil"/>
        </w:pBdr>
        <w:ind w:left="924" w:hanging="357"/>
        <w:jc w:val="both"/>
        <w:rPr>
          <w:rFonts w:ascii="Times New Roman" w:eastAsia="Times New Roman" w:hAnsi="Times New Roman" w:cs="Times New Roman"/>
          <w:color w:val="000000"/>
        </w:rPr>
      </w:pPr>
      <w:r>
        <w:rPr>
          <w:rFonts w:ascii="Times New Roman" w:eastAsia="Times New Roman" w:hAnsi="Times New Roman" w:cs="Times New Roman"/>
        </w:rPr>
        <w:t>angajatorii cu 100–149 de salariați: o dată la trei ani, până la data de 7 iunie, începând cu anul 2031, pentru datele aferente anului calendaristic precedent.</w:t>
      </w:r>
    </w:p>
    <w:p w14:paraId="00000049"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(6) În scopul calculării indicatorului prevăzut la alineatul (4) litera g), angajatorul este obligat:</w:t>
      </w:r>
    </w:p>
    <w:p w14:paraId="0000004A" w14:textId="77777777" w:rsidR="00290219" w:rsidRDefault="00000000">
      <w:pPr>
        <w:numPr>
          <w:ilvl w:val="0"/>
          <w:numId w:val="5"/>
        </w:numPr>
        <w:pBdr>
          <w:top w:val="nil"/>
          <w:left w:val="nil"/>
          <w:bottom w:val="nil"/>
          <w:right w:val="nil"/>
          <w:between w:val="nil"/>
        </w:pBdr>
        <w:spacing w:after="0"/>
        <w:ind w:left="924" w:hanging="357"/>
        <w:jc w:val="both"/>
        <w:rPr>
          <w:rFonts w:ascii="Times New Roman" w:eastAsia="Times New Roman" w:hAnsi="Times New Roman" w:cs="Times New Roman"/>
          <w:color w:val="000000"/>
        </w:rPr>
      </w:pPr>
      <w:r>
        <w:rPr>
          <w:rFonts w:ascii="Times New Roman" w:eastAsia="Times New Roman" w:hAnsi="Times New Roman" w:cs="Times New Roman"/>
        </w:rPr>
        <w:t>să atribuie fiecărui salariat o categorie internă, stabilită de angajator pe baza unor criterii obiective, nediscriminatorii și neutre din punctul de vedere al sexului, care reflectă încadrarea salariatului în aceeași muncă sau în muncă de valoare egală în cadrul unității, în conformitate cu sistemul de evaluare și clasificare a funcțiilor prevăzut la articolul 128 alin. (2</w:t>
      </w:r>
      <w:r>
        <w:rPr>
          <w:rFonts w:ascii="Times New Roman" w:eastAsia="Times New Roman" w:hAnsi="Times New Roman" w:cs="Times New Roman"/>
          <w:vertAlign w:val="superscript"/>
        </w:rPr>
        <w:t>7</w:t>
      </w:r>
      <w:r>
        <w:rPr>
          <w:rFonts w:ascii="Times New Roman" w:eastAsia="Times New Roman" w:hAnsi="Times New Roman" w:cs="Times New Roman"/>
        </w:rPr>
        <w:t>);</w:t>
      </w:r>
    </w:p>
    <w:p w14:paraId="0000004B" w14:textId="77777777" w:rsidR="00290219" w:rsidRDefault="00000000">
      <w:pPr>
        <w:numPr>
          <w:ilvl w:val="0"/>
          <w:numId w:val="5"/>
        </w:numPr>
        <w:pBdr>
          <w:top w:val="nil"/>
          <w:left w:val="nil"/>
          <w:bottom w:val="nil"/>
          <w:right w:val="nil"/>
          <w:between w:val="nil"/>
        </w:pBdr>
        <w:spacing w:after="0"/>
        <w:ind w:left="924" w:hanging="357"/>
        <w:jc w:val="both"/>
        <w:rPr>
          <w:rFonts w:ascii="Times New Roman" w:eastAsia="Times New Roman" w:hAnsi="Times New Roman" w:cs="Times New Roman"/>
          <w:color w:val="000000"/>
        </w:rPr>
      </w:pPr>
      <w:r>
        <w:rPr>
          <w:rFonts w:ascii="Times New Roman" w:eastAsia="Times New Roman" w:hAnsi="Times New Roman" w:cs="Times New Roman"/>
        </w:rPr>
        <w:t>să actualizeze atribuirea categoriei ori de câte ori situația salariatului se modifică în mod relevant;</w:t>
      </w:r>
    </w:p>
    <w:p w14:paraId="0000004C" w14:textId="77777777" w:rsidR="00290219" w:rsidRDefault="00000000">
      <w:pPr>
        <w:numPr>
          <w:ilvl w:val="0"/>
          <w:numId w:val="5"/>
        </w:numPr>
        <w:pBdr>
          <w:top w:val="nil"/>
          <w:left w:val="nil"/>
          <w:bottom w:val="nil"/>
          <w:right w:val="nil"/>
          <w:between w:val="nil"/>
        </w:pBdr>
        <w:ind w:left="924" w:hanging="357"/>
        <w:jc w:val="both"/>
        <w:rPr>
          <w:rFonts w:ascii="Times New Roman" w:eastAsia="Times New Roman" w:hAnsi="Times New Roman" w:cs="Times New Roman"/>
          <w:color w:val="000000"/>
        </w:rPr>
      </w:pPr>
      <w:r>
        <w:rPr>
          <w:rFonts w:ascii="Times New Roman" w:eastAsia="Times New Roman" w:hAnsi="Times New Roman" w:cs="Times New Roman"/>
        </w:rPr>
        <w:t>să pună la dispoziția autorității competente informațiile privind categoria atribuită fiecărui salariat, prin mecanismele stabilite în conformitate cu alineatul (7).</w:t>
      </w:r>
    </w:p>
    <w:p w14:paraId="0000004D"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(7) Modalitatea tehnică de colectare, transmitere și actualizare a datelor privind categoriile interne prevăzute la alineatul (6), inclusiv fluxurile de date și sistemele informaționale utilizate în acest scop, se stabilește prin actele normative ale autorităților competente, după consultarea autorității responsabile de guvernarea electronică și a administratorilor sistemelor informaționale relevante.</w:t>
      </w:r>
    </w:p>
    <w:p w14:paraId="0000004E"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(8) Pe baza informațiilor privind categoriile transmise de angajator potrivit alineatelor (6) și (7) și a datelor administrative disponibile, Inspectoratul de Stat al Muncii calculează indicatorul</w:t>
      </w:r>
      <w:r>
        <w:rPr>
          <w:rFonts w:ascii="Times New Roman" w:eastAsia="Times New Roman" w:hAnsi="Times New Roman" w:cs="Times New Roman"/>
          <w:highlight w:val="white"/>
        </w:rPr>
        <w:t xml:space="preserve"> compilat </w:t>
      </w:r>
      <w:r>
        <w:rPr>
          <w:rFonts w:ascii="Times New Roman" w:eastAsia="Times New Roman" w:hAnsi="Times New Roman" w:cs="Times New Roman"/>
        </w:rPr>
        <w:t>prevăzut la alineatul (4) litera g). Termenele de calcul corespund celor stabilite la alineatul (5).</w:t>
      </w:r>
    </w:p>
    <w:p w14:paraId="0000004F"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lastRenderedPageBreak/>
        <w:t>(9) Angajatorul confirmă corectitudinea datelor transmise în temeiul prezentului articol, inclusiv a atribuirilor de categorie prevăzute la alineatul (6), după consultarea reprezentanților salariaților. Reprezentanții salariaților au acces la metodologia aplicată de angajator la constituirea categoriilor.</w:t>
      </w:r>
    </w:p>
    <w:p w14:paraId="00000050"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(10) Inspectoratul de Stat al Muncii publică datele prevăzute la alineatul (4) literele a)–f) într-un mod accesibil, care permite compararea angajatorilor, a sectoarelor și a regiunilor, asigurând disponibilitatea datelor aferente celor patru ani precedenți, în măsura în care acestea există.</w:t>
      </w:r>
    </w:p>
    <w:p w14:paraId="00000051"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(11) Angajatorii cu mai puțin de 100 de salariați pot furniza în mod voluntar informațiile prevăzute la alineatul (6), fără a face obiectul obligațiilor stabilite de prezentul articol.</w:t>
      </w:r>
    </w:p>
    <w:p w14:paraId="00000052"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(12) Salariații, reprezentanții salariaților, Inspectoratul de Stat al Muncii și Consiliul pentru Egalitate au dreptul să solicite angajatorului clarificări și detalii suplimentare privind metodologia de constituire a categoriilor sau corectitudinea atribuirilor efectuate. Angajatorul răspunde acestor solicitări în termen rezonabil, care nu depășește 2 luni de la data recepționării solicitării. La solicitarea Inspectoratului de Stat al Muncii sau a Consiliului pentru Egalitate, angajatorul furnizează și datele aferente ultimilor patru ani, în măsura în care acestea sunt disponibile. În cazul în care se constată diferențe de remunerare care nu se justifică prin criterii obiective, neutre din punctul de vedere al sexului, angajatorul adoptă măsurile de remediere necesare, în cooperare cu reprezentanții salariaților, Inspectoratul de Stat al Muncii și/sau Consiliul pentru Egalitate, după caz.”</w:t>
      </w:r>
    </w:p>
    <w:p w14:paraId="00000053"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b/>
          <w:bCs/>
        </w:rPr>
        <w:t>Articolul 128</w:t>
      </w:r>
      <w:r>
        <w:rPr>
          <w:rFonts w:ascii="Times New Roman" w:eastAsia="Times New Roman" w:hAnsi="Times New Roman" w:cs="Times New Roman"/>
          <w:b/>
          <w:bCs/>
          <w:vertAlign w:val="superscript"/>
        </w:rPr>
        <w:t>3</w:t>
      </w:r>
      <w:r>
        <w:rPr>
          <w:rFonts w:ascii="Times New Roman" w:eastAsia="Times New Roman" w:hAnsi="Times New Roman" w:cs="Times New Roman"/>
          <w:b/>
          <w:bCs/>
        </w:rPr>
        <w:t xml:space="preserve">. </w:t>
      </w:r>
      <w:r>
        <w:rPr>
          <w:rFonts w:ascii="Times New Roman" w:eastAsia="Times New Roman" w:hAnsi="Times New Roman" w:cs="Times New Roman"/>
        </w:rPr>
        <w:t>Evaluarea comună a remunerațiilor</w:t>
      </w:r>
    </w:p>
    <w:p w14:paraId="00000054"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(1) În cazul în care informațiile raportate în temeiul art. 128</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relevă, în cadrul oricărei categorii de salariați, o diferență de cel puțin 5% între nivelul mediu de salarizare al salariaților de sex masculin și cei de sex feminin care nu este justificată prin criterii obiective, neutre din punct de vedere al sexului, și asemenea diferență nu a fost remediată de angajator în termen de 6 luni de la data raportării informațiilor respective, angajatorul efectuează o evaluare comună a remunerațiilor, cu consultarea reprezentanților salariaților.</w:t>
      </w:r>
    </w:p>
    <w:p w14:paraId="00000055"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(2) Evaluarea comună a remunerațiilor se efectuează pentru a identifica, remedia și preveni diferențele dintre remunerațiile salariaților de sex masculin și cei de sex feminin care nu pot fi justificate prin factori obiectivi, neutri din punct de vedere al sexului. Evaluarea comună a remunerațiilor se finalizează prin întocmirea unui raport care include următoarele elemente:</w:t>
      </w:r>
    </w:p>
    <w:p w14:paraId="00000056" w14:textId="77777777" w:rsidR="00290219" w:rsidRDefault="00000000">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o analiză a proporției dintre salariații de sex feminin și cei de sex masculin din fiecare categorie de salariați;</w:t>
      </w:r>
    </w:p>
    <w:p w14:paraId="00000057" w14:textId="77777777" w:rsidR="00290219" w:rsidRDefault="00000000">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informații privind nivelurile medii de remunerare a salariaților de sex feminin și a celor de sex masculin și componentele suplimentare sau variabile pentru fiecare categorie de salariați;</w:t>
      </w:r>
    </w:p>
    <w:p w14:paraId="00000058" w14:textId="77777777" w:rsidR="00290219" w:rsidRDefault="00000000">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orice diferențe între nivelurile medii de salarizare ale salariaților de sex feminin și ale celor de sex masculin pentru fiecare categorie de salariați;</w:t>
      </w:r>
    </w:p>
    <w:p w14:paraId="00000059" w14:textId="77777777" w:rsidR="00290219" w:rsidRDefault="00000000">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motivele diferențelor care justifică diferențele dintre nivelurile medii de salarizare, întemeiate pe criterii obiective și neutre din punct de vedere al sexului, dacă există, astfel cum au fost stabilite în comun de angajator și reprezentanții salariaților;</w:t>
      </w:r>
    </w:p>
    <w:p w14:paraId="0000005A" w14:textId="77777777" w:rsidR="00290219" w:rsidRDefault="00000000">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proporția dintre salariații de sex feminin și cei de sex masculin care au beneficiat de orice majorare a remunerației după întoarcerea lor din concediul de maternitate, concediu paternal, concediul pentru îngrijirea copilului sau concediul neplătit pentru îngrijirea unei persoane care locuiește în aceeași locuință cu salariatul, dacă o astfel de majorare a avut loc în categoria relevantă a salariaților în perioada în care a fost acordat concediul;</w:t>
      </w:r>
    </w:p>
    <w:p w14:paraId="0000005B" w14:textId="77777777" w:rsidR="00290219" w:rsidRDefault="00000000">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măsuri de eliminare a diferențelor de remunerare în cazul în care acestea nu se justifică pe baza unor criterii obiective, neutre din punctul de vedere al sexului; </w:t>
      </w:r>
    </w:p>
    <w:p w14:paraId="0000005C" w14:textId="77777777" w:rsidR="00290219" w:rsidRDefault="00000000">
      <w:pPr>
        <w:numPr>
          <w:ilvl w:val="0"/>
          <w:numId w:val="2"/>
        </w:num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o evaluare a eficacității măsurilor luate în urma evaluărilor comune anterioare ale remunerațiilor, după caz.</w:t>
      </w:r>
    </w:p>
    <w:p w14:paraId="0000005D"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(3) Angajatorul are obligația de a pune raportul privind evaluarea comună a remunerațiilor la dispoziția salariaților și a reprezentanților salariaților, după caz, și de a o comunica Inspectoratului de Stat al Muncii, în termen de 10 zile de la data finalizării evaluării. Raportul privind evaluarea comună a remunerațiilor se prezintă de către angajator Consiliului pentru Egalitate, la cererea acestuia.</w:t>
      </w:r>
    </w:p>
    <w:p w14:paraId="0000005E"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(4) La punerea în aplicare a măsurilor rezultate din evaluarea comună a remunerațiilor, angajatorul remediază diferențele de remunerare nejustificate, într-un interval de cel mult 6 luni, cu consultarea reprezentanților salariaților. Punerea în aplicare a măsurilor include o analiză a sistemelor existente de evaluare si clasificare a funcțiilor neutre din punctul de vedere al sexului sau instituirea unor astfel de sisteme, pentru a se asigura excluderea oricărei discriminări directe sau indirecte pe criteriul de sex în privința remunerării. Angajatorul poate solicita sprijinul Inspectoratului de Stat al Muncii și/sau al Consiliului pentru Egalitate în procesul de punere în aplicare a măsurilor respective.</w:t>
      </w:r>
    </w:p>
    <w:p w14:paraId="0000005F" w14:textId="77777777" w:rsidR="00290219" w:rsidRDefault="00000000">
      <w:pPr>
        <w:spacing w:before="240" w:after="240"/>
        <w:ind w:firstLine="720"/>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w:t>
      </w:r>
      <w:r>
        <w:rPr>
          <w:rFonts w:ascii="Times New Roman" w:eastAsia="Times New Roman" w:hAnsi="Times New Roman" w:cs="Times New Roman"/>
          <w:b/>
          <w:bCs/>
          <w:highlight w:val="white"/>
        </w:rPr>
        <w:t>Articolul 128⁴. Raportarea către Comisia Europeană</w:t>
      </w:r>
    </w:p>
    <w:p w14:paraId="00000060" w14:textId="77777777" w:rsidR="00290219" w:rsidRDefault="00000000">
      <w:pPr>
        <w:spacing w:before="240" w:after="240"/>
        <w:ind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Autoritatea publică centrală responsabilă de domeniul egalității de remunerare și transparenței salariale în baza rapoartelor anuale ale Inspectoratului de Stat al Muncii asigură transmiterea o dată la doi ani către Comisia Europeană, a următoarelor date:</w:t>
      </w:r>
    </w:p>
    <w:p w14:paraId="00000061" w14:textId="77777777" w:rsidR="00290219" w:rsidRDefault="00000000">
      <w:pPr>
        <w:spacing w:before="240" w:after="240"/>
        <w:ind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datele privind diferența de remunerare între salariații de sex masculin și cei de sex feminin în temeiul prevederilor art. 128² al Codului Muncii, într-un mod accesibil, care permite compararea angajatorilor, compararea regională;</w:t>
      </w:r>
    </w:p>
    <w:p w14:paraId="00000062" w14:textId="77777777" w:rsidR="00290219" w:rsidRDefault="00000000">
      <w:pPr>
        <w:spacing w:before="240" w:after="240"/>
        <w:ind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b) rapoartele evaluării comune a remunerației transmise de angajatori în conformitate cu prevederile Codului Muncii;</w:t>
      </w:r>
    </w:p>
    <w:p w14:paraId="00000063" w14:textId="77777777" w:rsidR="00290219" w:rsidRDefault="00000000">
      <w:pPr>
        <w:spacing w:before="240" w:after="240"/>
        <w:ind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c) datele agregate privind numărul și tipurile de plângeri sau acțiuni referitoare la cazuri de discriminare în materie de remunerare, formulate de salariați în fața Inspectoratului de Stat al Muncii, a Consiliului pentru Egalitate, precum și în fața instanțelor de judecată.”</w:t>
      </w:r>
    </w:p>
    <w:p w14:paraId="00000064"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b/>
          <w:bCs/>
        </w:rPr>
        <w:t>Articolul 129</w:t>
      </w:r>
      <w:r>
        <w:rPr>
          <w:rFonts w:ascii="Times New Roman" w:eastAsia="Times New Roman" w:hAnsi="Times New Roman" w:cs="Times New Roman"/>
          <w:b/>
          <w:bCs/>
          <w:vertAlign w:val="superscript"/>
        </w:rPr>
        <w:t>1</w:t>
      </w:r>
      <w:r>
        <w:rPr>
          <w:rFonts w:ascii="Times New Roman" w:eastAsia="Times New Roman" w:hAnsi="Times New Roman" w:cs="Times New Roman"/>
        </w:rPr>
        <w:t>. Aplicarea principiului remunerării egale pentru muncă egală și muncă de valoare egală</w:t>
      </w:r>
    </w:p>
    <w:p w14:paraId="00000065"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(1) La examinarea cauzelor de discriminare în materie de remunerație, prin remunerație se înțelege salariul, precum și orice altă formă de recompensă, pe care salariatul o primește, direct sau indirect, de la angajator pentru munca prestată.</w:t>
      </w:r>
    </w:p>
    <w:p w14:paraId="00000066"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La aprecierea dacă salariații de sex feminin și salariații de sex masculin prestează aceeași muncă sau o muncă de aceeași valoare, comparabilitatea situației acestora se stabilește independent de identitatea angajatorului, atunci când condițiile de remunerare sunt determinate de o singură sursă. Prin sursă unică se înțelege entitatea sau actele juridice care stabilesc elementele de remunerare relevante pentru compararea salariaților, cum ar fi contractul colectiv de muncă sau convenția colectivă.</w:t>
      </w:r>
    </w:p>
    <w:p w14:paraId="00000067"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(2) În cazul în care nu poate fi identificat un element de comparație direct pentru a dovedi o pretinsă discriminare în materie de remunerație, dovada poate fi realizată prin orice alte mijloace de probă admise de lege, inclusiv prin date statistice sau printr-o analiză comparativă privind tratamentul aplicat unui salariat aflat într-o situație comparabilă.</w:t>
      </w:r>
    </w:p>
    <w:p w14:paraId="00000068"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La evaluarea caracterului comparabil al situației salariaților în materie de remunerare, analiza nu se limitează la salariații angajați în aceeași perioadă cu salariatul în cauză.”</w:t>
      </w:r>
    </w:p>
    <w:p w14:paraId="00000069" w14:textId="77777777" w:rsidR="00290219" w:rsidRDefault="00000000">
      <w:pPr>
        <w:spacing w:after="120"/>
        <w:ind w:firstLine="567"/>
        <w:jc w:val="both"/>
        <w:rPr>
          <w:rFonts w:ascii="Times New Roman" w:eastAsia="Times New Roman" w:hAnsi="Times New Roman" w:cs="Times New Roman"/>
          <w:b/>
          <w:bCs/>
        </w:rPr>
      </w:pPr>
      <w:r>
        <w:rPr>
          <w:rFonts w:ascii="Times New Roman" w:eastAsia="Times New Roman" w:hAnsi="Times New Roman" w:cs="Times New Roman"/>
          <w:b/>
          <w:bCs/>
        </w:rPr>
        <w:t>9.</w:t>
      </w:r>
      <w:r>
        <w:rPr>
          <w:rFonts w:ascii="Times New Roman" w:eastAsia="Times New Roman" w:hAnsi="Times New Roman" w:cs="Times New Roman"/>
        </w:rPr>
        <w:t xml:space="preserve"> </w:t>
      </w:r>
      <w:r>
        <w:rPr>
          <w:rFonts w:ascii="Times New Roman" w:eastAsia="Times New Roman" w:hAnsi="Times New Roman" w:cs="Times New Roman"/>
          <w:b/>
          <w:bCs/>
        </w:rPr>
        <w:t>Articolul 329 se completează cu alineatele (3)-(6) cu următorul cuprins:</w:t>
      </w:r>
    </w:p>
    <w:p w14:paraId="0000006A"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„(3) Angajatorul poartă răspundere materială deplină pentru prejudiciul cauzat salariaților ca urmare a încălcării obligației de a asigura remunerarea egală pentru muncă egală sau muncă de valoare egală, astfel cum este reglementată de prezentul Cod. În acest caz, angajatorul este obligat să repare integral prejudiciul suferit de salariat prin acordarea unei despăgubiri echivalente cu suma pe care salariatul ar fi primit-o în absența încălcării dreptului la remunerare egală pentru muncă egală sau muncă de valoare egală, inclusiv în situațiile în care încălcarea a constat în admiterea unor diferențe de salarizare bazate pe criteriul sexului. O asemenea despăgubire include:</w:t>
      </w:r>
    </w:p>
    <w:p w14:paraId="0000006B"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a) recuperarea integrală a drepturilor salariale restante, precum și a plăților de stimulare și compensare, pentru perioada încălcării; precum și</w:t>
      </w:r>
    </w:p>
    <w:p w14:paraId="0000006C"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 xml:space="preserve">b) despăgubire reală și efectivă pentru prejudiciul moral, inclusiv compensarea pentru oportunități pierdute și orice prejudiciu cauzat de alți factori relevanți, care pot include discriminarea </w:t>
      </w:r>
      <w:proofErr w:type="spellStart"/>
      <w:r>
        <w:rPr>
          <w:rFonts w:ascii="Times New Roman" w:eastAsia="Times New Roman" w:hAnsi="Times New Roman" w:cs="Times New Roman"/>
        </w:rPr>
        <w:t>intersecțională</w:t>
      </w:r>
      <w:proofErr w:type="spellEnd"/>
      <w:r>
        <w:rPr>
          <w:rFonts w:ascii="Times New Roman" w:eastAsia="Times New Roman" w:hAnsi="Times New Roman" w:cs="Times New Roman"/>
        </w:rPr>
        <w:t xml:space="preserve">, precum și penalități de </w:t>
      </w:r>
      <w:proofErr w:type="spellStart"/>
      <w:r>
        <w:rPr>
          <w:rFonts w:ascii="Times New Roman" w:eastAsia="Times New Roman" w:hAnsi="Times New Roman" w:cs="Times New Roman"/>
        </w:rPr>
        <w:t>întîrziere</w:t>
      </w:r>
      <w:proofErr w:type="spellEnd"/>
      <w:r>
        <w:rPr>
          <w:rFonts w:ascii="Times New Roman" w:eastAsia="Times New Roman" w:hAnsi="Times New Roman" w:cs="Times New Roman"/>
        </w:rPr>
        <w:t>, în mărime determinată de instanța de judecată;</w:t>
      </w:r>
    </w:p>
    <w:p w14:paraId="0000006D"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(4) Salariatul care consideră că a suferit un prejudiciu ca urmare a încălcării de către angajator a obligațiilor legate de principiul egalității de remunerare, are dreptul de a sesiza instanța de judecată și de a solicita constatarea existenței discriminării și obligarea angajatorului la repararea prejudiciului cauzat, potrivit alin. (3).</w:t>
      </w:r>
    </w:p>
    <w:p w14:paraId="0000006E"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lastRenderedPageBreak/>
        <w:t>(5) În cazul în care salariatul se consideră lezat prin nerespectarea principiului remunerării egale pentru muncă egală sau pentru muncă de valoare egală și sesizează autoritatea competentă sau instanța de judecată, prezentând fapte din care se poate prezuma existența unei discriminări directe sau indirecte în materie de remunerare, sarcina de a demonstra că nu a avut loc o astfel de discriminare revine angajatorului.</w:t>
      </w:r>
    </w:p>
    <w:p w14:paraId="0000006F"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(6) Regula prevăzută la alin. (5) privind sarcina probei nu se aplică în cazul în care autoritatea competentă sau instanța de judecată constată că pretinsa încălcare este în mod vădit neintenționată și are un caracter minor, ținând seama de circumstanțele cauzei și de principiul proporționalității.”</w:t>
      </w:r>
    </w:p>
    <w:p w14:paraId="00000070" w14:textId="77777777" w:rsidR="00290219" w:rsidRDefault="00000000">
      <w:pPr>
        <w:spacing w:after="120"/>
        <w:ind w:firstLine="567"/>
        <w:jc w:val="both"/>
        <w:rPr>
          <w:rFonts w:ascii="Times New Roman" w:eastAsia="Times New Roman" w:hAnsi="Times New Roman" w:cs="Times New Roman"/>
          <w:b/>
          <w:bCs/>
        </w:rPr>
      </w:pPr>
      <w:r>
        <w:rPr>
          <w:rFonts w:ascii="Times New Roman" w:eastAsia="Times New Roman" w:hAnsi="Times New Roman" w:cs="Times New Roman"/>
          <w:b/>
          <w:bCs/>
        </w:rPr>
        <w:t xml:space="preserve">Art. II. Legea nr. 5/2006 cu privire la asigurarea egalității de șanse între femei și bărbați </w:t>
      </w:r>
      <w:r>
        <w:rPr>
          <w:rFonts w:ascii="Times New Roman" w:eastAsia="Times New Roman" w:hAnsi="Times New Roman" w:cs="Times New Roman"/>
        </w:rPr>
        <w:t>(Monitorul Oficial al Republicii Moldova, 2006, nr. 47-50, art. 200), cu modificările ulterioare, se modifică după cum urmează:</w:t>
      </w:r>
    </w:p>
    <w:p w14:paraId="00000071"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b/>
          <w:bCs/>
        </w:rPr>
        <w:t xml:space="preserve">1. </w:t>
      </w:r>
      <w:r>
        <w:rPr>
          <w:rFonts w:ascii="Times New Roman" w:eastAsia="Times New Roman" w:hAnsi="Times New Roman" w:cs="Times New Roman"/>
        </w:rPr>
        <w:t>Clauza de armonizare se completează cu textul:</w:t>
      </w:r>
    </w:p>
    <w:p w14:paraId="00000072"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Prezenta lege transpune parțial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(Text cu relevanță pentru SEE), CELEX: 32023L0970, publicată în Jurnalul Oficial al Uniunii Europene L 132 din 17 mai 2023 și se aliniază la Recomandarea Comisiei din 7 martie 2014 privind consolidarea principiului egalității de remunerare între bărbați și femei prin transparență (Text cu relevanță pentru SEE).</w:t>
      </w:r>
    </w:p>
    <w:p w14:paraId="00000073" w14:textId="77777777" w:rsidR="00290219" w:rsidRDefault="00000000">
      <w:pPr>
        <w:spacing w:after="120"/>
        <w:ind w:firstLine="567"/>
        <w:jc w:val="both"/>
        <w:rPr>
          <w:rFonts w:ascii="Times New Roman" w:eastAsia="Times New Roman" w:hAnsi="Times New Roman" w:cs="Times New Roman"/>
          <w:b/>
          <w:bCs/>
        </w:rPr>
      </w:pPr>
      <w:r>
        <w:rPr>
          <w:rFonts w:ascii="Times New Roman" w:eastAsia="Times New Roman" w:hAnsi="Times New Roman" w:cs="Times New Roman"/>
          <w:b/>
          <w:bCs/>
        </w:rPr>
        <w:t xml:space="preserve">2. </w:t>
      </w:r>
      <w:r>
        <w:rPr>
          <w:rFonts w:ascii="Times New Roman" w:eastAsia="Times New Roman" w:hAnsi="Times New Roman" w:cs="Times New Roman"/>
        </w:rPr>
        <w:t>La Articolul 2:</w:t>
      </w:r>
    </w:p>
    <w:p w14:paraId="00000074"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 xml:space="preserve"> noțiunile „</w:t>
      </w:r>
      <w:r>
        <w:rPr>
          <w:rFonts w:ascii="Times New Roman" w:eastAsia="Times New Roman" w:hAnsi="Times New Roman" w:cs="Times New Roman"/>
          <w:i/>
          <w:iCs/>
        </w:rPr>
        <w:t>discriminare directă după criteriul de sex</w:t>
      </w:r>
      <w:r>
        <w:rPr>
          <w:rFonts w:ascii="Times New Roman" w:eastAsia="Times New Roman" w:hAnsi="Times New Roman" w:cs="Times New Roman"/>
        </w:rPr>
        <w:t>” și „</w:t>
      </w:r>
      <w:r>
        <w:rPr>
          <w:rFonts w:ascii="Times New Roman" w:eastAsia="Times New Roman" w:hAnsi="Times New Roman" w:cs="Times New Roman"/>
          <w:i/>
          <w:iCs/>
        </w:rPr>
        <w:t>discriminare indirectă după criteriul de sex</w:t>
      </w:r>
      <w:r>
        <w:rPr>
          <w:rFonts w:ascii="Times New Roman" w:eastAsia="Times New Roman" w:hAnsi="Times New Roman" w:cs="Times New Roman"/>
        </w:rPr>
        <w:t>”  vor avea următorul cuprins:</w:t>
      </w:r>
    </w:p>
    <w:p w14:paraId="00000075"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i/>
          <w:iCs/>
        </w:rPr>
        <w:t>discriminare directă după criteriul de sex</w:t>
      </w:r>
      <w:r>
        <w:rPr>
          <w:rFonts w:ascii="Times New Roman" w:eastAsia="Times New Roman" w:hAnsi="Times New Roman" w:cs="Times New Roman"/>
        </w:rPr>
        <w:t xml:space="preserve"> - situația în care o persoană este tratată mai puțin favorabil după criteriul de sex decât o altă persoană este, a fost, sau ar fi tratată într-o situație comparabilă.”</w:t>
      </w:r>
    </w:p>
    <w:p w14:paraId="00000076"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i/>
          <w:iCs/>
        </w:rPr>
        <w:t>„discriminare indirectă după criteriul de sex</w:t>
      </w:r>
      <w:r>
        <w:rPr>
          <w:rFonts w:ascii="Times New Roman" w:eastAsia="Times New Roman" w:hAnsi="Times New Roman" w:cs="Times New Roman"/>
        </w:rPr>
        <w:t xml:space="preserve"> – situația în care o acțiune, regulă, criteriu sau practică aparent neutră ar pune persoane de un anumit sex într-un dezavantaj particular în comparație cu persoane de celălalt sex, cu excepția cazului în care respectiva prevedere, criteriu sau practică este justificată în mod obiectiv printr-un scop legitim, iar mijloacele de atingere a acestui scop sunt adecvate și necesare.”</w:t>
      </w:r>
    </w:p>
    <w:p w14:paraId="00000077"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 xml:space="preserve">noțiunea </w:t>
      </w:r>
      <w:r>
        <w:rPr>
          <w:rFonts w:ascii="Times New Roman" w:eastAsia="Times New Roman" w:hAnsi="Times New Roman" w:cs="Times New Roman"/>
          <w:i/>
          <w:iCs/>
        </w:rPr>
        <w:t>„hărțuire sexuală”</w:t>
      </w:r>
      <w:r>
        <w:rPr>
          <w:rFonts w:ascii="Times New Roman" w:eastAsia="Times New Roman" w:hAnsi="Times New Roman" w:cs="Times New Roman"/>
        </w:rPr>
        <w:t xml:space="preserve">, se completează  cu textul: </w:t>
      </w:r>
    </w:p>
    <w:p w14:paraId="00000078"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 , precum și orice tratament mai puțin favorabil bazat pe refuzul unei persoane de a accepta sau pe acceptarea de către aceasta a unui astfel de comportament, atunci când un asemenea comportament sau acțiuni rezultă din exercitarea dreptului de a primi remunerație fără nici o discriminare.”</w:t>
      </w:r>
    </w:p>
    <w:p w14:paraId="00000079" w14:textId="77777777" w:rsidR="00290219" w:rsidRDefault="00000000">
      <w:pPr>
        <w:ind w:firstLine="567"/>
        <w:jc w:val="both"/>
        <w:rPr>
          <w:rFonts w:ascii="Times New Roman" w:eastAsia="Times New Roman" w:hAnsi="Times New Roman" w:cs="Times New Roman"/>
          <w:b/>
          <w:bCs/>
        </w:rPr>
      </w:pPr>
      <w:r>
        <w:rPr>
          <w:rFonts w:ascii="Times New Roman" w:eastAsia="Times New Roman" w:hAnsi="Times New Roman" w:cs="Times New Roman"/>
          <w:b/>
          <w:bCs/>
        </w:rPr>
        <w:t>3.</w:t>
      </w:r>
      <w:r>
        <w:rPr>
          <w:rFonts w:ascii="Times New Roman" w:eastAsia="Times New Roman" w:hAnsi="Times New Roman" w:cs="Times New Roman"/>
        </w:rPr>
        <w:t xml:space="preserve"> La Articolul 11, alineatul (1) se completează cu litera h¹) cu următorul cuprins:</w:t>
      </w:r>
    </w:p>
    <w:p w14:paraId="0000007A"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lastRenderedPageBreak/>
        <w:t>„h¹) orice tratament mai puțin favorabil legat de sarcină, concediul de maternitate, concediul paternal, concediul pentru îngrijirea copilului sau concediul neplătit pentru îngrijirea unei persoane care locuiește în aceeași locuință cu salariatul.”</w:t>
      </w:r>
    </w:p>
    <w:p w14:paraId="0000007B"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b/>
          <w:bCs/>
        </w:rPr>
        <w:t xml:space="preserve">Art. III. Legea nr. 121/2012  cu privire la asigurarea egalității  </w:t>
      </w:r>
      <w:r>
        <w:rPr>
          <w:rFonts w:ascii="Times New Roman" w:eastAsia="Times New Roman" w:hAnsi="Times New Roman" w:cs="Times New Roman"/>
        </w:rPr>
        <w:t>(Monitorul Oficial al Republicii Moldova, 2012, nr. 103, art. 355), cu modificările ulterioare, se modifică după cum urmează:</w:t>
      </w:r>
    </w:p>
    <w:p w14:paraId="0000007C"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b/>
          <w:bCs/>
        </w:rPr>
        <w:t xml:space="preserve">1. </w:t>
      </w:r>
      <w:r>
        <w:rPr>
          <w:rFonts w:ascii="Times New Roman" w:eastAsia="Times New Roman" w:hAnsi="Times New Roman" w:cs="Times New Roman"/>
        </w:rPr>
        <w:t>Clauza de armonizare se completează cu textul:</w:t>
      </w:r>
    </w:p>
    <w:p w14:paraId="0000007D"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Prezenta lege: </w:t>
      </w:r>
    </w:p>
    <w:p w14:paraId="0000007E"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 transpune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(Text cu relevanță pentru SEE), CELEX: 32023L0970, publicată în Jurnalul Oficial al Uniunii Europene L 132 din 17 mai 2023 și se aliniază la Recomandarea Comisiei din 7 martie 2014 privind consolidarea principiului egalității de remunerare între bărbați și femei prin transparență. .</w:t>
      </w:r>
    </w:p>
    <w:p w14:paraId="0000007F" w14:textId="77777777" w:rsidR="00290219" w:rsidRDefault="00000000">
      <w:pPr>
        <w:spacing w:after="0"/>
        <w:ind w:firstLine="567"/>
        <w:jc w:val="both"/>
        <w:rPr>
          <w:rFonts w:ascii="Times New Roman" w:eastAsia="Times New Roman" w:hAnsi="Times New Roman" w:cs="Times New Roman"/>
          <w:b/>
          <w:bCs/>
        </w:rPr>
      </w:pPr>
      <w:r>
        <w:rPr>
          <w:rFonts w:ascii="Times New Roman" w:eastAsia="Times New Roman" w:hAnsi="Times New Roman" w:cs="Times New Roman"/>
        </w:rPr>
        <w:t xml:space="preserve"> 2. Articolul 2 se completează cu  noțiunea de „discriminare </w:t>
      </w:r>
      <w:proofErr w:type="spellStart"/>
      <w:r>
        <w:rPr>
          <w:rFonts w:ascii="Times New Roman" w:eastAsia="Times New Roman" w:hAnsi="Times New Roman" w:cs="Times New Roman"/>
          <w:i/>
          <w:iCs/>
        </w:rPr>
        <w:t>intersecțională</w:t>
      </w:r>
      <w:proofErr w:type="spellEnd"/>
      <w:r>
        <w:rPr>
          <w:rFonts w:ascii="Times New Roman" w:eastAsia="Times New Roman" w:hAnsi="Times New Roman" w:cs="Times New Roman"/>
        </w:rPr>
        <w:t>” cu următorul cuprins:</w:t>
      </w:r>
    </w:p>
    <w:p w14:paraId="00000080" w14:textId="77777777" w:rsidR="00290219" w:rsidRDefault="00000000">
      <w:pPr>
        <w:spacing w:after="0"/>
        <w:ind w:firstLine="567"/>
        <w:jc w:val="both"/>
        <w:rPr>
          <w:rFonts w:ascii="Times New Roman" w:eastAsia="Times New Roman" w:hAnsi="Times New Roman" w:cs="Times New Roman"/>
        </w:rPr>
      </w:pPr>
      <w:r>
        <w:rPr>
          <w:rFonts w:ascii="Times New Roman" w:eastAsia="Times New Roman" w:hAnsi="Times New Roman" w:cs="Times New Roman"/>
          <w:i/>
          <w:iCs/>
        </w:rPr>
        <w:t xml:space="preserve">„discriminare </w:t>
      </w:r>
      <w:proofErr w:type="spellStart"/>
      <w:r>
        <w:rPr>
          <w:rFonts w:ascii="Times New Roman" w:eastAsia="Times New Roman" w:hAnsi="Times New Roman" w:cs="Times New Roman"/>
          <w:i/>
          <w:iCs/>
        </w:rPr>
        <w:t>intersecțională</w:t>
      </w:r>
      <w:proofErr w:type="spellEnd"/>
      <w:r>
        <w:rPr>
          <w:rFonts w:ascii="Times New Roman" w:eastAsia="Times New Roman" w:hAnsi="Times New Roman" w:cs="Times New Roman"/>
          <w:i/>
          <w:iCs/>
        </w:rPr>
        <w:t xml:space="preserve"> – </w:t>
      </w:r>
      <w:r>
        <w:rPr>
          <w:rFonts w:ascii="Times New Roman" w:eastAsia="Times New Roman" w:hAnsi="Times New Roman" w:cs="Times New Roman"/>
        </w:rPr>
        <w:t xml:space="preserve"> orice act de discriminare bazat simultan pe criteriul de sex și pe unul sau mai multe dintre următoarele criterii: rasă, origine etnică, vârstă, religie sau convingeri, dizabilitate, orientare sexuală.”</w:t>
      </w:r>
    </w:p>
    <w:p w14:paraId="00000081" w14:textId="77777777" w:rsidR="00290219" w:rsidRDefault="00290219">
      <w:pPr>
        <w:jc w:val="both"/>
        <w:rPr>
          <w:rFonts w:ascii="Times New Roman" w:eastAsia="Times New Roman" w:hAnsi="Times New Roman" w:cs="Times New Roman"/>
          <w:highlight w:val="yellow"/>
        </w:rPr>
      </w:pPr>
    </w:p>
    <w:p w14:paraId="00000082"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3. Articolul 7, alineatul (2) se completează cu litera f¹) cu următorul cuprins:</w:t>
      </w:r>
    </w:p>
    <w:p w14:paraId="00000083"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„f¹) orice tratament mai puțin favorabil legat de sarcină, concediul de maternitate, concediul paternal, concediul pentru îngrijirea copilului sau concediul neplătit pentru îngrijirea unei persoane care locuiește în aceeași locuință cu salariatul.”</w:t>
      </w:r>
    </w:p>
    <w:p w14:paraId="00000084"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b/>
          <w:bCs/>
        </w:rPr>
        <w:t>Art. IV.</w:t>
      </w:r>
      <w:r>
        <w:rPr>
          <w:rFonts w:ascii="Times New Roman" w:eastAsia="Times New Roman" w:hAnsi="Times New Roman" w:cs="Times New Roman"/>
        </w:rPr>
        <w:t xml:space="preserve"> </w:t>
      </w:r>
      <w:r>
        <w:rPr>
          <w:rFonts w:ascii="Times New Roman" w:eastAsia="Times New Roman" w:hAnsi="Times New Roman" w:cs="Times New Roman"/>
          <w:b/>
          <w:bCs/>
        </w:rPr>
        <w:t xml:space="preserve">Legea salarizării nr. 847/2002 </w:t>
      </w:r>
      <w:r>
        <w:rPr>
          <w:rFonts w:ascii="Times New Roman" w:eastAsia="Times New Roman" w:hAnsi="Times New Roman" w:cs="Times New Roman"/>
        </w:rPr>
        <w:t>(Monitorul Oficial al Republicii Moldova, 2002, nr. 50-52, art. 336), cu modificările ulterioare, se modifică după cum urmează:</w:t>
      </w:r>
    </w:p>
    <w:p w14:paraId="00000085" w14:textId="77777777" w:rsidR="00290219" w:rsidRDefault="00000000">
      <w:pPr>
        <w:ind w:firstLine="567"/>
        <w:rPr>
          <w:rFonts w:ascii="Times New Roman" w:eastAsia="Times New Roman" w:hAnsi="Times New Roman" w:cs="Times New Roman"/>
        </w:rPr>
      </w:pPr>
      <w:r>
        <w:rPr>
          <w:rFonts w:ascii="Times New Roman" w:eastAsia="Times New Roman" w:hAnsi="Times New Roman" w:cs="Times New Roman"/>
          <w:b/>
          <w:bCs/>
        </w:rPr>
        <w:t xml:space="preserve">1. </w:t>
      </w:r>
      <w:r>
        <w:rPr>
          <w:rFonts w:ascii="Times New Roman" w:eastAsia="Times New Roman" w:hAnsi="Times New Roman" w:cs="Times New Roman"/>
        </w:rPr>
        <w:t>Se completează cu clauza de armonizare cu următorul cuprins:</w:t>
      </w:r>
    </w:p>
    <w:p w14:paraId="00000086"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 xml:space="preserve">„Prezenta lege </w:t>
      </w:r>
      <w:r>
        <w:rPr>
          <w:rFonts w:ascii="Times New Roman" w:eastAsia="Times New Roman" w:hAnsi="Times New Roman" w:cs="Times New Roman"/>
          <w:highlight w:val="white"/>
        </w:rPr>
        <w:t>transpune parțial</w:t>
      </w:r>
      <w:r>
        <w:rPr>
          <w:rFonts w:ascii="Times New Roman" w:eastAsia="Times New Roman" w:hAnsi="Times New Roman" w:cs="Times New Roman"/>
        </w:rPr>
        <w:t xml:space="preserve">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(Text cu relevanță pentru SEE), CELEX: 32023L0970, publicată în Jurnalul Oficial al Uniunii Europene L 132 din 17 mai 2023 </w:t>
      </w:r>
      <w:r>
        <w:rPr>
          <w:rFonts w:ascii="Times New Roman" w:eastAsia="Times New Roman" w:hAnsi="Times New Roman" w:cs="Times New Roman"/>
          <w:highlight w:val="white"/>
        </w:rPr>
        <w:t>și se aliniază la Recomandarea Comisiei din 7 martie 2014 referitoare la consolidarea principiului egalității de remunerare între bărbați și femei prin transparență.</w:t>
      </w:r>
      <w:r>
        <w:rPr>
          <w:rFonts w:ascii="Times New Roman" w:eastAsia="Times New Roman" w:hAnsi="Times New Roman" w:cs="Times New Roman"/>
        </w:rPr>
        <w:t xml:space="preserve"> </w:t>
      </w:r>
    </w:p>
    <w:p w14:paraId="00000087"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b/>
          <w:bCs/>
        </w:rPr>
        <w:t xml:space="preserve">2. </w:t>
      </w:r>
      <w:r>
        <w:rPr>
          <w:rFonts w:ascii="Times New Roman" w:eastAsia="Times New Roman" w:hAnsi="Times New Roman" w:cs="Times New Roman"/>
        </w:rPr>
        <w:t>La articolul 3</w:t>
      </w:r>
      <w:r>
        <w:rPr>
          <w:rFonts w:ascii="Times New Roman" w:eastAsia="Times New Roman" w:hAnsi="Times New Roman" w:cs="Times New Roman"/>
          <w:vertAlign w:val="superscript"/>
        </w:rPr>
        <w:t>4</w:t>
      </w:r>
      <w:r>
        <w:rPr>
          <w:rFonts w:ascii="Times New Roman" w:eastAsia="Times New Roman" w:hAnsi="Times New Roman" w:cs="Times New Roman"/>
        </w:rPr>
        <w:t xml:space="preserve">: </w:t>
      </w:r>
    </w:p>
    <w:p w14:paraId="00000088" w14:textId="77777777" w:rsidR="00290219" w:rsidRDefault="00000000">
      <w:pPr>
        <w:ind w:firstLine="567"/>
        <w:jc w:val="both"/>
        <w:rPr>
          <w:rFonts w:ascii="Times New Roman" w:eastAsia="Times New Roman" w:hAnsi="Times New Roman" w:cs="Times New Roman"/>
          <w:vertAlign w:val="superscript"/>
        </w:rPr>
      </w:pPr>
      <w:r>
        <w:rPr>
          <w:rFonts w:ascii="Times New Roman" w:eastAsia="Times New Roman" w:hAnsi="Times New Roman" w:cs="Times New Roman"/>
        </w:rPr>
        <w:t>alineat (1) se completează cu următorul text:</w:t>
      </w:r>
    </w:p>
    <w:p w14:paraId="00000089"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lastRenderedPageBreak/>
        <w:t>”Sistemul de salarizare aplicat de angajator trebuie să permită evaluarea faptului dacă salariații se află într-o situație comparabilă în ceea ce privește valoarea muncii prestate.”</w:t>
      </w:r>
    </w:p>
    <w:p w14:paraId="0000008A"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vertAlign w:val="superscript"/>
        </w:rPr>
        <w:t xml:space="preserve"> </w:t>
      </w:r>
      <w:r>
        <w:rPr>
          <w:rFonts w:ascii="Times New Roman" w:eastAsia="Times New Roman" w:hAnsi="Times New Roman" w:cs="Times New Roman"/>
        </w:rPr>
        <w:t>alineatul (2) se completează cu următorul text:</w:t>
      </w:r>
    </w:p>
    <w:p w14:paraId="0000008B"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”Salariații care prestează aceeași muncă sau o muncă de valoare egală sunt încadrați în aceeași categorie.”</w:t>
      </w:r>
    </w:p>
    <w:p w14:paraId="0000008C" w14:textId="77777777" w:rsidR="00290219" w:rsidRDefault="00000000">
      <w:pPr>
        <w:spacing w:after="120"/>
        <w:ind w:firstLine="567"/>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alineatul (6) textul „diferența de gen de salarizare” se substituie cu textul „diferența de remunerare între femei și bărbați;</w:t>
      </w:r>
    </w:p>
    <w:p w14:paraId="0000008D"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b/>
          <w:bCs/>
        </w:rPr>
        <w:t>Articolul V.</w:t>
      </w:r>
      <w:r>
        <w:rPr>
          <w:rFonts w:ascii="Times New Roman" w:eastAsia="Times New Roman" w:hAnsi="Times New Roman" w:cs="Times New Roman"/>
        </w:rPr>
        <w:t xml:space="preserve"> </w:t>
      </w:r>
      <w:r>
        <w:rPr>
          <w:rFonts w:ascii="Times New Roman" w:eastAsia="Times New Roman" w:hAnsi="Times New Roman" w:cs="Times New Roman"/>
          <w:b/>
          <w:bCs/>
        </w:rPr>
        <w:t>Codul Contravențional al Republicii Moldova Nr. 21/2008</w:t>
      </w:r>
      <w:r>
        <w:rPr>
          <w:rFonts w:ascii="Times New Roman" w:eastAsia="Times New Roman" w:hAnsi="Times New Roman" w:cs="Times New Roman"/>
        </w:rPr>
        <w:t xml:space="preserve"> (Monitorul Oficial al Republicii Moldova, 2017, nr. 78-84 art. 100), cu modificările ulterioare, se modifică după cum urmează:</w:t>
      </w:r>
    </w:p>
    <w:p w14:paraId="0000008E"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1. Articolul 54</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alineat (1), lit. d) va avea următorul cuprins::</w:t>
      </w:r>
    </w:p>
    <w:p w14:paraId="0000008F"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”d) remunerarea inegală pentru muncă egală sau muncă de valoare egală;”</w:t>
      </w:r>
    </w:p>
    <w:p w14:paraId="00000090"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b/>
          <w:bCs/>
        </w:rPr>
        <w:t xml:space="preserve">2. </w:t>
      </w:r>
      <w:r>
        <w:rPr>
          <w:rFonts w:ascii="Times New Roman" w:eastAsia="Times New Roman" w:hAnsi="Times New Roman" w:cs="Times New Roman"/>
        </w:rPr>
        <w:t>Articolul 55 alineatul (1) se completează cu litera k), cu următorul cuprins:</w:t>
      </w:r>
    </w:p>
    <w:p w14:paraId="00000091"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”k) nerespectarea de către angajator a obligației de a furniza salariaților, reprezentanților salariaților și Inspectoratului de Stat al Muncii informațiile privind remunerația salariaților, prevăzute de Codul Muncii Republicii Moldova nr. 154/2003, necesare pentru asigurarea respectării principiului egalității de remunerare pentru aceeași muncă sau pentru o muncă de aceeași valoare.”</w:t>
      </w:r>
    </w:p>
    <w:p w14:paraId="00000092"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b/>
          <w:bCs/>
        </w:rPr>
        <w:t>Articolul VI. Legea nr. 140/2001 privind Inspectoratul de Stat al Muncii</w:t>
      </w:r>
      <w:r>
        <w:rPr>
          <w:rFonts w:ascii="Times New Roman" w:eastAsia="Times New Roman" w:hAnsi="Times New Roman" w:cs="Times New Roman"/>
        </w:rPr>
        <w:t xml:space="preserve"> (Monitorul Oficial al Republicii Moldova, 2001, nr. 68-71, art. 505), cu modificările ulterioare, se modifică după cum urmează:</w:t>
      </w:r>
    </w:p>
    <w:p w14:paraId="00000093" w14:textId="77777777" w:rsidR="00290219" w:rsidRDefault="00000000">
      <w:pPr>
        <w:ind w:firstLine="567"/>
        <w:rPr>
          <w:rFonts w:ascii="Times New Roman" w:eastAsia="Times New Roman" w:hAnsi="Times New Roman" w:cs="Times New Roman"/>
        </w:rPr>
      </w:pPr>
      <w:r>
        <w:rPr>
          <w:rFonts w:ascii="Times New Roman" w:eastAsia="Times New Roman" w:hAnsi="Times New Roman" w:cs="Times New Roman"/>
          <w:b/>
          <w:bCs/>
        </w:rPr>
        <w:t>1.</w:t>
      </w:r>
      <w:r>
        <w:rPr>
          <w:rFonts w:ascii="Times New Roman" w:eastAsia="Times New Roman" w:hAnsi="Times New Roman" w:cs="Times New Roman"/>
        </w:rPr>
        <w:t xml:space="preserve"> Se completează cu clauza de armonizare cu următorul cuprins:</w:t>
      </w:r>
    </w:p>
    <w:p w14:paraId="00000094"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 xml:space="preserve">„Prezenta lege creează cadrul necesar aplicării Directivei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(Text cu relevanță pentru SEE), CELEX: 32023L0970, publicată în Jurnalul Oficial al Uniunii Europene L 132 din 17 mai 2023 </w:t>
      </w:r>
      <w:r>
        <w:rPr>
          <w:rFonts w:ascii="Times New Roman" w:eastAsia="Times New Roman" w:hAnsi="Times New Roman" w:cs="Times New Roman"/>
          <w:highlight w:val="white"/>
        </w:rPr>
        <w:t>și se aliniază la Recomandarea Comisiei din 7 martie 2014 referitoare la consolidarea principiului egalității de remunerare între bărbați și femei prin transparență.</w:t>
      </w:r>
      <w:r>
        <w:rPr>
          <w:rFonts w:ascii="Times New Roman" w:eastAsia="Times New Roman" w:hAnsi="Times New Roman" w:cs="Times New Roman"/>
        </w:rPr>
        <w:t xml:space="preserve"> .</w:t>
      </w:r>
    </w:p>
    <w:p w14:paraId="00000095"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b/>
          <w:bCs/>
        </w:rPr>
        <w:t>2.</w:t>
      </w:r>
      <w:r>
        <w:rPr>
          <w:rFonts w:ascii="Times New Roman" w:eastAsia="Times New Roman" w:hAnsi="Times New Roman" w:cs="Times New Roman"/>
        </w:rPr>
        <w:t xml:space="preserve"> Articolul 4 alineatul (2) punctul 1) se completează cu litera e</w:t>
      </w:r>
      <w:r>
        <w:rPr>
          <w:rFonts w:ascii="Times New Roman" w:eastAsia="Times New Roman" w:hAnsi="Times New Roman" w:cs="Times New Roman"/>
          <w:vertAlign w:val="superscript"/>
        </w:rPr>
        <w:t xml:space="preserve">1 </w:t>
      </w:r>
      <w:r>
        <w:rPr>
          <w:rFonts w:ascii="Times New Roman" w:eastAsia="Times New Roman" w:hAnsi="Times New Roman" w:cs="Times New Roman"/>
        </w:rPr>
        <w:t>cu următorul cuprins:</w:t>
      </w:r>
    </w:p>
    <w:p w14:paraId="00000096"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„e</w:t>
      </w:r>
      <w:r>
        <w:rPr>
          <w:rFonts w:ascii="Times New Roman" w:eastAsia="Times New Roman" w:hAnsi="Times New Roman" w:cs="Times New Roman"/>
          <w:vertAlign w:val="superscript"/>
        </w:rPr>
        <w:t>1</w:t>
      </w:r>
      <w:r>
        <w:rPr>
          <w:rFonts w:ascii="Times New Roman" w:eastAsia="Times New Roman" w:hAnsi="Times New Roman" w:cs="Times New Roman"/>
        </w:rPr>
        <w:t>) controlul respectării obligațiilor de remunerare egală pentru o muncă egală sau pentru o muncă de valoare egală, prin:</w:t>
      </w:r>
    </w:p>
    <w:p w14:paraId="00000097" w14:textId="77777777" w:rsidR="00290219" w:rsidRDefault="00000000">
      <w:pPr>
        <w:numPr>
          <w:ilvl w:val="0"/>
          <w:numId w:val="1"/>
        </w:numPr>
        <w:pBdr>
          <w:top w:val="nil"/>
          <w:left w:val="nil"/>
          <w:bottom w:val="nil"/>
          <w:right w:val="nil"/>
          <w:between w:val="nil"/>
        </w:pBdr>
        <w:spacing w:after="0"/>
        <w:ind w:firstLine="566"/>
        <w:jc w:val="both"/>
        <w:rPr>
          <w:color w:val="000000"/>
        </w:rPr>
      </w:pPr>
      <w:r>
        <w:rPr>
          <w:rFonts w:ascii="Times New Roman" w:eastAsia="Times New Roman" w:hAnsi="Times New Roman" w:cs="Times New Roman"/>
          <w:color w:val="000000"/>
        </w:rPr>
        <w:t>analizarea cauzelor diferenței de remunerare între salariații de sex feminin și cei de sex masculin și elaborarea unor instrumente care să ajute la evaluarea diferențelor de remunerare;</w:t>
      </w:r>
    </w:p>
    <w:p w14:paraId="00000098" w14:textId="77777777" w:rsidR="00290219" w:rsidRDefault="00000000">
      <w:pPr>
        <w:numPr>
          <w:ilvl w:val="0"/>
          <w:numId w:val="1"/>
        </w:numPr>
        <w:pBdr>
          <w:top w:val="nil"/>
          <w:left w:val="nil"/>
          <w:bottom w:val="nil"/>
          <w:right w:val="nil"/>
          <w:between w:val="nil"/>
        </w:pBdr>
        <w:spacing w:after="0"/>
        <w:ind w:firstLine="566"/>
        <w:jc w:val="both"/>
        <w:rPr>
          <w:color w:val="000000"/>
        </w:rPr>
      </w:pPr>
      <w:r>
        <w:rPr>
          <w:rFonts w:ascii="Times New Roman" w:eastAsia="Times New Roman" w:hAnsi="Times New Roman" w:cs="Times New Roman"/>
          <w:color w:val="000000"/>
        </w:rPr>
        <w:t xml:space="preserve">culegerea datelor privind diferența de remunerare între salariații de sex masculin și cei de sex feminin în temeiul prevederilor Codului Muncii, și publicarea datelor </w:t>
      </w:r>
      <w:r>
        <w:rPr>
          <w:rFonts w:ascii="Times New Roman" w:eastAsia="Times New Roman" w:hAnsi="Times New Roman" w:cs="Times New Roman"/>
          <w:color w:val="000000"/>
        </w:rPr>
        <w:lastRenderedPageBreak/>
        <w:t>menționate la art. 128²</w:t>
      </w:r>
      <w:r>
        <w:rPr>
          <w:rFonts w:ascii="Times New Roman" w:eastAsia="Times New Roman" w:hAnsi="Times New Roman" w:cs="Times New Roman"/>
        </w:rPr>
        <w:t>,</w:t>
      </w:r>
      <w:r>
        <w:rPr>
          <w:rFonts w:ascii="Times New Roman" w:eastAsia="Times New Roman" w:hAnsi="Times New Roman" w:cs="Times New Roman"/>
          <w:color w:val="000000"/>
        </w:rPr>
        <w:t xml:space="preserve"> într-un mod accesibil, care permite compararea angajatorilor, compararea după regiuni teritoriale, precum și asigurarea faptului că datele din cei patru ani precedenți sunt puse la dispoziție, după caz;</w:t>
      </w:r>
    </w:p>
    <w:p w14:paraId="00000099" w14:textId="77777777" w:rsidR="00290219" w:rsidRDefault="00000000">
      <w:pPr>
        <w:numPr>
          <w:ilvl w:val="0"/>
          <w:numId w:val="1"/>
        </w:numPr>
        <w:pBdr>
          <w:top w:val="nil"/>
          <w:left w:val="nil"/>
          <w:bottom w:val="nil"/>
          <w:right w:val="nil"/>
          <w:between w:val="nil"/>
        </w:pBdr>
        <w:spacing w:after="0"/>
        <w:ind w:firstLine="566"/>
        <w:jc w:val="both"/>
        <w:rPr>
          <w:color w:val="000000"/>
        </w:rPr>
      </w:pPr>
      <w:r>
        <w:rPr>
          <w:rFonts w:ascii="Times New Roman" w:eastAsia="Times New Roman" w:hAnsi="Times New Roman" w:cs="Times New Roman"/>
          <w:color w:val="000000"/>
        </w:rPr>
        <w:t>colectarea rapoartelor evaluării comune a remunerației transmise de angajatori în conformitate cu prevederile Codului Muncii;</w:t>
      </w:r>
    </w:p>
    <w:p w14:paraId="0000009A" w14:textId="77777777" w:rsidR="00290219" w:rsidRDefault="00000000">
      <w:pPr>
        <w:numPr>
          <w:ilvl w:val="0"/>
          <w:numId w:val="1"/>
        </w:numPr>
        <w:pBdr>
          <w:top w:val="nil"/>
          <w:left w:val="nil"/>
          <w:bottom w:val="nil"/>
          <w:right w:val="nil"/>
          <w:between w:val="nil"/>
        </w:pBdr>
        <w:spacing w:after="120"/>
        <w:ind w:firstLine="566"/>
        <w:jc w:val="both"/>
        <w:rPr>
          <w:color w:val="000000"/>
        </w:rPr>
      </w:pPr>
      <w:r>
        <w:rPr>
          <w:rFonts w:ascii="Times New Roman" w:eastAsia="Times New Roman" w:hAnsi="Times New Roman" w:cs="Times New Roman"/>
          <w:color w:val="000000"/>
        </w:rPr>
        <w:t>agregarea datelor privind numărul și tipurile de plângeri sau acțiuni referitoare la cazuri de discriminare în materie de remunerare, formulate de salariați în fața Inspectoratului de Stat al Muncii, a Consiliului pentru Egalitate, precum și în fața instanțelor de judecată.”</w:t>
      </w:r>
    </w:p>
    <w:p w14:paraId="0000009B"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b/>
          <w:bCs/>
        </w:rPr>
        <w:t>3.</w:t>
      </w:r>
      <w:r>
        <w:rPr>
          <w:rFonts w:ascii="Times New Roman" w:eastAsia="Times New Roman" w:hAnsi="Times New Roman" w:cs="Times New Roman"/>
        </w:rPr>
        <w:t xml:space="preserve"> Articolul 4, alineatul (2) punctul 2) se completează cu litera d)</w:t>
      </w:r>
      <w:r>
        <w:rPr>
          <w:rFonts w:ascii="Times New Roman" w:eastAsia="Times New Roman" w:hAnsi="Times New Roman" w:cs="Times New Roman"/>
          <w:vertAlign w:val="superscript"/>
        </w:rPr>
        <w:t xml:space="preserve"> </w:t>
      </w:r>
      <w:r>
        <w:rPr>
          <w:rFonts w:ascii="Times New Roman" w:eastAsia="Times New Roman" w:hAnsi="Times New Roman" w:cs="Times New Roman"/>
        </w:rPr>
        <w:t>cu următorul cuprins:</w:t>
      </w:r>
    </w:p>
    <w:p w14:paraId="0000009C" w14:textId="77777777" w:rsidR="00290219" w:rsidRDefault="00000000">
      <w:pPr>
        <w:spacing w:after="120"/>
        <w:jc w:val="both"/>
        <w:rPr>
          <w:rFonts w:ascii="Times New Roman" w:eastAsia="Times New Roman" w:hAnsi="Times New Roman" w:cs="Times New Roman"/>
        </w:rPr>
      </w:pPr>
      <w:r>
        <w:rPr>
          <w:rFonts w:ascii="Times New Roman" w:eastAsia="Times New Roman" w:hAnsi="Times New Roman" w:cs="Times New Roman"/>
        </w:rPr>
        <w:t>„d) acordarea de consiliere și sprijin angajatorilor în procesul de identificare și remediere a diferențelor de remunerare între salariații de sex masculin și cei de sex feminin care nu sunt justificate prin criterii obiective, neutre din punct de vedere al sexului.”</w:t>
      </w:r>
    </w:p>
    <w:p w14:paraId="0000009D"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b/>
          <w:bCs/>
        </w:rPr>
        <w:t>Art. VII. – Dispoziții finale și tranzitorii</w:t>
      </w:r>
    </w:p>
    <w:p w14:paraId="0000009E"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 xml:space="preserve"> (1)</w:t>
      </w:r>
      <w:r>
        <w:rPr>
          <w:rFonts w:ascii="Times New Roman" w:eastAsia="Times New Roman" w:hAnsi="Times New Roman" w:cs="Times New Roman"/>
          <w:b/>
          <w:bCs/>
        </w:rPr>
        <w:t xml:space="preserve"> </w:t>
      </w:r>
      <w:r>
        <w:rPr>
          <w:rFonts w:ascii="Times New Roman" w:eastAsia="Times New Roman" w:hAnsi="Times New Roman" w:cs="Times New Roman"/>
        </w:rPr>
        <w:t xml:space="preserve">Inspectoratul de Stat al Muncii va asigura colectarea, prelucrarea, centralizarea și publicarea datelor privind diferența de remunerare între salariații de sex masculin și cei de sex feminin pe baza datelor administrative furnizate de angajatori autorităților fiscale și de asigurări sociale și, după caz, altor autorități competente. </w:t>
      </w:r>
    </w:p>
    <w:p w14:paraId="0000009F"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(2) Inspectoratul de Stat al Muncii se desemnează în calitate de autoritate competentă responsabilă de monitorizarea și sprijinirea punerii în aplicare a dispozițiilor stabilite de prezenta lege.</w:t>
      </w:r>
      <w:r>
        <w:rPr>
          <w:color w:val="333333"/>
          <w:sz w:val="27"/>
          <w:szCs w:val="27"/>
          <w:highlight w:val="white"/>
        </w:rPr>
        <w:t xml:space="preserve"> </w:t>
      </w:r>
    </w:p>
    <w:p w14:paraId="000000A0"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(3) Fără a aduce atingere competențelor Inspectoratului de Stat al Muncii, Consiliul pentru Egalitate este competent să examineze și să soluționeze aspectele ce țin de aplicarea principiului egalității de remunerare, în limitele atribuțiilor stabilite de legislația în vigoare. În exercitarea atribuțiilor sale, Consiliul pentru Egalitate:</w:t>
      </w:r>
    </w:p>
    <w:p w14:paraId="000000A1" w14:textId="77777777" w:rsidR="00290219" w:rsidRDefault="00000000">
      <w:pPr>
        <w:spacing w:after="120"/>
        <w:ind w:firstLine="567"/>
        <w:jc w:val="both"/>
        <w:rPr>
          <w:rFonts w:ascii="Times New Roman" w:eastAsia="Times New Roman" w:hAnsi="Times New Roman" w:cs="Times New Roman"/>
        </w:rPr>
      </w:pPr>
      <w:r>
        <w:rPr>
          <w:rFonts w:ascii="Times New Roman" w:eastAsia="Times New Roman" w:hAnsi="Times New Roman" w:cs="Times New Roman"/>
        </w:rPr>
        <w:t>a) asigură desfășurarea activităților de informare și sensibilizare a angajatorilor, a autorităților publice, a entităților private, a partenerilor sociali și a publicului larg cu privire la promovarea principiului egalității de remunerare și a dreptului la transparență salarială; precum și</w:t>
      </w:r>
    </w:p>
    <w:p w14:paraId="000000A2" w14:textId="77777777" w:rsidR="00290219" w:rsidRDefault="00000000">
      <w:pPr>
        <w:spacing w:after="120"/>
        <w:ind w:firstLine="567"/>
        <w:jc w:val="both"/>
        <w:rPr>
          <w:rFonts w:ascii="Times New Roman" w:eastAsia="Times New Roman" w:hAnsi="Times New Roman" w:cs="Times New Roman"/>
          <w:color w:val="000000"/>
        </w:rPr>
      </w:pPr>
      <w:r>
        <w:rPr>
          <w:rFonts w:ascii="Times New Roman" w:eastAsia="Times New Roman" w:hAnsi="Times New Roman" w:cs="Times New Roman"/>
        </w:rPr>
        <w:t>b) promovează măsuri destinate prevenirii și combaterii discriminării, inclusiv a discriminării intersecționale, în materia egalității de remunerare pentru aceeași muncă sau pentru o muncă de valoare egală.</w:t>
      </w:r>
    </w:p>
    <w:p w14:paraId="000000A3" w14:textId="77777777" w:rsidR="00290219" w:rsidRDefault="00000000">
      <w:pPr>
        <w:ind w:firstLine="567"/>
        <w:jc w:val="both"/>
        <w:rPr>
          <w:rFonts w:ascii="Times New Roman" w:eastAsia="Times New Roman" w:hAnsi="Times New Roman" w:cs="Times New Roman"/>
        </w:rPr>
      </w:pPr>
      <w:r>
        <w:rPr>
          <w:rFonts w:ascii="Times New Roman" w:eastAsia="Times New Roman" w:hAnsi="Times New Roman" w:cs="Times New Roman"/>
        </w:rPr>
        <w:t>(4) Prezenta lege intră în vigoare la 1 ianuarie 2027.</w:t>
      </w:r>
    </w:p>
    <w:p w14:paraId="1214D46F" w14:textId="69A78717" w:rsidR="00342EB7" w:rsidRDefault="00000000" w:rsidP="00342EB7">
      <w:pPr>
        <w:ind w:firstLine="567"/>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(5) </w:t>
      </w:r>
      <w:r w:rsidR="00342EB7" w:rsidRPr="00342EB7">
        <w:rPr>
          <w:rFonts w:ascii="Times New Roman" w:eastAsia="Times New Roman" w:hAnsi="Times New Roman" w:cs="Times New Roman"/>
          <w:highlight w:val="white"/>
        </w:rPr>
        <w:t>Prevederile art. I pct. 9 referitoare la art. 128⁴ intră în vigoare la data aderării Republicii Moldova la Uniunea Europeană.</w:t>
      </w:r>
    </w:p>
    <w:p w14:paraId="75F081F3" w14:textId="77777777" w:rsidR="00342EB7" w:rsidRDefault="00342EB7">
      <w:pPr>
        <w:jc w:val="center"/>
        <w:rPr>
          <w:rFonts w:ascii="Times New Roman" w:eastAsia="Times New Roman" w:hAnsi="Times New Roman" w:cs="Times New Roman"/>
        </w:rPr>
      </w:pPr>
    </w:p>
    <w:p w14:paraId="000000A5" w14:textId="7FBFA381" w:rsidR="00290219" w:rsidRDefault="00000000" w:rsidP="00342EB7">
      <w:pPr>
        <w:rPr>
          <w:rFonts w:ascii="Times New Roman" w:eastAsia="Times New Roman" w:hAnsi="Times New Roman" w:cs="Times New Roman"/>
        </w:rPr>
      </w:pPr>
      <w:r>
        <w:rPr>
          <w:rFonts w:ascii="Times New Roman" w:eastAsia="Times New Roman" w:hAnsi="Times New Roman" w:cs="Times New Roman"/>
        </w:rPr>
        <w:t>PREȘEDINTELE PARLAMENTULUI</w:t>
      </w:r>
    </w:p>
    <w:sectPr w:rsidR="00290219">
      <w:footerReference w:type="default" r:id="rId7"/>
      <w:pgSz w:w="11906" w:h="16838"/>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357BC" w14:textId="77777777" w:rsidR="002C178E" w:rsidRDefault="002C178E">
      <w:pPr>
        <w:spacing w:after="0" w:line="240" w:lineRule="auto"/>
      </w:pPr>
      <w:r>
        <w:separator/>
      </w:r>
    </w:p>
  </w:endnote>
  <w:endnote w:type="continuationSeparator" w:id="0">
    <w:p w14:paraId="64ED27C4" w14:textId="77777777" w:rsidR="002C178E" w:rsidRDefault="002C1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1E2F6F62-8A55-4DFF-BD20-A9E535D94D5F}"/>
  </w:font>
  <w:font w:name="Aptos">
    <w:charset w:val="00"/>
    <w:family w:val="swiss"/>
    <w:pitch w:val="variable"/>
    <w:sig w:usb0="20000287" w:usb1="00000003" w:usb2="00000000" w:usb3="00000000" w:csb0="0000019F" w:csb1="00000000"/>
    <w:embedRegular r:id="rId2" w:fontKey="{D313D527-9BA1-45C8-90B7-E2A7C3D822E1}"/>
    <w:embedItalic r:id="rId3" w:fontKey="{B9B025EA-8A8C-4920-9C22-A9840FEE23C8}"/>
  </w:font>
  <w:font w:name="Play">
    <w:charset w:val="00"/>
    <w:family w:val="auto"/>
    <w:pitch w:val="default"/>
    <w:embedRegular r:id="rId4" w:fontKey="{1337B06C-D76D-4E19-BFFD-AD84DF27125C}"/>
  </w:font>
  <w:font w:name="Calibri">
    <w:panose1 w:val="020F0502020204030204"/>
    <w:charset w:val="00"/>
    <w:family w:val="swiss"/>
    <w:pitch w:val="variable"/>
    <w:sig w:usb0="E4002EFF" w:usb1="C200247B" w:usb2="00000009" w:usb3="00000000" w:csb0="000001FF" w:csb1="00000000"/>
    <w:embedRegular r:id="rId5" w:fontKey="{3F79A5A3-B127-44B4-ADA2-967B279D75EC}"/>
  </w:font>
  <w:font w:name="Cambria">
    <w:panose1 w:val="02040503050406030204"/>
    <w:charset w:val="00"/>
    <w:family w:val="roman"/>
    <w:pitch w:val="variable"/>
    <w:sig w:usb0="E00006FF" w:usb1="420024FF" w:usb2="02000000" w:usb3="00000000" w:csb0="0000019F" w:csb1="00000000"/>
    <w:embedRegular r:id="rId6" w:fontKey="{1649D809-5C9D-4B14-895E-C535687C7BC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6" w14:textId="77777777" w:rsidR="00290219" w:rsidRDefault="00290219">
    <w:pPr>
      <w:spacing w:after="120"/>
      <w:ind w:firstLine="567"/>
      <w:jc w:val="both"/>
      <w:rPr>
        <w:rFonts w:ascii="Times New Roman" w:eastAsia="Times New Roman" w:hAnsi="Times New Roman" w:cs="Times New Roman"/>
      </w:rPr>
    </w:pPr>
  </w:p>
  <w:p w14:paraId="000000A7" w14:textId="77777777" w:rsidR="00290219" w:rsidRDefault="00290219">
    <w:pPr>
      <w:rPr>
        <w:rFonts w:ascii="Times New Roman" w:eastAsia="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A66BF" w14:textId="77777777" w:rsidR="002C178E" w:rsidRDefault="002C178E">
      <w:pPr>
        <w:spacing w:after="0" w:line="240" w:lineRule="auto"/>
      </w:pPr>
      <w:r>
        <w:separator/>
      </w:r>
    </w:p>
  </w:footnote>
  <w:footnote w:type="continuationSeparator" w:id="0">
    <w:p w14:paraId="52EA9E5A" w14:textId="77777777" w:rsidR="002C178E" w:rsidRDefault="002C17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A2EA9"/>
    <w:multiLevelType w:val="multilevel"/>
    <w:tmpl w:val="6DDE49DE"/>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2A8274C3"/>
    <w:multiLevelType w:val="multilevel"/>
    <w:tmpl w:val="44C6CF08"/>
    <w:lvl w:ilvl="0">
      <w:start w:val="6"/>
      <w:numFmt w:val="bullet"/>
      <w:lvlText w:val="-"/>
      <w:lvlJc w:val="left"/>
      <w:pPr>
        <w:ind w:left="720" w:hanging="360"/>
      </w:pPr>
      <w:rPr>
        <w:rFonts w:ascii="Times New Roman" w:eastAsia="Times New Roman" w:hAnsi="Times New Roman" w:cs="Times New Roman"/>
        <w:i/>
        <w:i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EDE38CE"/>
    <w:multiLevelType w:val="multilevel"/>
    <w:tmpl w:val="E5FA2900"/>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 w15:restartNumberingAfterBreak="0">
    <w:nsid w:val="5CF743EE"/>
    <w:multiLevelType w:val="multilevel"/>
    <w:tmpl w:val="803E3644"/>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15:restartNumberingAfterBreak="0">
    <w:nsid w:val="723E015E"/>
    <w:multiLevelType w:val="multilevel"/>
    <w:tmpl w:val="2F82DB00"/>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16cid:durableId="2131169787">
    <w:abstractNumId w:val="1"/>
  </w:num>
  <w:num w:numId="2" w16cid:durableId="1073091083">
    <w:abstractNumId w:val="2"/>
  </w:num>
  <w:num w:numId="3" w16cid:durableId="1615096910">
    <w:abstractNumId w:val="4"/>
  </w:num>
  <w:num w:numId="4" w16cid:durableId="180896354">
    <w:abstractNumId w:val="3"/>
  </w:num>
  <w:num w:numId="5" w16cid:durableId="1481188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219"/>
    <w:rsid w:val="00290219"/>
    <w:rsid w:val="002C178E"/>
    <w:rsid w:val="00342EB7"/>
    <w:rsid w:val="006B7CE4"/>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2A77A"/>
  <w15:docId w15:val="{3C2D12BF-6E1D-4C51-9EA7-8CBF5CEF6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ro" w:eastAsia="ro-MD"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semiHidden/>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semiHidden/>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iCs/>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after="0"/>
      <w:outlineLvl w:val="5"/>
    </w:pPr>
    <w:rPr>
      <w:i/>
      <w:iCs/>
      <w:color w:val="595959"/>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rFonts w:ascii="Play" w:eastAsia="Play" w:hAnsi="Play" w:cs="Play"/>
      <w:sz w:val="56"/>
      <w:szCs w:val="56"/>
    </w:rPr>
  </w:style>
  <w:style w:type="paragraph" w:styleId="a4">
    <w:name w:val="Subtitle"/>
    <w:basedOn w:val="a"/>
    <w:next w:val="a"/>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5453</Words>
  <Characters>31630</Characters>
  <Application>Microsoft Office Word</Application>
  <DocSecurity>0</DocSecurity>
  <Lines>263</Lines>
  <Paragraphs>74</Paragraphs>
  <ScaleCrop>false</ScaleCrop>
  <Company/>
  <LinksUpToDate>false</LinksUpToDate>
  <CharactersWithSpaces>37009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Scurtu</dc:creator>
  <cp:lastModifiedBy>Direcția Politici în Domeniul Raporturi de Muncă</cp:lastModifiedBy>
  <cp:revision>2</cp:revision>
  <dcterms:created xsi:type="dcterms:W3CDTF">2026-07-14T10:49:00Z</dcterms:created>
  <dcterms:modified xsi:type="dcterms:W3CDTF">2026-07-14T10:49:00Z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713ea797-a0f0-4da1-80c0-2df83318fa20</vt:lpwstr>
  </property>
</Properties>
</file>