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1E8DCE" w14:textId="77777777" w:rsidR="00F42DE6" w:rsidRPr="00F42DE6" w:rsidRDefault="00F42DE6" w:rsidP="007536D5">
      <w:pPr>
        <w:pStyle w:val="cn"/>
        <w:shd w:val="clear" w:color="auto" w:fill="FFFFFF"/>
        <w:spacing w:before="0" w:beforeAutospacing="0" w:after="0" w:afterAutospacing="0"/>
        <w:ind w:left="284"/>
        <w:jc w:val="center"/>
        <w:rPr>
          <w:b/>
          <w:bCs/>
          <w:color w:val="000000"/>
          <w:lang w:val="ro-MD"/>
        </w:rPr>
      </w:pPr>
      <w:r w:rsidRPr="00F42DE6">
        <w:rPr>
          <w:b/>
          <w:bCs/>
          <w:color w:val="000000"/>
          <w:lang w:val="ro-MD"/>
        </w:rPr>
        <w:t>NOTA DE FUNDAMENTARE</w:t>
      </w:r>
    </w:p>
    <w:p w14:paraId="7832F139" w14:textId="779F5417" w:rsidR="002877E5" w:rsidRPr="004269EF" w:rsidRDefault="00F42DE6" w:rsidP="007536D5">
      <w:pPr>
        <w:pStyle w:val="cn"/>
        <w:shd w:val="clear" w:color="auto" w:fill="FFFFFF"/>
        <w:spacing w:after="0"/>
        <w:ind w:left="-142"/>
        <w:jc w:val="center"/>
        <w:rPr>
          <w:b/>
          <w:bCs/>
          <w:color w:val="000000"/>
          <w:lang w:val="ro-MD"/>
        </w:rPr>
      </w:pPr>
      <w:r w:rsidRPr="00F42DE6">
        <w:rPr>
          <w:b/>
          <w:bCs/>
          <w:color w:val="000000"/>
          <w:lang w:val="ro-MD"/>
        </w:rPr>
        <w:t xml:space="preserve">la proiectul de </w:t>
      </w:r>
      <w:r w:rsidR="00E26809">
        <w:rPr>
          <w:b/>
          <w:bCs/>
          <w:color w:val="000000"/>
          <w:lang w:val="ro-MD"/>
        </w:rPr>
        <w:t>lege pentru modificarea Legii horticulturii nr.62/2025</w:t>
      </w:r>
    </w:p>
    <w:p w14:paraId="555D0C4B" w14:textId="77777777" w:rsidR="00746F55" w:rsidRDefault="00746F55" w:rsidP="002877E5">
      <w:pPr>
        <w:pStyle w:val="cn"/>
        <w:shd w:val="clear" w:color="auto" w:fill="FFFFFF"/>
        <w:spacing w:before="0" w:beforeAutospacing="0" w:after="0" w:afterAutospacing="0"/>
        <w:ind w:left="-426"/>
        <w:jc w:val="center"/>
        <w:rPr>
          <w:lang w:val="ro-MD"/>
        </w:rPr>
      </w:pPr>
    </w:p>
    <w:tbl>
      <w:tblPr>
        <w:tblW w:w="5573" w:type="pct"/>
        <w:tblInd w:w="-442" w:type="dxa"/>
        <w:shd w:val="clear" w:color="auto" w:fill="FFFFFF"/>
        <w:tblCellMar>
          <w:left w:w="0" w:type="dxa"/>
          <w:right w:w="0" w:type="dxa"/>
        </w:tblCellMar>
        <w:tblLook w:val="04A0" w:firstRow="1" w:lastRow="0" w:firstColumn="1" w:lastColumn="0" w:noHBand="0" w:noVBand="1"/>
      </w:tblPr>
      <w:tblGrid>
        <w:gridCol w:w="10156"/>
      </w:tblGrid>
      <w:tr w:rsidR="00645815" w:rsidRPr="007F23AE" w14:paraId="35C83AC3"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6DAD8B5C" w14:textId="77777777" w:rsidR="00645815" w:rsidRPr="00CD1F05" w:rsidRDefault="00645815" w:rsidP="001231D8">
            <w:pPr>
              <w:spacing w:after="0" w:line="240" w:lineRule="auto"/>
              <w:ind w:left="27"/>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1. Denumirea sau numele autorului şi, după caz, a/al participanţilor la elaborarea proiectului actului normativ</w:t>
            </w:r>
          </w:p>
        </w:tc>
      </w:tr>
      <w:tr w:rsidR="00645815" w:rsidRPr="007F23AE" w14:paraId="0C36EC79"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5D832BDF" w14:textId="739C67D7" w:rsidR="00645815" w:rsidRPr="00CD1F05" w:rsidRDefault="00CF5C96" w:rsidP="00E74109">
            <w:pPr>
              <w:spacing w:after="0" w:line="240" w:lineRule="auto"/>
              <w:ind w:firstLine="452"/>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Ministerul Agriculturii și Industriei Alimentare.</w:t>
            </w:r>
          </w:p>
        </w:tc>
      </w:tr>
      <w:tr w:rsidR="00645815" w:rsidRPr="007F23AE" w14:paraId="3E6CF677"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321A84FF"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2. Condiţiile ce au impus elaborarea proiectului actului normativ</w:t>
            </w:r>
          </w:p>
        </w:tc>
      </w:tr>
      <w:tr w:rsidR="00BA77A0" w:rsidRPr="007F23AE" w14:paraId="548760B7" w14:textId="77777777" w:rsidTr="00496F91">
        <w:trPr>
          <w:trHeight w:val="2086"/>
        </w:trPr>
        <w:tc>
          <w:tcPr>
            <w:tcW w:w="5000" w:type="pct"/>
            <w:tcBorders>
              <w:top w:val="single" w:sz="6" w:space="0" w:color="000000"/>
              <w:left w:val="single" w:sz="6" w:space="0" w:color="000000"/>
              <w:right w:val="single" w:sz="6" w:space="0" w:color="000000"/>
            </w:tcBorders>
            <w:shd w:val="clear" w:color="auto" w:fill="FFFFFF"/>
            <w:tcMar>
              <w:top w:w="24" w:type="dxa"/>
              <w:left w:w="48" w:type="dxa"/>
              <w:bottom w:w="24" w:type="dxa"/>
              <w:right w:w="48" w:type="dxa"/>
            </w:tcMar>
            <w:hideMark/>
          </w:tcPr>
          <w:p w14:paraId="2BCD6DA1" w14:textId="02F39162" w:rsidR="0090074A" w:rsidRPr="00CD1F05" w:rsidRDefault="00BA77A0" w:rsidP="0090074A">
            <w:pPr>
              <w:spacing w:after="0" w:line="240" w:lineRule="auto"/>
              <w:ind w:firstLine="452"/>
              <w:jc w:val="both"/>
              <w:rPr>
                <w:rFonts w:ascii="Times New Roman" w:eastAsia="Times New Roman" w:hAnsi="Times New Roman" w:cs="Times New Roman"/>
                <w:b/>
                <w:color w:val="000000"/>
                <w:sz w:val="24"/>
                <w:szCs w:val="24"/>
                <w:lang w:val="ro-MD" w:eastAsia="ru-RU"/>
              </w:rPr>
            </w:pPr>
            <w:r w:rsidRPr="00CD1F05">
              <w:rPr>
                <w:rFonts w:ascii="Times New Roman" w:eastAsia="Times New Roman" w:hAnsi="Times New Roman" w:cs="Times New Roman"/>
                <w:b/>
                <w:color w:val="000000"/>
                <w:sz w:val="24"/>
                <w:szCs w:val="24"/>
                <w:lang w:val="ro-MD" w:eastAsia="ru-RU"/>
              </w:rPr>
              <w:t>2.1. Temeiul legal sau, după caz, sursa proiectului actului normativ</w:t>
            </w:r>
          </w:p>
          <w:p w14:paraId="399D0C37" w14:textId="77777777" w:rsidR="00BA77A0" w:rsidRPr="00CD1F05" w:rsidRDefault="00BA77A0" w:rsidP="0029798C">
            <w:pPr>
              <w:spacing w:after="0" w:line="240" w:lineRule="auto"/>
              <w:ind w:firstLine="452"/>
              <w:jc w:val="both"/>
              <w:rPr>
                <w:rFonts w:ascii="Times New Roman" w:eastAsia="Times New Roman" w:hAnsi="Times New Roman" w:cs="Times New Roman"/>
                <w:b/>
                <w:color w:val="000000"/>
                <w:sz w:val="24"/>
                <w:szCs w:val="24"/>
                <w:lang w:val="ro-MD" w:eastAsia="ru-RU"/>
              </w:rPr>
            </w:pPr>
            <w:r w:rsidRPr="00CD1F05">
              <w:rPr>
                <w:rFonts w:ascii="Times New Roman" w:eastAsia="Times New Roman" w:hAnsi="Times New Roman" w:cs="Times New Roman"/>
                <w:b/>
                <w:color w:val="000000"/>
                <w:sz w:val="24"/>
                <w:szCs w:val="24"/>
                <w:lang w:val="ro-MD" w:eastAsia="ru-RU"/>
              </w:rPr>
              <w:t>2.2. Descrierea situaţiei actuale şi a problemelor care impun intervenţia, inclusiv a cadrului normativ aplicabil şi a deficienţelor/lacunelor normative</w:t>
            </w:r>
          </w:p>
          <w:p w14:paraId="6781360E" w14:textId="77777777" w:rsidR="00A60519" w:rsidRPr="00CD1F05" w:rsidRDefault="00A60519" w:rsidP="00A60519">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ultimii ani, au fost implementate multiple inițiative funcționale orientate spre facilitarea accesului producătorilor la piețe externe, creșterea competitivității produselor horticole și adoptarea tehnologiilor moderne. Aceste mecanisme, deja operaționale, riscă să fie marginalizate sau duplicate în mod ineficient prin crearea unei noi structuri.</w:t>
            </w:r>
          </w:p>
          <w:p w14:paraId="79BBAA85" w14:textId="77777777" w:rsidR="00ED0679" w:rsidRPr="00CD1F05" w:rsidRDefault="00177E4F" w:rsidP="00E202A7">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cadrul procesului de consultare a proiectului (Hotărârea Guvernului „Cu privire la înființarea Instituției Publice Oficiul Horticol”), au fost organizate ședințe de lucru și consultări cu reprezentanții asociațiilor sectoriale și ai mediului privat, inclusiv pe 8 aprilie 2026, în cadrul Ministerul Agriculturii și Industriei Alimentare. În urma acestor consultări, poziția exprimată de reprezentanții sectorului horticol a fost una constantă și unanimă de nesusținere a instituirii Oficiului Horticol.</w:t>
            </w:r>
          </w:p>
          <w:p w14:paraId="361AAE15" w14:textId="77777777" w:rsidR="00177E4F" w:rsidRPr="00CD1F05" w:rsidRDefault="00177E4F" w:rsidP="00E202A7">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Asociațiile de profil au comunicat în mod expres refuzul de a participa la constituirea noii entități și de a dobândi calitatea de membri ai acesteia. Totodată, participanții la procesul de consultare, cu excepția autorității inițiatoare, și-au exprimat dezacordul privind instituirea mecanismului de finanțare prin contribuții obligatorii din partea producătorilor și exportatorilor, considerând că o asemenea soluție ar genera sarcini financiare suplimentare nejustificate și nu oferă garanții suficiente privind beneficiile directe și proporționale pentru fiecare subsector.</w:t>
            </w:r>
          </w:p>
          <w:p w14:paraId="7F85AF1B" w14:textId="77777777" w:rsidR="00177E4F" w:rsidRPr="00CD1F05" w:rsidRDefault="00177E4F" w:rsidP="00E202A7">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cadrul consultărilor, reprezentanții sectorului au menționat că, deși instituirea Oficiului Horticol a fost susținută conceptual de o parte dintre asociații în anul 2025, în condițiile actuale inițiativa este apreciată drept depășită și neadaptată realităților sectorului. Potrivit poziției exprimate, în forma propusă, Oficiul Horticol este perceput ca un factor de diminuare a rolului asociațiilor profesionale, prin preluarea unor funcții similare celor deja exercitate de acestea, inclusiv în domeniul promovării, facilitării accesului la piețe și reprezentării intereselor producătorilor.</w:t>
            </w:r>
          </w:p>
          <w:p w14:paraId="47B89DD2" w14:textId="66D06059"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De asemenea, asociațiile au relevat că sectorul horticol este unul complex și diversificat din punct de vedere agroecologic, cu subsectori distincti (pomicultură, viticultură, legumicultură, bacifere și alte culturi specializate), fiecare având particularități tehnologice și economice specifice. În opinia acestora, integrarea tuturor subsectoarelor într-o singură structură instituțională nu ar permite reprezentarea echitabilă a intereselor fiecăruia și ar crea riscul unei competiții disproporționate între ramuri cu niveluri diferite de dezvoltare asociativă și capacitate economică.</w:t>
            </w:r>
          </w:p>
          <w:p w14:paraId="4B034BE1" w14:textId="33DFEEB0"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Totodată, reprezentanții sectorului au subliniat lipsa certitudinii că subsectorii care ar contribui în măsură mai mare la formarea bugetului Oficiului ar beneficia proporțional de servicii și suport, precum și dificultatea practică de asigurare a colectării contribuțiilor de la totalitatea producătorilor horticoli. În acest context, s-a apreciat că mecanismul propus prezintă riscuri de aplicabilitate și sustenabilitate financiară.</w:t>
            </w:r>
          </w:p>
          <w:p w14:paraId="630D1E1B" w14:textId="77777777"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cadrul consultărilor, asociațiile au recomandat ca resursele financiare prevăzute pentru constituirea și funcționarea Oficiului să fie redirecționate către consolidarea instrumentelor existente de sprijin, în special către politicile de subvenționare și măsurile de susținere directă a producătorilor. De asemenea, a fost subliniat că problemele structurale ale sectorului nu rezultă din lipsa unei entități instituționale distincte, ci din accesul limitat la resurse financiare, insuficiența proiectelor investiționale și necesitatea consolidării mecanismelor deja existente.</w:t>
            </w:r>
          </w:p>
          <w:p w14:paraId="6F0C8A63" w14:textId="2418FF54" w:rsidR="00177E4F" w:rsidRPr="00CD1F05"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lastRenderedPageBreak/>
              <w:t>Suplimentar, participanții au evidențiat că o parte dintre atribuțiile preconizate pentru Oficiul Horticol se suprapun cu competențele unor instituții și structuri deja funcționale, precum Agenția Națională pentru Siguranța Alimentelor, Universitatea Tehnică a Moldovei, instituțiile de cercetare agricolă și rețeaua existentă de asociații profesionale. În opinia acestora, instituirea unei noi entități ar genera paralelisme instituționale, fragmentarea competențelor și riscuri de utilizare ineficientă a resurselor publice și private.</w:t>
            </w:r>
          </w:p>
          <w:p w14:paraId="2B24C555" w14:textId="77777777" w:rsidR="00177E4F" w:rsidRDefault="00177E4F" w:rsidP="00177E4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concluzie, în baza consultărilor desfășurate și a avizelor prezentate de asociațiile de profil, s-a constatat lipsa consensului sectorului privind operaționalizarea Oficiului Horticol, precum și opoziția fermă față de instituirea unei structuri publice finanțate inclusiv din contribuții obligatorii ale mediului privat, ceea ce a determinat reconsiderarea oportunității menținerii cadrului normativ aferent acestei entități.</w:t>
            </w:r>
          </w:p>
          <w:p w14:paraId="33996FE8" w14:textId="6D3E5539" w:rsidR="00911735" w:rsidRPr="00911735" w:rsidRDefault="00911735" w:rsidP="00911735">
            <w:pPr>
              <w:spacing w:after="0" w:line="240" w:lineRule="auto"/>
              <w:ind w:firstLine="452"/>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Totodată, p</w:t>
            </w:r>
            <w:r w:rsidRPr="00911735">
              <w:rPr>
                <w:rFonts w:ascii="Times New Roman" w:eastAsia="Times New Roman" w:hAnsi="Times New Roman" w:cs="Times New Roman"/>
                <w:color w:val="000000"/>
                <w:sz w:val="24"/>
                <w:szCs w:val="24"/>
                <w:lang w:eastAsia="ru-RU"/>
              </w:rPr>
              <w:t>roiectul propune completarea Legii horticulturii nr. 62/2025 cu un nou articol privind punerea pe rod și recepționarea plantațiilor horticole, prin care se stabilește că termenul intrării pe rod a plantațiilor horticole se determină în funcție de sistemul de cultură, gradul de creștere al portaltoiului și al soiului, precum și de tipul materialului săditor, iar punerea pe rod și recepționarea plantațiilor horticole în primul an de vegetație se efectuează în conformitate cu re</w:t>
            </w:r>
            <w:r>
              <w:rPr>
                <w:rFonts w:ascii="Times New Roman" w:eastAsia="Times New Roman" w:hAnsi="Times New Roman" w:cs="Times New Roman"/>
                <w:color w:val="000000"/>
                <w:sz w:val="24"/>
                <w:szCs w:val="24"/>
                <w:lang w:eastAsia="ru-RU"/>
              </w:rPr>
              <w:t>gulamentele aprobate de Guvern.</w:t>
            </w:r>
          </w:p>
          <w:p w14:paraId="695A4169" w14:textId="77777777" w:rsidR="00911735" w:rsidRDefault="00911735" w:rsidP="00911735">
            <w:pPr>
              <w:spacing w:after="0" w:line="240" w:lineRule="auto"/>
              <w:ind w:firstLine="452"/>
              <w:jc w:val="both"/>
              <w:rPr>
                <w:rFonts w:ascii="Times New Roman" w:eastAsia="Times New Roman" w:hAnsi="Times New Roman" w:cs="Times New Roman"/>
                <w:color w:val="000000"/>
                <w:sz w:val="24"/>
                <w:szCs w:val="24"/>
                <w:lang w:eastAsia="ru-RU"/>
              </w:rPr>
            </w:pPr>
            <w:r w:rsidRPr="00911735">
              <w:rPr>
                <w:rFonts w:ascii="Times New Roman" w:eastAsia="Times New Roman" w:hAnsi="Times New Roman" w:cs="Times New Roman"/>
                <w:color w:val="000000"/>
                <w:sz w:val="24"/>
                <w:szCs w:val="24"/>
                <w:lang w:eastAsia="ru-RU"/>
              </w:rPr>
              <w:t xml:space="preserve">În prezent, cadrul normativ secundar este reprezentat de Hotărârea Guvernului nr. 705/1995 </w:t>
            </w:r>
            <w:r w:rsidRPr="00911735">
              <w:rPr>
                <w:rFonts w:ascii="Times New Roman" w:eastAsia="Times New Roman" w:hAnsi="Times New Roman" w:cs="Times New Roman"/>
                <w:color w:val="000000"/>
                <w:sz w:val="24"/>
                <w:szCs w:val="24"/>
                <w:lang w:eastAsia="ru-RU"/>
              </w:rPr>
              <w:t>privind recepţionarea şi înregistrarea la venituri a plantaţiile perene în primul an de vegetaţie</w:t>
            </w:r>
            <w:r w:rsidRPr="00911735">
              <w:rPr>
                <w:rFonts w:ascii="Times New Roman" w:eastAsia="Times New Roman" w:hAnsi="Times New Roman" w:cs="Times New Roman"/>
                <w:color w:val="000000"/>
                <w:sz w:val="24"/>
                <w:szCs w:val="24"/>
                <w:lang w:eastAsia="ru-RU"/>
              </w:rPr>
              <w:t>, care reglementează condițiile generale de constatare a intrării pe rod, etapele procedurii administrative, componența comisiilor de recepție, documentele necesare și modul de întocmire a actelor de recepție. Cu toate acestea, proiectul de lege nu stabilește la nivel de reglementare primară elementele esențiale ale procedurii, limitându-se la o trimitere generală către regulamentele aprobate de Guvern.</w:t>
            </w:r>
          </w:p>
          <w:p w14:paraId="7392745F" w14:textId="3E0A6453" w:rsidR="00911735" w:rsidRPr="00CD1F05" w:rsidRDefault="00911735" w:rsidP="00911735">
            <w:pPr>
              <w:spacing w:after="0" w:line="240" w:lineRule="auto"/>
              <w:ind w:firstLine="452"/>
              <w:jc w:val="both"/>
              <w:rPr>
                <w:rFonts w:ascii="Times New Roman" w:eastAsia="Times New Roman" w:hAnsi="Times New Roman" w:cs="Times New Roman"/>
                <w:color w:val="000000"/>
                <w:sz w:val="24"/>
                <w:szCs w:val="24"/>
                <w:lang w:eastAsia="ru-RU"/>
              </w:rPr>
            </w:pPr>
            <w:r w:rsidRPr="00911735">
              <w:rPr>
                <w:rFonts w:ascii="Times New Roman" w:eastAsia="Times New Roman" w:hAnsi="Times New Roman" w:cs="Times New Roman"/>
                <w:color w:val="000000"/>
                <w:sz w:val="24"/>
                <w:szCs w:val="24"/>
                <w:lang w:eastAsia="ru-RU"/>
              </w:rPr>
              <w:t>O asemenea soluție normativă poate genera incertitudine cu privire la delimitarea dintre aspectele care trebuie reglementate prin lege și cele care pot face obiectul actelor normative subordonate.</w:t>
            </w:r>
          </w:p>
        </w:tc>
      </w:tr>
      <w:tr w:rsidR="00645815" w:rsidRPr="007F23AE" w14:paraId="6212776D"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68961E3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lastRenderedPageBreak/>
              <w:t>3. Obiectivele urmărite şi soluţiile propuse</w:t>
            </w:r>
          </w:p>
        </w:tc>
      </w:tr>
      <w:tr w:rsidR="00645815" w:rsidRPr="007F23AE" w14:paraId="46E2C4DF"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797C8110" w14:textId="77777777" w:rsidR="00645815" w:rsidRPr="00CD1F05" w:rsidRDefault="00645815" w:rsidP="006A298B">
            <w:pPr>
              <w:spacing w:after="0" w:line="240" w:lineRule="auto"/>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3.1. Principalele prevederi ale proiectului şi evidenţierea elementelor noi</w:t>
            </w:r>
          </w:p>
          <w:p w14:paraId="1636BB12" w14:textId="77777777" w:rsidR="009E5114" w:rsidRPr="00CD1F05" w:rsidRDefault="00417036" w:rsidP="00417036">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Principalele prevederi ale proiectului constau în abrogarea articolelor 6–8 din Legea horticulturii nr. 62/2025, care reglementează cadrul juridic privind instituirea, organizarea, funcționarea și finanțarea Oficiului Horticol.</w:t>
            </w:r>
          </w:p>
          <w:p w14:paraId="2B9F2B7C" w14:textId="66540929"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În acest sens, proiectul prevede excluderea dispozițiilor referitoare la statutul Oficiului Horticol în calitate de instituție publică în care Ministerul Agriculturii și Industriei Alimentare exercită funcția de fondator, precum și a normelor ce reglementează atribuțiile acesteia în domeniul promovării produselor horticole, efectuării analizelor sectoriale și cercetărilor de piață, monitorizării potențialului de producere, implementării proiectelor și programelor de dezvoltare, administrării registrului horticol și evidenței contribuțiilor obligatorii ale producătorilor și exportatorilor de produse horticole.</w:t>
            </w:r>
          </w:p>
          <w:p w14:paraId="75C8649A" w14:textId="0A577B3C"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Totodată, proiectul exclude normele ce reglementează structura de conducere a Oficiului Horticol, inclusiv competențele Consiliului de coordonare și ale directorului, modul de constituire și funcționare a organelor de conducere, precum și aspectele aferente administrării activității executive a instituției.</w:t>
            </w:r>
          </w:p>
          <w:p w14:paraId="5947D773" w14:textId="1105EFCE"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De asemenea, se propune abrogarea integrală a mecanismului de finanțare a Oficiului Horticol, inclusiv a prevederilor privind stabilirea și perceperea contribuțiilor obligatorii ale producătorilor și exportatorilor de produse horticole, administrarea acestora de către Serviciul Fiscal de Stat, aplicarea penalităților pentru neachitare, precum și utilizarea mijloacelor financiare acumulate.</w:t>
            </w:r>
          </w:p>
          <w:p w14:paraId="49137C23" w14:textId="77777777" w:rsidR="0090074A" w:rsidRPr="00CD1F05" w:rsidRDefault="0090074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Elementul de noutate al proiectului rezidă în excluderea cadrului normativ aferent constituirii unei entități publice distincte în sectorul horticol și în menținerea realizării politicilor publice sectoriale prin intermediul autorităților și instituțiilor publice competente existente, în vederea evitării suprapunerii atribuțiilor administrative și a instituirii unor obligații financiare suplimentare în sarcina producătorilor și exportatorilor de produse horticole.</w:t>
            </w:r>
          </w:p>
          <w:p w14:paraId="6F5B6AFF" w14:textId="77777777" w:rsidR="00BE746A" w:rsidRPr="00CD1F05" w:rsidRDefault="00BE746A" w:rsidP="0090074A">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 xml:space="preserve">Ca element nou al proiectului, se propune completarea actului normativ cu un articol distinct privind punerea pe rod și recepționarea plantațiilor horticole, care reglementează expres criteriile de stabilire a termenului intrării pe rod a plantațiilor, în funcție de sistemul de cultură, gradul de creștere al portaltoiului și al soiului, precum și tipul materialului săditor utilizat. Totodată, articolul stabilește că punerea pe rod </w:t>
            </w:r>
            <w:r w:rsidRPr="00CD1F05">
              <w:rPr>
                <w:rFonts w:ascii="Times New Roman" w:eastAsia="Times New Roman" w:hAnsi="Times New Roman" w:cs="Times New Roman"/>
                <w:color w:val="000000"/>
                <w:sz w:val="24"/>
                <w:szCs w:val="24"/>
                <w:lang w:eastAsia="ru-RU"/>
              </w:rPr>
              <w:lastRenderedPageBreak/>
              <w:t>și recepționarea plantațiilor horticole în primul an de vegetație se va realiza în conformitate cu regulamentele aprobate de Guvern.</w:t>
            </w:r>
          </w:p>
          <w:p w14:paraId="7CBE54A5" w14:textId="063C6E1D" w:rsidR="003D773F" w:rsidRPr="00CD1F05" w:rsidRDefault="003D773F" w:rsidP="003D773F">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Introducerea articolului privind punerea pe rod și recepționarea plantațiilor horticole are drept scop ajustarea cadrului normativ la condițiile actuale de producere și sprijinirea producătorilor agricoli în valorificarea eficientă a investițiilor realizate în sectorul horticol.</w:t>
            </w:r>
          </w:p>
          <w:p w14:paraId="32F6F35B" w14:textId="2CC24989" w:rsidR="00356117" w:rsidRPr="00CD1F05" w:rsidRDefault="003D773F" w:rsidP="003D773F">
            <w:pPr>
              <w:pStyle w:val="Listparagraf"/>
              <w:spacing w:after="0" w:line="240" w:lineRule="auto"/>
              <w:ind w:left="27" w:firstLine="425"/>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Această modificare va contribui la asigurarea unei evidențe contabile corecte a producției obținute, va facilita comercializarea legală a fructelor recoltate înainte de atingerea intrării depline pe rod și va oferi fermierilor posibilitatea de a genera venituri într-o etapă mai timpurie, favorizând recuperarea investițiilor și creșterea sustenabilității economice a exploatațiilor horticole.</w:t>
            </w:r>
          </w:p>
        </w:tc>
      </w:tr>
      <w:tr w:rsidR="00645815" w:rsidRPr="007F23AE" w14:paraId="3EAD9EB8"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04A77E8D" w14:textId="77777777" w:rsidR="00F16D65" w:rsidRPr="00CD1F05" w:rsidRDefault="00645815" w:rsidP="00403A9E">
            <w:pPr>
              <w:spacing w:after="0" w:line="240" w:lineRule="auto"/>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lastRenderedPageBreak/>
              <w:t>3.2. Opţiunile alternative analizate şi motivele pentru care acestea nu au fost luate în considerare</w:t>
            </w:r>
          </w:p>
          <w:p w14:paraId="580EE037" w14:textId="40F008D5"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În procesul de elaborare a proiectului au fost analizate opțiuni alternative, inclusiv menținerea prevederilor legale privind instituirea și funcționarea Oficiul Horticol, precum și ajustarea modelului instituțional propus prin redefinirea atribuțiilor, structurii organizatorice și mecanismului de finanțare al acestei entități.</w:t>
            </w:r>
          </w:p>
          <w:p w14:paraId="526A43AB" w14:textId="4B7EDD4C"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Totodată, a fost examinată opțiunea operaționalizării Oficiului Horticol într-o formulă reorganizată, cu limitarea competențelor și revizuirea mecanismului de colectare a contribuțiilor obligatorii din partea producătorilor și exportatorilor de produse horticole.</w:t>
            </w:r>
          </w:p>
          <w:p w14:paraId="1232B745" w14:textId="51B2CDAA" w:rsidR="00403A9E"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Aceste opțiuni nu au fost reținute, întrucât ar menține instituirea unei structuri administrative distincte, cu atribuții care se suprapun parțial peste competențele autorităților publice și instituțiilor deja existente, generând riscuri de dublare a funcțiilor administrative și de utilizare ineficientă a resurselor publice. De asemenea, menținerea cadrului normativ aferent Oficiului Horticol ar presupune păstrarea obligațiilor financiare suplimentare pentru agenții economici din sector, fără a fi demonstrată necesitatea obiectivă a unei astfel de entități în contextul actual de organizare a sectorului horticol.</w:t>
            </w:r>
          </w:p>
        </w:tc>
      </w:tr>
      <w:tr w:rsidR="00645815" w:rsidRPr="00645815" w14:paraId="3DCA0146"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25AECBB7"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4. Analiza impactului de reglementare</w:t>
            </w:r>
          </w:p>
        </w:tc>
      </w:tr>
      <w:tr w:rsidR="00645815" w:rsidRPr="007F23AE" w14:paraId="1774FCF9"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099FB373" w14:textId="77777777" w:rsidR="00FF7FEA" w:rsidRPr="00CD1F05" w:rsidRDefault="00645815" w:rsidP="00FF7FEA">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4.1. Impactul asupra sectorului public</w:t>
            </w:r>
          </w:p>
          <w:p w14:paraId="05FD6D22" w14:textId="65F393D1"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Proiectul nu implică instituirea unor noi autorități administrative și nu presupune extinderea competențelor funcționale ale autorităților publice existente. Prin excluderea cadrului normativ aferent Oficiul Horticol, se elimină necesitatea constituirii și finanțării unei instituții publice distincte, precum și a structurilor de conducere și administrare aferente acesteia.</w:t>
            </w:r>
          </w:p>
          <w:p w14:paraId="4C7AA652" w14:textId="77777777" w:rsidR="001941ED"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Impactul asupra sectorului public constă în evitarea alocării resurselor bugetare pentru organizarea și funcționarea unei noi entități instituționale, inclusiv pentru cheltuieli administrative, salarizare, infrastructură și activități operaționale. Totodată, se previne instituirea unor mecanisme suplimentare de administrare și control în sarcina autorităților publice implicate, inclusiv a Serviciul Fiscal de Stat, în ceea ce privește evidența și administrarea contribuțiilor obligatorii.</w:t>
            </w:r>
          </w:p>
          <w:p w14:paraId="7BB1FB6E" w14:textId="77777777" w:rsidR="00743138"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Prin urmare, proiectul nu are un impact asupra sectorului public, menținându-se cadrul instituțional existent și evitarea creării unor structuri suplimentare care ar genera cheltuieli și sarcini administrative adiționale.</w:t>
            </w:r>
          </w:p>
          <w:p w14:paraId="77B936B7" w14:textId="3A14CE03" w:rsidR="00800AE1" w:rsidRPr="00CD1F05" w:rsidRDefault="00800AE1"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800AE1">
              <w:rPr>
                <w:rFonts w:ascii="Times New Roman" w:eastAsia="Times New Roman" w:hAnsi="Times New Roman" w:cs="Times New Roman"/>
                <w:color w:val="000000"/>
                <w:sz w:val="24"/>
                <w:szCs w:val="24"/>
                <w:lang w:val="ro-MD" w:eastAsia="ru-RU"/>
              </w:rPr>
              <w:t>Implementarea prevederilor proiectului nu implică instituirea unor noi autorități publice și nici extinderea competențelor funcționale ale celor existente. Proiectul stabilește cadrul juridic primar privind punerea pe rod și recepționarea plantațiilor horticole, iar aplicarea acestuia se va realiza de către autoritățile competente în limitele atribuțiilor deja prevăzute de legislația în vigoare.</w:t>
            </w:r>
          </w:p>
        </w:tc>
      </w:tr>
      <w:tr w:rsidR="00645815" w:rsidRPr="007F23AE" w14:paraId="55F45CEB"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7E19A4E9"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4.2. Impactul financiar şi argumentarea costurilor estimative</w:t>
            </w:r>
          </w:p>
          <w:p w14:paraId="7DFBFE77" w14:textId="0461470F"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Proiectul nu generează impact financiar asupra bugetului public național, întrucât are ca obiect abrogarea prevederilor legale referitoare la Oficiul Horticol și, implicit, excluderea cadrului normativ necesar instituirii și funcționării acestei entități.</w:t>
            </w:r>
          </w:p>
          <w:p w14:paraId="7FD68880" w14:textId="65FD623E"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Prin neimplementarea mecanismului instituțional prevăzut de articolele abrogate, se evită alocarea mijloacelor financiare de la bugetul de stat destinate finanțării activității Oficiului Horticol, inclusiv cheltuielile aferente organizării administrative, remunerării personalului, întreținerii infrastructurii și realizării atribuțiilor funcționale.</w:t>
            </w:r>
          </w:p>
          <w:p w14:paraId="74B0BE24" w14:textId="4F459BB2" w:rsidR="00743138" w:rsidRPr="00CD1F05" w:rsidRDefault="00743138" w:rsidP="00B654CF">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lastRenderedPageBreak/>
              <w:t>Totodată, proiectul exclude aplicarea mecanismului de cofinanțare din bugetul de stat, prevăzut în cuantum egal cu contribuțiile obligatorii ale producătorilor și exportatorilor de produse horticole, ceea ce elimină eventualele obligații financiare suplimentare pentru sectorul public.</w:t>
            </w:r>
          </w:p>
          <w:p w14:paraId="0E7635C6" w14:textId="77777777" w:rsidR="00FF7FEA" w:rsidRDefault="00743138" w:rsidP="00743138">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Prin urmare, adoptarea proiectului nu implică cheltuieli bugetare suplimentare, iar efectul financiar estimat constă în evitarea angajării resurselor publice pentru crearea și funcționarea unei instituții publice distincte.</w:t>
            </w:r>
          </w:p>
          <w:p w14:paraId="369A3BC9" w14:textId="3151C5DE" w:rsidR="00800AE1" w:rsidRPr="00CD1F05" w:rsidRDefault="00800AE1" w:rsidP="00743138">
            <w:pPr>
              <w:spacing w:after="0" w:line="240" w:lineRule="auto"/>
              <w:ind w:firstLine="452"/>
              <w:jc w:val="both"/>
              <w:rPr>
                <w:rFonts w:ascii="Times New Roman" w:eastAsia="Times New Roman" w:hAnsi="Times New Roman" w:cs="Times New Roman"/>
                <w:color w:val="000000"/>
                <w:sz w:val="24"/>
                <w:szCs w:val="24"/>
                <w:lang w:eastAsia="ru-RU"/>
              </w:rPr>
            </w:pPr>
            <w:r w:rsidRPr="00800AE1">
              <w:rPr>
                <w:rFonts w:ascii="Times New Roman" w:eastAsia="Times New Roman" w:hAnsi="Times New Roman" w:cs="Times New Roman"/>
                <w:color w:val="000000"/>
                <w:sz w:val="24"/>
                <w:szCs w:val="24"/>
                <w:lang w:eastAsia="ru-RU"/>
              </w:rPr>
              <w:t>Implementarea prevederilor proiectului nu generează impact financiar suplimentar asupra bugetului public național și nu necesită alocarea unor mijloace financiare adiționale. Măsurile propuse au caracter preponderent normativ și urmăresc stabilirea unui cadru juridic clar privind punerea pe rod și recepționarea plantațiilor horticole, fără instituirea unor obligații financiare noi pentru autoritățile publice sau pentru alte entități implicate.</w:t>
            </w:r>
          </w:p>
        </w:tc>
      </w:tr>
      <w:tr w:rsidR="00645815" w:rsidRPr="007F23AE" w14:paraId="7DE5654A" w14:textId="77777777" w:rsidTr="00496F91">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1A9D877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lastRenderedPageBreak/>
              <w:t>4.3. Impactul asupra sectorului privat</w:t>
            </w:r>
          </w:p>
          <w:p w14:paraId="4B0F4C5D" w14:textId="40AF10AC"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Proiectul are un impact favorabil asupra sectorului privat, prin eliminarea cadrului normativ care prevedea instituirea Oficiul Horticol și aplicarea contribuțiilor obligatorii în sarcina producătorilor și exportatorilor de produse horticole.</w:t>
            </w:r>
          </w:p>
          <w:p w14:paraId="5DD9E584" w14:textId="2D8F2188"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Prin abrogarea dispozițiilor respective, se exclude instituirea unor obligații financiare suplimentare pentru operatorii economici din sectorul horticol, inclusiv obligația de calculare, declarare și achitare a contribuțiilor obligatorii, precum și riscul aplicării penalităților pentru neachitarea acestora.</w:t>
            </w:r>
          </w:p>
          <w:p w14:paraId="3AD19C39" w14:textId="7183BEC4" w:rsidR="00743138" w:rsidRPr="00CD1F05"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Totodată, proiectul contribuie la reducerea sarcinilor administrative asupra mediului de afaceri, prin eliminarea obligațiilor de raportare și conformare asociate mecanismului de administrare a contribuțiilor și interacțiunii cu autoritățile responsabile de colectarea acestora.</w:t>
            </w:r>
          </w:p>
          <w:p w14:paraId="16A69032" w14:textId="77777777" w:rsidR="009F5BA3" w:rsidRDefault="00743138"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Astfel, proiectul susține menținerea unui cadru de reglementare mai puțin împovărător pentru sectorul privat, evitând instituirea unor costuri suplimentare și a unor obligații administrative care ar fi afectat activitatea producătorilor și exportatorilor de produse horticole.</w:t>
            </w:r>
          </w:p>
          <w:p w14:paraId="28632093" w14:textId="4E48AD4A" w:rsidR="00800AE1" w:rsidRPr="00CD1F05" w:rsidRDefault="00800AE1" w:rsidP="00743138">
            <w:pPr>
              <w:spacing w:after="0" w:line="240" w:lineRule="auto"/>
              <w:ind w:firstLine="452"/>
              <w:jc w:val="both"/>
              <w:rPr>
                <w:rFonts w:ascii="Times New Roman" w:eastAsia="Times New Roman" w:hAnsi="Times New Roman" w:cs="Times New Roman"/>
                <w:color w:val="000000"/>
                <w:sz w:val="24"/>
                <w:szCs w:val="24"/>
                <w:lang w:val="ro-MD" w:eastAsia="ru-RU"/>
              </w:rPr>
            </w:pPr>
            <w:r w:rsidRPr="00800AE1">
              <w:rPr>
                <w:rFonts w:ascii="Times New Roman" w:eastAsia="Times New Roman" w:hAnsi="Times New Roman" w:cs="Times New Roman"/>
                <w:color w:val="000000"/>
                <w:sz w:val="24"/>
                <w:szCs w:val="24"/>
                <w:lang w:val="ro-MD" w:eastAsia="ru-RU"/>
              </w:rPr>
              <w:t xml:space="preserve">Implementarea prevederilor proiectului va avea un impact pozitiv asupra sectorului privat, în special asupra producătorilor agricoli implicați în </w:t>
            </w:r>
            <w:bookmarkStart w:id="0" w:name="_GoBack"/>
            <w:bookmarkEnd w:id="0"/>
            <w:r w:rsidRPr="00800AE1">
              <w:rPr>
                <w:rFonts w:ascii="Times New Roman" w:eastAsia="Times New Roman" w:hAnsi="Times New Roman" w:cs="Times New Roman"/>
                <w:color w:val="000000"/>
                <w:sz w:val="24"/>
                <w:szCs w:val="24"/>
                <w:lang w:val="ro-MD" w:eastAsia="ru-RU"/>
              </w:rPr>
              <w:t>înființarea și exploatarea plantațiilor horticole, prin instituirea unui cadru normativ clar, previzibil și uniform privind procedura de punere pe rod și recepționare a plantațiilor.</w:t>
            </w:r>
          </w:p>
        </w:tc>
      </w:tr>
      <w:tr w:rsidR="00645815" w:rsidRPr="007F23AE" w14:paraId="78353814" w14:textId="77777777" w:rsidTr="00496F91">
        <w:trPr>
          <w:trHeight w:val="72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646BC96F"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4.4. Impactul social</w:t>
            </w:r>
          </w:p>
          <w:p w14:paraId="161B836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4.4.1. Impactul asupra datelor cu caracter personal</w:t>
            </w:r>
          </w:p>
          <w:p w14:paraId="1C5F6193" w14:textId="77777777" w:rsidR="00CC63E1" w:rsidRPr="00CD1F05" w:rsidRDefault="00CC63E1" w:rsidP="00645B29">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Toate procesele de colectare și prelucrare a datelor vor fi conformate cu legislația națională</w:t>
            </w:r>
          </w:p>
          <w:p w14:paraId="122EF782" w14:textId="77777777" w:rsidR="00645815" w:rsidRPr="00CD1F05" w:rsidRDefault="00645815" w:rsidP="00645B29">
            <w:pPr>
              <w:spacing w:after="0" w:line="240" w:lineRule="auto"/>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4.4.2. Impactul asupra echităţii şi egalităţii de gen</w:t>
            </w:r>
          </w:p>
          <w:p w14:paraId="2ED9E50F" w14:textId="77777777" w:rsidR="00F91EB9" w:rsidRPr="00CD1F05" w:rsidRDefault="00746F55" w:rsidP="00645B29">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62D23DA4"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2CB549FB"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4.5. Impactul asupra mediului</w:t>
            </w:r>
          </w:p>
          <w:p w14:paraId="41E3FF9F" w14:textId="77777777" w:rsidR="00F91EB9" w:rsidRPr="00CD1F05" w:rsidRDefault="00746F55" w:rsidP="00645B29">
            <w:pPr>
              <w:spacing w:after="0" w:line="240" w:lineRule="auto"/>
              <w:ind w:firstLine="452"/>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77C3DB4E"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3693B656"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4.6. Alte impacturi şi informaţi</w:t>
            </w:r>
            <w:r w:rsidR="00F91EB9" w:rsidRPr="00CD1F05">
              <w:rPr>
                <w:rFonts w:ascii="Times New Roman" w:eastAsia="Times New Roman" w:hAnsi="Times New Roman" w:cs="Times New Roman"/>
                <w:color w:val="000000"/>
                <w:sz w:val="24"/>
                <w:szCs w:val="24"/>
                <w:lang w:val="ro-MD" w:eastAsia="ru-RU"/>
              </w:rPr>
              <w:t>e</w:t>
            </w:r>
            <w:r w:rsidRPr="00CD1F05">
              <w:rPr>
                <w:rFonts w:ascii="Times New Roman" w:eastAsia="Times New Roman" w:hAnsi="Times New Roman" w:cs="Times New Roman"/>
                <w:color w:val="000000"/>
                <w:sz w:val="24"/>
                <w:szCs w:val="24"/>
                <w:lang w:val="ro-MD" w:eastAsia="ru-RU"/>
              </w:rPr>
              <w:t>i relevante</w:t>
            </w:r>
          </w:p>
          <w:p w14:paraId="5BC6E173" w14:textId="5D5F49B2" w:rsidR="00F91EB9" w:rsidRPr="00CD1F05" w:rsidRDefault="004A54F9" w:rsidP="002854BD">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22DD8C66" w14:textId="77777777" w:rsidTr="00496F91">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2FC13A12"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5. Compatibilitatea proiectului actului normativ cu legislaţia UE</w:t>
            </w:r>
          </w:p>
        </w:tc>
      </w:tr>
      <w:tr w:rsidR="00645815" w:rsidRPr="007F23AE" w14:paraId="26A4EAD5" w14:textId="77777777" w:rsidTr="00496F91">
        <w:trPr>
          <w:trHeight w:val="475"/>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285FDFF3"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5.1. Măsuri normative necesare pentru transpunerea actelor juridice ale UE în legislaţia naţională</w:t>
            </w:r>
          </w:p>
          <w:p w14:paraId="011F3E47" w14:textId="77777777" w:rsidR="0039360E" w:rsidRPr="00CD1F05" w:rsidRDefault="00746F5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56D066CC"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1FD1BA55"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5.2. Măsuri normative care urmăresc crearea cadrului juridic intern necesar pentru implementarea legislaţiei UE</w:t>
            </w:r>
          </w:p>
          <w:p w14:paraId="4BE622C3" w14:textId="77777777" w:rsidR="00221596" w:rsidRPr="00CD1F05" w:rsidRDefault="00746F5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Nu este aplicabil</w:t>
            </w:r>
          </w:p>
        </w:tc>
      </w:tr>
      <w:tr w:rsidR="00645815" w:rsidRPr="007F23AE" w14:paraId="0AF24F03" w14:textId="77777777" w:rsidTr="00496F91">
        <w:trPr>
          <w:trHeight w:val="252"/>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14047B13"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6. Avizarea şi consultarea publică a proiectului actului normativ</w:t>
            </w:r>
          </w:p>
        </w:tc>
      </w:tr>
      <w:tr w:rsidR="00645815" w:rsidRPr="007F23AE" w14:paraId="03373A92"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3FC5566A" w14:textId="77777777" w:rsidR="008A677B" w:rsidRDefault="008A677B" w:rsidP="00BC44BE">
            <w:pPr>
              <w:spacing w:after="0" w:line="240" w:lineRule="auto"/>
              <w:ind w:firstLine="452"/>
              <w:rPr>
                <w:rFonts w:ascii="Times New Roman" w:hAnsi="Times New Roman" w:cs="Times New Roman"/>
                <w:sz w:val="24"/>
                <w:szCs w:val="24"/>
              </w:rPr>
            </w:pPr>
            <w:r w:rsidRPr="008A677B">
              <w:rPr>
                <w:rFonts w:ascii="Times New Roman" w:hAnsi="Times New Roman" w:cs="Times New Roman"/>
                <w:sz w:val="24"/>
                <w:szCs w:val="24"/>
              </w:rPr>
              <w:t>Întru asigurarea transparenței procesului decizional, conform prevederilor art.10 și art.11 din Legea nr.239/2008 privind transparența în procesul decizional, Proiectul și Nota de Fundamentare au fost plasate pentru consultări publice pe pagina web particip.gov.md:</w:t>
            </w:r>
          </w:p>
          <w:p w14:paraId="2859419F" w14:textId="1090E79E" w:rsidR="00645815" w:rsidRPr="00CD1F05" w:rsidRDefault="00974EB5" w:rsidP="00BC44BE">
            <w:pPr>
              <w:spacing w:after="0" w:line="240" w:lineRule="auto"/>
              <w:ind w:firstLine="452"/>
              <w:rPr>
                <w:rFonts w:ascii="Times New Roman" w:hAnsi="Times New Roman" w:cs="Times New Roman"/>
                <w:sz w:val="24"/>
                <w:szCs w:val="24"/>
              </w:rPr>
            </w:pPr>
            <w:r w:rsidRPr="00CD1F05">
              <w:rPr>
                <w:rFonts w:ascii="Times New Roman" w:hAnsi="Times New Roman" w:cs="Times New Roman"/>
                <w:sz w:val="24"/>
                <w:szCs w:val="24"/>
              </w:rPr>
              <w:t>https://particip.gov.md/ro/document/stages/*/16669</w:t>
            </w:r>
          </w:p>
        </w:tc>
      </w:tr>
      <w:tr w:rsidR="00645815" w:rsidRPr="00645815" w14:paraId="2A5B4D31"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78CEA34A"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7. Concluziile expertizelor</w:t>
            </w:r>
          </w:p>
        </w:tc>
      </w:tr>
      <w:tr w:rsidR="00645815" w:rsidRPr="00645815" w14:paraId="08BA9BC3"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135FCFEF" w14:textId="77777777" w:rsidR="00A56E50" w:rsidRPr="00A56E50" w:rsidRDefault="00A56E50" w:rsidP="00A56E50">
            <w:pPr>
              <w:spacing w:after="0"/>
              <w:ind w:firstLine="528"/>
              <w:jc w:val="both"/>
              <w:rPr>
                <w:rFonts w:ascii="Times New Roman" w:eastAsia="Times New Roman" w:hAnsi="Times New Roman" w:cs="Times New Roman"/>
                <w:color w:val="000000"/>
                <w:sz w:val="24"/>
                <w:szCs w:val="24"/>
                <w:lang w:val="ro-MD" w:eastAsia="ru-RU"/>
              </w:rPr>
            </w:pPr>
            <w:r w:rsidRPr="00A56E50">
              <w:rPr>
                <w:rFonts w:ascii="Times New Roman" w:eastAsia="Times New Roman" w:hAnsi="Times New Roman" w:cs="Times New Roman"/>
                <w:color w:val="000000"/>
                <w:sz w:val="24"/>
                <w:szCs w:val="24"/>
                <w:lang w:val="ro-MD" w:eastAsia="ru-RU"/>
              </w:rPr>
              <w:lastRenderedPageBreak/>
              <w:t>În conformitate cu art. 36 al Legii nr. 100/2017 cu privire la actele normative, proiectul a fost supus expertizei anticorupție de către Centrul Național Anticorupție.</w:t>
            </w:r>
          </w:p>
          <w:p w14:paraId="5DB8CC6E" w14:textId="77777777" w:rsidR="00A56E50" w:rsidRPr="00A56E50" w:rsidRDefault="00A56E50" w:rsidP="00A56E50">
            <w:pPr>
              <w:spacing w:after="0"/>
              <w:ind w:firstLine="528"/>
              <w:jc w:val="both"/>
              <w:rPr>
                <w:rFonts w:ascii="Times New Roman" w:eastAsia="Times New Roman" w:hAnsi="Times New Roman" w:cs="Times New Roman"/>
                <w:color w:val="000000"/>
                <w:sz w:val="24"/>
                <w:szCs w:val="24"/>
                <w:lang w:val="ro-MD" w:eastAsia="ru-RU"/>
              </w:rPr>
            </w:pPr>
            <w:r w:rsidRPr="00A56E50">
              <w:rPr>
                <w:rFonts w:ascii="Times New Roman" w:eastAsia="Times New Roman" w:hAnsi="Times New Roman" w:cs="Times New Roman"/>
                <w:color w:val="000000"/>
                <w:sz w:val="24"/>
                <w:szCs w:val="24"/>
                <w:lang w:val="ro-MD" w:eastAsia="ru-RU"/>
              </w:rPr>
              <w:t xml:space="preserve">În conformitate cu art. 37 al Legii nr. 100/2017 cu privire la actele normative proiectul a fost supus expertizei juridice de către Ministerul Justiției. </w:t>
            </w:r>
          </w:p>
          <w:p w14:paraId="0BAD0C39" w14:textId="1587722D" w:rsidR="007A5767" w:rsidRPr="00CD1F05" w:rsidRDefault="00A56E50" w:rsidP="00A56E50">
            <w:pPr>
              <w:spacing w:after="0"/>
              <w:ind w:firstLine="528"/>
              <w:jc w:val="both"/>
              <w:rPr>
                <w:rFonts w:ascii="Times New Roman" w:eastAsia="Times New Roman" w:hAnsi="Times New Roman" w:cs="Times New Roman"/>
                <w:color w:val="000000"/>
                <w:sz w:val="24"/>
                <w:szCs w:val="24"/>
                <w:lang w:val="ro-MD" w:eastAsia="ru-RU"/>
              </w:rPr>
            </w:pPr>
            <w:r w:rsidRPr="00A56E50">
              <w:rPr>
                <w:rFonts w:ascii="Times New Roman" w:eastAsia="Times New Roman" w:hAnsi="Times New Roman" w:cs="Times New Roman"/>
                <w:color w:val="000000"/>
                <w:sz w:val="24"/>
                <w:szCs w:val="24"/>
                <w:lang w:val="ro-MD" w:eastAsia="ru-RU"/>
              </w:rPr>
              <w:t>Ca urmare a obiecțiilor prezentate în expertiza juridică proiectul în cauză a fost redactat conform tehnicii legislative și a prevederilor Legii nr.100/2017 privind actele normative.</w:t>
            </w:r>
          </w:p>
        </w:tc>
      </w:tr>
      <w:tr w:rsidR="00645815" w:rsidRPr="007F23AE" w14:paraId="7403FE7A"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79F62C07"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b/>
                <w:bCs/>
                <w:color w:val="000000"/>
                <w:sz w:val="24"/>
                <w:szCs w:val="24"/>
                <w:lang w:val="ro-MD" w:eastAsia="ru-RU"/>
              </w:rPr>
              <w:t>8. Modul de încorporare a actului în cadrul normativ existent</w:t>
            </w:r>
          </w:p>
        </w:tc>
      </w:tr>
      <w:tr w:rsidR="00645815" w:rsidRPr="007F23AE" w14:paraId="254C82A3"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58468AED" w14:textId="3D9E88A6" w:rsidR="00BE746A" w:rsidRPr="00CD1F05" w:rsidRDefault="00E74109" w:rsidP="00F56DE5">
            <w:pPr>
              <w:spacing w:after="0" w:line="240" w:lineRule="auto"/>
              <w:ind w:firstLine="452"/>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eastAsia="ru-RU"/>
              </w:rPr>
              <w:t xml:space="preserve">Proiectul se încorporează în cadrul normativ existent, iar </w:t>
            </w:r>
            <w:r w:rsidR="00F56DE5">
              <w:rPr>
                <w:rFonts w:ascii="Times New Roman" w:eastAsia="Times New Roman" w:hAnsi="Times New Roman" w:cs="Times New Roman"/>
                <w:color w:val="000000"/>
                <w:sz w:val="24"/>
                <w:szCs w:val="24"/>
                <w:lang w:eastAsia="ru-RU"/>
              </w:rPr>
              <w:t>aprobare</w:t>
            </w:r>
            <w:r w:rsidRPr="00CD1F05">
              <w:rPr>
                <w:rFonts w:ascii="Times New Roman" w:eastAsia="Times New Roman" w:hAnsi="Times New Roman" w:cs="Times New Roman"/>
                <w:color w:val="000000"/>
                <w:sz w:val="24"/>
                <w:szCs w:val="24"/>
                <w:lang w:eastAsia="ru-RU"/>
              </w:rPr>
              <w:t>a acestuia nu va implica modificarea sau abrogarea unor acte normative.</w:t>
            </w:r>
          </w:p>
        </w:tc>
      </w:tr>
      <w:tr w:rsidR="00645815" w:rsidRPr="007F23AE" w14:paraId="3F501460" w14:textId="77777777" w:rsidTr="00496F91">
        <w:trPr>
          <w:trHeight w:val="489"/>
        </w:trPr>
        <w:tc>
          <w:tcPr>
            <w:tcW w:w="5000" w:type="pct"/>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hideMark/>
          </w:tcPr>
          <w:p w14:paraId="033C6735" w14:textId="77777777" w:rsidR="00645815" w:rsidRPr="00CD1F05" w:rsidRDefault="00645815" w:rsidP="00645815">
            <w:pPr>
              <w:spacing w:after="0" w:line="240" w:lineRule="auto"/>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b/>
                <w:bCs/>
                <w:color w:val="000000"/>
                <w:sz w:val="24"/>
                <w:szCs w:val="24"/>
                <w:lang w:eastAsia="ru-RU"/>
              </w:rPr>
              <w:t>9. Măsurile necesare pentru implementarea prevederilor proiectului actului normativ</w:t>
            </w:r>
          </w:p>
        </w:tc>
      </w:tr>
      <w:tr w:rsidR="00645815" w:rsidRPr="007F23AE" w14:paraId="2A168746" w14:textId="77777777" w:rsidTr="00496F91">
        <w:trPr>
          <w:trHeight w:val="237"/>
        </w:trPr>
        <w:tc>
          <w:tcPr>
            <w:tcW w:w="5000" w:type="pct"/>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hideMark/>
          </w:tcPr>
          <w:p w14:paraId="7E2A8296" w14:textId="2A1610F8" w:rsidR="00C361E2" w:rsidRPr="00CD1F05" w:rsidRDefault="00C361E2" w:rsidP="00E74109">
            <w:pPr>
              <w:spacing w:after="0" w:line="240" w:lineRule="auto"/>
              <w:ind w:firstLine="452"/>
              <w:jc w:val="both"/>
              <w:rPr>
                <w:rFonts w:ascii="Times New Roman" w:eastAsia="Times New Roman" w:hAnsi="Times New Roman" w:cs="Times New Roman"/>
                <w:color w:val="000000"/>
                <w:sz w:val="24"/>
                <w:szCs w:val="24"/>
                <w:lang w:val="ro-MD" w:eastAsia="ru-RU"/>
              </w:rPr>
            </w:pPr>
            <w:r w:rsidRPr="00CD1F05">
              <w:rPr>
                <w:rFonts w:ascii="Times New Roman" w:eastAsia="Times New Roman" w:hAnsi="Times New Roman" w:cs="Times New Roman"/>
                <w:color w:val="000000"/>
                <w:sz w:val="24"/>
                <w:szCs w:val="24"/>
                <w:lang w:val="ro-MD" w:eastAsia="ru-RU"/>
              </w:rPr>
              <w:t xml:space="preserve">Implementarea proiectului va fi asigurată de </w:t>
            </w:r>
            <w:r w:rsidR="001D2683">
              <w:rPr>
                <w:rFonts w:ascii="Times New Roman" w:eastAsia="Times New Roman" w:hAnsi="Times New Roman" w:cs="Times New Roman"/>
                <w:color w:val="000000"/>
                <w:sz w:val="24"/>
                <w:szCs w:val="24"/>
                <w:lang w:val="ro-MD" w:eastAsia="ru-RU"/>
              </w:rPr>
              <w:t>Ministerul Agriculturii și Industriei Alimentare</w:t>
            </w:r>
            <w:r w:rsidRPr="00CD1F05">
              <w:rPr>
                <w:rFonts w:ascii="Times New Roman" w:eastAsia="Times New Roman" w:hAnsi="Times New Roman" w:cs="Times New Roman"/>
                <w:color w:val="000000"/>
                <w:sz w:val="24"/>
                <w:szCs w:val="24"/>
                <w:lang w:val="ro-MD" w:eastAsia="ru-RU"/>
              </w:rPr>
              <w:t>.</w:t>
            </w:r>
          </w:p>
          <w:p w14:paraId="3FE0B1EC" w14:textId="77777777" w:rsidR="00AE0809" w:rsidRPr="00CD1F05" w:rsidRDefault="00C361E2" w:rsidP="00C361E2">
            <w:pPr>
              <w:spacing w:after="0" w:line="240" w:lineRule="auto"/>
              <w:jc w:val="both"/>
              <w:rPr>
                <w:rFonts w:ascii="Times New Roman" w:eastAsia="Times New Roman" w:hAnsi="Times New Roman" w:cs="Times New Roman"/>
                <w:color w:val="000000"/>
                <w:sz w:val="24"/>
                <w:szCs w:val="24"/>
                <w:lang w:eastAsia="ru-RU"/>
              </w:rPr>
            </w:pPr>
            <w:r w:rsidRPr="00CD1F05">
              <w:rPr>
                <w:rFonts w:ascii="Times New Roman" w:eastAsia="Times New Roman" w:hAnsi="Times New Roman" w:cs="Times New Roman"/>
                <w:color w:val="000000"/>
                <w:sz w:val="24"/>
                <w:szCs w:val="24"/>
                <w:lang w:val="ro-MD" w:eastAsia="ru-RU"/>
              </w:rPr>
              <w:t>Intervenția propusă nu necesită schimbări instituționale, precum și modificarea cadrului normativ existent</w:t>
            </w:r>
            <w:r w:rsidRPr="00CD1F05">
              <w:rPr>
                <w:rFonts w:ascii="Times New Roman" w:eastAsia="Times New Roman" w:hAnsi="Times New Roman" w:cs="Times New Roman"/>
                <w:color w:val="000000"/>
                <w:sz w:val="24"/>
                <w:szCs w:val="24"/>
                <w:lang w:eastAsia="ru-RU"/>
              </w:rPr>
              <w:t>.</w:t>
            </w:r>
          </w:p>
        </w:tc>
      </w:tr>
    </w:tbl>
    <w:p w14:paraId="7C52B87C" w14:textId="77777777" w:rsidR="00B50E07" w:rsidRDefault="00B50E07" w:rsidP="00B50E07">
      <w:pPr>
        <w:tabs>
          <w:tab w:val="left" w:pos="3780"/>
        </w:tabs>
        <w:rPr>
          <w:rFonts w:ascii="Times New Roman" w:hAnsi="Times New Roman" w:cs="Times New Roman"/>
          <w:sz w:val="24"/>
          <w:szCs w:val="24"/>
          <w:lang w:val="en-US"/>
        </w:rPr>
      </w:pPr>
    </w:p>
    <w:p w14:paraId="1CD11E11" w14:textId="77777777" w:rsidR="00B50E07" w:rsidRDefault="00B50E07" w:rsidP="00B50E07">
      <w:pPr>
        <w:tabs>
          <w:tab w:val="left" w:pos="3780"/>
        </w:tabs>
        <w:rPr>
          <w:rFonts w:ascii="Times New Roman" w:hAnsi="Times New Roman" w:cs="Times New Roman"/>
          <w:sz w:val="24"/>
          <w:szCs w:val="24"/>
          <w:lang w:val="en-US"/>
        </w:rPr>
      </w:pPr>
    </w:p>
    <w:p w14:paraId="1D7B267A" w14:textId="77777777" w:rsidR="00B50E07" w:rsidRDefault="00B50E07" w:rsidP="00B50E07">
      <w:pPr>
        <w:tabs>
          <w:tab w:val="left" w:pos="3780"/>
        </w:tabs>
        <w:rPr>
          <w:rFonts w:ascii="Times New Roman" w:hAnsi="Times New Roman" w:cs="Times New Roman"/>
          <w:sz w:val="24"/>
          <w:szCs w:val="24"/>
          <w:lang w:val="en-US"/>
        </w:rPr>
      </w:pPr>
    </w:p>
    <w:p w14:paraId="7ADC0DB9" w14:textId="50053EAA" w:rsidR="00746F55" w:rsidRPr="00B50E07" w:rsidRDefault="00F045B8" w:rsidP="00B50E07">
      <w:pPr>
        <w:tabs>
          <w:tab w:val="left" w:pos="3780"/>
        </w:tabs>
        <w:rPr>
          <w:rFonts w:ascii="Times New Roman" w:hAnsi="Times New Roman" w:cs="Times New Roman"/>
          <w:sz w:val="24"/>
          <w:szCs w:val="24"/>
          <w:lang w:val="en-US"/>
        </w:rPr>
      </w:pPr>
      <w:r w:rsidRPr="00F045B8">
        <w:rPr>
          <w:rFonts w:ascii="Times New Roman" w:hAnsi="Times New Roman" w:cs="Times New Roman"/>
          <w:b/>
          <w:sz w:val="28"/>
          <w:szCs w:val="28"/>
        </w:rPr>
        <w:t>Secretar de stat</w:t>
      </w:r>
      <w:r w:rsidR="00831E4E">
        <w:rPr>
          <w:rFonts w:ascii="Times New Roman" w:hAnsi="Times New Roman" w:cs="Times New Roman"/>
          <w:b/>
          <w:sz w:val="28"/>
          <w:szCs w:val="28"/>
        </w:rPr>
        <w:tab/>
      </w:r>
      <w:r w:rsidR="00831E4E">
        <w:rPr>
          <w:rFonts w:ascii="Times New Roman" w:hAnsi="Times New Roman" w:cs="Times New Roman"/>
          <w:b/>
          <w:sz w:val="28"/>
          <w:szCs w:val="28"/>
        </w:rPr>
        <w:tab/>
      </w:r>
      <w:r w:rsidR="00BC44BE">
        <w:rPr>
          <w:rFonts w:ascii="Times New Roman" w:hAnsi="Times New Roman" w:cs="Times New Roman"/>
          <w:b/>
          <w:sz w:val="28"/>
          <w:szCs w:val="28"/>
        </w:rPr>
        <w:tab/>
      </w:r>
      <w:r w:rsidR="001548E8">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F045B8">
        <w:rPr>
          <w:rFonts w:ascii="Times New Roman" w:hAnsi="Times New Roman" w:cs="Times New Roman"/>
          <w:b/>
          <w:sz w:val="28"/>
          <w:szCs w:val="28"/>
        </w:rPr>
        <w:t>Vasile</w:t>
      </w:r>
      <w:r w:rsidR="00B50E07">
        <w:rPr>
          <w:rFonts w:ascii="Times New Roman" w:hAnsi="Times New Roman" w:cs="Times New Roman"/>
          <w:b/>
          <w:sz w:val="28"/>
          <w:szCs w:val="28"/>
        </w:rPr>
        <w:t xml:space="preserve"> </w:t>
      </w:r>
      <w:r w:rsidRPr="00F045B8">
        <w:rPr>
          <w:rFonts w:ascii="Times New Roman" w:hAnsi="Times New Roman" w:cs="Times New Roman"/>
          <w:b/>
          <w:sz w:val="28"/>
          <w:szCs w:val="28"/>
        </w:rPr>
        <w:t xml:space="preserve">ȘARBAN </w:t>
      </w:r>
    </w:p>
    <w:p w14:paraId="3EFD3253" w14:textId="77777777" w:rsidR="007204D3" w:rsidRPr="00831E4E" w:rsidRDefault="007204D3">
      <w:pPr>
        <w:tabs>
          <w:tab w:val="left" w:pos="3780"/>
        </w:tabs>
        <w:rPr>
          <w:rFonts w:ascii="Times New Roman" w:hAnsi="Times New Roman" w:cs="Times New Roman"/>
          <w:sz w:val="28"/>
          <w:szCs w:val="28"/>
          <w:lang w:val="en-US"/>
        </w:rPr>
      </w:pPr>
    </w:p>
    <w:sectPr w:rsidR="007204D3" w:rsidRPr="00831E4E" w:rsidSect="001231D8">
      <w:pgSz w:w="11906" w:h="16838"/>
      <w:pgMar w:top="1134" w:right="964" w:bottom="1134" w:left="181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E3F16B" w14:textId="77777777" w:rsidR="00B6075A" w:rsidRDefault="00B6075A" w:rsidP="00D80DCA">
      <w:pPr>
        <w:spacing w:after="0" w:line="240" w:lineRule="auto"/>
      </w:pPr>
      <w:r>
        <w:separator/>
      </w:r>
    </w:p>
  </w:endnote>
  <w:endnote w:type="continuationSeparator" w:id="0">
    <w:p w14:paraId="352EC0C7" w14:textId="77777777" w:rsidR="00B6075A" w:rsidRDefault="00B6075A" w:rsidP="00D80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A9F619" w14:textId="77777777" w:rsidR="00B6075A" w:rsidRDefault="00B6075A" w:rsidP="00D80DCA">
      <w:pPr>
        <w:spacing w:after="0" w:line="240" w:lineRule="auto"/>
      </w:pPr>
      <w:r>
        <w:separator/>
      </w:r>
    </w:p>
  </w:footnote>
  <w:footnote w:type="continuationSeparator" w:id="0">
    <w:p w14:paraId="2E3F5FC6" w14:textId="77777777" w:rsidR="00B6075A" w:rsidRDefault="00B6075A" w:rsidP="00D80D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F032A"/>
    <w:multiLevelType w:val="hybridMultilevel"/>
    <w:tmpl w:val="FE2C66D2"/>
    <w:lvl w:ilvl="0" w:tplc="3600FBE6">
      <w:start w:val="3"/>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nsid w:val="1F460636"/>
    <w:multiLevelType w:val="multilevel"/>
    <w:tmpl w:val="FC88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C403CB"/>
    <w:multiLevelType w:val="hybridMultilevel"/>
    <w:tmpl w:val="D430DBD6"/>
    <w:lvl w:ilvl="0" w:tplc="463CFC3E">
      <w:start w:val="3"/>
      <w:numFmt w:val="bullet"/>
      <w:lvlText w:val="-"/>
      <w:lvlJc w:val="left"/>
      <w:pPr>
        <w:ind w:left="1114" w:hanging="360"/>
      </w:pPr>
      <w:rPr>
        <w:rFonts w:ascii="Times New Roman" w:eastAsia="Times New Roman" w:hAnsi="Times New Roman" w:cs="Times New Roman" w:hint="default"/>
      </w:rPr>
    </w:lvl>
    <w:lvl w:ilvl="1" w:tplc="04180003" w:tentative="1">
      <w:start w:val="1"/>
      <w:numFmt w:val="bullet"/>
      <w:lvlText w:val="o"/>
      <w:lvlJc w:val="left"/>
      <w:pPr>
        <w:ind w:left="1834" w:hanging="360"/>
      </w:pPr>
      <w:rPr>
        <w:rFonts w:ascii="Courier New" w:hAnsi="Courier New" w:cs="Courier New" w:hint="default"/>
      </w:rPr>
    </w:lvl>
    <w:lvl w:ilvl="2" w:tplc="04180005" w:tentative="1">
      <w:start w:val="1"/>
      <w:numFmt w:val="bullet"/>
      <w:lvlText w:val=""/>
      <w:lvlJc w:val="left"/>
      <w:pPr>
        <w:ind w:left="2554" w:hanging="360"/>
      </w:pPr>
      <w:rPr>
        <w:rFonts w:ascii="Wingdings" w:hAnsi="Wingdings" w:hint="default"/>
      </w:rPr>
    </w:lvl>
    <w:lvl w:ilvl="3" w:tplc="04180001" w:tentative="1">
      <w:start w:val="1"/>
      <w:numFmt w:val="bullet"/>
      <w:lvlText w:val=""/>
      <w:lvlJc w:val="left"/>
      <w:pPr>
        <w:ind w:left="3274" w:hanging="360"/>
      </w:pPr>
      <w:rPr>
        <w:rFonts w:ascii="Symbol" w:hAnsi="Symbol" w:hint="default"/>
      </w:rPr>
    </w:lvl>
    <w:lvl w:ilvl="4" w:tplc="04180003" w:tentative="1">
      <w:start w:val="1"/>
      <w:numFmt w:val="bullet"/>
      <w:lvlText w:val="o"/>
      <w:lvlJc w:val="left"/>
      <w:pPr>
        <w:ind w:left="3994" w:hanging="360"/>
      </w:pPr>
      <w:rPr>
        <w:rFonts w:ascii="Courier New" w:hAnsi="Courier New" w:cs="Courier New" w:hint="default"/>
      </w:rPr>
    </w:lvl>
    <w:lvl w:ilvl="5" w:tplc="04180005" w:tentative="1">
      <w:start w:val="1"/>
      <w:numFmt w:val="bullet"/>
      <w:lvlText w:val=""/>
      <w:lvlJc w:val="left"/>
      <w:pPr>
        <w:ind w:left="4714" w:hanging="360"/>
      </w:pPr>
      <w:rPr>
        <w:rFonts w:ascii="Wingdings" w:hAnsi="Wingdings" w:hint="default"/>
      </w:rPr>
    </w:lvl>
    <w:lvl w:ilvl="6" w:tplc="04180001" w:tentative="1">
      <w:start w:val="1"/>
      <w:numFmt w:val="bullet"/>
      <w:lvlText w:val=""/>
      <w:lvlJc w:val="left"/>
      <w:pPr>
        <w:ind w:left="5434" w:hanging="360"/>
      </w:pPr>
      <w:rPr>
        <w:rFonts w:ascii="Symbol" w:hAnsi="Symbol" w:hint="default"/>
      </w:rPr>
    </w:lvl>
    <w:lvl w:ilvl="7" w:tplc="04180003" w:tentative="1">
      <w:start w:val="1"/>
      <w:numFmt w:val="bullet"/>
      <w:lvlText w:val="o"/>
      <w:lvlJc w:val="left"/>
      <w:pPr>
        <w:ind w:left="6154" w:hanging="360"/>
      </w:pPr>
      <w:rPr>
        <w:rFonts w:ascii="Courier New" w:hAnsi="Courier New" w:cs="Courier New" w:hint="default"/>
      </w:rPr>
    </w:lvl>
    <w:lvl w:ilvl="8" w:tplc="04180005" w:tentative="1">
      <w:start w:val="1"/>
      <w:numFmt w:val="bullet"/>
      <w:lvlText w:val=""/>
      <w:lvlJc w:val="left"/>
      <w:pPr>
        <w:ind w:left="6874" w:hanging="360"/>
      </w:pPr>
      <w:rPr>
        <w:rFonts w:ascii="Wingdings" w:hAnsi="Wingdings" w:hint="default"/>
      </w:rPr>
    </w:lvl>
  </w:abstractNum>
  <w:abstractNum w:abstractNumId="3">
    <w:nsid w:val="55222EC7"/>
    <w:multiLevelType w:val="hybridMultilevel"/>
    <w:tmpl w:val="4D60B6F4"/>
    <w:lvl w:ilvl="0" w:tplc="3600FBE6">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60BA02C9"/>
    <w:multiLevelType w:val="hybridMultilevel"/>
    <w:tmpl w:val="20024338"/>
    <w:lvl w:ilvl="0" w:tplc="57445B58">
      <w:start w:val="1"/>
      <w:numFmt w:val="bullet"/>
      <w:lvlText w:val=""/>
      <w:lvlJc w:val="left"/>
      <w:pPr>
        <w:ind w:left="1248" w:hanging="360"/>
      </w:pPr>
      <w:rPr>
        <w:rFonts w:ascii="Symbol" w:hAnsi="Symbol" w:hint="default"/>
      </w:rPr>
    </w:lvl>
    <w:lvl w:ilvl="1" w:tplc="04180003" w:tentative="1">
      <w:start w:val="1"/>
      <w:numFmt w:val="bullet"/>
      <w:lvlText w:val="o"/>
      <w:lvlJc w:val="left"/>
      <w:pPr>
        <w:ind w:left="1968" w:hanging="360"/>
      </w:pPr>
      <w:rPr>
        <w:rFonts w:ascii="Courier New" w:hAnsi="Courier New" w:cs="Courier New" w:hint="default"/>
      </w:rPr>
    </w:lvl>
    <w:lvl w:ilvl="2" w:tplc="04180005" w:tentative="1">
      <w:start w:val="1"/>
      <w:numFmt w:val="bullet"/>
      <w:lvlText w:val=""/>
      <w:lvlJc w:val="left"/>
      <w:pPr>
        <w:ind w:left="2688" w:hanging="360"/>
      </w:pPr>
      <w:rPr>
        <w:rFonts w:ascii="Wingdings" w:hAnsi="Wingdings" w:hint="default"/>
      </w:rPr>
    </w:lvl>
    <w:lvl w:ilvl="3" w:tplc="04180001" w:tentative="1">
      <w:start w:val="1"/>
      <w:numFmt w:val="bullet"/>
      <w:lvlText w:val=""/>
      <w:lvlJc w:val="left"/>
      <w:pPr>
        <w:ind w:left="3408" w:hanging="360"/>
      </w:pPr>
      <w:rPr>
        <w:rFonts w:ascii="Symbol" w:hAnsi="Symbol" w:hint="default"/>
      </w:rPr>
    </w:lvl>
    <w:lvl w:ilvl="4" w:tplc="04180003" w:tentative="1">
      <w:start w:val="1"/>
      <w:numFmt w:val="bullet"/>
      <w:lvlText w:val="o"/>
      <w:lvlJc w:val="left"/>
      <w:pPr>
        <w:ind w:left="4128" w:hanging="360"/>
      </w:pPr>
      <w:rPr>
        <w:rFonts w:ascii="Courier New" w:hAnsi="Courier New" w:cs="Courier New" w:hint="default"/>
      </w:rPr>
    </w:lvl>
    <w:lvl w:ilvl="5" w:tplc="04180005" w:tentative="1">
      <w:start w:val="1"/>
      <w:numFmt w:val="bullet"/>
      <w:lvlText w:val=""/>
      <w:lvlJc w:val="left"/>
      <w:pPr>
        <w:ind w:left="4848" w:hanging="360"/>
      </w:pPr>
      <w:rPr>
        <w:rFonts w:ascii="Wingdings" w:hAnsi="Wingdings" w:hint="default"/>
      </w:rPr>
    </w:lvl>
    <w:lvl w:ilvl="6" w:tplc="04180001" w:tentative="1">
      <w:start w:val="1"/>
      <w:numFmt w:val="bullet"/>
      <w:lvlText w:val=""/>
      <w:lvlJc w:val="left"/>
      <w:pPr>
        <w:ind w:left="5568" w:hanging="360"/>
      </w:pPr>
      <w:rPr>
        <w:rFonts w:ascii="Symbol" w:hAnsi="Symbol" w:hint="default"/>
      </w:rPr>
    </w:lvl>
    <w:lvl w:ilvl="7" w:tplc="04180003" w:tentative="1">
      <w:start w:val="1"/>
      <w:numFmt w:val="bullet"/>
      <w:lvlText w:val="o"/>
      <w:lvlJc w:val="left"/>
      <w:pPr>
        <w:ind w:left="6288" w:hanging="360"/>
      </w:pPr>
      <w:rPr>
        <w:rFonts w:ascii="Courier New" w:hAnsi="Courier New" w:cs="Courier New" w:hint="default"/>
      </w:rPr>
    </w:lvl>
    <w:lvl w:ilvl="8" w:tplc="04180005" w:tentative="1">
      <w:start w:val="1"/>
      <w:numFmt w:val="bullet"/>
      <w:lvlText w:val=""/>
      <w:lvlJc w:val="left"/>
      <w:pPr>
        <w:ind w:left="7008"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815"/>
    <w:rsid w:val="00012899"/>
    <w:rsid w:val="0002380D"/>
    <w:rsid w:val="00037221"/>
    <w:rsid w:val="00047A30"/>
    <w:rsid w:val="00051575"/>
    <w:rsid w:val="000567B9"/>
    <w:rsid w:val="00066A44"/>
    <w:rsid w:val="00075A0E"/>
    <w:rsid w:val="00077835"/>
    <w:rsid w:val="000F1049"/>
    <w:rsid w:val="00107A3F"/>
    <w:rsid w:val="00110E91"/>
    <w:rsid w:val="0012190F"/>
    <w:rsid w:val="001231D8"/>
    <w:rsid w:val="00125516"/>
    <w:rsid w:val="00135297"/>
    <w:rsid w:val="00136C7F"/>
    <w:rsid w:val="001548E8"/>
    <w:rsid w:val="0016076C"/>
    <w:rsid w:val="001732CA"/>
    <w:rsid w:val="00177E4F"/>
    <w:rsid w:val="00182F70"/>
    <w:rsid w:val="001915C2"/>
    <w:rsid w:val="001941ED"/>
    <w:rsid w:val="001A5441"/>
    <w:rsid w:val="001C44A1"/>
    <w:rsid w:val="001D2683"/>
    <w:rsid w:val="00215F1A"/>
    <w:rsid w:val="00221596"/>
    <w:rsid w:val="00231927"/>
    <w:rsid w:val="002435D4"/>
    <w:rsid w:val="00246632"/>
    <w:rsid w:val="00250D3F"/>
    <w:rsid w:val="002529CF"/>
    <w:rsid w:val="002854BD"/>
    <w:rsid w:val="00285714"/>
    <w:rsid w:val="00285DEB"/>
    <w:rsid w:val="002877E5"/>
    <w:rsid w:val="00292353"/>
    <w:rsid w:val="0029798C"/>
    <w:rsid w:val="002A134A"/>
    <w:rsid w:val="002A1D36"/>
    <w:rsid w:val="002B0449"/>
    <w:rsid w:val="002B7CD0"/>
    <w:rsid w:val="002C1AF5"/>
    <w:rsid w:val="002D55AE"/>
    <w:rsid w:val="002D6A25"/>
    <w:rsid w:val="002F395A"/>
    <w:rsid w:val="003017D1"/>
    <w:rsid w:val="00311DBE"/>
    <w:rsid w:val="003417D9"/>
    <w:rsid w:val="00343957"/>
    <w:rsid w:val="00356117"/>
    <w:rsid w:val="00367456"/>
    <w:rsid w:val="00372B2E"/>
    <w:rsid w:val="00382E8C"/>
    <w:rsid w:val="0039360E"/>
    <w:rsid w:val="003A4036"/>
    <w:rsid w:val="003B2C9B"/>
    <w:rsid w:val="003B4C12"/>
    <w:rsid w:val="003C25C3"/>
    <w:rsid w:val="003D773F"/>
    <w:rsid w:val="003F63D7"/>
    <w:rsid w:val="00403A9E"/>
    <w:rsid w:val="0040692C"/>
    <w:rsid w:val="00417036"/>
    <w:rsid w:val="00422FCF"/>
    <w:rsid w:val="00425423"/>
    <w:rsid w:val="004269EF"/>
    <w:rsid w:val="0044395F"/>
    <w:rsid w:val="00467FF0"/>
    <w:rsid w:val="004857A1"/>
    <w:rsid w:val="00493876"/>
    <w:rsid w:val="004952BD"/>
    <w:rsid w:val="00496F91"/>
    <w:rsid w:val="004A16BC"/>
    <w:rsid w:val="004A54F9"/>
    <w:rsid w:val="004B1F2E"/>
    <w:rsid w:val="004B77EB"/>
    <w:rsid w:val="004C729F"/>
    <w:rsid w:val="00522B88"/>
    <w:rsid w:val="005426BE"/>
    <w:rsid w:val="00562E38"/>
    <w:rsid w:val="00563F88"/>
    <w:rsid w:val="00567813"/>
    <w:rsid w:val="00597818"/>
    <w:rsid w:val="005B4C3C"/>
    <w:rsid w:val="005B77E6"/>
    <w:rsid w:val="005D6397"/>
    <w:rsid w:val="005D72F5"/>
    <w:rsid w:val="005F2880"/>
    <w:rsid w:val="006136F9"/>
    <w:rsid w:val="0061576F"/>
    <w:rsid w:val="00631F1B"/>
    <w:rsid w:val="00645815"/>
    <w:rsid w:val="00645B29"/>
    <w:rsid w:val="0066302A"/>
    <w:rsid w:val="006632E3"/>
    <w:rsid w:val="006665A2"/>
    <w:rsid w:val="00671FE7"/>
    <w:rsid w:val="00676611"/>
    <w:rsid w:val="00684EB6"/>
    <w:rsid w:val="006A298B"/>
    <w:rsid w:val="006B16CA"/>
    <w:rsid w:val="006B31E2"/>
    <w:rsid w:val="006E07F2"/>
    <w:rsid w:val="006F3067"/>
    <w:rsid w:val="007002B9"/>
    <w:rsid w:val="007136CE"/>
    <w:rsid w:val="007204D3"/>
    <w:rsid w:val="00743138"/>
    <w:rsid w:val="00746F55"/>
    <w:rsid w:val="007536D5"/>
    <w:rsid w:val="00755E64"/>
    <w:rsid w:val="00775693"/>
    <w:rsid w:val="007816FB"/>
    <w:rsid w:val="007A5767"/>
    <w:rsid w:val="007B0950"/>
    <w:rsid w:val="007D7FF3"/>
    <w:rsid w:val="007F01DF"/>
    <w:rsid w:val="007F23AE"/>
    <w:rsid w:val="007F32F2"/>
    <w:rsid w:val="00800AE1"/>
    <w:rsid w:val="0082102A"/>
    <w:rsid w:val="00821C81"/>
    <w:rsid w:val="00821DA0"/>
    <w:rsid w:val="00827DF7"/>
    <w:rsid w:val="00831E4E"/>
    <w:rsid w:val="00840CFE"/>
    <w:rsid w:val="008547DA"/>
    <w:rsid w:val="00857A3F"/>
    <w:rsid w:val="00861CBA"/>
    <w:rsid w:val="00894FC9"/>
    <w:rsid w:val="008A677B"/>
    <w:rsid w:val="008B51BB"/>
    <w:rsid w:val="008C015D"/>
    <w:rsid w:val="008E0F67"/>
    <w:rsid w:val="008F60A5"/>
    <w:rsid w:val="0090074A"/>
    <w:rsid w:val="0090410D"/>
    <w:rsid w:val="00911735"/>
    <w:rsid w:val="00912B7B"/>
    <w:rsid w:val="00920138"/>
    <w:rsid w:val="00940DEA"/>
    <w:rsid w:val="009578C3"/>
    <w:rsid w:val="00965CE4"/>
    <w:rsid w:val="00974EB5"/>
    <w:rsid w:val="009776A3"/>
    <w:rsid w:val="00993B1F"/>
    <w:rsid w:val="009B4D14"/>
    <w:rsid w:val="009B7416"/>
    <w:rsid w:val="009D31B4"/>
    <w:rsid w:val="009E5114"/>
    <w:rsid w:val="009E7988"/>
    <w:rsid w:val="009F59D2"/>
    <w:rsid w:val="009F5BA3"/>
    <w:rsid w:val="00A56E50"/>
    <w:rsid w:val="00A60519"/>
    <w:rsid w:val="00A60CED"/>
    <w:rsid w:val="00A8356C"/>
    <w:rsid w:val="00A87540"/>
    <w:rsid w:val="00A9513A"/>
    <w:rsid w:val="00AB32F4"/>
    <w:rsid w:val="00AD195C"/>
    <w:rsid w:val="00AE0809"/>
    <w:rsid w:val="00AE1D9D"/>
    <w:rsid w:val="00B129B9"/>
    <w:rsid w:val="00B4447F"/>
    <w:rsid w:val="00B50E07"/>
    <w:rsid w:val="00B6075A"/>
    <w:rsid w:val="00B631A6"/>
    <w:rsid w:val="00B654CF"/>
    <w:rsid w:val="00B745ED"/>
    <w:rsid w:val="00B877C8"/>
    <w:rsid w:val="00BA77A0"/>
    <w:rsid w:val="00BB60FC"/>
    <w:rsid w:val="00BC44BE"/>
    <w:rsid w:val="00BE37A5"/>
    <w:rsid w:val="00BE746A"/>
    <w:rsid w:val="00BF1B2F"/>
    <w:rsid w:val="00C026B0"/>
    <w:rsid w:val="00C27769"/>
    <w:rsid w:val="00C361E2"/>
    <w:rsid w:val="00C51EC3"/>
    <w:rsid w:val="00C5660D"/>
    <w:rsid w:val="00C7212F"/>
    <w:rsid w:val="00C86F11"/>
    <w:rsid w:val="00C91663"/>
    <w:rsid w:val="00C92DDE"/>
    <w:rsid w:val="00CA23F9"/>
    <w:rsid w:val="00CC63E1"/>
    <w:rsid w:val="00CD1F05"/>
    <w:rsid w:val="00CD7C80"/>
    <w:rsid w:val="00CE7576"/>
    <w:rsid w:val="00CE7985"/>
    <w:rsid w:val="00CF5C96"/>
    <w:rsid w:val="00D3194B"/>
    <w:rsid w:val="00D65147"/>
    <w:rsid w:val="00D80DCA"/>
    <w:rsid w:val="00D834E9"/>
    <w:rsid w:val="00D90004"/>
    <w:rsid w:val="00DA103B"/>
    <w:rsid w:val="00DA30DF"/>
    <w:rsid w:val="00DB4203"/>
    <w:rsid w:val="00DC3262"/>
    <w:rsid w:val="00DD26F9"/>
    <w:rsid w:val="00DD39E3"/>
    <w:rsid w:val="00DF71CE"/>
    <w:rsid w:val="00E02592"/>
    <w:rsid w:val="00E10CC0"/>
    <w:rsid w:val="00E11DEF"/>
    <w:rsid w:val="00E202A7"/>
    <w:rsid w:val="00E26809"/>
    <w:rsid w:val="00E407E0"/>
    <w:rsid w:val="00E44C90"/>
    <w:rsid w:val="00E51156"/>
    <w:rsid w:val="00E71F30"/>
    <w:rsid w:val="00E7304C"/>
    <w:rsid w:val="00E74109"/>
    <w:rsid w:val="00E85B48"/>
    <w:rsid w:val="00E8685D"/>
    <w:rsid w:val="00E934B6"/>
    <w:rsid w:val="00ED0679"/>
    <w:rsid w:val="00F045B8"/>
    <w:rsid w:val="00F13367"/>
    <w:rsid w:val="00F16D65"/>
    <w:rsid w:val="00F3109B"/>
    <w:rsid w:val="00F42DE6"/>
    <w:rsid w:val="00F55E10"/>
    <w:rsid w:val="00F56DE5"/>
    <w:rsid w:val="00F7717B"/>
    <w:rsid w:val="00F91EB9"/>
    <w:rsid w:val="00F95A14"/>
    <w:rsid w:val="00FC6119"/>
    <w:rsid w:val="00FC71E1"/>
    <w:rsid w:val="00FD377B"/>
    <w:rsid w:val="00FF7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ECC4"/>
  <w15:chartTrackingRefBased/>
  <w15:docId w15:val="{113B5572-514D-4B1D-976F-D359C0338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CED"/>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n">
    <w:name w:val="cn"/>
    <w:basedOn w:val="Normal"/>
    <w:rsid w:val="006458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f">
    <w:name w:val="lf"/>
    <w:basedOn w:val="Normal"/>
    <w:rsid w:val="006458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TextnBalon">
    <w:name w:val="Balloon Text"/>
    <w:basedOn w:val="Normal"/>
    <w:link w:val="TextnBalonCaracter"/>
    <w:uiPriority w:val="99"/>
    <w:semiHidden/>
    <w:unhideWhenUsed/>
    <w:rsid w:val="00E730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7304C"/>
    <w:rPr>
      <w:rFonts w:ascii="Segoe UI" w:hAnsi="Segoe UI" w:cs="Segoe UI"/>
      <w:sz w:val="18"/>
      <w:szCs w:val="18"/>
    </w:rPr>
  </w:style>
  <w:style w:type="paragraph" w:styleId="Listparagraf">
    <w:name w:val="List Paragraph"/>
    <w:basedOn w:val="Normal"/>
    <w:uiPriority w:val="34"/>
    <w:qFormat/>
    <w:rsid w:val="006A298B"/>
    <w:pPr>
      <w:ind w:left="720"/>
      <w:contextualSpacing/>
    </w:pPr>
  </w:style>
  <w:style w:type="character" w:styleId="Hyperlink">
    <w:name w:val="Hyperlink"/>
    <w:basedOn w:val="Fontdeparagrafimplicit"/>
    <w:uiPriority w:val="99"/>
    <w:unhideWhenUsed/>
    <w:rsid w:val="004B1F2E"/>
    <w:rPr>
      <w:color w:val="0563C1" w:themeColor="hyperlink"/>
      <w:u w:val="single"/>
    </w:rPr>
  </w:style>
  <w:style w:type="paragraph" w:styleId="Antet">
    <w:name w:val="header"/>
    <w:basedOn w:val="Normal"/>
    <w:link w:val="AntetCaracter"/>
    <w:uiPriority w:val="99"/>
    <w:unhideWhenUsed/>
    <w:rsid w:val="00D80DCA"/>
    <w:pPr>
      <w:tabs>
        <w:tab w:val="center" w:pos="4677"/>
        <w:tab w:val="right" w:pos="9355"/>
      </w:tabs>
      <w:spacing w:after="0" w:line="240" w:lineRule="auto"/>
    </w:pPr>
  </w:style>
  <w:style w:type="character" w:customStyle="1" w:styleId="AntetCaracter">
    <w:name w:val="Antet Caracter"/>
    <w:basedOn w:val="Fontdeparagrafimplicit"/>
    <w:link w:val="Antet"/>
    <w:uiPriority w:val="99"/>
    <w:rsid w:val="00D80DCA"/>
    <w:rPr>
      <w:lang w:val="ro-RO"/>
    </w:rPr>
  </w:style>
  <w:style w:type="paragraph" w:styleId="Subsol">
    <w:name w:val="footer"/>
    <w:basedOn w:val="Normal"/>
    <w:link w:val="SubsolCaracter"/>
    <w:uiPriority w:val="99"/>
    <w:unhideWhenUsed/>
    <w:rsid w:val="00D80DCA"/>
    <w:pPr>
      <w:tabs>
        <w:tab w:val="center" w:pos="4677"/>
        <w:tab w:val="right" w:pos="9355"/>
      </w:tabs>
      <w:spacing w:after="0" w:line="240" w:lineRule="auto"/>
    </w:pPr>
  </w:style>
  <w:style w:type="character" w:customStyle="1" w:styleId="SubsolCaracter">
    <w:name w:val="Subsol Caracter"/>
    <w:basedOn w:val="Fontdeparagrafimplicit"/>
    <w:link w:val="Subsol"/>
    <w:uiPriority w:val="99"/>
    <w:rsid w:val="00D80DCA"/>
    <w:rPr>
      <w:lang w:val="ro-RO"/>
    </w:rPr>
  </w:style>
  <w:style w:type="paragraph" w:styleId="NormalWeb">
    <w:name w:val="Normal (Web)"/>
    <w:basedOn w:val="Normal"/>
    <w:uiPriority w:val="99"/>
    <w:semiHidden/>
    <w:unhideWhenUsed/>
    <w:rsid w:val="005D63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2585">
      <w:bodyDiv w:val="1"/>
      <w:marLeft w:val="0"/>
      <w:marRight w:val="0"/>
      <w:marTop w:val="0"/>
      <w:marBottom w:val="0"/>
      <w:divBdr>
        <w:top w:val="none" w:sz="0" w:space="0" w:color="auto"/>
        <w:left w:val="none" w:sz="0" w:space="0" w:color="auto"/>
        <w:bottom w:val="none" w:sz="0" w:space="0" w:color="auto"/>
        <w:right w:val="none" w:sz="0" w:space="0" w:color="auto"/>
      </w:divBdr>
      <w:divsChild>
        <w:div w:id="468018366">
          <w:marLeft w:val="0"/>
          <w:marRight w:val="0"/>
          <w:marTop w:val="0"/>
          <w:marBottom w:val="0"/>
          <w:divBdr>
            <w:top w:val="none" w:sz="0" w:space="0" w:color="auto"/>
            <w:left w:val="none" w:sz="0" w:space="0" w:color="auto"/>
            <w:bottom w:val="none" w:sz="0" w:space="0" w:color="auto"/>
            <w:right w:val="none" w:sz="0" w:space="0" w:color="auto"/>
          </w:divBdr>
          <w:divsChild>
            <w:div w:id="427581204">
              <w:marLeft w:val="0"/>
              <w:marRight w:val="0"/>
              <w:marTop w:val="0"/>
              <w:marBottom w:val="0"/>
              <w:divBdr>
                <w:top w:val="none" w:sz="0" w:space="0" w:color="auto"/>
                <w:left w:val="none" w:sz="0" w:space="0" w:color="auto"/>
                <w:bottom w:val="none" w:sz="0" w:space="0" w:color="auto"/>
                <w:right w:val="none" w:sz="0" w:space="0" w:color="auto"/>
              </w:divBdr>
              <w:divsChild>
                <w:div w:id="1743599040">
                  <w:marLeft w:val="0"/>
                  <w:marRight w:val="0"/>
                  <w:marTop w:val="0"/>
                  <w:marBottom w:val="0"/>
                  <w:divBdr>
                    <w:top w:val="none" w:sz="0" w:space="0" w:color="auto"/>
                    <w:left w:val="none" w:sz="0" w:space="0" w:color="auto"/>
                    <w:bottom w:val="none" w:sz="0" w:space="0" w:color="auto"/>
                    <w:right w:val="none" w:sz="0" w:space="0" w:color="auto"/>
                  </w:divBdr>
                  <w:divsChild>
                    <w:div w:id="1472208107">
                      <w:marLeft w:val="0"/>
                      <w:marRight w:val="0"/>
                      <w:marTop w:val="0"/>
                      <w:marBottom w:val="0"/>
                      <w:divBdr>
                        <w:top w:val="none" w:sz="0" w:space="0" w:color="auto"/>
                        <w:left w:val="none" w:sz="0" w:space="0" w:color="auto"/>
                        <w:bottom w:val="none" w:sz="0" w:space="0" w:color="auto"/>
                        <w:right w:val="none" w:sz="0" w:space="0" w:color="auto"/>
                      </w:divBdr>
                      <w:divsChild>
                        <w:div w:id="1783957904">
                          <w:marLeft w:val="0"/>
                          <w:marRight w:val="0"/>
                          <w:marTop w:val="0"/>
                          <w:marBottom w:val="0"/>
                          <w:divBdr>
                            <w:top w:val="none" w:sz="0" w:space="0" w:color="auto"/>
                            <w:left w:val="none" w:sz="0" w:space="0" w:color="auto"/>
                            <w:bottom w:val="none" w:sz="0" w:space="0" w:color="auto"/>
                            <w:right w:val="none" w:sz="0" w:space="0" w:color="auto"/>
                          </w:divBdr>
                          <w:divsChild>
                            <w:div w:id="132011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82328">
      <w:bodyDiv w:val="1"/>
      <w:marLeft w:val="0"/>
      <w:marRight w:val="0"/>
      <w:marTop w:val="0"/>
      <w:marBottom w:val="0"/>
      <w:divBdr>
        <w:top w:val="none" w:sz="0" w:space="0" w:color="auto"/>
        <w:left w:val="none" w:sz="0" w:space="0" w:color="auto"/>
        <w:bottom w:val="none" w:sz="0" w:space="0" w:color="auto"/>
        <w:right w:val="none" w:sz="0" w:space="0" w:color="auto"/>
      </w:divBdr>
    </w:div>
    <w:div w:id="86968098">
      <w:bodyDiv w:val="1"/>
      <w:marLeft w:val="0"/>
      <w:marRight w:val="0"/>
      <w:marTop w:val="0"/>
      <w:marBottom w:val="0"/>
      <w:divBdr>
        <w:top w:val="none" w:sz="0" w:space="0" w:color="auto"/>
        <w:left w:val="none" w:sz="0" w:space="0" w:color="auto"/>
        <w:bottom w:val="none" w:sz="0" w:space="0" w:color="auto"/>
        <w:right w:val="none" w:sz="0" w:space="0" w:color="auto"/>
      </w:divBdr>
      <w:divsChild>
        <w:div w:id="430467546">
          <w:marLeft w:val="0"/>
          <w:marRight w:val="0"/>
          <w:marTop w:val="0"/>
          <w:marBottom w:val="0"/>
          <w:divBdr>
            <w:top w:val="none" w:sz="0" w:space="0" w:color="auto"/>
            <w:left w:val="none" w:sz="0" w:space="0" w:color="auto"/>
            <w:bottom w:val="none" w:sz="0" w:space="0" w:color="auto"/>
            <w:right w:val="none" w:sz="0" w:space="0" w:color="auto"/>
          </w:divBdr>
          <w:divsChild>
            <w:div w:id="1099524281">
              <w:marLeft w:val="0"/>
              <w:marRight w:val="0"/>
              <w:marTop w:val="0"/>
              <w:marBottom w:val="0"/>
              <w:divBdr>
                <w:top w:val="none" w:sz="0" w:space="0" w:color="auto"/>
                <w:left w:val="none" w:sz="0" w:space="0" w:color="auto"/>
                <w:bottom w:val="none" w:sz="0" w:space="0" w:color="auto"/>
                <w:right w:val="none" w:sz="0" w:space="0" w:color="auto"/>
              </w:divBdr>
              <w:divsChild>
                <w:div w:id="1586067106">
                  <w:marLeft w:val="0"/>
                  <w:marRight w:val="0"/>
                  <w:marTop w:val="0"/>
                  <w:marBottom w:val="0"/>
                  <w:divBdr>
                    <w:top w:val="none" w:sz="0" w:space="0" w:color="auto"/>
                    <w:left w:val="none" w:sz="0" w:space="0" w:color="auto"/>
                    <w:bottom w:val="none" w:sz="0" w:space="0" w:color="auto"/>
                    <w:right w:val="none" w:sz="0" w:space="0" w:color="auto"/>
                  </w:divBdr>
                  <w:divsChild>
                    <w:div w:id="157236788">
                      <w:marLeft w:val="0"/>
                      <w:marRight w:val="0"/>
                      <w:marTop w:val="0"/>
                      <w:marBottom w:val="0"/>
                      <w:divBdr>
                        <w:top w:val="none" w:sz="0" w:space="0" w:color="auto"/>
                        <w:left w:val="none" w:sz="0" w:space="0" w:color="auto"/>
                        <w:bottom w:val="none" w:sz="0" w:space="0" w:color="auto"/>
                        <w:right w:val="none" w:sz="0" w:space="0" w:color="auto"/>
                      </w:divBdr>
                      <w:divsChild>
                        <w:div w:id="315960046">
                          <w:marLeft w:val="0"/>
                          <w:marRight w:val="0"/>
                          <w:marTop w:val="0"/>
                          <w:marBottom w:val="0"/>
                          <w:divBdr>
                            <w:top w:val="none" w:sz="0" w:space="0" w:color="auto"/>
                            <w:left w:val="none" w:sz="0" w:space="0" w:color="auto"/>
                            <w:bottom w:val="none" w:sz="0" w:space="0" w:color="auto"/>
                            <w:right w:val="none" w:sz="0" w:space="0" w:color="auto"/>
                          </w:divBdr>
                          <w:divsChild>
                            <w:div w:id="6290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87244">
      <w:bodyDiv w:val="1"/>
      <w:marLeft w:val="0"/>
      <w:marRight w:val="0"/>
      <w:marTop w:val="0"/>
      <w:marBottom w:val="0"/>
      <w:divBdr>
        <w:top w:val="none" w:sz="0" w:space="0" w:color="auto"/>
        <w:left w:val="none" w:sz="0" w:space="0" w:color="auto"/>
        <w:bottom w:val="none" w:sz="0" w:space="0" w:color="auto"/>
        <w:right w:val="none" w:sz="0" w:space="0" w:color="auto"/>
      </w:divBdr>
    </w:div>
    <w:div w:id="126093804">
      <w:bodyDiv w:val="1"/>
      <w:marLeft w:val="0"/>
      <w:marRight w:val="0"/>
      <w:marTop w:val="0"/>
      <w:marBottom w:val="0"/>
      <w:divBdr>
        <w:top w:val="none" w:sz="0" w:space="0" w:color="auto"/>
        <w:left w:val="none" w:sz="0" w:space="0" w:color="auto"/>
        <w:bottom w:val="none" w:sz="0" w:space="0" w:color="auto"/>
        <w:right w:val="none" w:sz="0" w:space="0" w:color="auto"/>
      </w:divBdr>
    </w:div>
    <w:div w:id="187764633">
      <w:bodyDiv w:val="1"/>
      <w:marLeft w:val="0"/>
      <w:marRight w:val="0"/>
      <w:marTop w:val="0"/>
      <w:marBottom w:val="0"/>
      <w:divBdr>
        <w:top w:val="none" w:sz="0" w:space="0" w:color="auto"/>
        <w:left w:val="none" w:sz="0" w:space="0" w:color="auto"/>
        <w:bottom w:val="none" w:sz="0" w:space="0" w:color="auto"/>
        <w:right w:val="none" w:sz="0" w:space="0" w:color="auto"/>
      </w:divBdr>
    </w:div>
    <w:div w:id="231426705">
      <w:bodyDiv w:val="1"/>
      <w:marLeft w:val="0"/>
      <w:marRight w:val="0"/>
      <w:marTop w:val="0"/>
      <w:marBottom w:val="0"/>
      <w:divBdr>
        <w:top w:val="none" w:sz="0" w:space="0" w:color="auto"/>
        <w:left w:val="none" w:sz="0" w:space="0" w:color="auto"/>
        <w:bottom w:val="none" w:sz="0" w:space="0" w:color="auto"/>
        <w:right w:val="none" w:sz="0" w:space="0" w:color="auto"/>
      </w:divBdr>
    </w:div>
    <w:div w:id="247545673">
      <w:bodyDiv w:val="1"/>
      <w:marLeft w:val="0"/>
      <w:marRight w:val="0"/>
      <w:marTop w:val="0"/>
      <w:marBottom w:val="0"/>
      <w:divBdr>
        <w:top w:val="none" w:sz="0" w:space="0" w:color="auto"/>
        <w:left w:val="none" w:sz="0" w:space="0" w:color="auto"/>
        <w:bottom w:val="none" w:sz="0" w:space="0" w:color="auto"/>
        <w:right w:val="none" w:sz="0" w:space="0" w:color="auto"/>
      </w:divBdr>
    </w:div>
    <w:div w:id="274756305">
      <w:bodyDiv w:val="1"/>
      <w:marLeft w:val="0"/>
      <w:marRight w:val="0"/>
      <w:marTop w:val="0"/>
      <w:marBottom w:val="0"/>
      <w:divBdr>
        <w:top w:val="none" w:sz="0" w:space="0" w:color="auto"/>
        <w:left w:val="none" w:sz="0" w:space="0" w:color="auto"/>
        <w:bottom w:val="none" w:sz="0" w:space="0" w:color="auto"/>
        <w:right w:val="none" w:sz="0" w:space="0" w:color="auto"/>
      </w:divBdr>
    </w:div>
    <w:div w:id="280382325">
      <w:bodyDiv w:val="1"/>
      <w:marLeft w:val="0"/>
      <w:marRight w:val="0"/>
      <w:marTop w:val="0"/>
      <w:marBottom w:val="0"/>
      <w:divBdr>
        <w:top w:val="none" w:sz="0" w:space="0" w:color="auto"/>
        <w:left w:val="none" w:sz="0" w:space="0" w:color="auto"/>
        <w:bottom w:val="none" w:sz="0" w:space="0" w:color="auto"/>
        <w:right w:val="none" w:sz="0" w:space="0" w:color="auto"/>
      </w:divBdr>
    </w:div>
    <w:div w:id="318197235">
      <w:bodyDiv w:val="1"/>
      <w:marLeft w:val="0"/>
      <w:marRight w:val="0"/>
      <w:marTop w:val="0"/>
      <w:marBottom w:val="0"/>
      <w:divBdr>
        <w:top w:val="none" w:sz="0" w:space="0" w:color="auto"/>
        <w:left w:val="none" w:sz="0" w:space="0" w:color="auto"/>
        <w:bottom w:val="none" w:sz="0" w:space="0" w:color="auto"/>
        <w:right w:val="none" w:sz="0" w:space="0" w:color="auto"/>
      </w:divBdr>
    </w:div>
    <w:div w:id="328028029">
      <w:bodyDiv w:val="1"/>
      <w:marLeft w:val="0"/>
      <w:marRight w:val="0"/>
      <w:marTop w:val="0"/>
      <w:marBottom w:val="0"/>
      <w:divBdr>
        <w:top w:val="none" w:sz="0" w:space="0" w:color="auto"/>
        <w:left w:val="none" w:sz="0" w:space="0" w:color="auto"/>
        <w:bottom w:val="none" w:sz="0" w:space="0" w:color="auto"/>
        <w:right w:val="none" w:sz="0" w:space="0" w:color="auto"/>
      </w:divBdr>
      <w:divsChild>
        <w:div w:id="1072653553">
          <w:marLeft w:val="0"/>
          <w:marRight w:val="0"/>
          <w:marTop w:val="0"/>
          <w:marBottom w:val="0"/>
          <w:divBdr>
            <w:top w:val="none" w:sz="0" w:space="0" w:color="auto"/>
            <w:left w:val="none" w:sz="0" w:space="0" w:color="auto"/>
            <w:bottom w:val="none" w:sz="0" w:space="0" w:color="auto"/>
            <w:right w:val="none" w:sz="0" w:space="0" w:color="auto"/>
          </w:divBdr>
        </w:div>
      </w:divsChild>
    </w:div>
    <w:div w:id="366298985">
      <w:bodyDiv w:val="1"/>
      <w:marLeft w:val="0"/>
      <w:marRight w:val="0"/>
      <w:marTop w:val="0"/>
      <w:marBottom w:val="0"/>
      <w:divBdr>
        <w:top w:val="none" w:sz="0" w:space="0" w:color="auto"/>
        <w:left w:val="none" w:sz="0" w:space="0" w:color="auto"/>
        <w:bottom w:val="none" w:sz="0" w:space="0" w:color="auto"/>
        <w:right w:val="none" w:sz="0" w:space="0" w:color="auto"/>
      </w:divBdr>
    </w:div>
    <w:div w:id="379987585">
      <w:bodyDiv w:val="1"/>
      <w:marLeft w:val="0"/>
      <w:marRight w:val="0"/>
      <w:marTop w:val="0"/>
      <w:marBottom w:val="0"/>
      <w:divBdr>
        <w:top w:val="none" w:sz="0" w:space="0" w:color="auto"/>
        <w:left w:val="none" w:sz="0" w:space="0" w:color="auto"/>
        <w:bottom w:val="none" w:sz="0" w:space="0" w:color="auto"/>
        <w:right w:val="none" w:sz="0" w:space="0" w:color="auto"/>
      </w:divBdr>
    </w:div>
    <w:div w:id="412166648">
      <w:bodyDiv w:val="1"/>
      <w:marLeft w:val="0"/>
      <w:marRight w:val="0"/>
      <w:marTop w:val="0"/>
      <w:marBottom w:val="0"/>
      <w:divBdr>
        <w:top w:val="none" w:sz="0" w:space="0" w:color="auto"/>
        <w:left w:val="none" w:sz="0" w:space="0" w:color="auto"/>
        <w:bottom w:val="none" w:sz="0" w:space="0" w:color="auto"/>
        <w:right w:val="none" w:sz="0" w:space="0" w:color="auto"/>
      </w:divBdr>
    </w:div>
    <w:div w:id="498738262">
      <w:bodyDiv w:val="1"/>
      <w:marLeft w:val="0"/>
      <w:marRight w:val="0"/>
      <w:marTop w:val="0"/>
      <w:marBottom w:val="0"/>
      <w:divBdr>
        <w:top w:val="none" w:sz="0" w:space="0" w:color="auto"/>
        <w:left w:val="none" w:sz="0" w:space="0" w:color="auto"/>
        <w:bottom w:val="none" w:sz="0" w:space="0" w:color="auto"/>
        <w:right w:val="none" w:sz="0" w:space="0" w:color="auto"/>
      </w:divBdr>
    </w:div>
    <w:div w:id="498740969">
      <w:bodyDiv w:val="1"/>
      <w:marLeft w:val="0"/>
      <w:marRight w:val="0"/>
      <w:marTop w:val="0"/>
      <w:marBottom w:val="0"/>
      <w:divBdr>
        <w:top w:val="none" w:sz="0" w:space="0" w:color="auto"/>
        <w:left w:val="none" w:sz="0" w:space="0" w:color="auto"/>
        <w:bottom w:val="none" w:sz="0" w:space="0" w:color="auto"/>
        <w:right w:val="none" w:sz="0" w:space="0" w:color="auto"/>
      </w:divBdr>
    </w:div>
    <w:div w:id="584807563">
      <w:bodyDiv w:val="1"/>
      <w:marLeft w:val="0"/>
      <w:marRight w:val="0"/>
      <w:marTop w:val="0"/>
      <w:marBottom w:val="0"/>
      <w:divBdr>
        <w:top w:val="none" w:sz="0" w:space="0" w:color="auto"/>
        <w:left w:val="none" w:sz="0" w:space="0" w:color="auto"/>
        <w:bottom w:val="none" w:sz="0" w:space="0" w:color="auto"/>
        <w:right w:val="none" w:sz="0" w:space="0" w:color="auto"/>
      </w:divBdr>
    </w:div>
    <w:div w:id="625701302">
      <w:bodyDiv w:val="1"/>
      <w:marLeft w:val="0"/>
      <w:marRight w:val="0"/>
      <w:marTop w:val="0"/>
      <w:marBottom w:val="0"/>
      <w:divBdr>
        <w:top w:val="none" w:sz="0" w:space="0" w:color="auto"/>
        <w:left w:val="none" w:sz="0" w:space="0" w:color="auto"/>
        <w:bottom w:val="none" w:sz="0" w:space="0" w:color="auto"/>
        <w:right w:val="none" w:sz="0" w:space="0" w:color="auto"/>
      </w:divBdr>
    </w:div>
    <w:div w:id="630551936">
      <w:bodyDiv w:val="1"/>
      <w:marLeft w:val="0"/>
      <w:marRight w:val="0"/>
      <w:marTop w:val="0"/>
      <w:marBottom w:val="0"/>
      <w:divBdr>
        <w:top w:val="none" w:sz="0" w:space="0" w:color="auto"/>
        <w:left w:val="none" w:sz="0" w:space="0" w:color="auto"/>
        <w:bottom w:val="none" w:sz="0" w:space="0" w:color="auto"/>
        <w:right w:val="none" w:sz="0" w:space="0" w:color="auto"/>
      </w:divBdr>
    </w:div>
    <w:div w:id="654721356">
      <w:bodyDiv w:val="1"/>
      <w:marLeft w:val="0"/>
      <w:marRight w:val="0"/>
      <w:marTop w:val="0"/>
      <w:marBottom w:val="0"/>
      <w:divBdr>
        <w:top w:val="none" w:sz="0" w:space="0" w:color="auto"/>
        <w:left w:val="none" w:sz="0" w:space="0" w:color="auto"/>
        <w:bottom w:val="none" w:sz="0" w:space="0" w:color="auto"/>
        <w:right w:val="none" w:sz="0" w:space="0" w:color="auto"/>
      </w:divBdr>
    </w:div>
    <w:div w:id="741416778">
      <w:bodyDiv w:val="1"/>
      <w:marLeft w:val="0"/>
      <w:marRight w:val="0"/>
      <w:marTop w:val="0"/>
      <w:marBottom w:val="0"/>
      <w:divBdr>
        <w:top w:val="none" w:sz="0" w:space="0" w:color="auto"/>
        <w:left w:val="none" w:sz="0" w:space="0" w:color="auto"/>
        <w:bottom w:val="none" w:sz="0" w:space="0" w:color="auto"/>
        <w:right w:val="none" w:sz="0" w:space="0" w:color="auto"/>
      </w:divBdr>
    </w:div>
    <w:div w:id="758066578">
      <w:bodyDiv w:val="1"/>
      <w:marLeft w:val="0"/>
      <w:marRight w:val="0"/>
      <w:marTop w:val="0"/>
      <w:marBottom w:val="0"/>
      <w:divBdr>
        <w:top w:val="none" w:sz="0" w:space="0" w:color="auto"/>
        <w:left w:val="none" w:sz="0" w:space="0" w:color="auto"/>
        <w:bottom w:val="none" w:sz="0" w:space="0" w:color="auto"/>
        <w:right w:val="none" w:sz="0" w:space="0" w:color="auto"/>
      </w:divBdr>
    </w:div>
    <w:div w:id="866217334">
      <w:bodyDiv w:val="1"/>
      <w:marLeft w:val="0"/>
      <w:marRight w:val="0"/>
      <w:marTop w:val="0"/>
      <w:marBottom w:val="0"/>
      <w:divBdr>
        <w:top w:val="none" w:sz="0" w:space="0" w:color="auto"/>
        <w:left w:val="none" w:sz="0" w:space="0" w:color="auto"/>
        <w:bottom w:val="none" w:sz="0" w:space="0" w:color="auto"/>
        <w:right w:val="none" w:sz="0" w:space="0" w:color="auto"/>
      </w:divBdr>
    </w:div>
    <w:div w:id="934705407">
      <w:bodyDiv w:val="1"/>
      <w:marLeft w:val="0"/>
      <w:marRight w:val="0"/>
      <w:marTop w:val="0"/>
      <w:marBottom w:val="0"/>
      <w:divBdr>
        <w:top w:val="none" w:sz="0" w:space="0" w:color="auto"/>
        <w:left w:val="none" w:sz="0" w:space="0" w:color="auto"/>
        <w:bottom w:val="none" w:sz="0" w:space="0" w:color="auto"/>
        <w:right w:val="none" w:sz="0" w:space="0" w:color="auto"/>
      </w:divBdr>
    </w:div>
    <w:div w:id="948974860">
      <w:bodyDiv w:val="1"/>
      <w:marLeft w:val="0"/>
      <w:marRight w:val="0"/>
      <w:marTop w:val="0"/>
      <w:marBottom w:val="0"/>
      <w:divBdr>
        <w:top w:val="none" w:sz="0" w:space="0" w:color="auto"/>
        <w:left w:val="none" w:sz="0" w:space="0" w:color="auto"/>
        <w:bottom w:val="none" w:sz="0" w:space="0" w:color="auto"/>
        <w:right w:val="none" w:sz="0" w:space="0" w:color="auto"/>
      </w:divBdr>
      <w:divsChild>
        <w:div w:id="1473331813">
          <w:marLeft w:val="0"/>
          <w:marRight w:val="0"/>
          <w:marTop w:val="0"/>
          <w:marBottom w:val="0"/>
          <w:divBdr>
            <w:top w:val="none" w:sz="0" w:space="0" w:color="auto"/>
            <w:left w:val="none" w:sz="0" w:space="0" w:color="auto"/>
            <w:bottom w:val="none" w:sz="0" w:space="0" w:color="auto"/>
            <w:right w:val="none" w:sz="0" w:space="0" w:color="auto"/>
          </w:divBdr>
        </w:div>
      </w:divsChild>
    </w:div>
    <w:div w:id="961417826">
      <w:bodyDiv w:val="1"/>
      <w:marLeft w:val="0"/>
      <w:marRight w:val="0"/>
      <w:marTop w:val="0"/>
      <w:marBottom w:val="0"/>
      <w:divBdr>
        <w:top w:val="none" w:sz="0" w:space="0" w:color="auto"/>
        <w:left w:val="none" w:sz="0" w:space="0" w:color="auto"/>
        <w:bottom w:val="none" w:sz="0" w:space="0" w:color="auto"/>
        <w:right w:val="none" w:sz="0" w:space="0" w:color="auto"/>
      </w:divBdr>
    </w:div>
    <w:div w:id="1023824999">
      <w:bodyDiv w:val="1"/>
      <w:marLeft w:val="0"/>
      <w:marRight w:val="0"/>
      <w:marTop w:val="0"/>
      <w:marBottom w:val="0"/>
      <w:divBdr>
        <w:top w:val="none" w:sz="0" w:space="0" w:color="auto"/>
        <w:left w:val="none" w:sz="0" w:space="0" w:color="auto"/>
        <w:bottom w:val="none" w:sz="0" w:space="0" w:color="auto"/>
        <w:right w:val="none" w:sz="0" w:space="0" w:color="auto"/>
      </w:divBdr>
      <w:divsChild>
        <w:div w:id="334918782">
          <w:marLeft w:val="0"/>
          <w:marRight w:val="0"/>
          <w:marTop w:val="0"/>
          <w:marBottom w:val="0"/>
          <w:divBdr>
            <w:top w:val="none" w:sz="0" w:space="0" w:color="auto"/>
            <w:left w:val="none" w:sz="0" w:space="0" w:color="auto"/>
            <w:bottom w:val="none" w:sz="0" w:space="0" w:color="auto"/>
            <w:right w:val="none" w:sz="0" w:space="0" w:color="auto"/>
          </w:divBdr>
        </w:div>
      </w:divsChild>
    </w:div>
    <w:div w:id="1092357688">
      <w:bodyDiv w:val="1"/>
      <w:marLeft w:val="0"/>
      <w:marRight w:val="0"/>
      <w:marTop w:val="0"/>
      <w:marBottom w:val="0"/>
      <w:divBdr>
        <w:top w:val="none" w:sz="0" w:space="0" w:color="auto"/>
        <w:left w:val="none" w:sz="0" w:space="0" w:color="auto"/>
        <w:bottom w:val="none" w:sz="0" w:space="0" w:color="auto"/>
        <w:right w:val="none" w:sz="0" w:space="0" w:color="auto"/>
      </w:divBdr>
    </w:div>
    <w:div w:id="1137069021">
      <w:bodyDiv w:val="1"/>
      <w:marLeft w:val="0"/>
      <w:marRight w:val="0"/>
      <w:marTop w:val="0"/>
      <w:marBottom w:val="0"/>
      <w:divBdr>
        <w:top w:val="none" w:sz="0" w:space="0" w:color="auto"/>
        <w:left w:val="none" w:sz="0" w:space="0" w:color="auto"/>
        <w:bottom w:val="none" w:sz="0" w:space="0" w:color="auto"/>
        <w:right w:val="none" w:sz="0" w:space="0" w:color="auto"/>
      </w:divBdr>
    </w:div>
    <w:div w:id="1143230489">
      <w:bodyDiv w:val="1"/>
      <w:marLeft w:val="0"/>
      <w:marRight w:val="0"/>
      <w:marTop w:val="0"/>
      <w:marBottom w:val="0"/>
      <w:divBdr>
        <w:top w:val="none" w:sz="0" w:space="0" w:color="auto"/>
        <w:left w:val="none" w:sz="0" w:space="0" w:color="auto"/>
        <w:bottom w:val="none" w:sz="0" w:space="0" w:color="auto"/>
        <w:right w:val="none" w:sz="0" w:space="0" w:color="auto"/>
      </w:divBdr>
    </w:div>
    <w:div w:id="1205869120">
      <w:bodyDiv w:val="1"/>
      <w:marLeft w:val="0"/>
      <w:marRight w:val="0"/>
      <w:marTop w:val="0"/>
      <w:marBottom w:val="0"/>
      <w:divBdr>
        <w:top w:val="none" w:sz="0" w:space="0" w:color="auto"/>
        <w:left w:val="none" w:sz="0" w:space="0" w:color="auto"/>
        <w:bottom w:val="none" w:sz="0" w:space="0" w:color="auto"/>
        <w:right w:val="none" w:sz="0" w:space="0" w:color="auto"/>
      </w:divBdr>
    </w:div>
    <w:div w:id="1212227595">
      <w:bodyDiv w:val="1"/>
      <w:marLeft w:val="0"/>
      <w:marRight w:val="0"/>
      <w:marTop w:val="0"/>
      <w:marBottom w:val="0"/>
      <w:divBdr>
        <w:top w:val="none" w:sz="0" w:space="0" w:color="auto"/>
        <w:left w:val="none" w:sz="0" w:space="0" w:color="auto"/>
        <w:bottom w:val="none" w:sz="0" w:space="0" w:color="auto"/>
        <w:right w:val="none" w:sz="0" w:space="0" w:color="auto"/>
      </w:divBdr>
    </w:div>
    <w:div w:id="1267542424">
      <w:bodyDiv w:val="1"/>
      <w:marLeft w:val="0"/>
      <w:marRight w:val="0"/>
      <w:marTop w:val="0"/>
      <w:marBottom w:val="0"/>
      <w:divBdr>
        <w:top w:val="none" w:sz="0" w:space="0" w:color="auto"/>
        <w:left w:val="none" w:sz="0" w:space="0" w:color="auto"/>
        <w:bottom w:val="none" w:sz="0" w:space="0" w:color="auto"/>
        <w:right w:val="none" w:sz="0" w:space="0" w:color="auto"/>
      </w:divBdr>
    </w:div>
    <w:div w:id="1279066371">
      <w:bodyDiv w:val="1"/>
      <w:marLeft w:val="0"/>
      <w:marRight w:val="0"/>
      <w:marTop w:val="0"/>
      <w:marBottom w:val="0"/>
      <w:divBdr>
        <w:top w:val="none" w:sz="0" w:space="0" w:color="auto"/>
        <w:left w:val="none" w:sz="0" w:space="0" w:color="auto"/>
        <w:bottom w:val="none" w:sz="0" w:space="0" w:color="auto"/>
        <w:right w:val="none" w:sz="0" w:space="0" w:color="auto"/>
      </w:divBdr>
    </w:div>
    <w:div w:id="1343121349">
      <w:bodyDiv w:val="1"/>
      <w:marLeft w:val="0"/>
      <w:marRight w:val="0"/>
      <w:marTop w:val="0"/>
      <w:marBottom w:val="0"/>
      <w:divBdr>
        <w:top w:val="none" w:sz="0" w:space="0" w:color="auto"/>
        <w:left w:val="none" w:sz="0" w:space="0" w:color="auto"/>
        <w:bottom w:val="none" w:sz="0" w:space="0" w:color="auto"/>
        <w:right w:val="none" w:sz="0" w:space="0" w:color="auto"/>
      </w:divBdr>
    </w:div>
    <w:div w:id="1361197884">
      <w:bodyDiv w:val="1"/>
      <w:marLeft w:val="0"/>
      <w:marRight w:val="0"/>
      <w:marTop w:val="0"/>
      <w:marBottom w:val="0"/>
      <w:divBdr>
        <w:top w:val="none" w:sz="0" w:space="0" w:color="auto"/>
        <w:left w:val="none" w:sz="0" w:space="0" w:color="auto"/>
        <w:bottom w:val="none" w:sz="0" w:space="0" w:color="auto"/>
        <w:right w:val="none" w:sz="0" w:space="0" w:color="auto"/>
      </w:divBdr>
    </w:div>
    <w:div w:id="1387996166">
      <w:bodyDiv w:val="1"/>
      <w:marLeft w:val="0"/>
      <w:marRight w:val="0"/>
      <w:marTop w:val="0"/>
      <w:marBottom w:val="0"/>
      <w:divBdr>
        <w:top w:val="none" w:sz="0" w:space="0" w:color="auto"/>
        <w:left w:val="none" w:sz="0" w:space="0" w:color="auto"/>
        <w:bottom w:val="none" w:sz="0" w:space="0" w:color="auto"/>
        <w:right w:val="none" w:sz="0" w:space="0" w:color="auto"/>
      </w:divBdr>
    </w:div>
    <w:div w:id="1420131070">
      <w:bodyDiv w:val="1"/>
      <w:marLeft w:val="0"/>
      <w:marRight w:val="0"/>
      <w:marTop w:val="0"/>
      <w:marBottom w:val="0"/>
      <w:divBdr>
        <w:top w:val="none" w:sz="0" w:space="0" w:color="auto"/>
        <w:left w:val="none" w:sz="0" w:space="0" w:color="auto"/>
        <w:bottom w:val="none" w:sz="0" w:space="0" w:color="auto"/>
        <w:right w:val="none" w:sz="0" w:space="0" w:color="auto"/>
      </w:divBdr>
    </w:div>
    <w:div w:id="1483934634">
      <w:bodyDiv w:val="1"/>
      <w:marLeft w:val="0"/>
      <w:marRight w:val="0"/>
      <w:marTop w:val="0"/>
      <w:marBottom w:val="0"/>
      <w:divBdr>
        <w:top w:val="none" w:sz="0" w:space="0" w:color="auto"/>
        <w:left w:val="none" w:sz="0" w:space="0" w:color="auto"/>
        <w:bottom w:val="none" w:sz="0" w:space="0" w:color="auto"/>
        <w:right w:val="none" w:sz="0" w:space="0" w:color="auto"/>
      </w:divBdr>
    </w:div>
    <w:div w:id="1524707403">
      <w:bodyDiv w:val="1"/>
      <w:marLeft w:val="0"/>
      <w:marRight w:val="0"/>
      <w:marTop w:val="0"/>
      <w:marBottom w:val="0"/>
      <w:divBdr>
        <w:top w:val="none" w:sz="0" w:space="0" w:color="auto"/>
        <w:left w:val="none" w:sz="0" w:space="0" w:color="auto"/>
        <w:bottom w:val="none" w:sz="0" w:space="0" w:color="auto"/>
        <w:right w:val="none" w:sz="0" w:space="0" w:color="auto"/>
      </w:divBdr>
    </w:div>
    <w:div w:id="1613395281">
      <w:bodyDiv w:val="1"/>
      <w:marLeft w:val="0"/>
      <w:marRight w:val="0"/>
      <w:marTop w:val="0"/>
      <w:marBottom w:val="0"/>
      <w:divBdr>
        <w:top w:val="none" w:sz="0" w:space="0" w:color="auto"/>
        <w:left w:val="none" w:sz="0" w:space="0" w:color="auto"/>
        <w:bottom w:val="none" w:sz="0" w:space="0" w:color="auto"/>
        <w:right w:val="none" w:sz="0" w:space="0" w:color="auto"/>
      </w:divBdr>
    </w:div>
    <w:div w:id="1650282851">
      <w:bodyDiv w:val="1"/>
      <w:marLeft w:val="0"/>
      <w:marRight w:val="0"/>
      <w:marTop w:val="0"/>
      <w:marBottom w:val="0"/>
      <w:divBdr>
        <w:top w:val="none" w:sz="0" w:space="0" w:color="auto"/>
        <w:left w:val="none" w:sz="0" w:space="0" w:color="auto"/>
        <w:bottom w:val="none" w:sz="0" w:space="0" w:color="auto"/>
        <w:right w:val="none" w:sz="0" w:space="0" w:color="auto"/>
      </w:divBdr>
    </w:div>
    <w:div w:id="1656178963">
      <w:bodyDiv w:val="1"/>
      <w:marLeft w:val="0"/>
      <w:marRight w:val="0"/>
      <w:marTop w:val="0"/>
      <w:marBottom w:val="0"/>
      <w:divBdr>
        <w:top w:val="none" w:sz="0" w:space="0" w:color="auto"/>
        <w:left w:val="none" w:sz="0" w:space="0" w:color="auto"/>
        <w:bottom w:val="none" w:sz="0" w:space="0" w:color="auto"/>
        <w:right w:val="none" w:sz="0" w:space="0" w:color="auto"/>
      </w:divBdr>
    </w:div>
    <w:div w:id="1663122945">
      <w:bodyDiv w:val="1"/>
      <w:marLeft w:val="0"/>
      <w:marRight w:val="0"/>
      <w:marTop w:val="0"/>
      <w:marBottom w:val="0"/>
      <w:divBdr>
        <w:top w:val="none" w:sz="0" w:space="0" w:color="auto"/>
        <w:left w:val="none" w:sz="0" w:space="0" w:color="auto"/>
        <w:bottom w:val="none" w:sz="0" w:space="0" w:color="auto"/>
        <w:right w:val="none" w:sz="0" w:space="0" w:color="auto"/>
      </w:divBdr>
    </w:div>
    <w:div w:id="1690764009">
      <w:bodyDiv w:val="1"/>
      <w:marLeft w:val="0"/>
      <w:marRight w:val="0"/>
      <w:marTop w:val="0"/>
      <w:marBottom w:val="0"/>
      <w:divBdr>
        <w:top w:val="none" w:sz="0" w:space="0" w:color="auto"/>
        <w:left w:val="none" w:sz="0" w:space="0" w:color="auto"/>
        <w:bottom w:val="none" w:sz="0" w:space="0" w:color="auto"/>
        <w:right w:val="none" w:sz="0" w:space="0" w:color="auto"/>
      </w:divBdr>
    </w:div>
    <w:div w:id="1711413205">
      <w:bodyDiv w:val="1"/>
      <w:marLeft w:val="0"/>
      <w:marRight w:val="0"/>
      <w:marTop w:val="0"/>
      <w:marBottom w:val="0"/>
      <w:divBdr>
        <w:top w:val="none" w:sz="0" w:space="0" w:color="auto"/>
        <w:left w:val="none" w:sz="0" w:space="0" w:color="auto"/>
        <w:bottom w:val="none" w:sz="0" w:space="0" w:color="auto"/>
        <w:right w:val="none" w:sz="0" w:space="0" w:color="auto"/>
      </w:divBdr>
      <w:divsChild>
        <w:div w:id="199322671">
          <w:marLeft w:val="0"/>
          <w:marRight w:val="0"/>
          <w:marTop w:val="0"/>
          <w:marBottom w:val="0"/>
          <w:divBdr>
            <w:top w:val="none" w:sz="0" w:space="0" w:color="auto"/>
            <w:left w:val="none" w:sz="0" w:space="0" w:color="auto"/>
            <w:bottom w:val="none" w:sz="0" w:space="0" w:color="auto"/>
            <w:right w:val="none" w:sz="0" w:space="0" w:color="auto"/>
          </w:divBdr>
        </w:div>
      </w:divsChild>
    </w:div>
    <w:div w:id="1729112413">
      <w:bodyDiv w:val="1"/>
      <w:marLeft w:val="0"/>
      <w:marRight w:val="0"/>
      <w:marTop w:val="0"/>
      <w:marBottom w:val="0"/>
      <w:divBdr>
        <w:top w:val="none" w:sz="0" w:space="0" w:color="auto"/>
        <w:left w:val="none" w:sz="0" w:space="0" w:color="auto"/>
        <w:bottom w:val="none" w:sz="0" w:space="0" w:color="auto"/>
        <w:right w:val="none" w:sz="0" w:space="0" w:color="auto"/>
      </w:divBdr>
    </w:div>
    <w:div w:id="1966043281">
      <w:bodyDiv w:val="1"/>
      <w:marLeft w:val="0"/>
      <w:marRight w:val="0"/>
      <w:marTop w:val="0"/>
      <w:marBottom w:val="0"/>
      <w:divBdr>
        <w:top w:val="none" w:sz="0" w:space="0" w:color="auto"/>
        <w:left w:val="none" w:sz="0" w:space="0" w:color="auto"/>
        <w:bottom w:val="none" w:sz="0" w:space="0" w:color="auto"/>
        <w:right w:val="none" w:sz="0" w:space="0" w:color="auto"/>
      </w:divBdr>
    </w:div>
    <w:div w:id="2005477296">
      <w:bodyDiv w:val="1"/>
      <w:marLeft w:val="0"/>
      <w:marRight w:val="0"/>
      <w:marTop w:val="0"/>
      <w:marBottom w:val="0"/>
      <w:divBdr>
        <w:top w:val="none" w:sz="0" w:space="0" w:color="auto"/>
        <w:left w:val="none" w:sz="0" w:space="0" w:color="auto"/>
        <w:bottom w:val="none" w:sz="0" w:space="0" w:color="auto"/>
        <w:right w:val="none" w:sz="0" w:space="0" w:color="auto"/>
      </w:divBdr>
    </w:div>
    <w:div w:id="2009674678">
      <w:bodyDiv w:val="1"/>
      <w:marLeft w:val="0"/>
      <w:marRight w:val="0"/>
      <w:marTop w:val="0"/>
      <w:marBottom w:val="0"/>
      <w:divBdr>
        <w:top w:val="none" w:sz="0" w:space="0" w:color="auto"/>
        <w:left w:val="none" w:sz="0" w:space="0" w:color="auto"/>
        <w:bottom w:val="none" w:sz="0" w:space="0" w:color="auto"/>
        <w:right w:val="none" w:sz="0" w:space="0" w:color="auto"/>
      </w:divBdr>
    </w:div>
    <w:div w:id="2095124945">
      <w:bodyDiv w:val="1"/>
      <w:marLeft w:val="0"/>
      <w:marRight w:val="0"/>
      <w:marTop w:val="0"/>
      <w:marBottom w:val="0"/>
      <w:divBdr>
        <w:top w:val="none" w:sz="0" w:space="0" w:color="auto"/>
        <w:left w:val="none" w:sz="0" w:space="0" w:color="auto"/>
        <w:bottom w:val="none" w:sz="0" w:space="0" w:color="auto"/>
        <w:right w:val="none" w:sz="0" w:space="0" w:color="auto"/>
      </w:divBdr>
      <w:divsChild>
        <w:div w:id="1935047391">
          <w:marLeft w:val="0"/>
          <w:marRight w:val="0"/>
          <w:marTop w:val="0"/>
          <w:marBottom w:val="0"/>
          <w:divBdr>
            <w:top w:val="none" w:sz="0" w:space="0" w:color="auto"/>
            <w:left w:val="none" w:sz="0" w:space="0" w:color="auto"/>
            <w:bottom w:val="none" w:sz="0" w:space="0" w:color="auto"/>
            <w:right w:val="none" w:sz="0" w:space="0" w:color="auto"/>
          </w:divBdr>
          <w:divsChild>
            <w:div w:id="2041783762">
              <w:marLeft w:val="0"/>
              <w:marRight w:val="0"/>
              <w:marTop w:val="0"/>
              <w:marBottom w:val="0"/>
              <w:divBdr>
                <w:top w:val="none" w:sz="0" w:space="0" w:color="auto"/>
                <w:left w:val="none" w:sz="0" w:space="0" w:color="auto"/>
                <w:bottom w:val="none" w:sz="0" w:space="0" w:color="auto"/>
                <w:right w:val="none" w:sz="0" w:space="0" w:color="auto"/>
              </w:divBdr>
              <w:divsChild>
                <w:div w:id="112141781">
                  <w:marLeft w:val="0"/>
                  <w:marRight w:val="0"/>
                  <w:marTop w:val="0"/>
                  <w:marBottom w:val="0"/>
                  <w:divBdr>
                    <w:top w:val="none" w:sz="0" w:space="0" w:color="auto"/>
                    <w:left w:val="none" w:sz="0" w:space="0" w:color="auto"/>
                    <w:bottom w:val="none" w:sz="0" w:space="0" w:color="auto"/>
                    <w:right w:val="none" w:sz="0" w:space="0" w:color="auto"/>
                  </w:divBdr>
                  <w:divsChild>
                    <w:div w:id="1902522421">
                      <w:marLeft w:val="0"/>
                      <w:marRight w:val="0"/>
                      <w:marTop w:val="0"/>
                      <w:marBottom w:val="0"/>
                      <w:divBdr>
                        <w:top w:val="none" w:sz="0" w:space="0" w:color="auto"/>
                        <w:left w:val="none" w:sz="0" w:space="0" w:color="auto"/>
                        <w:bottom w:val="none" w:sz="0" w:space="0" w:color="auto"/>
                        <w:right w:val="none" w:sz="0" w:space="0" w:color="auto"/>
                      </w:divBdr>
                      <w:divsChild>
                        <w:div w:id="1739864104">
                          <w:marLeft w:val="0"/>
                          <w:marRight w:val="0"/>
                          <w:marTop w:val="0"/>
                          <w:marBottom w:val="0"/>
                          <w:divBdr>
                            <w:top w:val="none" w:sz="0" w:space="0" w:color="auto"/>
                            <w:left w:val="none" w:sz="0" w:space="0" w:color="auto"/>
                            <w:bottom w:val="none" w:sz="0" w:space="0" w:color="auto"/>
                            <w:right w:val="none" w:sz="0" w:space="0" w:color="auto"/>
                          </w:divBdr>
                          <w:divsChild>
                            <w:div w:id="96110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58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66223-F72A-4E78-B9FF-515760A71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3961</TotalTime>
  <Pages>5</Pages>
  <Words>2641</Words>
  <Characters>15320</Characters>
  <Application>Microsoft Office Word</Application>
  <DocSecurity>0</DocSecurity>
  <Lines>127</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tudor.sclifos@maia.gov.md</dc:creator>
  <cp:keywords/>
  <dc:description/>
  <cp:lastModifiedBy>Cont Microsoft</cp:lastModifiedBy>
  <cp:revision>35</cp:revision>
  <cp:lastPrinted>2026-07-13T12:05:00Z</cp:lastPrinted>
  <dcterms:created xsi:type="dcterms:W3CDTF">2026-04-15T13:37:00Z</dcterms:created>
  <dcterms:modified xsi:type="dcterms:W3CDTF">2026-07-16T10:13:00Z</dcterms:modified>
</cp:coreProperties>
</file>