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FCA" w:rsidRPr="00757EAA" w:rsidRDefault="007967E4">
      <w:pPr>
        <w:spacing w:after="40"/>
        <w:jc w:val="center"/>
        <w:rPr>
          <w:rFonts w:asciiTheme="minorHAnsi" w:hAnsiTheme="minorHAnsi"/>
          <w:sz w:val="24"/>
          <w:lang w:val="ro-MO"/>
        </w:rPr>
      </w:pPr>
      <w:r w:rsidRPr="00757EAA">
        <w:rPr>
          <w:rFonts w:asciiTheme="minorHAnsi" w:hAnsiTheme="minorHAnsi"/>
          <w:b/>
          <w:sz w:val="24"/>
          <w:lang w:val="ro-MO"/>
        </w:rPr>
        <w:t>TABEL DE SINTEZĂ</w:t>
      </w:r>
    </w:p>
    <w:p w:rsidR="00757EAA" w:rsidRDefault="007967E4" w:rsidP="00757EAA">
      <w:pPr>
        <w:spacing w:after="0" w:line="240" w:lineRule="auto"/>
        <w:jc w:val="center"/>
        <w:rPr>
          <w:rFonts w:asciiTheme="minorHAnsi" w:hAnsiTheme="minorHAnsi"/>
          <w:b/>
          <w:color w:val="000000"/>
          <w:sz w:val="22"/>
          <w:lang w:val="ro-MO"/>
        </w:rPr>
      </w:pPr>
      <w:r w:rsidRPr="00757EAA">
        <w:rPr>
          <w:rFonts w:asciiTheme="minorHAnsi" w:hAnsiTheme="minorHAnsi"/>
          <w:b/>
          <w:color w:val="000000"/>
          <w:sz w:val="22"/>
          <w:lang w:val="ro-MO"/>
        </w:rPr>
        <w:t>al recomandărilor, obiecțiilor, propunerilor, întrebărilor și îngrijorărilor formulate</w:t>
      </w:r>
    </w:p>
    <w:p w:rsidR="00757EAA" w:rsidRDefault="007967E4" w:rsidP="00757EAA">
      <w:pPr>
        <w:spacing w:after="0" w:line="240" w:lineRule="auto"/>
        <w:jc w:val="center"/>
        <w:rPr>
          <w:rFonts w:asciiTheme="minorHAnsi" w:hAnsiTheme="minorHAnsi"/>
          <w:b/>
          <w:color w:val="000000"/>
          <w:sz w:val="22"/>
          <w:lang w:val="ro-MO"/>
        </w:rPr>
      </w:pPr>
      <w:r w:rsidRPr="00757EAA">
        <w:rPr>
          <w:rFonts w:asciiTheme="minorHAnsi" w:hAnsiTheme="minorHAnsi"/>
          <w:b/>
          <w:color w:val="000000"/>
          <w:sz w:val="22"/>
          <w:lang w:val="ro-MO"/>
        </w:rPr>
        <w:t xml:space="preserve"> în procesul de consultare publică</w:t>
      </w:r>
      <w:r w:rsidR="00757EAA">
        <w:rPr>
          <w:rFonts w:asciiTheme="minorHAnsi" w:hAnsiTheme="minorHAnsi"/>
          <w:b/>
          <w:color w:val="000000"/>
          <w:sz w:val="22"/>
          <w:lang w:val="ro-MO"/>
        </w:rPr>
        <w:t xml:space="preserve"> </w:t>
      </w:r>
      <w:r w:rsidRPr="00757EAA">
        <w:rPr>
          <w:rFonts w:asciiTheme="minorHAnsi" w:hAnsiTheme="minorHAnsi"/>
          <w:b/>
          <w:color w:val="000000"/>
          <w:sz w:val="22"/>
          <w:lang w:val="ro-MO"/>
        </w:rPr>
        <w:t xml:space="preserve">a proiectului de decizie privind amalgamarea voluntară a </w:t>
      </w:r>
    </w:p>
    <w:p w:rsidR="00A83FCA" w:rsidRDefault="007967E4" w:rsidP="00757EAA">
      <w:pPr>
        <w:spacing w:after="0" w:line="240" w:lineRule="auto"/>
        <w:jc w:val="center"/>
        <w:rPr>
          <w:rFonts w:asciiTheme="minorHAnsi" w:hAnsiTheme="minorHAnsi"/>
          <w:b/>
          <w:color w:val="000000"/>
          <w:sz w:val="22"/>
          <w:lang w:val="ro-MO"/>
        </w:rPr>
      </w:pPr>
      <w:r w:rsidRPr="00757EAA">
        <w:rPr>
          <w:rFonts w:asciiTheme="minorHAnsi" w:hAnsiTheme="minorHAnsi"/>
          <w:b/>
          <w:color w:val="000000"/>
          <w:sz w:val="22"/>
          <w:lang w:val="ro-MO"/>
        </w:rPr>
        <w:t>UAT Slobozia cu UAT Răscăieți</w:t>
      </w:r>
    </w:p>
    <w:p w:rsidR="00757EAA" w:rsidRPr="00757EAA" w:rsidRDefault="00757EAA">
      <w:pPr>
        <w:spacing w:after="40"/>
        <w:jc w:val="center"/>
        <w:rPr>
          <w:rFonts w:asciiTheme="minorHAnsi" w:hAnsiTheme="minorHAnsi"/>
          <w:sz w:val="22"/>
          <w:lang w:val="ro-MO"/>
        </w:rPr>
      </w:pPr>
    </w:p>
    <w:p w:rsidR="00A83FCA" w:rsidRPr="00757EAA" w:rsidRDefault="00757EAA">
      <w:pPr>
        <w:spacing w:after="160"/>
        <w:jc w:val="center"/>
        <w:rPr>
          <w:rFonts w:asciiTheme="minorHAnsi" w:hAnsiTheme="minorHAnsi"/>
          <w:sz w:val="24"/>
          <w:lang w:val="ro-MO"/>
        </w:rPr>
      </w:pPr>
      <w:r w:rsidRPr="00757EAA">
        <w:rPr>
          <w:rFonts w:asciiTheme="minorHAnsi" w:hAnsiTheme="minorHAnsi"/>
          <w:b/>
          <w:color w:val="000000"/>
          <w:sz w:val="24"/>
          <w:lang w:val="ro-MO"/>
        </w:rPr>
        <w:t xml:space="preserve">Satul </w:t>
      </w:r>
      <w:r w:rsidR="007967E4" w:rsidRPr="00757EAA">
        <w:rPr>
          <w:rFonts w:asciiTheme="minorHAnsi" w:hAnsiTheme="minorHAnsi"/>
          <w:b/>
          <w:color w:val="000000"/>
          <w:sz w:val="24"/>
          <w:lang w:val="ro-MO"/>
        </w:rPr>
        <w:t xml:space="preserve"> Slobozia, raionul Ștefan Vodă </w:t>
      </w:r>
    </w:p>
    <w:p w:rsidR="00A83FCA" w:rsidRPr="00757EAA" w:rsidRDefault="007967E4">
      <w:pPr>
        <w:spacing w:after="80" w:line="252" w:lineRule="auto"/>
        <w:jc w:val="both"/>
        <w:rPr>
          <w:rFonts w:asciiTheme="minorHAnsi" w:hAnsiTheme="minorHAnsi"/>
          <w:sz w:val="22"/>
          <w:lang w:val="ro-MO"/>
        </w:rPr>
      </w:pPr>
      <w:r w:rsidRPr="00757EAA">
        <w:rPr>
          <w:rFonts w:asciiTheme="minorHAnsi" w:hAnsiTheme="minorHAnsi"/>
          <w:sz w:val="22"/>
          <w:lang w:val="ro-MO"/>
        </w:rPr>
        <w:t>Prezenta sinteză reunește opiniile, propunerile, întrebările și obiecțiile formulate de locuitorii satului Slobozia în procesul de consultare publică a proiectului de decizie pri</w:t>
      </w:r>
      <w:r w:rsidRPr="00757EAA">
        <w:rPr>
          <w:rFonts w:asciiTheme="minorHAnsi" w:hAnsiTheme="minorHAnsi"/>
          <w:sz w:val="22"/>
          <w:lang w:val="ro-MO"/>
        </w:rPr>
        <w:t>vind amalgamarea voluntară a UAT Slobozia cu UAT Răscăieți. Au fost analizate rezultatele chestionarului „PĂREREA TA”, chestionarele completate suplimentar pe hârtie, procesele-verbale ale consultărilor publice pe sectoare din 05 iulie 2026, sinteza locală</w:t>
      </w:r>
      <w:r w:rsidRPr="00757EAA">
        <w:rPr>
          <w:rFonts w:asciiTheme="minorHAnsi" w:hAnsiTheme="minorHAnsi"/>
          <w:sz w:val="22"/>
          <w:lang w:val="ro-MO"/>
        </w:rPr>
        <w:t xml:space="preserve"> a consultării publice și prevederile relevante din Viziunea viitoarei UAT Slobozia-Răscăieți.</w:t>
      </w:r>
    </w:p>
    <w:p w:rsidR="00A83FCA" w:rsidRPr="00757EAA" w:rsidRDefault="007967E4">
      <w:pPr>
        <w:spacing w:after="80" w:line="252" w:lineRule="auto"/>
        <w:jc w:val="both"/>
        <w:rPr>
          <w:rFonts w:asciiTheme="minorHAnsi" w:hAnsiTheme="minorHAnsi"/>
          <w:sz w:val="22"/>
          <w:lang w:val="ro-MO"/>
        </w:rPr>
      </w:pPr>
      <w:r w:rsidRPr="00757EAA">
        <w:rPr>
          <w:rFonts w:asciiTheme="minorHAnsi" w:hAnsiTheme="minorHAnsi"/>
          <w:sz w:val="22"/>
          <w:lang w:val="ro-MO"/>
        </w:rPr>
        <w:t>Pentru a evita dublarea participărilor, răspunsurile din sondaj au fost tratate ca un set distinct de chestionare validate. În total, pentru sondaj au fost luate</w:t>
      </w:r>
      <w:r w:rsidRPr="00757EAA">
        <w:rPr>
          <w:rFonts w:asciiTheme="minorHAnsi" w:hAnsiTheme="minorHAnsi"/>
          <w:sz w:val="22"/>
          <w:lang w:val="ro-MO"/>
        </w:rPr>
        <w:t xml:space="preserve"> în calcul 84 de chestionare: 20 răspunsuri digitale validate și 64 chestionare completate pe hârtie și scanate. Participările la consultările publice pe sectoare sunt reflectate separat ca activități de informare și colectare de opinii, nu ca răspunsuri s</w:t>
      </w:r>
      <w:r w:rsidRPr="00757EAA">
        <w:rPr>
          <w:rFonts w:asciiTheme="minorHAnsi" w:hAnsiTheme="minorHAnsi"/>
          <w:sz w:val="22"/>
          <w:lang w:val="ro-MO"/>
        </w:rPr>
        <w:t>uplimentare la sondaj.</w:t>
      </w:r>
    </w:p>
    <w:p w:rsidR="00A83FCA" w:rsidRPr="00757EAA" w:rsidRDefault="007967E4">
      <w:pPr>
        <w:spacing w:after="80" w:line="252" w:lineRule="auto"/>
        <w:jc w:val="both"/>
        <w:rPr>
          <w:rFonts w:asciiTheme="minorHAnsi" w:hAnsiTheme="minorHAnsi"/>
          <w:sz w:val="22"/>
          <w:lang w:val="ro-MO"/>
        </w:rPr>
      </w:pPr>
      <w:r w:rsidRPr="00757EAA">
        <w:rPr>
          <w:rFonts w:asciiTheme="minorHAnsi" w:hAnsiTheme="minorHAnsi"/>
          <w:sz w:val="22"/>
          <w:lang w:val="ro-MO"/>
        </w:rPr>
        <w:t>Propunerile repetate sau apropiate ca sens au fost grupate pe domenii, fără schimbarea mesajului transmis de participanți. Propunerile care presupun proiecte tehnice, devize, avize, decizii ulterioare sau identificarea surselor de fi</w:t>
      </w:r>
      <w:r w:rsidRPr="00757EAA">
        <w:rPr>
          <w:rFonts w:asciiTheme="minorHAnsi" w:hAnsiTheme="minorHAnsi"/>
          <w:sz w:val="22"/>
          <w:lang w:val="ro-MO"/>
        </w:rPr>
        <w:t>nanțare sunt indicate ca acceptate parțial ori acceptate pentru analiză.</w:t>
      </w:r>
    </w:p>
    <w:p w:rsidR="00A83FCA" w:rsidRPr="00757EAA" w:rsidRDefault="007967E4">
      <w:pPr>
        <w:spacing w:after="120"/>
        <w:jc w:val="center"/>
        <w:rPr>
          <w:rFonts w:asciiTheme="minorHAnsi" w:hAnsiTheme="minorHAnsi"/>
          <w:sz w:val="24"/>
          <w:lang w:val="ro-MO"/>
        </w:rPr>
      </w:pPr>
      <w:r w:rsidRPr="00757EAA">
        <w:rPr>
          <w:rFonts w:asciiTheme="minorHAnsi" w:hAnsiTheme="minorHAnsi"/>
          <w:b/>
          <w:sz w:val="24"/>
          <w:lang w:val="ro-MO"/>
        </w:rPr>
        <w:t>TABEL DE SINTEZĂ CONSOLIDATĂ</w:t>
      </w:r>
    </w:p>
    <w:tbl>
      <w:tblPr>
        <w:tblW w:w="14678" w:type="dxa"/>
        <w:jc w:val="center"/>
        <w:tblInd w:w="787" w:type="dxa"/>
        <w:tblLayout w:type="fixed"/>
        <w:tblLook w:val="04A0" w:firstRow="1" w:lastRow="0" w:firstColumn="1" w:lastColumn="0" w:noHBand="0" w:noVBand="1"/>
      </w:tblPr>
      <w:tblGrid>
        <w:gridCol w:w="567"/>
        <w:gridCol w:w="1387"/>
        <w:gridCol w:w="2788"/>
        <w:gridCol w:w="2520"/>
        <w:gridCol w:w="3960"/>
        <w:gridCol w:w="1224"/>
        <w:gridCol w:w="2232"/>
      </w:tblGrid>
      <w:tr w:rsidR="00A83FCA" w:rsidRPr="00757EAA" w:rsidTr="00757EAA">
        <w:trPr>
          <w:tblHeader/>
          <w:jc w:val="center"/>
        </w:trPr>
        <w:tc>
          <w:tcPr>
            <w:tcW w:w="567" w:type="dxa"/>
            <w:tcBorders>
              <w:top w:val="single" w:sz="4" w:space="0" w:color="9DB6C8"/>
              <w:left w:val="single" w:sz="4" w:space="0" w:color="9DB6C8"/>
              <w:bottom w:val="single" w:sz="4" w:space="0" w:color="9DB6C8"/>
              <w:right w:val="single" w:sz="4" w:space="0" w:color="9DB6C8"/>
            </w:tcBorders>
            <w:shd w:val="clear" w:color="auto" w:fill="F2F2F2" w:themeFill="background1" w:themeFillShade="F2"/>
            <w:vAlign w:val="center"/>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b/>
                <w:sz w:val="22"/>
                <w:lang w:val="ro-MO"/>
              </w:rPr>
              <w:t>Nr.</w:t>
            </w:r>
            <w:r w:rsidRPr="00757EAA">
              <w:rPr>
                <w:rFonts w:asciiTheme="minorHAnsi" w:hAnsiTheme="minorHAnsi"/>
                <w:b/>
                <w:sz w:val="22"/>
                <w:lang w:val="ro-MO"/>
              </w:rPr>
              <w:br/>
              <w:t>crt.</w:t>
            </w:r>
          </w:p>
        </w:tc>
        <w:tc>
          <w:tcPr>
            <w:tcW w:w="1387" w:type="dxa"/>
            <w:tcBorders>
              <w:top w:val="single" w:sz="4" w:space="0" w:color="9DB6C8"/>
              <w:left w:val="single" w:sz="4" w:space="0" w:color="9DB6C8"/>
              <w:bottom w:val="single" w:sz="4" w:space="0" w:color="9DB6C8"/>
              <w:right w:val="single" w:sz="4" w:space="0" w:color="9DB6C8"/>
            </w:tcBorders>
            <w:shd w:val="clear" w:color="auto" w:fill="F2F2F2" w:themeFill="background1" w:themeFillShade="F2"/>
            <w:vAlign w:val="center"/>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b/>
                <w:sz w:val="22"/>
                <w:lang w:val="ro-MO"/>
              </w:rPr>
              <w:t>Sursa propunerii</w:t>
            </w:r>
          </w:p>
        </w:tc>
        <w:tc>
          <w:tcPr>
            <w:tcW w:w="2788" w:type="dxa"/>
            <w:tcBorders>
              <w:top w:val="single" w:sz="4" w:space="0" w:color="9DB6C8"/>
              <w:left w:val="single" w:sz="4" w:space="0" w:color="9DB6C8"/>
              <w:bottom w:val="single" w:sz="4" w:space="0" w:color="9DB6C8"/>
              <w:right w:val="single" w:sz="4" w:space="0" w:color="9DB6C8"/>
            </w:tcBorders>
            <w:shd w:val="clear" w:color="auto" w:fill="F2F2F2" w:themeFill="background1" w:themeFillShade="F2"/>
            <w:vAlign w:val="center"/>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b/>
                <w:sz w:val="22"/>
                <w:lang w:val="ro-MO"/>
              </w:rPr>
              <w:t>Propunerea, recomandarea, obiecția sau întrebarea formulată</w:t>
            </w:r>
          </w:p>
        </w:tc>
        <w:tc>
          <w:tcPr>
            <w:tcW w:w="2520" w:type="dxa"/>
            <w:tcBorders>
              <w:top w:val="single" w:sz="4" w:space="0" w:color="9DB6C8"/>
              <w:left w:val="single" w:sz="4" w:space="0" w:color="9DB6C8"/>
              <w:bottom w:val="single" w:sz="4" w:space="0" w:color="9DB6C8"/>
              <w:right w:val="single" w:sz="4" w:space="0" w:color="9DB6C8"/>
            </w:tcBorders>
            <w:shd w:val="clear" w:color="auto" w:fill="F2F2F2" w:themeFill="background1" w:themeFillShade="F2"/>
            <w:vAlign w:val="center"/>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b/>
                <w:sz w:val="22"/>
                <w:lang w:val="ro-MO"/>
              </w:rPr>
              <w:t>Argumentarea / explicația succintă</w:t>
            </w:r>
          </w:p>
        </w:tc>
        <w:tc>
          <w:tcPr>
            <w:tcW w:w="3960" w:type="dxa"/>
            <w:tcBorders>
              <w:top w:val="single" w:sz="4" w:space="0" w:color="9DB6C8"/>
              <w:left w:val="single" w:sz="4" w:space="0" w:color="9DB6C8"/>
              <w:bottom w:val="single" w:sz="4" w:space="0" w:color="9DB6C8"/>
              <w:right w:val="single" w:sz="4" w:space="0" w:color="9DB6C8"/>
            </w:tcBorders>
            <w:shd w:val="clear" w:color="auto" w:fill="F2F2F2" w:themeFill="background1" w:themeFillShade="F2"/>
            <w:vAlign w:val="center"/>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b/>
                <w:sz w:val="22"/>
                <w:lang w:val="ro-MO"/>
              </w:rPr>
              <w:t>Modul de examinare / răspunsul AP</w:t>
            </w:r>
            <w:r w:rsidRPr="00757EAA">
              <w:rPr>
                <w:rFonts w:asciiTheme="minorHAnsi" w:hAnsiTheme="minorHAnsi"/>
                <w:b/>
                <w:sz w:val="22"/>
                <w:lang w:val="ro-MO"/>
              </w:rPr>
              <w:t>L / GLC</w:t>
            </w:r>
          </w:p>
        </w:tc>
        <w:tc>
          <w:tcPr>
            <w:tcW w:w="1224" w:type="dxa"/>
            <w:tcBorders>
              <w:top w:val="single" w:sz="4" w:space="0" w:color="9DB6C8"/>
              <w:left w:val="single" w:sz="4" w:space="0" w:color="9DB6C8"/>
              <w:bottom w:val="single" w:sz="4" w:space="0" w:color="9DB6C8"/>
              <w:right w:val="single" w:sz="4" w:space="0" w:color="9DB6C8"/>
            </w:tcBorders>
            <w:shd w:val="clear" w:color="auto" w:fill="F2F2F2" w:themeFill="background1" w:themeFillShade="F2"/>
            <w:vAlign w:val="center"/>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b/>
                <w:sz w:val="22"/>
                <w:lang w:val="ro-MO"/>
              </w:rPr>
              <w:t>Decizia</w:t>
            </w:r>
          </w:p>
        </w:tc>
        <w:tc>
          <w:tcPr>
            <w:tcW w:w="2232" w:type="dxa"/>
            <w:tcBorders>
              <w:top w:val="single" w:sz="4" w:space="0" w:color="9DB6C8"/>
              <w:left w:val="single" w:sz="4" w:space="0" w:color="9DB6C8"/>
              <w:bottom w:val="single" w:sz="4" w:space="0" w:color="9DB6C8"/>
              <w:right w:val="single" w:sz="4" w:space="0" w:color="9DB6C8"/>
            </w:tcBorders>
            <w:shd w:val="clear" w:color="auto" w:fill="F2F2F2" w:themeFill="background1" w:themeFillShade="F2"/>
            <w:vAlign w:val="center"/>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b/>
                <w:sz w:val="22"/>
                <w:lang w:val="ro-MO"/>
              </w:rPr>
              <w:t>Observații</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1</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Întâlniri publice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Menținerea sediului primăriei și a centrului administrativ în satul Slobozia.</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Participanții au spus că Slobozia este un sat mare, activ și bine poziționat, iar menținerea primăriei în localitate este </w:t>
            </w:r>
            <w:r w:rsidRPr="00757EAA">
              <w:rPr>
                <w:rFonts w:asciiTheme="minorHAnsi" w:hAnsiTheme="minorHAnsi"/>
                <w:sz w:val="22"/>
                <w:lang w:val="ro-MO"/>
              </w:rPr>
              <w:t>importantă pentru accesul oamenilor la administrație.</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Subiectul a fost explicat în cadrul consultărilor. Conform materialelor prezentate, centrul administrativ propus este satul Slobozia, iar viitoarea UAT ar urma să includă satul Slobozia, satul Răscăieți</w:t>
            </w:r>
            <w:r w:rsidRPr="00757EAA">
              <w:rPr>
                <w:rFonts w:asciiTheme="minorHAnsi" w:hAnsiTheme="minorHAnsi"/>
                <w:sz w:val="22"/>
                <w:lang w:val="ro-MO"/>
              </w:rPr>
              <w:t xml:space="preserve"> și satul Răscăieții Noi. Stabilirea centrului administrativ se va reflecta în documentele finale ale procesului.</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Explicată / acceptată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Tema a fost repetată în toate cele trei consultări pe sectoare.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2</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Întâlniri publice și Viziune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Crearea și menținerea </w:t>
            </w:r>
            <w:r w:rsidRPr="00757EAA">
              <w:rPr>
                <w:rFonts w:asciiTheme="minorHAnsi" w:hAnsiTheme="minorHAnsi"/>
                <w:sz w:val="22"/>
                <w:lang w:val="ro-MO"/>
              </w:rPr>
              <w:t xml:space="preserve">unor puncte locale de servicii prin </w:t>
            </w:r>
            <w:r w:rsidR="00757EAA">
              <w:rPr>
                <w:rFonts w:asciiTheme="minorHAnsi" w:hAnsiTheme="minorHAnsi"/>
                <w:sz w:val="22"/>
                <w:lang w:val="ro-MO"/>
              </w:rPr>
              <w:t xml:space="preserve">amenajarea și dotarea unui </w:t>
            </w:r>
            <w:r w:rsidRPr="00757EAA">
              <w:rPr>
                <w:rFonts w:asciiTheme="minorHAnsi" w:hAnsiTheme="minorHAnsi"/>
                <w:sz w:val="22"/>
                <w:lang w:val="ro-MO"/>
              </w:rPr>
              <w:t>CUPS, pentru ca oamenii să nu fie nevoiți să se deplaseze pentru orice act.</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Locuitorii au întrebat cum vor obține certificate și alte servicii după amalgamare și dacă vor fi obligați să se deplaseze în alt sat.</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w:t>
            </w:r>
            <w:r w:rsidRPr="00757EAA">
              <w:rPr>
                <w:rFonts w:asciiTheme="minorHAnsi" w:hAnsiTheme="minorHAnsi"/>
                <w:sz w:val="22"/>
                <w:lang w:val="ro-MO"/>
              </w:rPr>
              <w:t>a se acceptă. Se recomandă ca documentele de organizare ale viitoarei UAT să prevadă CUPS/puncte locale de informare și preluare a cererilor în localitățile componente, cu program clar de lucru și informare publică accesibilă.</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Se corelează cu Viz</w:t>
            </w:r>
            <w:r w:rsidRPr="00757EAA">
              <w:rPr>
                <w:rFonts w:asciiTheme="minorHAnsi" w:hAnsiTheme="minorHAnsi"/>
                <w:sz w:val="22"/>
                <w:lang w:val="ro-MO"/>
              </w:rPr>
              <w:t>iunea privind servicii publice mai aproape de oameni.</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lastRenderedPageBreak/>
              <w:t>3</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Întâlniri publice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Informarea clară a cetățenilor despre opțiunile de reorganizare, etapele procesului și schimbările care vor avea loc după alegerile locale.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În discuții s-a explicat că Slobozia are </w:t>
            </w:r>
            <w:r w:rsidRPr="00757EAA">
              <w:rPr>
                <w:rFonts w:asciiTheme="minorHAnsi" w:hAnsiTheme="minorHAnsi"/>
                <w:sz w:val="22"/>
                <w:lang w:val="ro-MO"/>
              </w:rPr>
              <w:t>varianta amalgamării voluntare cu Răscăieți sau, în lipsa acesteia, o posibilă reorganizare ulterioară prin reforma administrativ-teritorială.</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Se acceptă necesitatea informării continue. Primăria și GLC urmează să comunice public etapele, efectele administ</w:t>
            </w:r>
            <w:r w:rsidRPr="00757EAA">
              <w:rPr>
                <w:rFonts w:asciiTheme="minorHAnsi" w:hAnsiTheme="minorHAnsi"/>
                <w:sz w:val="22"/>
                <w:lang w:val="ro-MO"/>
              </w:rPr>
              <w:t>rative, statutul serviciilor, rolul viitorului consiliu local și calendarul procedural, astfel încât locuitorii să poată înțelege realist procesul.</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Este importantă comunicarea și pentru persoanele care nu folosesc mijloace digitale.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4</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Sondaj și </w:t>
            </w:r>
            <w:r w:rsidRPr="00757EAA">
              <w:rPr>
                <w:rFonts w:asciiTheme="minorHAnsi" w:hAnsiTheme="minorHAnsi"/>
                <w:sz w:val="22"/>
                <w:lang w:val="ro-MO"/>
              </w:rPr>
              <w:t>chestionare pe hârtie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Reabilitarea și întreținerea drumurilor locale.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Drumurile locale deteriorate au fost indicate ca prioritate principală de 61 din 84 respondenți. Locuitorii au menționat accesul greu, deplasarea dificilă pe timp ploios, uzura transport</w:t>
            </w:r>
            <w:r w:rsidRPr="00757EAA">
              <w:rPr>
                <w:rFonts w:asciiTheme="minorHAnsi" w:hAnsiTheme="minorHAnsi"/>
                <w:sz w:val="22"/>
                <w:lang w:val="ro-MO"/>
              </w:rPr>
              <w:t>ului și nevoia unor condiții mai bune de circulație.</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ca prioritate majoră. Realizarea lucrărilor necesită inventarierea sectoarelor, evaluare tehnică, prioritizare transparentă, estimarea costurilor și identificarea surselor de finanț</w:t>
            </w:r>
            <w:r w:rsidRPr="00757EAA">
              <w:rPr>
                <w:rFonts w:asciiTheme="minorHAnsi" w:hAnsiTheme="minorHAnsi"/>
                <w:sz w:val="22"/>
                <w:lang w:val="ro-MO"/>
              </w:rPr>
              <w:t>are. Se recomandă includerea drumurilor în lista orientativă a investițiilor viitoarei UAT.</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parțial</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Lucrările trebuie corelate cu scurgerea apelor pluviale, canalizarea și alte rețele.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5</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Întâlnirea nr. 1</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Repararea/renovarea podurilor și a sectoa</w:t>
            </w:r>
            <w:r w:rsidRPr="00757EAA">
              <w:rPr>
                <w:rFonts w:asciiTheme="minorHAnsi" w:hAnsiTheme="minorHAnsi"/>
                <w:sz w:val="22"/>
                <w:lang w:val="ro-MO"/>
              </w:rPr>
              <w:t>relor de drum legate de acestea.</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Participanții au menționat starea rea a unui pod din localitate și necesitatea intervențiilor în infrastructura de acces.</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pentru analiză tehnică. Înainte de executarea lucrărilor este necesară verifica</w:t>
            </w:r>
            <w:r w:rsidRPr="00757EAA">
              <w:rPr>
                <w:rFonts w:asciiTheme="minorHAnsi" w:hAnsiTheme="minorHAnsi"/>
                <w:sz w:val="22"/>
                <w:lang w:val="ro-MO"/>
              </w:rPr>
              <w:t>rea la fața locului, stabilirea priorității, elaborarea documentației tehnice, estimarea costurilor și clarificarea surselor de finanțare.</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pentru analiză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 consultare s-a menționat că doar proiectarea tehnică pentru pod poate necesita costuri im</w:t>
            </w:r>
            <w:r w:rsidRPr="00757EAA">
              <w:rPr>
                <w:rFonts w:asciiTheme="minorHAnsi" w:hAnsiTheme="minorHAnsi"/>
                <w:sz w:val="22"/>
                <w:lang w:val="ro-MO"/>
              </w:rPr>
              <w:t>portante.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6</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Întâlnirea nr. 1</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Examinarea posibilității de implicare a sponsorilor sau a contribuțiilor locale pentru unele lucrări de drum și pod.</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Un participant a propus identificarea unui sponsor pentru materiale de construcție, iar primăria să asigure, </w:t>
            </w:r>
            <w:r w:rsidRPr="00757EAA">
              <w:rPr>
                <w:rFonts w:asciiTheme="minorHAnsi" w:hAnsiTheme="minorHAnsi"/>
                <w:sz w:val="22"/>
                <w:lang w:val="ro-MO"/>
              </w:rPr>
              <w:t>după posibilitate, tehnică sau suport organizatoric.</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Propunerea se acceptă pentru examinare în condițiile legii. Orice contribuție, donație, sponsorizare sau sprijin material trebuie verificat juridic, documentat, coordonat cu proiectul tehnic și realizat </w:t>
            </w:r>
            <w:r w:rsidRPr="00757EAA">
              <w:rPr>
                <w:rFonts w:asciiTheme="minorHAnsi" w:hAnsiTheme="minorHAnsi"/>
                <w:sz w:val="22"/>
                <w:lang w:val="ro-MO"/>
              </w:rPr>
              <w:t>cu respectarea regulilor de achiziții, evidență și transparență.</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pentru analiză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Poate fi valorificată doar dacă respectă cadrul legal și cerințele tehnice.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lastRenderedPageBreak/>
              <w:t>7</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Sondaj și Viziune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Organizarea/extinderea serviciului de canalizare și epurare a apelor </w:t>
            </w:r>
            <w:r w:rsidRPr="00757EAA">
              <w:rPr>
                <w:rFonts w:asciiTheme="minorHAnsi" w:hAnsiTheme="minorHAnsi"/>
                <w:sz w:val="22"/>
                <w:lang w:val="ro-MO"/>
              </w:rPr>
              <w:t>uzate.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Lipsa accesului la canalizare a fost indicată de 18 respondenți. Tema este legată de sănătatea publică, protecția solului și a apelor, precum și de condiții mai bune de trai.</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ca direcție importantă. Realizarea necesită studiu d</w:t>
            </w:r>
            <w:r w:rsidRPr="00757EAA">
              <w:rPr>
                <w:rFonts w:asciiTheme="minorHAnsi" w:hAnsiTheme="minorHAnsi"/>
                <w:sz w:val="22"/>
                <w:lang w:val="ro-MO"/>
              </w:rPr>
              <w:t>e fezabilitate, soluție tehnică, documentație de proiect, devize, avize și surse de finanțare. Se recomandă abordare etapizată, cu prioritate pentru zonele dense și instituțiile publice.</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parțial</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 Viziune, canalizarea/epurarea este indicată ca d</w:t>
            </w:r>
            <w:r w:rsidRPr="00757EAA">
              <w:rPr>
                <w:rFonts w:asciiTheme="minorHAnsi" w:hAnsiTheme="minorHAnsi"/>
                <w:sz w:val="22"/>
                <w:lang w:val="ro-MO"/>
              </w:rPr>
              <w:t>irecție comună de intervenție.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8</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Sondaj și chestionare pe hârtie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Amenajarea scurgerii apelor de pe drumuri: șanțuri, rigole, podețe și alte soluții de evacuare a apelor pluviale.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 chestionare au fost semnalate scurgeri de apă pe drumuri și probleme de c</w:t>
            </w:r>
            <w:r w:rsidRPr="00757EAA">
              <w:rPr>
                <w:rFonts w:asciiTheme="minorHAnsi" w:hAnsiTheme="minorHAnsi"/>
                <w:sz w:val="22"/>
                <w:lang w:val="ro-MO"/>
              </w:rPr>
              <w:t>irculație pe timp ploios.</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pentru includere în analiza tehnică a drumurilor. Reparația drumurilor trebuie corelată cu evacuarea apelor pluviale, pentru ca lucrările să fie durabile și să nu fie afectate rapid de ploi.</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parțial</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Se recomandă includerea măsurilor de drenaj în programul de drumuri.</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9</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Sondaj, întâlniri și Viziune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Îmbunătățirea serviciului de salubrizare și extinderea colectării deșeurilor.</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În Viziune se arată că serviciul de salubrizare din Slobozia acoperă doar o </w:t>
            </w:r>
            <w:r w:rsidRPr="00757EAA">
              <w:rPr>
                <w:rFonts w:asciiTheme="minorHAnsi" w:hAnsiTheme="minorHAnsi"/>
                <w:sz w:val="22"/>
                <w:lang w:val="ro-MO"/>
              </w:rPr>
              <w:t>parte din gospodării, iar în consultări s-a menționat necesitatea unui serviciu de salubrizare extins.</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Propunerea se acceptă. Se recomandă elaborarea unui regulament comun de salubrizare, stabilirea unui grafic clar de colectare, extinderea acoperirii, </w:t>
            </w:r>
            <w:r w:rsidRPr="00757EAA">
              <w:rPr>
                <w:rFonts w:asciiTheme="minorHAnsi" w:hAnsiTheme="minorHAnsi"/>
                <w:sz w:val="22"/>
                <w:lang w:val="ro-MO"/>
              </w:rPr>
              <w:t>informarea locuitorilor și combaterea depozitărilor neautorizate.</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parțial</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Necesită dotări, personal, logistică și reguli clare de plată/colectare.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10</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Sondaj și chestionare pe hârtie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Reducerea costurilor energiei electrice la instituțiile publice</w:t>
            </w:r>
            <w:r w:rsidRPr="00757EAA">
              <w:rPr>
                <w:rFonts w:asciiTheme="minorHAnsi" w:hAnsiTheme="minorHAnsi"/>
                <w:sz w:val="22"/>
                <w:lang w:val="ro-MO"/>
              </w:rPr>
              <w:t xml:space="preserve"> și identificarea unor soluții de eficiență energetică.</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Costurile ridicate ale energiei au fost indicate de 6 respondenți, iar în unele chestionare au fost menționate facturi comunale scumpe.</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pentru analiză. Se recomandă evaluarea con</w:t>
            </w:r>
            <w:r w:rsidRPr="00757EAA">
              <w:rPr>
                <w:rFonts w:asciiTheme="minorHAnsi" w:hAnsiTheme="minorHAnsi"/>
                <w:sz w:val="22"/>
                <w:lang w:val="ro-MO"/>
              </w:rPr>
              <w:t>sumurilor energetice, identificarea instituțiilor cu cheltuieli mari și pregătirea unor proiecte de eficiență energetică, inclusiv iluminat eficient, sisteme fotovoltaice sau alte soluții eligibile.</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pentru analiză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Necesită audit/analiză tehnică ș</w:t>
            </w:r>
            <w:r w:rsidRPr="00757EAA">
              <w:rPr>
                <w:rFonts w:asciiTheme="minorHAnsi" w:hAnsiTheme="minorHAnsi"/>
                <w:sz w:val="22"/>
                <w:lang w:val="ro-MO"/>
              </w:rPr>
              <w:t>i identificarea surselor de finanțare.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lastRenderedPageBreak/>
              <w:t>11</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Chestionare pe hârtie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Analizarea costurilor serviciilor și facturilor comunale percepute ca fiind prea mari pentru unele gospodării.</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Unii respondenți au menționat „servicii scumpe”, „facturi scumpe” și </w:t>
            </w:r>
            <w:r w:rsidRPr="00757EAA">
              <w:rPr>
                <w:rFonts w:asciiTheme="minorHAnsi" w:hAnsiTheme="minorHAnsi"/>
                <w:sz w:val="22"/>
                <w:lang w:val="ro-MO"/>
              </w:rPr>
              <w:t>dificultatea de a acoperi cheltuielile curente.</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Se ia act de preocupare. Tema nu se soluționează direct prin proiectul de decizie, dar poate fi analizată prin transparentizarea tarifelor, explicarea costurilor, eficientizarea serviciilor și orientarea spri</w:t>
            </w:r>
            <w:r w:rsidRPr="00757EAA">
              <w:rPr>
                <w:rFonts w:asciiTheme="minorHAnsi" w:hAnsiTheme="minorHAnsi"/>
                <w:sz w:val="22"/>
                <w:lang w:val="ro-MO"/>
              </w:rPr>
              <w:t>jinului social către persoanele vulnerabile, în limitele competențelor legale.</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pentru analiză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Necesită separarea clară între tarifele locale, competențele APL și costurile stabilite de furnizori.</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12</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Întâlniri și Viziune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Extinderea și întreținere</w:t>
            </w:r>
            <w:r w:rsidRPr="00757EAA">
              <w:rPr>
                <w:rFonts w:asciiTheme="minorHAnsi" w:hAnsiTheme="minorHAnsi"/>
                <w:sz w:val="22"/>
                <w:lang w:val="ro-MO"/>
              </w:rPr>
              <w:t>a iluminatului stradal, mai ales în sectoarele mai puțin acoperite.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 consultări s-a menționat că iluminatul stradal poate fi îmbunătățit, iar Viziunea prevede extinderea pe sectoarele vulnerabile și eficiență energetică.</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pentru anal</w:t>
            </w:r>
            <w:r w:rsidRPr="00757EAA">
              <w:rPr>
                <w:rFonts w:asciiTheme="minorHAnsi" w:hAnsiTheme="minorHAnsi"/>
                <w:sz w:val="22"/>
                <w:lang w:val="ro-MO"/>
              </w:rPr>
              <w:t>iză și includere în planificarea investițională. Se recomandă identificarea sectoarelor slab iluminate, estimarea costurilor, alegerea soluțiilor eficiente energetic și stabilirea unui calendar de intervenții.</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parțial</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Poate fi corelată cu proiect</w:t>
            </w:r>
            <w:r w:rsidRPr="00757EAA">
              <w:rPr>
                <w:rFonts w:asciiTheme="minorHAnsi" w:hAnsiTheme="minorHAnsi"/>
                <w:sz w:val="22"/>
                <w:lang w:val="ro-MO"/>
              </w:rPr>
              <w:t>ele de eficiență energetică.</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13</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Chestionare pe hârtie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Examinarea situației caselor fără stăpân și a terenurilor/gospodăriilor neîngrijite.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 chestionare au fost semnalate case fără stăpân și riscuri pentru aspectul localității, igienă și siguranță.</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pentru analiză. Se recomandă identificarea cazurilor, verificarea situației juridice a imobilelor și aplicarea măsurilor prevăzute de legislație pentru întreținerea terenurilor și prevenirea riscurilor.</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pentru analiză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Unele </w:t>
            </w:r>
            <w:r w:rsidRPr="00757EAA">
              <w:rPr>
                <w:rFonts w:asciiTheme="minorHAnsi" w:hAnsiTheme="minorHAnsi"/>
                <w:sz w:val="22"/>
                <w:lang w:val="ro-MO"/>
              </w:rPr>
              <w:t>măsuri depind de proprietari și de situația juridică a bunurilor.</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14</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Chestionare pe hârtie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Măsuri pentru siguranța copiilor și reducerea circulației periculoase a motocicletelor/transportului în localitate.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Unii respondenți au menționat pericol pentru cop</w:t>
            </w:r>
            <w:r w:rsidRPr="00757EAA">
              <w:rPr>
                <w:rFonts w:asciiTheme="minorHAnsi" w:hAnsiTheme="minorHAnsi"/>
                <w:sz w:val="22"/>
                <w:lang w:val="ro-MO"/>
              </w:rPr>
              <w:t>ii și bătrâni, inclusiv din cauza motocicletelor și circulației imprudente.</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Propunerea se acceptă pentru examinare. Se recomandă analizarea zonelor cu risc, semnalizare rutieră, măsuri de calmare a traficului unde este posibil, informare publică și sesizar</w:t>
            </w:r>
            <w:r w:rsidRPr="00757EAA">
              <w:rPr>
                <w:rFonts w:asciiTheme="minorHAnsi" w:hAnsiTheme="minorHAnsi"/>
                <w:sz w:val="22"/>
                <w:lang w:val="ro-MO"/>
              </w:rPr>
              <w:t>ea organelor competente pentru respectarea regulilor de circulație.</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parțial</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Se include la capitolul siguranță rutieră și ordine publică locală.</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15</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Sondaj și Viziune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Implicarea tinerilor și dezvoltarea activităților comunitare, sportive și cultur</w:t>
            </w:r>
            <w:r w:rsidRPr="00757EAA">
              <w:rPr>
                <w:rFonts w:asciiTheme="minorHAnsi" w:hAnsiTheme="minorHAnsi"/>
                <w:sz w:val="22"/>
                <w:lang w:val="ro-MO"/>
              </w:rPr>
              <w:t>ale.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În sinteza locală au fost menționate observații privind implicarea tinerilor, iar Viziunea prevede program comun de cultură, sport și agrement.</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Propunerea se acceptă pentru analiză. Se recomandă ca viitoarea UAT să includă activități pentru tineri, </w:t>
            </w:r>
            <w:r w:rsidRPr="00757EAA">
              <w:rPr>
                <w:rFonts w:asciiTheme="minorHAnsi" w:hAnsiTheme="minorHAnsi"/>
                <w:sz w:val="22"/>
                <w:lang w:val="ro-MO"/>
              </w:rPr>
              <w:t>voluntariat, sport, cultură și participare civică în programul local de acțiuni.</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 pentru analiză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Poate fi inclusă în calendarul comun de evenimente și programe comunitare.</w:t>
            </w:r>
          </w:p>
        </w:tc>
      </w:tr>
      <w:tr w:rsidR="00A83FCA" w:rsidRPr="00757EAA" w:rsidTr="00757EAA">
        <w:trPr>
          <w:cantSplit/>
          <w:jc w:val="center"/>
        </w:trPr>
        <w:tc>
          <w:tcPr>
            <w:tcW w:w="56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lastRenderedPageBreak/>
              <w:t>16</w:t>
            </w:r>
          </w:p>
        </w:tc>
        <w:tc>
          <w:tcPr>
            <w:tcW w:w="1387"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Sondaj și întâlniri publice</w:t>
            </w:r>
          </w:p>
        </w:tc>
        <w:tc>
          <w:tcPr>
            <w:tcW w:w="2788"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 xml:space="preserve">Continuarea informării, publicarea </w:t>
            </w:r>
            <w:r w:rsidRPr="00757EAA">
              <w:rPr>
                <w:rFonts w:asciiTheme="minorHAnsi" w:hAnsiTheme="minorHAnsi"/>
                <w:sz w:val="22"/>
                <w:lang w:val="ro-MO"/>
              </w:rPr>
              <w:t>rezultatelor consultărilor și explicarea modului în care propunerile sunt examinate.</w:t>
            </w:r>
          </w:p>
        </w:tc>
        <w:tc>
          <w:tcPr>
            <w:tcW w:w="252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Participanții au completat chestionare și au participat la întâlniri publice; este important ca răspunsurile să fie reflectate vizibil în documentele procesului.</w:t>
            </w:r>
          </w:p>
        </w:tc>
        <w:tc>
          <w:tcPr>
            <w:tcW w:w="3960"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Propunere</w:t>
            </w:r>
            <w:r w:rsidRPr="00757EAA">
              <w:rPr>
                <w:rFonts w:asciiTheme="minorHAnsi" w:hAnsiTheme="minorHAnsi"/>
                <w:sz w:val="22"/>
                <w:lang w:val="ro-MO"/>
              </w:rPr>
              <w:t>a se acceptă. Tabelul de sinteză se anexează la dosarul proiectului de decizie și se publică/afișează conform procedurii de transparență decizională. Se recomandă informarea cetățenilor despre pașii următori și despre deciziile adoptate.</w:t>
            </w:r>
          </w:p>
        </w:tc>
        <w:tc>
          <w:tcPr>
            <w:tcW w:w="1224"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jc w:val="center"/>
              <w:rPr>
                <w:rFonts w:asciiTheme="minorHAnsi" w:hAnsiTheme="minorHAnsi"/>
                <w:sz w:val="22"/>
                <w:lang w:val="ro-MO"/>
              </w:rPr>
            </w:pPr>
            <w:r w:rsidRPr="00757EAA">
              <w:rPr>
                <w:rFonts w:asciiTheme="minorHAnsi" w:hAnsiTheme="minorHAnsi"/>
                <w:sz w:val="22"/>
                <w:lang w:val="ro-MO"/>
              </w:rPr>
              <w:t>Acceptată</w:t>
            </w:r>
          </w:p>
        </w:tc>
        <w:tc>
          <w:tcPr>
            <w:tcW w:w="2232" w:type="dxa"/>
            <w:tcBorders>
              <w:top w:val="single" w:sz="4" w:space="0" w:color="9DB6C8"/>
              <w:left w:val="single" w:sz="4" w:space="0" w:color="9DB6C8"/>
              <w:bottom w:val="single" w:sz="4" w:space="0" w:color="9DB6C8"/>
              <w:right w:val="single" w:sz="4" w:space="0" w:color="9DB6C8"/>
            </w:tcBorders>
          </w:tcPr>
          <w:p w:rsidR="00A83FCA" w:rsidRPr="00757EAA" w:rsidRDefault="007967E4">
            <w:pPr>
              <w:spacing w:after="0" w:line="240" w:lineRule="auto"/>
              <w:rPr>
                <w:rFonts w:asciiTheme="minorHAnsi" w:hAnsiTheme="minorHAnsi"/>
                <w:sz w:val="22"/>
                <w:lang w:val="ro-MO"/>
              </w:rPr>
            </w:pPr>
            <w:r w:rsidRPr="00757EAA">
              <w:rPr>
                <w:rFonts w:asciiTheme="minorHAnsi" w:hAnsiTheme="minorHAnsi"/>
                <w:sz w:val="22"/>
                <w:lang w:val="ro-MO"/>
              </w:rPr>
              <w:t>Contribu</w:t>
            </w:r>
            <w:r w:rsidRPr="00757EAA">
              <w:rPr>
                <w:rFonts w:asciiTheme="minorHAnsi" w:hAnsiTheme="minorHAnsi"/>
                <w:sz w:val="22"/>
                <w:lang w:val="ro-MO"/>
              </w:rPr>
              <w:t>ie la încrederea comunității și la transparența procesului.</w:t>
            </w:r>
          </w:p>
        </w:tc>
      </w:tr>
    </w:tbl>
    <w:p w:rsidR="00757EAA" w:rsidRDefault="00757EAA">
      <w:pPr>
        <w:spacing w:after="80"/>
        <w:jc w:val="center"/>
        <w:rPr>
          <w:rFonts w:asciiTheme="minorHAnsi" w:hAnsiTheme="minorHAnsi"/>
          <w:b/>
          <w:color w:val="000000"/>
          <w:sz w:val="22"/>
          <w:lang w:val="ro-MO"/>
        </w:rPr>
      </w:pPr>
    </w:p>
    <w:p w:rsidR="00A83FCA" w:rsidRPr="00757EAA" w:rsidRDefault="007967E4">
      <w:pPr>
        <w:spacing w:after="80"/>
        <w:jc w:val="center"/>
        <w:rPr>
          <w:rFonts w:asciiTheme="minorHAnsi" w:hAnsiTheme="minorHAnsi"/>
          <w:sz w:val="28"/>
          <w:lang w:val="ro-MO"/>
        </w:rPr>
      </w:pPr>
      <w:r w:rsidRPr="00757EAA">
        <w:rPr>
          <w:rFonts w:asciiTheme="minorHAnsi" w:hAnsiTheme="minorHAnsi"/>
          <w:b/>
          <w:color w:val="000000"/>
          <w:sz w:val="28"/>
          <w:lang w:val="ro-MO"/>
        </w:rPr>
        <w:t>Concluzie</w:t>
      </w:r>
    </w:p>
    <w:p w:rsidR="00A83FCA" w:rsidRPr="00757EAA" w:rsidRDefault="007967E4" w:rsidP="00757EAA">
      <w:pPr>
        <w:spacing w:after="80" w:line="252" w:lineRule="auto"/>
        <w:ind w:firstLine="426"/>
        <w:jc w:val="both"/>
        <w:rPr>
          <w:rFonts w:asciiTheme="minorHAnsi" w:hAnsiTheme="minorHAnsi"/>
          <w:sz w:val="24"/>
          <w:lang w:val="ro-MO"/>
        </w:rPr>
      </w:pPr>
      <w:r w:rsidRPr="00757EAA">
        <w:rPr>
          <w:rFonts w:asciiTheme="minorHAnsi" w:hAnsiTheme="minorHAnsi"/>
          <w:sz w:val="24"/>
          <w:lang w:val="ro-MO"/>
        </w:rPr>
        <w:t>Pentru satul Slobozia au fost analizate 84 de chestionare validate: 20 răspunsuri digitale și 64 chestionare completate suplimentar pe hârtie și scanate. Separat, în cele trei consultăr</w:t>
      </w:r>
      <w:r w:rsidRPr="00757EAA">
        <w:rPr>
          <w:rFonts w:asciiTheme="minorHAnsi" w:hAnsiTheme="minorHAnsi"/>
          <w:sz w:val="24"/>
          <w:lang w:val="ro-MO"/>
        </w:rPr>
        <w:t>i publice pe sectoare din 05 iulie 2026 au fost consemnate 126 de participări: 40 de persoane la întâlnirea din apropierea magazinului ÎI „Ravenco Eugenia”, 36 de persoane la întâlnirea din apropierea magazinului din Seliște și 50 de persoane la întâlnirea</w:t>
      </w:r>
      <w:r w:rsidRPr="00757EAA">
        <w:rPr>
          <w:rFonts w:asciiTheme="minorHAnsi" w:hAnsiTheme="minorHAnsi"/>
          <w:sz w:val="24"/>
          <w:lang w:val="ro-MO"/>
        </w:rPr>
        <w:t xml:space="preserve"> din apropierea magazinului ÎI „Bevziuc Igor”. Aceste cifre sunt prezentate separat pentru a nu dubla răspunsurile din sondaj cu participările la adunările publice.</w:t>
      </w:r>
    </w:p>
    <w:p w:rsidR="00A83FCA" w:rsidRPr="00757EAA" w:rsidRDefault="007967E4" w:rsidP="00757EAA">
      <w:pPr>
        <w:spacing w:after="80" w:line="252" w:lineRule="auto"/>
        <w:ind w:firstLine="426"/>
        <w:jc w:val="both"/>
        <w:rPr>
          <w:rFonts w:asciiTheme="minorHAnsi" w:hAnsiTheme="minorHAnsi"/>
          <w:sz w:val="24"/>
          <w:lang w:val="ro-MO"/>
        </w:rPr>
      </w:pPr>
      <w:r w:rsidRPr="00757EAA">
        <w:rPr>
          <w:rFonts w:asciiTheme="minorHAnsi" w:hAnsiTheme="minorHAnsi"/>
          <w:sz w:val="24"/>
          <w:lang w:val="ro-MO"/>
        </w:rPr>
        <w:t xml:space="preserve">Principalele teme formulate de locuitori vizează </w:t>
      </w:r>
      <w:r w:rsidRPr="00757EAA">
        <w:rPr>
          <w:rFonts w:asciiTheme="minorHAnsi" w:hAnsiTheme="minorHAnsi"/>
          <w:b/>
          <w:sz w:val="24"/>
          <w:lang w:val="ro-MO"/>
        </w:rPr>
        <w:t>menținerea centrului administrativ în satu</w:t>
      </w:r>
      <w:r w:rsidRPr="00757EAA">
        <w:rPr>
          <w:rFonts w:asciiTheme="minorHAnsi" w:hAnsiTheme="minorHAnsi"/>
          <w:b/>
          <w:sz w:val="24"/>
          <w:lang w:val="ro-MO"/>
        </w:rPr>
        <w:t xml:space="preserve">l Slobozia, crearea punctelor locale de servicii prin CUPS, reabilitarea drumurilor și podurilor, </w:t>
      </w:r>
      <w:r w:rsidR="00757EAA">
        <w:rPr>
          <w:rFonts w:asciiTheme="minorHAnsi" w:hAnsiTheme="minorHAnsi"/>
          <w:b/>
          <w:sz w:val="24"/>
          <w:lang w:val="ro-MO"/>
        </w:rPr>
        <w:t xml:space="preserve">construcția și </w:t>
      </w:r>
      <w:r w:rsidRPr="00757EAA">
        <w:rPr>
          <w:rFonts w:asciiTheme="minorHAnsi" w:hAnsiTheme="minorHAnsi"/>
          <w:b/>
          <w:sz w:val="24"/>
          <w:lang w:val="ro-MO"/>
        </w:rPr>
        <w:t xml:space="preserve">extinderea </w:t>
      </w:r>
      <w:r w:rsidR="00757EAA">
        <w:rPr>
          <w:rFonts w:asciiTheme="minorHAnsi" w:hAnsiTheme="minorHAnsi"/>
          <w:b/>
          <w:sz w:val="24"/>
          <w:lang w:val="ro-MO"/>
        </w:rPr>
        <w:t xml:space="preserve">rețelei de </w:t>
      </w:r>
      <w:r w:rsidRPr="00757EAA">
        <w:rPr>
          <w:rFonts w:asciiTheme="minorHAnsi" w:hAnsiTheme="minorHAnsi"/>
          <w:b/>
          <w:sz w:val="24"/>
          <w:lang w:val="ro-MO"/>
        </w:rPr>
        <w:t>canaliz</w:t>
      </w:r>
      <w:r w:rsidR="00757EAA">
        <w:rPr>
          <w:rFonts w:asciiTheme="minorHAnsi" w:hAnsiTheme="minorHAnsi"/>
          <w:b/>
          <w:sz w:val="24"/>
          <w:lang w:val="ro-MO"/>
        </w:rPr>
        <w:t>are</w:t>
      </w:r>
      <w:r w:rsidRPr="00757EAA">
        <w:rPr>
          <w:rFonts w:asciiTheme="minorHAnsi" w:hAnsiTheme="minorHAnsi"/>
          <w:b/>
          <w:sz w:val="24"/>
          <w:lang w:val="ro-MO"/>
        </w:rPr>
        <w:t xml:space="preserve">, îmbunătățirea </w:t>
      </w:r>
      <w:r w:rsidR="00757EAA">
        <w:rPr>
          <w:rFonts w:asciiTheme="minorHAnsi" w:hAnsiTheme="minorHAnsi"/>
          <w:b/>
          <w:sz w:val="24"/>
          <w:lang w:val="ro-MO"/>
        </w:rPr>
        <w:t xml:space="preserve">serviciului de </w:t>
      </w:r>
      <w:r w:rsidRPr="00757EAA">
        <w:rPr>
          <w:rFonts w:asciiTheme="minorHAnsi" w:hAnsiTheme="minorHAnsi"/>
          <w:b/>
          <w:sz w:val="24"/>
          <w:lang w:val="ro-MO"/>
        </w:rPr>
        <w:t>salubriz</w:t>
      </w:r>
      <w:r w:rsidR="00757EAA">
        <w:rPr>
          <w:rFonts w:asciiTheme="minorHAnsi" w:hAnsiTheme="minorHAnsi"/>
          <w:b/>
          <w:sz w:val="24"/>
          <w:lang w:val="ro-MO"/>
        </w:rPr>
        <w:t>are</w:t>
      </w:r>
      <w:r w:rsidRPr="00757EAA">
        <w:rPr>
          <w:rFonts w:asciiTheme="minorHAnsi" w:hAnsiTheme="minorHAnsi"/>
          <w:b/>
          <w:sz w:val="24"/>
          <w:lang w:val="ro-MO"/>
        </w:rPr>
        <w:t>, reducerea cheltuielilor energetice, rezolvarea problemelor de scurgere a apelor pluviale, creșterea sigura</w:t>
      </w:r>
      <w:r w:rsidRPr="00757EAA">
        <w:rPr>
          <w:rFonts w:asciiTheme="minorHAnsi" w:hAnsiTheme="minorHAnsi"/>
          <w:b/>
          <w:sz w:val="24"/>
          <w:lang w:val="ro-MO"/>
        </w:rPr>
        <w:t>nței copiilor și a pietonilor, gestionarea caselor fără stăpân și menținerea unei comunicări publice clare.</w:t>
      </w:r>
      <w:r w:rsidRPr="00757EAA">
        <w:rPr>
          <w:rFonts w:asciiTheme="minorHAnsi" w:hAnsiTheme="minorHAnsi"/>
          <w:sz w:val="24"/>
          <w:lang w:val="ro-MO"/>
        </w:rPr>
        <w:t xml:space="preserve"> Propunerile consolidate urmează a fi utilizate la definitivarea Viziunii, la ajustarea documentelor aferente proiectului de decizie și la planificar</w:t>
      </w:r>
      <w:r w:rsidRPr="00757EAA">
        <w:rPr>
          <w:rFonts w:asciiTheme="minorHAnsi" w:hAnsiTheme="minorHAnsi"/>
          <w:sz w:val="24"/>
          <w:lang w:val="ro-MO"/>
        </w:rPr>
        <w:t>ea etapizată a investițiilor pentru satul Slobozia în cadrul viitoarei UAT amalgamate.</w:t>
      </w:r>
    </w:p>
    <w:p w:rsidR="00757EAA" w:rsidRPr="00757EAA" w:rsidRDefault="00757EAA">
      <w:pPr>
        <w:spacing w:after="80" w:line="252" w:lineRule="auto"/>
        <w:ind w:firstLine="426"/>
        <w:jc w:val="both"/>
        <w:rPr>
          <w:rFonts w:asciiTheme="minorHAnsi" w:hAnsiTheme="minorHAnsi"/>
          <w:sz w:val="22"/>
          <w:lang w:val="ro-MO"/>
        </w:rPr>
      </w:pPr>
      <w:bookmarkStart w:id="0" w:name="_GoBack"/>
      <w:bookmarkEnd w:id="0"/>
    </w:p>
    <w:sectPr w:rsidR="00757EAA" w:rsidRPr="00757EAA" w:rsidSect="00757EAA">
      <w:footerReference w:type="default" r:id="rId9"/>
      <w:pgSz w:w="15840" w:h="12240" w:orient="landscape"/>
      <w:pgMar w:top="504" w:right="956" w:bottom="504"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7E4" w:rsidRDefault="007967E4">
      <w:pPr>
        <w:spacing w:after="0" w:line="240" w:lineRule="auto"/>
      </w:pPr>
      <w:r>
        <w:separator/>
      </w:r>
    </w:p>
  </w:endnote>
  <w:endnote w:type="continuationSeparator" w:id="0">
    <w:p w:rsidR="007967E4" w:rsidRDefault="00796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FCA" w:rsidRDefault="00A83FC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7E4" w:rsidRDefault="007967E4">
      <w:pPr>
        <w:spacing w:after="0" w:line="240" w:lineRule="auto"/>
      </w:pPr>
      <w:r>
        <w:separator/>
      </w:r>
    </w:p>
  </w:footnote>
  <w:footnote w:type="continuationSeparator" w:id="0">
    <w:p w:rsidR="007967E4" w:rsidRDefault="007967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57EAA"/>
    <w:rsid w:val="007967E4"/>
    <w:rsid w:val="00A83FC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0B7EA-8DDA-482F-9930-D7BC73015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1955</Words>
  <Characters>11149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VR</cp:lastModifiedBy>
  <cp:revision>2</cp:revision>
  <dcterms:created xsi:type="dcterms:W3CDTF">2013-12-23T23:15:00Z</dcterms:created>
  <dcterms:modified xsi:type="dcterms:W3CDTF">2026-07-11T15:15:00Z</dcterms:modified>
  <cp:category/>
</cp:coreProperties>
</file>